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0491" w14:textId="2CBF73B4" w:rsidR="0063177A" w:rsidRPr="0063177A" w:rsidRDefault="0063177A" w:rsidP="0063177A">
      <w:pPr>
        <w:pStyle w:val="Center"/>
      </w:pPr>
      <w:r>
        <w:rPr>
          <w:noProof/>
        </w:rPr>
        <w:drawing>
          <wp:inline distT="0" distB="0" distL="0" distR="0" wp14:anchorId="73D85C60" wp14:editId="273B65DC">
            <wp:extent cx="4086225" cy="3067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14:paraId="5E0706B7" w14:textId="68D07FCD" w:rsidR="0063177A" w:rsidRDefault="0063177A" w:rsidP="0063177A">
      <w:pPr>
        <w:pStyle w:val="FlushLeft"/>
        <w:spacing w:before="0"/>
      </w:pPr>
    </w:p>
    <w:tbl>
      <w:tblPr>
        <w:tblW w:w="0" w:type="auto"/>
        <w:tblInd w:w="171" w:type="dxa"/>
        <w:tblLayout w:type="fixed"/>
        <w:tblCellMar>
          <w:left w:w="0" w:type="dxa"/>
          <w:right w:w="0" w:type="dxa"/>
        </w:tblCellMar>
        <w:tblLook w:val="01E0" w:firstRow="1" w:lastRow="1" w:firstColumn="1" w:lastColumn="1" w:noHBand="0" w:noVBand="0"/>
      </w:tblPr>
      <w:tblGrid>
        <w:gridCol w:w="8857"/>
      </w:tblGrid>
      <w:tr w:rsidR="0063177A" w:rsidRPr="0063177A" w14:paraId="0F2039BF" w14:textId="77777777" w:rsidTr="00D010FA">
        <w:trPr>
          <w:trHeight w:val="1627"/>
        </w:trPr>
        <w:tc>
          <w:tcPr>
            <w:tcW w:w="8857" w:type="dxa"/>
            <w:shd w:val="clear" w:color="auto" w:fill="1F487C"/>
            <w:vAlign w:val="center"/>
          </w:tcPr>
          <w:p w14:paraId="363AF6F1" w14:textId="77777777" w:rsidR="0063177A" w:rsidRPr="0063177A" w:rsidRDefault="0063177A" w:rsidP="00D010FA">
            <w:pPr>
              <w:pStyle w:val="FlushLeft"/>
              <w:jc w:val="right"/>
              <w:rPr>
                <w:rFonts w:ascii="Century Gothic" w:hAnsi="Century Gothic"/>
                <w:color w:val="FFFFFF" w:themeColor="background1"/>
                <w:sz w:val="40"/>
                <w:szCs w:val="40"/>
              </w:rPr>
            </w:pPr>
            <w:r w:rsidRPr="0063177A">
              <w:rPr>
                <w:rFonts w:ascii="Century Gothic" w:hAnsi="Century Gothic"/>
                <w:color w:val="FFFFFF" w:themeColor="background1"/>
                <w:sz w:val="40"/>
                <w:szCs w:val="40"/>
              </w:rPr>
              <w:t>Former Armstrong, Inc. Site</w:t>
            </w:r>
          </w:p>
        </w:tc>
      </w:tr>
      <w:tr w:rsidR="0063177A" w:rsidRPr="0063177A" w14:paraId="4B5FCABC" w14:textId="77777777" w:rsidTr="00D010FA">
        <w:trPr>
          <w:trHeight w:val="807"/>
        </w:trPr>
        <w:tc>
          <w:tcPr>
            <w:tcW w:w="8857" w:type="dxa"/>
            <w:vAlign w:val="center"/>
          </w:tcPr>
          <w:p w14:paraId="6253FEB8" w14:textId="77777777" w:rsidR="0063177A" w:rsidRPr="0063177A" w:rsidRDefault="0063177A" w:rsidP="00D010FA">
            <w:pPr>
              <w:pStyle w:val="FlushLeft"/>
              <w:jc w:val="right"/>
              <w:rPr>
                <w:rFonts w:ascii="Century Gothic" w:hAnsi="Century Gothic"/>
                <w:sz w:val="32"/>
                <w:szCs w:val="32"/>
              </w:rPr>
            </w:pPr>
            <w:r w:rsidRPr="0063177A">
              <w:rPr>
                <w:rFonts w:ascii="Century Gothic" w:hAnsi="Century Gothic"/>
                <w:sz w:val="32"/>
                <w:szCs w:val="32"/>
              </w:rPr>
              <w:t>CEQA Exemption Report</w:t>
            </w:r>
          </w:p>
        </w:tc>
      </w:tr>
      <w:tr w:rsidR="0063177A" w:rsidRPr="0063177A" w14:paraId="2CBED22E" w14:textId="77777777" w:rsidTr="00D010FA">
        <w:trPr>
          <w:trHeight w:val="735"/>
        </w:trPr>
        <w:tc>
          <w:tcPr>
            <w:tcW w:w="8857" w:type="dxa"/>
            <w:vAlign w:val="center"/>
          </w:tcPr>
          <w:p w14:paraId="34F16BBC" w14:textId="77777777" w:rsidR="0063177A" w:rsidRPr="0063177A" w:rsidRDefault="0063177A" w:rsidP="00D010FA">
            <w:pPr>
              <w:pStyle w:val="FlushLeft"/>
              <w:jc w:val="right"/>
              <w:rPr>
                <w:i/>
                <w:sz w:val="24"/>
                <w:szCs w:val="24"/>
              </w:rPr>
            </w:pPr>
            <w:r w:rsidRPr="0063177A">
              <w:rPr>
                <w:i/>
                <w:sz w:val="24"/>
                <w:szCs w:val="24"/>
              </w:rPr>
              <w:t>prepared by</w:t>
            </w:r>
          </w:p>
        </w:tc>
      </w:tr>
      <w:tr w:rsidR="0063177A" w:rsidRPr="0063177A" w14:paraId="0F67A605" w14:textId="77777777" w:rsidTr="00D010FA">
        <w:trPr>
          <w:trHeight w:val="1361"/>
        </w:trPr>
        <w:tc>
          <w:tcPr>
            <w:tcW w:w="8857" w:type="dxa"/>
            <w:vAlign w:val="center"/>
          </w:tcPr>
          <w:p w14:paraId="2F92021C" w14:textId="77777777" w:rsidR="0063177A" w:rsidRPr="0063177A" w:rsidRDefault="0063177A" w:rsidP="00D010FA">
            <w:pPr>
              <w:pStyle w:val="FlushLeft"/>
              <w:jc w:val="right"/>
              <w:rPr>
                <w:sz w:val="24"/>
                <w:szCs w:val="24"/>
              </w:rPr>
            </w:pPr>
            <w:r w:rsidRPr="0063177A">
              <w:rPr>
                <w:sz w:val="24"/>
                <w:szCs w:val="24"/>
              </w:rPr>
              <w:t>BLODGETT BAYLOSIS ENVIRONMENTAL PLANNING</w:t>
            </w:r>
            <w:r w:rsidRPr="0063177A">
              <w:rPr>
                <w:sz w:val="24"/>
                <w:szCs w:val="24"/>
              </w:rPr>
              <w:br/>
              <w:t>2211 HACIENDA BOULEVARD, SUITE 107</w:t>
            </w:r>
            <w:r w:rsidRPr="0063177A">
              <w:rPr>
                <w:sz w:val="24"/>
                <w:szCs w:val="24"/>
              </w:rPr>
              <w:br/>
              <w:t>HACIENDA HEIGHTS, CALIFORNIA 91745</w:t>
            </w:r>
          </w:p>
        </w:tc>
      </w:tr>
      <w:tr w:rsidR="0063177A" w:rsidRPr="0063177A" w14:paraId="67499CEA" w14:textId="77777777" w:rsidTr="00D010FA">
        <w:trPr>
          <w:trHeight w:val="515"/>
        </w:trPr>
        <w:tc>
          <w:tcPr>
            <w:tcW w:w="8857" w:type="dxa"/>
            <w:vAlign w:val="center"/>
          </w:tcPr>
          <w:p w14:paraId="1658C9FD" w14:textId="77777777" w:rsidR="0063177A" w:rsidRPr="0063177A" w:rsidRDefault="0063177A" w:rsidP="00D010FA">
            <w:pPr>
              <w:pStyle w:val="FlushLeft"/>
              <w:jc w:val="right"/>
              <w:rPr>
                <w:b/>
                <w:sz w:val="24"/>
                <w:szCs w:val="24"/>
              </w:rPr>
            </w:pPr>
            <w:r w:rsidRPr="0063177A">
              <w:rPr>
                <w:b/>
                <w:sz w:val="24"/>
                <w:szCs w:val="24"/>
              </w:rPr>
              <w:t>August 2022</w:t>
            </w:r>
          </w:p>
        </w:tc>
      </w:tr>
    </w:tbl>
    <w:p w14:paraId="21C3D323" w14:textId="77777777" w:rsidR="0063177A" w:rsidRDefault="0063177A" w:rsidP="0063177A">
      <w:pPr>
        <w:pStyle w:val="FlushLeft"/>
      </w:pPr>
    </w:p>
    <w:p w14:paraId="40976805" w14:textId="77777777" w:rsidR="0063177A" w:rsidRDefault="0063177A" w:rsidP="0063177A">
      <w:pPr>
        <w:pStyle w:val="FlushLeft"/>
        <w:sectPr w:rsidR="0063177A" w:rsidSect="0063177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288" w:gutter="0"/>
          <w:pgNumType w:start="1"/>
          <w:cols w:space="720"/>
          <w:titlePg/>
          <w:docGrid w:linePitch="326"/>
        </w:sectPr>
      </w:pPr>
    </w:p>
    <w:p w14:paraId="2B243366" w14:textId="6B555731" w:rsidR="0063177A" w:rsidRDefault="0063177A" w:rsidP="0063177A">
      <w:pPr>
        <w:pStyle w:val="Heading1"/>
      </w:pPr>
      <w:bookmarkStart w:id="0" w:name="_bookmark0"/>
      <w:bookmarkStart w:id="1" w:name="_Toc111461782"/>
      <w:bookmarkEnd w:id="0"/>
      <w:r w:rsidRPr="0063177A">
        <w:lastRenderedPageBreak/>
        <w:t>Table of Contents</w:t>
      </w:r>
      <w:bookmarkEnd w:id="1"/>
      <w:r w:rsidRPr="0063177A">
        <w:tab/>
      </w:r>
    </w:p>
    <w:p w14:paraId="24D91018" w14:textId="77777777" w:rsidR="005C4A71" w:rsidRDefault="005C4A71" w:rsidP="005C4A71">
      <w:pPr>
        <w:pStyle w:val="FlushLeft"/>
      </w:pPr>
    </w:p>
    <w:p w14:paraId="342897EA" w14:textId="1C80DA75" w:rsidR="005C4A71" w:rsidRPr="005C4A71" w:rsidRDefault="005C4A71">
      <w:pPr>
        <w:pStyle w:val="TOC1"/>
        <w:rPr>
          <w:rFonts w:asciiTheme="minorHAnsi" w:eastAsiaTheme="minorEastAsia" w:hAnsiTheme="minorHAnsi" w:cstheme="minorBidi"/>
          <w:noProof/>
          <w:szCs w:val="22"/>
        </w:rPr>
      </w:pPr>
      <w:r w:rsidRPr="005C4A71">
        <w:fldChar w:fldCharType="begin" w:fldLock="1"/>
      </w:r>
      <w:r w:rsidRPr="005C4A71">
        <w:instrText xml:space="preserve"> TOC \o "1-3" \u \t "Heading 1,1,Heading 2,2,Heading 3,3" \f \h </w:instrText>
      </w:r>
      <w:r w:rsidRPr="005C4A71">
        <w:fldChar w:fldCharType="separate"/>
      </w:r>
      <w:hyperlink w:anchor="_Toc111461782" w:history="1">
        <w:r w:rsidRPr="005C4A71">
          <w:rPr>
            <w:rStyle w:val="Hyperlink"/>
            <w:noProof/>
            <w:u w:val="none"/>
          </w:rPr>
          <w:t>Table of Contents</w:t>
        </w:r>
        <w:r w:rsidRPr="005C4A71">
          <w:rPr>
            <w:noProof/>
          </w:rPr>
          <w:tab/>
        </w:r>
        <w:r w:rsidRPr="005C4A71">
          <w:rPr>
            <w:noProof/>
          </w:rPr>
          <w:fldChar w:fldCharType="begin" w:fldLock="1"/>
        </w:r>
        <w:r w:rsidRPr="005C4A71">
          <w:rPr>
            <w:noProof/>
          </w:rPr>
          <w:instrText xml:space="preserve"> PAGEREF _Toc111461782 \h </w:instrText>
        </w:r>
        <w:r w:rsidRPr="005C4A71">
          <w:rPr>
            <w:noProof/>
          </w:rPr>
        </w:r>
        <w:r w:rsidRPr="005C4A71">
          <w:rPr>
            <w:noProof/>
          </w:rPr>
          <w:fldChar w:fldCharType="separate"/>
        </w:r>
        <w:r w:rsidRPr="005C4A71">
          <w:rPr>
            <w:noProof/>
          </w:rPr>
          <w:t>1</w:t>
        </w:r>
        <w:r w:rsidRPr="005C4A71">
          <w:rPr>
            <w:noProof/>
          </w:rPr>
          <w:fldChar w:fldCharType="end"/>
        </w:r>
      </w:hyperlink>
    </w:p>
    <w:p w14:paraId="1458C7B9" w14:textId="16497EB1" w:rsidR="005C4A71" w:rsidRPr="005C4A71" w:rsidRDefault="00917BF6">
      <w:pPr>
        <w:pStyle w:val="TOC1"/>
        <w:rPr>
          <w:rFonts w:asciiTheme="minorHAnsi" w:eastAsiaTheme="minorEastAsia" w:hAnsiTheme="minorHAnsi" w:cstheme="minorBidi"/>
          <w:noProof/>
          <w:szCs w:val="22"/>
        </w:rPr>
      </w:pPr>
      <w:hyperlink w:anchor="_Toc111461783" w:history="1">
        <w:r w:rsidR="005C4A71" w:rsidRPr="005C4A71">
          <w:rPr>
            <w:rStyle w:val="Hyperlink"/>
            <w:noProof/>
            <w:u w:val="none"/>
          </w:rPr>
          <w:t>CEQA Exemption Report</w:t>
        </w:r>
        <w:r w:rsidR="005C4A71" w:rsidRPr="005C4A71">
          <w:rPr>
            <w:noProof/>
          </w:rPr>
          <w:tab/>
        </w:r>
        <w:r w:rsidR="005C4A71" w:rsidRPr="005C4A71">
          <w:rPr>
            <w:noProof/>
          </w:rPr>
          <w:fldChar w:fldCharType="begin" w:fldLock="1"/>
        </w:r>
        <w:r w:rsidR="005C4A71" w:rsidRPr="005C4A71">
          <w:rPr>
            <w:noProof/>
          </w:rPr>
          <w:instrText xml:space="preserve"> PAGEREF _Toc111461783 \h </w:instrText>
        </w:r>
        <w:r w:rsidR="005C4A71" w:rsidRPr="005C4A71">
          <w:rPr>
            <w:noProof/>
          </w:rPr>
        </w:r>
        <w:r w:rsidR="005C4A71" w:rsidRPr="005C4A71">
          <w:rPr>
            <w:noProof/>
          </w:rPr>
          <w:fldChar w:fldCharType="separate"/>
        </w:r>
        <w:r w:rsidR="005C4A71" w:rsidRPr="005C4A71">
          <w:rPr>
            <w:noProof/>
          </w:rPr>
          <w:t>1</w:t>
        </w:r>
        <w:r w:rsidR="005C4A71" w:rsidRPr="005C4A71">
          <w:rPr>
            <w:noProof/>
          </w:rPr>
          <w:fldChar w:fldCharType="end"/>
        </w:r>
      </w:hyperlink>
    </w:p>
    <w:p w14:paraId="2CF2C446" w14:textId="1C8E0B05" w:rsidR="005C4A71" w:rsidRPr="005C4A71" w:rsidRDefault="00917BF6" w:rsidP="005C4A71">
      <w:pPr>
        <w:pStyle w:val="TOC2"/>
        <w:rPr>
          <w:rFonts w:asciiTheme="minorHAnsi" w:eastAsiaTheme="minorEastAsia" w:hAnsiTheme="minorHAnsi" w:cstheme="minorBidi"/>
          <w:noProof/>
          <w:szCs w:val="22"/>
        </w:rPr>
      </w:pPr>
      <w:hyperlink w:anchor="_Toc111461784" w:history="1">
        <w:r w:rsidR="005C4A71" w:rsidRPr="005C4A71">
          <w:rPr>
            <w:rStyle w:val="Hyperlink"/>
            <w:noProof/>
            <w:u w:val="none"/>
          </w:rPr>
          <w:t>1.</w:t>
        </w:r>
        <w:r w:rsidR="005C4A71" w:rsidRPr="005C4A71">
          <w:rPr>
            <w:rFonts w:asciiTheme="minorHAnsi" w:eastAsiaTheme="minorEastAsia" w:hAnsiTheme="minorHAnsi" w:cstheme="minorBidi"/>
            <w:noProof/>
            <w:szCs w:val="22"/>
          </w:rPr>
          <w:tab/>
        </w:r>
        <w:r w:rsidR="005C4A71" w:rsidRPr="005C4A71">
          <w:rPr>
            <w:rStyle w:val="Hyperlink"/>
            <w:noProof/>
            <w:u w:val="none"/>
          </w:rPr>
          <w:t>Introduction</w:t>
        </w:r>
        <w:r w:rsidR="005C4A71" w:rsidRPr="005C4A71">
          <w:rPr>
            <w:noProof/>
          </w:rPr>
          <w:tab/>
        </w:r>
        <w:r w:rsidR="005C4A71" w:rsidRPr="005C4A71">
          <w:rPr>
            <w:noProof/>
          </w:rPr>
          <w:fldChar w:fldCharType="begin" w:fldLock="1"/>
        </w:r>
        <w:r w:rsidR="005C4A71" w:rsidRPr="005C4A71">
          <w:rPr>
            <w:noProof/>
          </w:rPr>
          <w:instrText xml:space="preserve"> PAGEREF _Toc111461784 \h </w:instrText>
        </w:r>
        <w:r w:rsidR="005C4A71" w:rsidRPr="005C4A71">
          <w:rPr>
            <w:noProof/>
          </w:rPr>
        </w:r>
        <w:r w:rsidR="005C4A71" w:rsidRPr="005C4A71">
          <w:rPr>
            <w:noProof/>
          </w:rPr>
          <w:fldChar w:fldCharType="separate"/>
        </w:r>
        <w:r w:rsidR="005C4A71" w:rsidRPr="005C4A71">
          <w:rPr>
            <w:noProof/>
          </w:rPr>
          <w:t>1</w:t>
        </w:r>
        <w:r w:rsidR="005C4A71" w:rsidRPr="005C4A71">
          <w:rPr>
            <w:noProof/>
          </w:rPr>
          <w:fldChar w:fldCharType="end"/>
        </w:r>
      </w:hyperlink>
    </w:p>
    <w:p w14:paraId="78607084" w14:textId="10497392" w:rsidR="005C4A71" w:rsidRPr="005C4A71" w:rsidRDefault="00917BF6" w:rsidP="005C4A71">
      <w:pPr>
        <w:pStyle w:val="TOC2"/>
        <w:rPr>
          <w:rFonts w:asciiTheme="minorHAnsi" w:eastAsiaTheme="minorEastAsia" w:hAnsiTheme="minorHAnsi" w:cstheme="minorBidi"/>
          <w:noProof/>
          <w:szCs w:val="22"/>
        </w:rPr>
      </w:pPr>
      <w:hyperlink w:anchor="_Toc111461785" w:history="1">
        <w:r w:rsidR="005C4A71" w:rsidRPr="005C4A71">
          <w:rPr>
            <w:rStyle w:val="Hyperlink"/>
            <w:noProof/>
            <w:u w:val="none"/>
          </w:rPr>
          <w:t>2.</w:t>
        </w:r>
        <w:r w:rsidR="005C4A71" w:rsidRPr="005C4A71">
          <w:rPr>
            <w:rFonts w:asciiTheme="minorHAnsi" w:eastAsiaTheme="minorEastAsia" w:hAnsiTheme="minorHAnsi" w:cstheme="minorBidi"/>
            <w:noProof/>
            <w:szCs w:val="22"/>
          </w:rPr>
          <w:tab/>
        </w:r>
        <w:r w:rsidR="005C4A71" w:rsidRPr="005C4A71">
          <w:rPr>
            <w:rStyle w:val="Hyperlink"/>
            <w:noProof/>
            <w:u w:val="none"/>
          </w:rPr>
          <w:t>Project Site and Existing Conditions</w:t>
        </w:r>
        <w:r w:rsidR="005C4A71" w:rsidRPr="005C4A71">
          <w:rPr>
            <w:noProof/>
          </w:rPr>
          <w:tab/>
        </w:r>
        <w:r w:rsidR="005C4A71" w:rsidRPr="005C4A71">
          <w:rPr>
            <w:noProof/>
          </w:rPr>
          <w:fldChar w:fldCharType="begin" w:fldLock="1"/>
        </w:r>
        <w:r w:rsidR="005C4A71" w:rsidRPr="005C4A71">
          <w:rPr>
            <w:noProof/>
          </w:rPr>
          <w:instrText xml:space="preserve"> PAGEREF _Toc111461785 \h </w:instrText>
        </w:r>
        <w:r w:rsidR="005C4A71" w:rsidRPr="005C4A71">
          <w:rPr>
            <w:noProof/>
          </w:rPr>
        </w:r>
        <w:r w:rsidR="005C4A71" w:rsidRPr="005C4A71">
          <w:rPr>
            <w:noProof/>
          </w:rPr>
          <w:fldChar w:fldCharType="separate"/>
        </w:r>
        <w:r w:rsidR="005C4A71" w:rsidRPr="005C4A71">
          <w:rPr>
            <w:noProof/>
          </w:rPr>
          <w:t>1</w:t>
        </w:r>
        <w:r w:rsidR="005C4A71" w:rsidRPr="005C4A71">
          <w:rPr>
            <w:noProof/>
          </w:rPr>
          <w:fldChar w:fldCharType="end"/>
        </w:r>
      </w:hyperlink>
    </w:p>
    <w:p w14:paraId="26C975E9" w14:textId="6CE356B8" w:rsidR="005C4A71" w:rsidRPr="005C4A71" w:rsidRDefault="00917BF6" w:rsidP="005C4A71">
      <w:pPr>
        <w:pStyle w:val="TOC2"/>
        <w:rPr>
          <w:rFonts w:asciiTheme="minorHAnsi" w:eastAsiaTheme="minorEastAsia" w:hAnsiTheme="minorHAnsi" w:cstheme="minorBidi"/>
          <w:noProof/>
          <w:szCs w:val="22"/>
        </w:rPr>
      </w:pPr>
      <w:hyperlink w:anchor="_Toc111461786" w:history="1">
        <w:r w:rsidR="005C4A71" w:rsidRPr="005C4A71">
          <w:rPr>
            <w:rStyle w:val="Hyperlink"/>
            <w:noProof/>
            <w:u w:val="none"/>
          </w:rPr>
          <w:t>3.</w:t>
        </w:r>
        <w:r w:rsidR="005C4A71" w:rsidRPr="005C4A71">
          <w:rPr>
            <w:rFonts w:asciiTheme="minorHAnsi" w:eastAsiaTheme="minorEastAsia" w:hAnsiTheme="minorHAnsi" w:cstheme="minorBidi"/>
            <w:noProof/>
            <w:szCs w:val="22"/>
          </w:rPr>
          <w:tab/>
        </w:r>
        <w:r w:rsidR="005C4A71" w:rsidRPr="005C4A71">
          <w:rPr>
            <w:rStyle w:val="Hyperlink"/>
            <w:noProof/>
            <w:u w:val="none"/>
          </w:rPr>
          <w:t>Project Description</w:t>
        </w:r>
        <w:r w:rsidR="005C4A71" w:rsidRPr="005C4A71">
          <w:rPr>
            <w:noProof/>
          </w:rPr>
          <w:tab/>
        </w:r>
        <w:r w:rsidR="005C4A71" w:rsidRPr="005C4A71">
          <w:rPr>
            <w:noProof/>
          </w:rPr>
          <w:fldChar w:fldCharType="begin" w:fldLock="1"/>
        </w:r>
        <w:r w:rsidR="005C4A71" w:rsidRPr="005C4A71">
          <w:rPr>
            <w:noProof/>
          </w:rPr>
          <w:instrText xml:space="preserve"> PAGEREF _Toc111461786 \h </w:instrText>
        </w:r>
        <w:r w:rsidR="005C4A71" w:rsidRPr="005C4A71">
          <w:rPr>
            <w:noProof/>
          </w:rPr>
        </w:r>
        <w:r w:rsidR="005C4A71" w:rsidRPr="005C4A71">
          <w:rPr>
            <w:noProof/>
          </w:rPr>
          <w:fldChar w:fldCharType="separate"/>
        </w:r>
        <w:r w:rsidR="005C4A71" w:rsidRPr="005C4A71">
          <w:rPr>
            <w:noProof/>
          </w:rPr>
          <w:t>5</w:t>
        </w:r>
        <w:r w:rsidR="005C4A71" w:rsidRPr="005C4A71">
          <w:rPr>
            <w:noProof/>
          </w:rPr>
          <w:fldChar w:fldCharType="end"/>
        </w:r>
      </w:hyperlink>
    </w:p>
    <w:p w14:paraId="19BD2C29" w14:textId="6882B0E6" w:rsidR="005C4A71" w:rsidRPr="005C4A71" w:rsidRDefault="00917BF6" w:rsidP="005C4A71">
      <w:pPr>
        <w:pStyle w:val="TOC3"/>
        <w:rPr>
          <w:rFonts w:asciiTheme="minorHAnsi" w:eastAsiaTheme="minorEastAsia" w:hAnsiTheme="minorHAnsi" w:cstheme="minorBidi"/>
          <w:noProof/>
          <w:szCs w:val="22"/>
        </w:rPr>
      </w:pPr>
      <w:hyperlink w:anchor="_Toc111461787" w:history="1">
        <w:r w:rsidR="005C4A71" w:rsidRPr="005C4A71">
          <w:rPr>
            <w:rStyle w:val="Hyperlink"/>
            <w:noProof/>
            <w:u w:val="none"/>
          </w:rPr>
          <w:t>Background</w:t>
        </w:r>
        <w:r w:rsidR="005C4A71" w:rsidRPr="005C4A71">
          <w:rPr>
            <w:noProof/>
          </w:rPr>
          <w:tab/>
        </w:r>
        <w:r w:rsidR="005C4A71" w:rsidRPr="005C4A71">
          <w:rPr>
            <w:noProof/>
          </w:rPr>
          <w:fldChar w:fldCharType="begin" w:fldLock="1"/>
        </w:r>
        <w:r w:rsidR="005C4A71" w:rsidRPr="005C4A71">
          <w:rPr>
            <w:noProof/>
          </w:rPr>
          <w:instrText xml:space="preserve"> PAGEREF _Toc111461787 \h </w:instrText>
        </w:r>
        <w:r w:rsidR="005C4A71" w:rsidRPr="005C4A71">
          <w:rPr>
            <w:noProof/>
          </w:rPr>
        </w:r>
        <w:r w:rsidR="005C4A71" w:rsidRPr="005C4A71">
          <w:rPr>
            <w:noProof/>
          </w:rPr>
          <w:fldChar w:fldCharType="separate"/>
        </w:r>
        <w:r w:rsidR="005C4A71" w:rsidRPr="005C4A71">
          <w:rPr>
            <w:noProof/>
          </w:rPr>
          <w:t>5</w:t>
        </w:r>
        <w:r w:rsidR="005C4A71" w:rsidRPr="005C4A71">
          <w:rPr>
            <w:noProof/>
          </w:rPr>
          <w:fldChar w:fldCharType="end"/>
        </w:r>
      </w:hyperlink>
    </w:p>
    <w:p w14:paraId="0953E36F" w14:textId="78C962A9" w:rsidR="005C4A71" w:rsidRPr="005C4A71" w:rsidRDefault="00917BF6" w:rsidP="005C4A71">
      <w:pPr>
        <w:pStyle w:val="TOC3"/>
        <w:rPr>
          <w:rFonts w:asciiTheme="minorHAnsi" w:eastAsiaTheme="minorEastAsia" w:hAnsiTheme="minorHAnsi" w:cstheme="minorBidi"/>
          <w:noProof/>
          <w:szCs w:val="22"/>
        </w:rPr>
      </w:pPr>
      <w:hyperlink w:anchor="_Toc111461788" w:history="1">
        <w:r w:rsidR="005C4A71" w:rsidRPr="005C4A71">
          <w:rPr>
            <w:rStyle w:val="Hyperlink"/>
            <w:noProof/>
            <w:u w:val="none"/>
          </w:rPr>
          <w:t>Lead Agency Approval</w:t>
        </w:r>
        <w:r w:rsidR="005C4A71" w:rsidRPr="005C4A71">
          <w:rPr>
            <w:noProof/>
          </w:rPr>
          <w:tab/>
        </w:r>
        <w:r w:rsidR="005C4A71" w:rsidRPr="005C4A71">
          <w:rPr>
            <w:noProof/>
          </w:rPr>
          <w:fldChar w:fldCharType="begin" w:fldLock="1"/>
        </w:r>
        <w:r w:rsidR="005C4A71" w:rsidRPr="005C4A71">
          <w:rPr>
            <w:noProof/>
          </w:rPr>
          <w:instrText xml:space="preserve"> PAGEREF _Toc111461788 \h </w:instrText>
        </w:r>
        <w:r w:rsidR="005C4A71" w:rsidRPr="005C4A71">
          <w:rPr>
            <w:noProof/>
          </w:rPr>
        </w:r>
        <w:r w:rsidR="005C4A71" w:rsidRPr="005C4A71">
          <w:rPr>
            <w:noProof/>
          </w:rPr>
          <w:fldChar w:fldCharType="separate"/>
        </w:r>
        <w:r w:rsidR="005C4A71" w:rsidRPr="005C4A71">
          <w:rPr>
            <w:noProof/>
          </w:rPr>
          <w:t>5</w:t>
        </w:r>
        <w:r w:rsidR="005C4A71" w:rsidRPr="005C4A71">
          <w:rPr>
            <w:noProof/>
          </w:rPr>
          <w:fldChar w:fldCharType="end"/>
        </w:r>
      </w:hyperlink>
    </w:p>
    <w:p w14:paraId="7248D830" w14:textId="60DAD7F1" w:rsidR="005C4A71" w:rsidRPr="005C4A71" w:rsidRDefault="00917BF6" w:rsidP="005C4A71">
      <w:pPr>
        <w:pStyle w:val="TOC3"/>
        <w:rPr>
          <w:rFonts w:asciiTheme="minorHAnsi" w:eastAsiaTheme="minorEastAsia" w:hAnsiTheme="minorHAnsi" w:cstheme="minorBidi"/>
          <w:noProof/>
          <w:szCs w:val="22"/>
        </w:rPr>
      </w:pPr>
      <w:hyperlink w:anchor="_Toc111461789" w:history="1">
        <w:r w:rsidR="005C4A71" w:rsidRPr="005C4A71">
          <w:rPr>
            <w:rStyle w:val="Hyperlink"/>
            <w:noProof/>
            <w:u w:val="none"/>
          </w:rPr>
          <w:t>Scope of Work</w:t>
        </w:r>
        <w:r w:rsidR="005C4A71" w:rsidRPr="005C4A71">
          <w:rPr>
            <w:noProof/>
          </w:rPr>
          <w:tab/>
        </w:r>
        <w:r w:rsidR="005C4A71" w:rsidRPr="005C4A71">
          <w:rPr>
            <w:noProof/>
          </w:rPr>
          <w:fldChar w:fldCharType="begin" w:fldLock="1"/>
        </w:r>
        <w:r w:rsidR="005C4A71" w:rsidRPr="005C4A71">
          <w:rPr>
            <w:noProof/>
          </w:rPr>
          <w:instrText xml:space="preserve"> PAGEREF _Toc111461789 \h </w:instrText>
        </w:r>
        <w:r w:rsidR="005C4A71" w:rsidRPr="005C4A71">
          <w:rPr>
            <w:noProof/>
          </w:rPr>
        </w:r>
        <w:r w:rsidR="005C4A71" w:rsidRPr="005C4A71">
          <w:rPr>
            <w:noProof/>
          </w:rPr>
          <w:fldChar w:fldCharType="separate"/>
        </w:r>
        <w:r w:rsidR="005C4A71" w:rsidRPr="005C4A71">
          <w:rPr>
            <w:noProof/>
          </w:rPr>
          <w:t>5</w:t>
        </w:r>
        <w:r w:rsidR="005C4A71" w:rsidRPr="005C4A71">
          <w:rPr>
            <w:noProof/>
          </w:rPr>
          <w:fldChar w:fldCharType="end"/>
        </w:r>
      </w:hyperlink>
    </w:p>
    <w:p w14:paraId="6F9A927C" w14:textId="469B1DC7" w:rsidR="005C4A71" w:rsidRPr="005C4A71" w:rsidRDefault="00917BF6" w:rsidP="005C4A71">
      <w:pPr>
        <w:pStyle w:val="TOC2"/>
        <w:rPr>
          <w:rFonts w:asciiTheme="minorHAnsi" w:eastAsiaTheme="minorEastAsia" w:hAnsiTheme="minorHAnsi" w:cstheme="minorBidi"/>
          <w:noProof/>
          <w:szCs w:val="22"/>
        </w:rPr>
      </w:pPr>
      <w:hyperlink w:anchor="_Toc111461790" w:history="1">
        <w:r w:rsidR="005C4A71" w:rsidRPr="005C4A71">
          <w:rPr>
            <w:rStyle w:val="Hyperlink"/>
            <w:noProof/>
            <w:u w:val="none"/>
          </w:rPr>
          <w:t>4.</w:t>
        </w:r>
        <w:r w:rsidR="005C4A71" w:rsidRPr="005C4A71">
          <w:rPr>
            <w:rFonts w:asciiTheme="minorHAnsi" w:eastAsiaTheme="minorEastAsia" w:hAnsiTheme="minorHAnsi" w:cstheme="minorBidi"/>
            <w:noProof/>
            <w:szCs w:val="22"/>
          </w:rPr>
          <w:tab/>
        </w:r>
        <w:r w:rsidR="005C4A71" w:rsidRPr="005C4A71">
          <w:rPr>
            <w:rStyle w:val="Hyperlink"/>
            <w:noProof/>
            <w:u w:val="none"/>
          </w:rPr>
          <w:t>Consistency Analysis</w:t>
        </w:r>
        <w:r w:rsidR="005C4A71" w:rsidRPr="005C4A71">
          <w:rPr>
            <w:noProof/>
          </w:rPr>
          <w:tab/>
        </w:r>
        <w:r w:rsidR="005C4A71" w:rsidRPr="005C4A71">
          <w:rPr>
            <w:noProof/>
          </w:rPr>
          <w:fldChar w:fldCharType="begin" w:fldLock="1"/>
        </w:r>
        <w:r w:rsidR="005C4A71" w:rsidRPr="005C4A71">
          <w:rPr>
            <w:noProof/>
          </w:rPr>
          <w:instrText xml:space="preserve"> PAGEREF _Toc111461790 \h </w:instrText>
        </w:r>
        <w:r w:rsidR="005C4A71" w:rsidRPr="005C4A71">
          <w:rPr>
            <w:noProof/>
          </w:rPr>
        </w:r>
        <w:r w:rsidR="005C4A71" w:rsidRPr="005C4A71">
          <w:rPr>
            <w:noProof/>
          </w:rPr>
          <w:fldChar w:fldCharType="separate"/>
        </w:r>
        <w:r w:rsidR="005C4A71" w:rsidRPr="005C4A71">
          <w:rPr>
            <w:noProof/>
          </w:rPr>
          <w:t>6</w:t>
        </w:r>
        <w:r w:rsidR="005C4A71" w:rsidRPr="005C4A71">
          <w:rPr>
            <w:noProof/>
          </w:rPr>
          <w:fldChar w:fldCharType="end"/>
        </w:r>
      </w:hyperlink>
    </w:p>
    <w:p w14:paraId="17F2925D" w14:textId="47D24458" w:rsidR="005C4A71" w:rsidRPr="005C4A71" w:rsidRDefault="00917BF6" w:rsidP="005C4A71">
      <w:pPr>
        <w:pStyle w:val="TOC3"/>
        <w:rPr>
          <w:rFonts w:asciiTheme="minorHAnsi" w:eastAsiaTheme="minorEastAsia" w:hAnsiTheme="minorHAnsi" w:cstheme="minorBidi"/>
          <w:noProof/>
          <w:szCs w:val="22"/>
        </w:rPr>
      </w:pPr>
      <w:hyperlink w:anchor="_Toc111461791" w:history="1">
        <w:r w:rsidR="005C4A71" w:rsidRPr="005C4A71">
          <w:rPr>
            <w:rStyle w:val="Hyperlink"/>
            <w:noProof/>
            <w:u w:val="none"/>
          </w:rPr>
          <w:t>General Rule CE Applicability</w:t>
        </w:r>
        <w:r w:rsidR="005C4A71" w:rsidRPr="005C4A71">
          <w:rPr>
            <w:noProof/>
          </w:rPr>
          <w:tab/>
        </w:r>
        <w:r w:rsidR="005C4A71" w:rsidRPr="005C4A71">
          <w:rPr>
            <w:noProof/>
          </w:rPr>
          <w:fldChar w:fldCharType="begin" w:fldLock="1"/>
        </w:r>
        <w:r w:rsidR="005C4A71" w:rsidRPr="005C4A71">
          <w:rPr>
            <w:noProof/>
          </w:rPr>
          <w:instrText xml:space="preserve"> PAGEREF _Toc111461791 \h </w:instrText>
        </w:r>
        <w:r w:rsidR="005C4A71" w:rsidRPr="005C4A71">
          <w:rPr>
            <w:noProof/>
          </w:rPr>
        </w:r>
        <w:r w:rsidR="005C4A71" w:rsidRPr="005C4A71">
          <w:rPr>
            <w:noProof/>
          </w:rPr>
          <w:fldChar w:fldCharType="separate"/>
        </w:r>
        <w:r w:rsidR="005C4A71" w:rsidRPr="005C4A71">
          <w:rPr>
            <w:noProof/>
          </w:rPr>
          <w:t>6</w:t>
        </w:r>
        <w:r w:rsidR="005C4A71" w:rsidRPr="005C4A71">
          <w:rPr>
            <w:noProof/>
          </w:rPr>
          <w:fldChar w:fldCharType="end"/>
        </w:r>
      </w:hyperlink>
    </w:p>
    <w:p w14:paraId="4FE5C23D" w14:textId="6894B0C5" w:rsidR="005C4A71" w:rsidRPr="005C4A71" w:rsidRDefault="00917BF6" w:rsidP="005C4A71">
      <w:pPr>
        <w:pStyle w:val="TOC3"/>
        <w:rPr>
          <w:rFonts w:asciiTheme="minorHAnsi" w:eastAsiaTheme="minorEastAsia" w:hAnsiTheme="minorHAnsi" w:cstheme="minorBidi"/>
          <w:noProof/>
          <w:szCs w:val="22"/>
        </w:rPr>
      </w:pPr>
      <w:hyperlink w:anchor="_Toc111461792" w:history="1">
        <w:r w:rsidR="005C4A71" w:rsidRPr="005C4A71">
          <w:rPr>
            <w:rStyle w:val="Hyperlink"/>
            <w:noProof/>
            <w:u w:val="none"/>
          </w:rPr>
          <w:t>Pre-Excavation Activities</w:t>
        </w:r>
        <w:r w:rsidR="005C4A71" w:rsidRPr="005C4A71">
          <w:rPr>
            <w:noProof/>
          </w:rPr>
          <w:tab/>
        </w:r>
        <w:r w:rsidR="005C4A71" w:rsidRPr="005C4A71">
          <w:rPr>
            <w:noProof/>
          </w:rPr>
          <w:fldChar w:fldCharType="begin" w:fldLock="1"/>
        </w:r>
        <w:r w:rsidR="005C4A71" w:rsidRPr="005C4A71">
          <w:rPr>
            <w:noProof/>
          </w:rPr>
          <w:instrText xml:space="preserve"> PAGEREF _Toc111461792 \h </w:instrText>
        </w:r>
        <w:r w:rsidR="005C4A71" w:rsidRPr="005C4A71">
          <w:rPr>
            <w:noProof/>
          </w:rPr>
        </w:r>
        <w:r w:rsidR="005C4A71" w:rsidRPr="005C4A71">
          <w:rPr>
            <w:noProof/>
          </w:rPr>
          <w:fldChar w:fldCharType="separate"/>
        </w:r>
        <w:r w:rsidR="005C4A71" w:rsidRPr="005C4A71">
          <w:rPr>
            <w:noProof/>
          </w:rPr>
          <w:t>6</w:t>
        </w:r>
        <w:r w:rsidR="005C4A71" w:rsidRPr="005C4A71">
          <w:rPr>
            <w:noProof/>
          </w:rPr>
          <w:fldChar w:fldCharType="end"/>
        </w:r>
      </w:hyperlink>
    </w:p>
    <w:p w14:paraId="3C5990CD" w14:textId="2B4E5660" w:rsidR="005C4A71" w:rsidRPr="005C4A71" w:rsidRDefault="00917BF6" w:rsidP="005C4A71">
      <w:pPr>
        <w:pStyle w:val="TOC3"/>
        <w:rPr>
          <w:rFonts w:asciiTheme="minorHAnsi" w:eastAsiaTheme="minorEastAsia" w:hAnsiTheme="minorHAnsi" w:cstheme="minorBidi"/>
          <w:noProof/>
          <w:szCs w:val="22"/>
        </w:rPr>
      </w:pPr>
      <w:hyperlink w:anchor="_Toc111461793" w:history="1">
        <w:r w:rsidR="005C4A71" w:rsidRPr="005C4A71">
          <w:rPr>
            <w:rStyle w:val="Hyperlink"/>
            <w:noProof/>
            <w:u w:val="none"/>
          </w:rPr>
          <w:t>Excavation Activities</w:t>
        </w:r>
        <w:r w:rsidR="005C4A71" w:rsidRPr="005C4A71">
          <w:rPr>
            <w:noProof/>
          </w:rPr>
          <w:tab/>
        </w:r>
        <w:r w:rsidR="005C4A71" w:rsidRPr="005C4A71">
          <w:rPr>
            <w:noProof/>
          </w:rPr>
          <w:fldChar w:fldCharType="begin" w:fldLock="1"/>
        </w:r>
        <w:r w:rsidR="005C4A71" w:rsidRPr="005C4A71">
          <w:rPr>
            <w:noProof/>
          </w:rPr>
          <w:instrText xml:space="preserve"> PAGEREF _Toc111461793 \h </w:instrText>
        </w:r>
        <w:r w:rsidR="005C4A71" w:rsidRPr="005C4A71">
          <w:rPr>
            <w:noProof/>
          </w:rPr>
        </w:r>
        <w:r w:rsidR="005C4A71" w:rsidRPr="005C4A71">
          <w:rPr>
            <w:noProof/>
          </w:rPr>
          <w:fldChar w:fldCharType="separate"/>
        </w:r>
        <w:r w:rsidR="005C4A71" w:rsidRPr="005C4A71">
          <w:rPr>
            <w:noProof/>
          </w:rPr>
          <w:t>6</w:t>
        </w:r>
        <w:r w:rsidR="005C4A71" w:rsidRPr="005C4A71">
          <w:rPr>
            <w:noProof/>
          </w:rPr>
          <w:fldChar w:fldCharType="end"/>
        </w:r>
      </w:hyperlink>
    </w:p>
    <w:p w14:paraId="5314DEDD" w14:textId="77546E6C" w:rsidR="005C4A71" w:rsidRPr="005C4A71" w:rsidRDefault="00917BF6" w:rsidP="005C4A71">
      <w:pPr>
        <w:pStyle w:val="TOC2"/>
        <w:rPr>
          <w:rFonts w:asciiTheme="minorHAnsi" w:eastAsiaTheme="minorEastAsia" w:hAnsiTheme="minorHAnsi" w:cstheme="minorBidi"/>
          <w:noProof/>
          <w:szCs w:val="22"/>
        </w:rPr>
      </w:pPr>
      <w:hyperlink w:anchor="_Toc111461794" w:history="1">
        <w:r w:rsidR="005C4A71" w:rsidRPr="005C4A71">
          <w:rPr>
            <w:rStyle w:val="Hyperlink"/>
            <w:noProof/>
            <w:u w:val="none"/>
          </w:rPr>
          <w:t>5.</w:t>
        </w:r>
        <w:r w:rsidR="005C4A71" w:rsidRPr="005C4A71">
          <w:rPr>
            <w:rFonts w:asciiTheme="minorHAnsi" w:eastAsiaTheme="minorEastAsia" w:hAnsiTheme="minorHAnsi" w:cstheme="minorBidi"/>
            <w:noProof/>
            <w:szCs w:val="22"/>
          </w:rPr>
          <w:tab/>
        </w:r>
        <w:r w:rsidR="005C4A71" w:rsidRPr="005C4A71">
          <w:rPr>
            <w:rStyle w:val="Hyperlink"/>
            <w:noProof/>
            <w:u w:val="none"/>
          </w:rPr>
          <w:t>Summary</w:t>
        </w:r>
        <w:r w:rsidR="005C4A71" w:rsidRPr="005C4A71">
          <w:rPr>
            <w:noProof/>
          </w:rPr>
          <w:tab/>
        </w:r>
        <w:r w:rsidR="005C4A71" w:rsidRPr="005C4A71">
          <w:rPr>
            <w:noProof/>
          </w:rPr>
          <w:fldChar w:fldCharType="begin" w:fldLock="1"/>
        </w:r>
        <w:r w:rsidR="005C4A71" w:rsidRPr="005C4A71">
          <w:rPr>
            <w:noProof/>
          </w:rPr>
          <w:instrText xml:space="preserve"> PAGEREF _Toc111461794 \h </w:instrText>
        </w:r>
        <w:r w:rsidR="005C4A71" w:rsidRPr="005C4A71">
          <w:rPr>
            <w:noProof/>
          </w:rPr>
        </w:r>
        <w:r w:rsidR="005C4A71" w:rsidRPr="005C4A71">
          <w:rPr>
            <w:noProof/>
          </w:rPr>
          <w:fldChar w:fldCharType="separate"/>
        </w:r>
        <w:r w:rsidR="005C4A71" w:rsidRPr="005C4A71">
          <w:rPr>
            <w:noProof/>
          </w:rPr>
          <w:t>7</w:t>
        </w:r>
        <w:r w:rsidR="005C4A71" w:rsidRPr="005C4A71">
          <w:rPr>
            <w:noProof/>
          </w:rPr>
          <w:fldChar w:fldCharType="end"/>
        </w:r>
      </w:hyperlink>
    </w:p>
    <w:p w14:paraId="62B6AEAE" w14:textId="7D1D255C" w:rsidR="005C4A71" w:rsidRPr="005C4A71" w:rsidRDefault="00917BF6" w:rsidP="005C4A71">
      <w:pPr>
        <w:pStyle w:val="TOC2"/>
        <w:rPr>
          <w:rFonts w:asciiTheme="minorHAnsi" w:eastAsiaTheme="minorEastAsia" w:hAnsiTheme="minorHAnsi" w:cstheme="minorBidi"/>
          <w:noProof/>
          <w:szCs w:val="22"/>
        </w:rPr>
      </w:pPr>
      <w:hyperlink w:anchor="_Toc111461795" w:history="1">
        <w:r w:rsidR="005C4A71" w:rsidRPr="005C4A71">
          <w:rPr>
            <w:rStyle w:val="Hyperlink"/>
            <w:noProof/>
            <w:u w:val="none"/>
          </w:rPr>
          <w:t>6.</w:t>
        </w:r>
        <w:r w:rsidR="005C4A71" w:rsidRPr="005C4A71">
          <w:rPr>
            <w:rFonts w:asciiTheme="minorHAnsi" w:eastAsiaTheme="minorEastAsia" w:hAnsiTheme="minorHAnsi" w:cstheme="minorBidi"/>
            <w:noProof/>
            <w:szCs w:val="22"/>
          </w:rPr>
          <w:tab/>
        </w:r>
        <w:r w:rsidR="005C4A71" w:rsidRPr="005C4A71">
          <w:rPr>
            <w:rStyle w:val="Hyperlink"/>
            <w:noProof/>
            <w:u w:val="none"/>
          </w:rPr>
          <w:t>References</w:t>
        </w:r>
        <w:r w:rsidR="005C4A71" w:rsidRPr="005C4A71">
          <w:rPr>
            <w:noProof/>
          </w:rPr>
          <w:tab/>
        </w:r>
        <w:r w:rsidR="005C4A71" w:rsidRPr="005C4A71">
          <w:rPr>
            <w:noProof/>
          </w:rPr>
          <w:fldChar w:fldCharType="begin" w:fldLock="1"/>
        </w:r>
        <w:r w:rsidR="005C4A71" w:rsidRPr="005C4A71">
          <w:rPr>
            <w:noProof/>
          </w:rPr>
          <w:instrText xml:space="preserve"> PAGEREF _Toc111461795 \h </w:instrText>
        </w:r>
        <w:r w:rsidR="005C4A71" w:rsidRPr="005C4A71">
          <w:rPr>
            <w:noProof/>
          </w:rPr>
        </w:r>
        <w:r w:rsidR="005C4A71" w:rsidRPr="005C4A71">
          <w:rPr>
            <w:noProof/>
          </w:rPr>
          <w:fldChar w:fldCharType="separate"/>
        </w:r>
        <w:r w:rsidR="005C4A71" w:rsidRPr="005C4A71">
          <w:rPr>
            <w:noProof/>
          </w:rPr>
          <w:t>7</w:t>
        </w:r>
        <w:r w:rsidR="005C4A71" w:rsidRPr="005C4A71">
          <w:rPr>
            <w:noProof/>
          </w:rPr>
          <w:fldChar w:fldCharType="end"/>
        </w:r>
      </w:hyperlink>
    </w:p>
    <w:p w14:paraId="43FEE524" w14:textId="6CDF4F73" w:rsidR="005C4A71" w:rsidRDefault="005C4A71" w:rsidP="005C4A71">
      <w:pPr>
        <w:spacing w:before="360"/>
        <w:rPr>
          <w:rFonts w:ascii="Century Gothic" w:hAnsi="Century Gothic"/>
          <w:b/>
          <w:bCs/>
          <w:sz w:val="28"/>
          <w:szCs w:val="28"/>
        </w:rPr>
      </w:pPr>
      <w:r w:rsidRPr="005C4A71">
        <w:fldChar w:fldCharType="end"/>
      </w:r>
      <w:r w:rsidRPr="005C4A71">
        <w:rPr>
          <w:rFonts w:ascii="Century Gothic" w:hAnsi="Century Gothic"/>
          <w:b/>
          <w:bCs/>
          <w:sz w:val="28"/>
          <w:szCs w:val="28"/>
        </w:rPr>
        <w:t>Figures</w:t>
      </w:r>
    </w:p>
    <w:p w14:paraId="4DF7D79A" w14:textId="301C7D6B" w:rsidR="005C4A71" w:rsidRDefault="005C4A71" w:rsidP="005C4A71">
      <w:pPr>
        <w:pStyle w:val="FlushLeft"/>
        <w:tabs>
          <w:tab w:val="left" w:pos="1080"/>
          <w:tab w:val="right" w:leader="dot" w:pos="9180"/>
        </w:tabs>
      </w:pPr>
      <w:r>
        <w:t>Figure 1</w:t>
      </w:r>
      <w:r>
        <w:tab/>
        <w:t>Regional Location Map</w:t>
      </w:r>
      <w:r>
        <w:tab/>
        <w:t>3</w:t>
      </w:r>
    </w:p>
    <w:p w14:paraId="36EA9CBC" w14:textId="310308BA" w:rsidR="005C4A71" w:rsidRPr="005C4A71" w:rsidRDefault="005C4A71" w:rsidP="005C4A71">
      <w:pPr>
        <w:pStyle w:val="FlushLeft"/>
        <w:tabs>
          <w:tab w:val="left" w:pos="1080"/>
          <w:tab w:val="right" w:leader="dot" w:pos="9180"/>
        </w:tabs>
      </w:pPr>
      <w:r>
        <w:t>Figure 2</w:t>
      </w:r>
      <w:r>
        <w:tab/>
        <w:t>Project Site and Location</w:t>
      </w:r>
      <w:r>
        <w:tab/>
        <w:t>4</w:t>
      </w:r>
    </w:p>
    <w:p w14:paraId="454E1B38" w14:textId="77777777" w:rsidR="005C4A71" w:rsidRDefault="005C4A71" w:rsidP="0063177A">
      <w:pPr>
        <w:pStyle w:val="FlushLeft"/>
        <w:sectPr w:rsidR="005C4A71" w:rsidSect="005C4A71">
          <w:headerReference w:type="first" r:id="rId15"/>
          <w:footerReference w:type="first" r:id="rId16"/>
          <w:pgSz w:w="12240" w:h="15840" w:code="1"/>
          <w:pgMar w:top="1440" w:right="1440" w:bottom="1440" w:left="1440" w:header="720" w:footer="288" w:gutter="0"/>
          <w:pgNumType w:fmt="lowerRoman" w:start="1"/>
          <w:cols w:space="720"/>
          <w:titlePg/>
          <w:docGrid w:linePitch="326"/>
        </w:sectPr>
      </w:pPr>
    </w:p>
    <w:p w14:paraId="5C120399" w14:textId="58CD9575" w:rsidR="0063177A" w:rsidRPr="0063177A" w:rsidRDefault="0063177A" w:rsidP="0063177A">
      <w:pPr>
        <w:pStyle w:val="Center"/>
        <w:rPr>
          <w:i/>
          <w:iCs/>
        </w:rPr>
      </w:pPr>
      <w:bookmarkStart w:id="2" w:name="zbkTOC"/>
      <w:bookmarkEnd w:id="2"/>
      <w:r w:rsidRPr="0063177A">
        <w:rPr>
          <w:i/>
          <w:iCs/>
        </w:rPr>
        <w:lastRenderedPageBreak/>
        <w:t>This page intentionally left blank.</w:t>
      </w:r>
    </w:p>
    <w:p w14:paraId="10228C4E" w14:textId="77777777" w:rsidR="0063177A" w:rsidRDefault="0063177A" w:rsidP="0063177A">
      <w:pPr>
        <w:pStyle w:val="FlushLeft"/>
        <w:ind w:left="147"/>
        <w:rPr>
          <w:b/>
          <w:bCs/>
          <w:u w:val="single"/>
        </w:rPr>
        <w:sectPr w:rsidR="0063177A" w:rsidSect="0063177A">
          <w:headerReference w:type="default" r:id="rId17"/>
          <w:footerReference w:type="default" r:id="rId18"/>
          <w:headerReference w:type="first" r:id="rId19"/>
          <w:footerReference w:type="first" r:id="rId20"/>
          <w:pgSz w:w="12240" w:h="15840" w:code="1"/>
          <w:pgMar w:top="1440" w:right="1440" w:bottom="1440" w:left="1440" w:header="720" w:footer="288" w:gutter="0"/>
          <w:cols w:space="720"/>
          <w:titlePg/>
          <w:docGrid w:linePitch="326"/>
        </w:sectPr>
      </w:pPr>
    </w:p>
    <w:p w14:paraId="3A20DF9F" w14:textId="786D17C7" w:rsidR="0063177A" w:rsidRPr="0063177A" w:rsidRDefault="0063177A" w:rsidP="0063177A">
      <w:pPr>
        <w:pStyle w:val="Heading1"/>
      </w:pPr>
      <w:bookmarkStart w:id="3" w:name="_Toc111461783"/>
      <w:r w:rsidRPr="0063177A">
        <w:lastRenderedPageBreak/>
        <w:t>CEQA Exemption Report</w:t>
      </w:r>
      <w:bookmarkEnd w:id="3"/>
      <w:r w:rsidRPr="0063177A">
        <w:tab/>
      </w:r>
    </w:p>
    <w:p w14:paraId="30D389EC" w14:textId="129EE9DB" w:rsidR="0063177A" w:rsidRPr="0063177A" w:rsidRDefault="0063177A" w:rsidP="0063177A">
      <w:pPr>
        <w:pStyle w:val="FlushLeft"/>
      </w:pPr>
      <w:r w:rsidRPr="0063177A">
        <w:t xml:space="preserve">This report serves as the technical documentation of an environmental analysis performed by Blodgett </w:t>
      </w:r>
      <w:r w:rsidR="002D3C7F">
        <w:t>Baylosis</w:t>
      </w:r>
      <w:r w:rsidRPr="0063177A">
        <w:t xml:space="preserve"> Environmental Planning for the</w:t>
      </w:r>
      <w:r w:rsidR="00D45EDD">
        <w:t xml:space="preserve"> excavation and remediation of soil containing asbestos at the </w:t>
      </w:r>
      <w:r w:rsidRPr="0063177A">
        <w:t xml:space="preserve">Armstrong Inc., </w:t>
      </w:r>
      <w:r w:rsidR="00D45EDD">
        <w:t>s</w:t>
      </w:r>
      <w:r w:rsidRPr="0063177A">
        <w:t>ite</w:t>
      </w:r>
      <w:r w:rsidR="00D45EDD">
        <w:t xml:space="preserve"> (Project)</w:t>
      </w:r>
      <w:proofErr w:type="gramStart"/>
      <w:r w:rsidRPr="0063177A">
        <w:t xml:space="preserve">. </w:t>
      </w:r>
      <w:proofErr w:type="gramEnd"/>
      <w:r w:rsidRPr="0063177A">
        <w:t xml:space="preserve">The intent of the analysis is to </w:t>
      </w:r>
      <w:r w:rsidRPr="00CB05C3">
        <w:t>document whether</w:t>
      </w:r>
      <w:r w:rsidRPr="0063177A">
        <w:t xml:space="preserve"> the Project is exempt from the California Environmental Quality Act (CEQA) pursuant to CEQA Guidelines Section 15061(b)(3) (Common Sense </w:t>
      </w:r>
      <w:r w:rsidR="00D45EDD">
        <w:t>E</w:t>
      </w:r>
      <w:r w:rsidRPr="0063177A">
        <w:t>xemption)</w:t>
      </w:r>
      <w:proofErr w:type="gramStart"/>
      <w:r w:rsidRPr="0063177A">
        <w:t xml:space="preserve">. </w:t>
      </w:r>
      <w:proofErr w:type="gramEnd"/>
      <w:r w:rsidRPr="0063177A">
        <w:t>The report provides an introduction, project description, and an evaluation of the Project’s consistency</w:t>
      </w:r>
      <w:r w:rsidR="00635D6C">
        <w:t xml:space="preserve"> with</w:t>
      </w:r>
      <w:r w:rsidRPr="0063177A">
        <w:t xml:space="preserve"> the Common Sense </w:t>
      </w:r>
      <w:r w:rsidR="00D45EDD">
        <w:t>E</w:t>
      </w:r>
      <w:r w:rsidRPr="0063177A">
        <w:t xml:space="preserve">xemption. The report concludes that the project is exempt pursuant to </w:t>
      </w:r>
      <w:r w:rsidR="00D45EDD">
        <w:t>the Common Sense Exemption.</w:t>
      </w:r>
    </w:p>
    <w:p w14:paraId="5C34CEC6" w14:textId="1399489D" w:rsidR="0063177A" w:rsidRPr="0063177A" w:rsidRDefault="0063177A" w:rsidP="0063177A">
      <w:pPr>
        <w:pStyle w:val="Heading2"/>
      </w:pPr>
      <w:bookmarkStart w:id="4" w:name="_bookmark2"/>
      <w:bookmarkStart w:id="5" w:name="_Toc111461784"/>
      <w:bookmarkEnd w:id="4"/>
      <w:r w:rsidRPr="0063177A">
        <w:t>Introduction</w:t>
      </w:r>
      <w:bookmarkEnd w:id="5"/>
    </w:p>
    <w:p w14:paraId="70ED5D7D" w14:textId="27AD9BCA" w:rsidR="0063177A" w:rsidRPr="0063177A" w:rsidRDefault="0063177A" w:rsidP="0063177A">
      <w:pPr>
        <w:pStyle w:val="FlushLeft"/>
      </w:pPr>
      <w:r w:rsidRPr="0063177A">
        <w:t xml:space="preserve">Under the Common Sense </w:t>
      </w:r>
      <w:r w:rsidR="00D45EDD">
        <w:t>E</w:t>
      </w:r>
      <w:r w:rsidRPr="0063177A">
        <w:t>xemption, CEQA exempts activities have no possibility</w:t>
      </w:r>
      <w:r w:rsidR="00A74A0A">
        <w:t xml:space="preserve"> of</w:t>
      </w:r>
      <w:r w:rsidRPr="0063177A">
        <w:t xml:space="preserve"> causing a significant effect on the environment</w:t>
      </w:r>
      <w:proofErr w:type="gramStart"/>
      <w:r w:rsidRPr="0063177A">
        <w:t xml:space="preserve">. </w:t>
      </w:r>
      <w:proofErr w:type="gramEnd"/>
      <w:r w:rsidRPr="0063177A">
        <w:t xml:space="preserve">The Common Sense </w:t>
      </w:r>
      <w:r w:rsidR="00D45EDD">
        <w:t>E</w:t>
      </w:r>
      <w:r w:rsidRPr="0063177A">
        <w:t>xemption states that “Where it can be seen with certainty that there is no possibility that the activity in question may have a significant effect on the environment, the activity is not subject to CEQA.”</w:t>
      </w:r>
    </w:p>
    <w:p w14:paraId="76408F1B" w14:textId="281DAB6B" w:rsidR="0063177A" w:rsidRPr="0063177A" w:rsidRDefault="0063177A" w:rsidP="0063177A">
      <w:pPr>
        <w:pStyle w:val="FlushLeft"/>
      </w:pPr>
      <w:r w:rsidRPr="0063177A">
        <w:t xml:space="preserve">Blodgett </w:t>
      </w:r>
      <w:r w:rsidR="002D3C7F">
        <w:t>Baylosis</w:t>
      </w:r>
      <w:r w:rsidRPr="0063177A">
        <w:t xml:space="preserve"> Environmental Planning evaluated the Project to determine whether there is any evidence to suggest that the Project could possibly result in a significant environmental impact</w:t>
      </w:r>
      <w:proofErr w:type="gramStart"/>
      <w:r w:rsidRPr="0063177A">
        <w:t xml:space="preserve">. </w:t>
      </w:r>
      <w:proofErr w:type="gramEnd"/>
      <w:r w:rsidRPr="0063177A">
        <w:t xml:space="preserve">As discussed in the following sections of this </w:t>
      </w:r>
      <w:bookmarkStart w:id="6" w:name="_bookmark3"/>
      <w:bookmarkEnd w:id="6"/>
      <w:r w:rsidRPr="0063177A">
        <w:t xml:space="preserve">report, Blodgett </w:t>
      </w:r>
      <w:r w:rsidR="002D3C7F">
        <w:t>Baylosis</w:t>
      </w:r>
      <w:r w:rsidRPr="0063177A">
        <w:t xml:space="preserve"> Environmental Planning</w:t>
      </w:r>
      <w:r w:rsidR="00D45EDD">
        <w:t xml:space="preserve"> concludes </w:t>
      </w:r>
      <w:r w:rsidRPr="0063177A">
        <w:t>that there is no possibility the Project will result in significant environmental impacts</w:t>
      </w:r>
      <w:r w:rsidR="00A74A0A">
        <w:t>,</w:t>
      </w:r>
      <w:r w:rsidRPr="0063177A">
        <w:t xml:space="preserve"> and therefore the project is eligible for the Common Sense </w:t>
      </w:r>
      <w:r w:rsidR="00D45EDD">
        <w:t>E</w:t>
      </w:r>
      <w:r w:rsidRPr="0063177A">
        <w:t>xemption.</w:t>
      </w:r>
    </w:p>
    <w:p w14:paraId="2BE240E9" w14:textId="1EA61EE9" w:rsidR="0063177A" w:rsidRPr="0063177A" w:rsidRDefault="0063177A" w:rsidP="0063177A">
      <w:pPr>
        <w:pStyle w:val="Heading2"/>
      </w:pPr>
      <w:bookmarkStart w:id="7" w:name="_Toc111461785"/>
      <w:r w:rsidRPr="0063177A">
        <w:t>Project Site and Existing Conditions</w:t>
      </w:r>
      <w:bookmarkEnd w:id="7"/>
    </w:p>
    <w:p w14:paraId="21E0E970" w14:textId="54826560" w:rsidR="0063177A" w:rsidRPr="0063177A" w:rsidRDefault="0063177A" w:rsidP="0063177A">
      <w:pPr>
        <w:pStyle w:val="FlushLeft"/>
      </w:pPr>
      <w:r w:rsidRPr="0063177A">
        <w:t xml:space="preserve">The </w:t>
      </w:r>
      <w:r w:rsidR="001D7208">
        <w:t>P</w:t>
      </w:r>
      <w:r w:rsidRPr="0063177A">
        <w:t>roject is located at 5037 Patata St. in</w:t>
      </w:r>
      <w:r w:rsidR="001D7208">
        <w:t xml:space="preserve"> the City of</w:t>
      </w:r>
      <w:r w:rsidRPr="0063177A">
        <w:t xml:space="preserve"> South Gate</w:t>
      </w:r>
      <w:r w:rsidR="001D7208">
        <w:t xml:space="preserve"> (South Gate)</w:t>
      </w:r>
      <w:proofErr w:type="gramStart"/>
      <w:r w:rsidRPr="0063177A">
        <w:t xml:space="preserve">. </w:t>
      </w:r>
      <w:proofErr w:type="gramEnd"/>
      <w:r w:rsidRPr="0063177A">
        <w:t xml:space="preserve">Figure 1 shows the regional location </w:t>
      </w:r>
      <w:r w:rsidR="001D7208">
        <w:t xml:space="preserve">of the Project </w:t>
      </w:r>
      <w:r w:rsidRPr="0063177A">
        <w:t xml:space="preserve">and Figure 2 shows an aerial photograph of the </w:t>
      </w:r>
      <w:r w:rsidR="001D7208">
        <w:t>P</w:t>
      </w:r>
      <w:r w:rsidRPr="0063177A">
        <w:t>roject</w:t>
      </w:r>
      <w:r w:rsidR="001D7208">
        <w:t xml:space="preserve">’s location within </w:t>
      </w:r>
      <w:r w:rsidRPr="0063177A">
        <w:t>its neighborhood</w:t>
      </w:r>
      <w:r w:rsidR="001D7208">
        <w:t xml:space="preserve"> (Project Site)</w:t>
      </w:r>
      <w:r w:rsidRPr="0063177A">
        <w:t>.</w:t>
      </w:r>
    </w:p>
    <w:p w14:paraId="4C682968" w14:textId="5A1F0C85" w:rsidR="0063177A" w:rsidRPr="0063177A" w:rsidRDefault="0063177A" w:rsidP="0063177A">
      <w:pPr>
        <w:pStyle w:val="FlushLeft"/>
      </w:pPr>
      <w:r w:rsidRPr="0063177A">
        <w:t xml:space="preserve">The </w:t>
      </w:r>
      <w:r w:rsidR="001D7208">
        <w:t>P</w:t>
      </w:r>
      <w:r w:rsidRPr="0063177A">
        <w:t xml:space="preserve">roject </w:t>
      </w:r>
      <w:r w:rsidR="001D7208">
        <w:t>S</w:t>
      </w:r>
      <w:r w:rsidRPr="0063177A">
        <w:t xml:space="preserve">ite is located within the corporate boundaries of the </w:t>
      </w:r>
      <w:r w:rsidR="00485187">
        <w:t xml:space="preserve">City of </w:t>
      </w:r>
      <w:r w:rsidRPr="0063177A">
        <w:t>South Gate</w:t>
      </w:r>
      <w:proofErr w:type="gramStart"/>
      <w:r w:rsidRPr="0063177A">
        <w:t xml:space="preserve">. </w:t>
      </w:r>
      <w:proofErr w:type="gramEnd"/>
      <w:r w:rsidRPr="0063177A">
        <w:t>South Gate is located approximately ten miles southeast of downtown Los Angeles and 13.5 miles north of the port of Long Beach</w:t>
      </w:r>
      <w:proofErr w:type="gramStart"/>
      <w:r w:rsidRPr="0063177A">
        <w:t xml:space="preserve">. </w:t>
      </w:r>
      <w:proofErr w:type="gramEnd"/>
      <w:r w:rsidRPr="0063177A">
        <w:t>South Gate is bounded by the cities of Huntington Park, Cudahy, and Bell Gardens on the north; unincorporated Los Angeles County areas to the west; Lynwood and Paramount on the south; and Downey to the east</w:t>
      </w:r>
      <w:proofErr w:type="gramStart"/>
      <w:r w:rsidRPr="0063177A">
        <w:t xml:space="preserve">. </w:t>
      </w:r>
      <w:proofErr w:type="gramEnd"/>
      <w:r w:rsidRPr="0063177A">
        <w:t>The location of South Gate in a regional context is shown in Exhibit 2-1</w:t>
      </w:r>
      <w:proofErr w:type="gramStart"/>
      <w:r w:rsidRPr="0063177A">
        <w:t xml:space="preserve">. </w:t>
      </w:r>
      <w:proofErr w:type="gramEnd"/>
      <w:r w:rsidRPr="0063177A">
        <w:t>A citywide map is provided in Exhibit 2-2</w:t>
      </w:r>
      <w:proofErr w:type="gramStart"/>
      <w:r w:rsidRPr="0063177A">
        <w:t xml:space="preserve">. </w:t>
      </w:r>
      <w:proofErr w:type="gramEnd"/>
      <w:r w:rsidRPr="0063177A">
        <w:t xml:space="preserve">The </w:t>
      </w:r>
      <w:r w:rsidR="001D7208">
        <w:t>Project Si</w:t>
      </w:r>
      <w:r w:rsidRPr="0063177A">
        <w:t xml:space="preserve">te’s latitude and longitude are 33° 95’56̍.75” N, –118° 76°66’29” W.5 The 27.12-acre </w:t>
      </w:r>
      <w:r w:rsidR="001D7208">
        <w:t>P</w:t>
      </w:r>
      <w:r w:rsidRPr="0063177A">
        <w:t xml:space="preserve">roject </w:t>
      </w:r>
      <w:r w:rsidR="001D7208">
        <w:t>S</w:t>
      </w:r>
      <w:r w:rsidRPr="0063177A">
        <w:t>ite is located within the northeastern portion of South Gate (refer to Exhibit 2-2)</w:t>
      </w:r>
      <w:proofErr w:type="gramStart"/>
      <w:r w:rsidRPr="0063177A">
        <w:t xml:space="preserve">. </w:t>
      </w:r>
      <w:proofErr w:type="gramEnd"/>
      <w:r w:rsidRPr="0063177A">
        <w:t xml:space="preserve">The applicable Assessor’s Parcel Number (APN) </w:t>
      </w:r>
      <w:r w:rsidR="001D7208">
        <w:t xml:space="preserve">for the Project Site is </w:t>
      </w:r>
      <w:r w:rsidRPr="0063177A">
        <w:t>6224-031-003.</w:t>
      </w:r>
    </w:p>
    <w:p w14:paraId="53094BB4" w14:textId="32EDD287" w:rsidR="0063177A" w:rsidRPr="0063177A" w:rsidRDefault="0063177A" w:rsidP="0063177A">
      <w:pPr>
        <w:pStyle w:val="FlushLeft"/>
      </w:pPr>
      <w:r w:rsidRPr="0063177A">
        <w:t xml:space="preserve">The </w:t>
      </w:r>
      <w:r w:rsidR="001D7208">
        <w:t>P</w:t>
      </w:r>
      <w:r w:rsidRPr="0063177A">
        <w:t xml:space="preserve">roject </w:t>
      </w:r>
      <w:r w:rsidR="001D7208">
        <w:t>S</w:t>
      </w:r>
      <w:r w:rsidRPr="0063177A">
        <w:t xml:space="preserve">ite </w:t>
      </w:r>
      <w:proofErr w:type="gramStart"/>
      <w:r w:rsidRPr="0063177A">
        <w:t>is located in</w:t>
      </w:r>
      <w:proofErr w:type="gramEnd"/>
      <w:r w:rsidRPr="0063177A">
        <w:t xml:space="preserve"> the northeastern corner of South Gate</w:t>
      </w:r>
      <w:r w:rsidR="001D7208">
        <w:t xml:space="preserve">, which </w:t>
      </w:r>
      <w:r w:rsidR="00A74A0A">
        <w:t xml:space="preserve">generally </w:t>
      </w:r>
      <w:r w:rsidRPr="0063177A">
        <w:t xml:space="preserve">consists of manufacturing and distribution uses. Residential development extends along the northern boundary of the </w:t>
      </w:r>
      <w:r w:rsidR="001D7208">
        <w:t>P</w:t>
      </w:r>
      <w:r w:rsidRPr="0063177A">
        <w:t xml:space="preserve">roject </w:t>
      </w:r>
      <w:r w:rsidR="001D7208">
        <w:t>S</w:t>
      </w:r>
      <w:r w:rsidRPr="0063177A">
        <w:t>ite within the corporate boundaries of the City of Cudahy</w:t>
      </w:r>
      <w:proofErr w:type="gramStart"/>
      <w:r w:rsidRPr="0063177A">
        <w:t xml:space="preserve">. </w:t>
      </w:r>
      <w:proofErr w:type="gramEnd"/>
      <w:r w:rsidRPr="0063177A">
        <w:t xml:space="preserve">A vicinity map of the </w:t>
      </w:r>
      <w:r w:rsidR="001D7208">
        <w:t>P</w:t>
      </w:r>
      <w:r w:rsidRPr="0063177A">
        <w:t xml:space="preserve">roject </w:t>
      </w:r>
      <w:r w:rsidR="001D7208">
        <w:t>S</w:t>
      </w:r>
      <w:r w:rsidRPr="0063177A">
        <w:t>ite is provided in Exhibit 2-3</w:t>
      </w:r>
      <w:proofErr w:type="gramStart"/>
      <w:r w:rsidRPr="0063177A">
        <w:t xml:space="preserve">. </w:t>
      </w:r>
      <w:proofErr w:type="gramEnd"/>
      <w:r w:rsidRPr="0063177A">
        <w:t xml:space="preserve">The </w:t>
      </w:r>
      <w:r w:rsidR="001D7208">
        <w:t>P</w:t>
      </w:r>
      <w:r w:rsidRPr="0063177A">
        <w:t xml:space="preserve">roject </w:t>
      </w:r>
      <w:r w:rsidR="001D7208">
        <w:t>S</w:t>
      </w:r>
      <w:r w:rsidRPr="0063177A">
        <w:t xml:space="preserve">ite is generally bounded by the Los Angeles River along the eastern side, Patata </w:t>
      </w:r>
      <w:proofErr w:type="gramStart"/>
      <w:r w:rsidRPr="0063177A">
        <w:t>Street</w:t>
      </w:r>
      <w:proofErr w:type="gramEnd"/>
      <w:r w:rsidRPr="0063177A">
        <w:t xml:space="preserve"> and the Union Pacific Railroad (Patata Industrial Lead line) is located to the south, an industrial property and Wilcox Avenue is located to the west, and the aforementioned residential neighborhood is located to the north. Local access to the </w:t>
      </w:r>
      <w:r w:rsidR="001D7208">
        <w:t>P</w:t>
      </w:r>
      <w:r w:rsidRPr="0063177A">
        <w:t xml:space="preserve">roject </w:t>
      </w:r>
      <w:r w:rsidR="001D7208">
        <w:t>S</w:t>
      </w:r>
      <w:r w:rsidRPr="0063177A">
        <w:t xml:space="preserve">ite is provided by Patata </w:t>
      </w:r>
      <w:r w:rsidRPr="0063177A">
        <w:lastRenderedPageBreak/>
        <w:t xml:space="preserve">Street, which connects to Atlantic Avenue, located approximately 0.30 mile to the west of the </w:t>
      </w:r>
      <w:r w:rsidR="001D7208">
        <w:t>P</w:t>
      </w:r>
      <w:r w:rsidRPr="0063177A">
        <w:t xml:space="preserve">roject </w:t>
      </w:r>
      <w:r w:rsidR="001D7208">
        <w:t>S</w:t>
      </w:r>
      <w:r w:rsidRPr="0063177A">
        <w:t>ite</w:t>
      </w:r>
      <w:proofErr w:type="gramStart"/>
      <w:r w:rsidRPr="0063177A">
        <w:t xml:space="preserve">. </w:t>
      </w:r>
      <w:proofErr w:type="gramEnd"/>
      <w:r w:rsidRPr="0063177A">
        <w:t>Atlantic Avenue provides access to I-710 via Firestone Boulevard.</w:t>
      </w:r>
    </w:p>
    <w:p w14:paraId="26AA18D3" w14:textId="277FFFB8" w:rsidR="0063177A" w:rsidRPr="0063177A" w:rsidRDefault="0063177A" w:rsidP="0063177A">
      <w:pPr>
        <w:pStyle w:val="FlushLeft"/>
      </w:pPr>
      <w:r w:rsidRPr="0063177A">
        <w:t xml:space="preserve">The majority of the </w:t>
      </w:r>
      <w:r w:rsidR="001D7208">
        <w:t>P</w:t>
      </w:r>
      <w:r w:rsidRPr="0063177A">
        <w:t xml:space="preserve">roject </w:t>
      </w:r>
      <w:r w:rsidR="001D7208">
        <w:t>S</w:t>
      </w:r>
      <w:r w:rsidRPr="0063177A">
        <w:t>ite was previously occupied by the former Armstrong World Industries plant with the former improvements having consisted of approximately 239,200 square feet of manufacturing- related floor area</w:t>
      </w:r>
      <w:proofErr w:type="gramStart"/>
      <w:r w:rsidRPr="0063177A">
        <w:t xml:space="preserve">. </w:t>
      </w:r>
      <w:proofErr w:type="gramEnd"/>
      <w:r w:rsidRPr="0063177A">
        <w:t>This plant is now closed and there are no operations being conducted at this time</w:t>
      </w:r>
      <w:proofErr w:type="gramStart"/>
      <w:r w:rsidRPr="0063177A">
        <w:t xml:space="preserve">. </w:t>
      </w:r>
      <w:proofErr w:type="gramEnd"/>
      <w:r w:rsidRPr="0063177A">
        <w:t xml:space="preserve">The western portion of the </w:t>
      </w:r>
      <w:r w:rsidR="001D7208">
        <w:t>P</w:t>
      </w:r>
      <w:r w:rsidRPr="0063177A">
        <w:t xml:space="preserve">roject </w:t>
      </w:r>
      <w:r w:rsidR="001D7208">
        <w:t>S</w:t>
      </w:r>
      <w:r w:rsidRPr="0063177A">
        <w:t>ite was occupied by manufacturing buildings that have since been demolished</w:t>
      </w:r>
      <w:proofErr w:type="gramStart"/>
      <w:r w:rsidRPr="0063177A">
        <w:t xml:space="preserve">. </w:t>
      </w:r>
      <w:proofErr w:type="gramEnd"/>
      <w:r w:rsidRPr="0063177A">
        <w:t xml:space="preserve">The eastern portion of the </w:t>
      </w:r>
      <w:r w:rsidR="001D7208">
        <w:t>P</w:t>
      </w:r>
      <w:r w:rsidRPr="0063177A">
        <w:t xml:space="preserve">roject </w:t>
      </w:r>
      <w:r w:rsidR="001D7208">
        <w:t>S</w:t>
      </w:r>
      <w:r w:rsidRPr="0063177A">
        <w:t>ite, located next to the Los Angeles River, is vacant and undeveloped</w:t>
      </w:r>
      <w:proofErr w:type="gramStart"/>
      <w:r w:rsidRPr="0063177A">
        <w:t xml:space="preserve">. </w:t>
      </w:r>
      <w:proofErr w:type="gramEnd"/>
      <w:r w:rsidRPr="0063177A">
        <w:t xml:space="preserve">The previous buildings that occupied the </w:t>
      </w:r>
      <w:r w:rsidR="001D7208">
        <w:t>P</w:t>
      </w:r>
      <w:r w:rsidRPr="0063177A">
        <w:t xml:space="preserve">roject </w:t>
      </w:r>
      <w:r w:rsidR="001D7208">
        <w:t>S</w:t>
      </w:r>
      <w:r w:rsidRPr="0063177A">
        <w:t>ite included a 5,630-square-foot office building, a 216,600-square-foot concrete manufacturing building, and a 16,970-square-foot metal building.</w:t>
      </w:r>
    </w:p>
    <w:p w14:paraId="668727B9" w14:textId="6485C1C4" w:rsidR="0063177A" w:rsidRPr="0063177A" w:rsidRDefault="0063177A" w:rsidP="0063177A">
      <w:pPr>
        <w:pStyle w:val="FlushLeft"/>
      </w:pPr>
      <w:r w:rsidRPr="0063177A">
        <w:t>The only remaining structural improvements include building foundations, broken concrete and asphalt circulation and parking areas, and some unmaintained landscaping</w:t>
      </w:r>
      <w:proofErr w:type="gramStart"/>
      <w:r w:rsidRPr="0063177A">
        <w:t xml:space="preserve">. </w:t>
      </w:r>
      <w:proofErr w:type="gramEnd"/>
      <w:r w:rsidRPr="0063177A">
        <w:t xml:space="preserve">An existing operational cellular tower </w:t>
      </w:r>
      <w:proofErr w:type="gramStart"/>
      <w:r w:rsidRPr="0063177A">
        <w:t>is located in</w:t>
      </w:r>
      <w:proofErr w:type="gramEnd"/>
      <w:r w:rsidRPr="0063177A">
        <w:t xml:space="preserve"> the east-central portion of the </w:t>
      </w:r>
      <w:r w:rsidR="001D7208">
        <w:t>Project S</w:t>
      </w:r>
      <w:r w:rsidRPr="0063177A">
        <w:t xml:space="preserve">ite. Historic aerial photographs show that the </w:t>
      </w:r>
      <w:r w:rsidR="001D7208">
        <w:t>P</w:t>
      </w:r>
      <w:r w:rsidRPr="0063177A">
        <w:t xml:space="preserve">roject </w:t>
      </w:r>
      <w:r w:rsidR="001D7208">
        <w:t>S</w:t>
      </w:r>
      <w:r w:rsidRPr="0063177A">
        <w:t xml:space="preserve">ite contained structures on the western half of the </w:t>
      </w:r>
      <w:r w:rsidR="001D7208">
        <w:t>P</w:t>
      </w:r>
      <w:r w:rsidRPr="0063177A">
        <w:t xml:space="preserve">roject </w:t>
      </w:r>
      <w:r w:rsidR="001D7208">
        <w:t>S</w:t>
      </w:r>
      <w:r w:rsidRPr="0063177A">
        <w:t>ite dating back to 1954</w:t>
      </w:r>
      <w:proofErr w:type="gramStart"/>
      <w:r w:rsidRPr="0063177A">
        <w:t xml:space="preserve">. </w:t>
      </w:r>
      <w:proofErr w:type="gramEnd"/>
      <w:r w:rsidRPr="0063177A">
        <w:t xml:space="preserve">The </w:t>
      </w:r>
      <w:r w:rsidR="001D7208">
        <w:t>P</w:t>
      </w:r>
      <w:r w:rsidRPr="0063177A">
        <w:t xml:space="preserve">roject </w:t>
      </w:r>
      <w:r w:rsidR="001D7208">
        <w:t>S</w:t>
      </w:r>
      <w:r w:rsidRPr="0063177A">
        <w:t>ite has no street frontage and has a single point of ingress and egress that is located at the eastern terminus of Patata Street.</w:t>
      </w:r>
    </w:p>
    <w:p w14:paraId="3D061B04" w14:textId="77777777" w:rsidR="005C4A71" w:rsidRDefault="005C4A71">
      <w:bookmarkStart w:id="8" w:name="_bookmark4"/>
      <w:bookmarkEnd w:id="8"/>
      <w:r>
        <w:br w:type="page"/>
      </w:r>
    </w:p>
    <w:p w14:paraId="50732964" w14:textId="550F0A2C" w:rsidR="0063177A" w:rsidRPr="005C4A71" w:rsidRDefault="005C4A71" w:rsidP="005C4A71">
      <w:pPr>
        <w:pStyle w:val="FlushLeft"/>
        <w:keepNext/>
        <w:tabs>
          <w:tab w:val="left" w:pos="900"/>
        </w:tabs>
        <w:rPr>
          <w:rFonts w:ascii="Century Gothic" w:hAnsi="Century Gothic"/>
          <w:b/>
          <w:bCs/>
          <w:sz w:val="20"/>
        </w:rPr>
      </w:pPr>
      <w:r w:rsidRPr="005C4A71">
        <w:rPr>
          <w:rFonts w:ascii="Century Gothic" w:hAnsi="Century Gothic"/>
          <w:b/>
          <w:bCs/>
          <w:sz w:val="20"/>
        </w:rPr>
        <w:lastRenderedPageBreak/>
        <w:t>Figure 1</w:t>
      </w:r>
      <w:r w:rsidRPr="005C4A71">
        <w:rPr>
          <w:rFonts w:ascii="Century Gothic" w:hAnsi="Century Gothic"/>
          <w:b/>
          <w:bCs/>
          <w:sz w:val="20"/>
        </w:rPr>
        <w:tab/>
      </w:r>
      <w:r w:rsidR="0063177A" w:rsidRPr="005C4A71">
        <w:rPr>
          <w:rFonts w:ascii="Century Gothic" w:hAnsi="Century Gothic"/>
          <w:b/>
          <w:bCs/>
          <w:sz w:val="20"/>
        </w:rPr>
        <w:t>Regional Location Map</w:t>
      </w:r>
    </w:p>
    <w:p w14:paraId="281851BA" w14:textId="344CBA51" w:rsidR="0063177A" w:rsidRDefault="0063177A" w:rsidP="0063177A">
      <w:pPr>
        <w:pStyle w:val="Center"/>
      </w:pPr>
      <w:bookmarkStart w:id="9" w:name="_bookmark5"/>
      <w:bookmarkEnd w:id="9"/>
      <w:r>
        <w:rPr>
          <w:noProof/>
        </w:rPr>
        <w:drawing>
          <wp:inline distT="0" distB="0" distL="0" distR="0" wp14:anchorId="609A5EE4" wp14:editId="628DBDE3">
            <wp:extent cx="4114800" cy="34331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3433156"/>
                    </a:xfrm>
                    <a:prstGeom prst="rect">
                      <a:avLst/>
                    </a:prstGeom>
                    <a:noFill/>
                    <a:ln>
                      <a:noFill/>
                    </a:ln>
                  </pic:spPr>
                </pic:pic>
              </a:graphicData>
            </a:graphic>
          </wp:inline>
        </w:drawing>
      </w:r>
    </w:p>
    <w:p w14:paraId="7E947D5A" w14:textId="4F19BC45" w:rsidR="0063177A" w:rsidRPr="0063177A" w:rsidRDefault="0063177A" w:rsidP="0063177A">
      <w:pPr>
        <w:pStyle w:val="Center"/>
        <w:spacing w:before="120"/>
      </w:pPr>
      <w:r>
        <w:rPr>
          <w:noProof/>
        </w:rPr>
        <w:drawing>
          <wp:inline distT="0" distB="0" distL="0" distR="0" wp14:anchorId="2A3D6179" wp14:editId="5743EC74">
            <wp:extent cx="4114800" cy="3932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3932560"/>
                    </a:xfrm>
                    <a:prstGeom prst="rect">
                      <a:avLst/>
                    </a:prstGeom>
                    <a:noFill/>
                    <a:ln>
                      <a:noFill/>
                    </a:ln>
                  </pic:spPr>
                </pic:pic>
              </a:graphicData>
            </a:graphic>
          </wp:inline>
        </w:drawing>
      </w:r>
    </w:p>
    <w:p w14:paraId="26DDCAC9" w14:textId="77777777" w:rsidR="005C4A71" w:rsidRDefault="005C4A71">
      <w:pPr>
        <w:rPr>
          <w:rFonts w:ascii="Century Gothic" w:hAnsi="Century Gothic"/>
          <w:b/>
          <w:bCs/>
          <w:sz w:val="20"/>
        </w:rPr>
      </w:pPr>
      <w:r>
        <w:rPr>
          <w:rFonts w:ascii="Century Gothic" w:hAnsi="Century Gothic"/>
          <w:b/>
          <w:bCs/>
          <w:sz w:val="20"/>
        </w:rPr>
        <w:br w:type="page"/>
      </w:r>
    </w:p>
    <w:p w14:paraId="19D401BE" w14:textId="50B76656" w:rsidR="0063177A" w:rsidRPr="005C4A71" w:rsidRDefault="005C4A71" w:rsidP="005C4A71">
      <w:pPr>
        <w:pStyle w:val="FlushLeft"/>
        <w:keepNext/>
        <w:tabs>
          <w:tab w:val="left" w:pos="900"/>
        </w:tabs>
        <w:rPr>
          <w:rFonts w:ascii="Century Gothic" w:hAnsi="Century Gothic"/>
          <w:b/>
          <w:bCs/>
          <w:sz w:val="20"/>
        </w:rPr>
      </w:pPr>
      <w:r>
        <w:rPr>
          <w:rFonts w:ascii="Century Gothic" w:hAnsi="Century Gothic"/>
          <w:b/>
          <w:bCs/>
          <w:sz w:val="20"/>
        </w:rPr>
        <w:lastRenderedPageBreak/>
        <w:t>Figure 2</w:t>
      </w:r>
      <w:r>
        <w:rPr>
          <w:rFonts w:ascii="Century Gothic" w:hAnsi="Century Gothic"/>
          <w:b/>
          <w:bCs/>
          <w:sz w:val="20"/>
        </w:rPr>
        <w:tab/>
      </w:r>
      <w:r w:rsidR="0063177A" w:rsidRPr="005C4A71">
        <w:rPr>
          <w:rFonts w:ascii="Century Gothic" w:hAnsi="Century Gothic"/>
          <w:b/>
          <w:bCs/>
          <w:sz w:val="20"/>
        </w:rPr>
        <w:t>Project Site and Location</w:t>
      </w:r>
    </w:p>
    <w:p w14:paraId="78716E7F" w14:textId="5B7A86DE" w:rsidR="0063177A" w:rsidRPr="0063177A" w:rsidRDefault="0063177A" w:rsidP="0063177A">
      <w:pPr>
        <w:pStyle w:val="Center"/>
      </w:pPr>
      <w:r>
        <w:rPr>
          <w:noProof/>
        </w:rPr>
        <w:drawing>
          <wp:inline distT="0" distB="0" distL="0" distR="0" wp14:anchorId="5CF6432C" wp14:editId="33E2BFDC">
            <wp:extent cx="5943600" cy="76863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6384"/>
                    </a:xfrm>
                    <a:prstGeom prst="rect">
                      <a:avLst/>
                    </a:prstGeom>
                    <a:noFill/>
                    <a:ln>
                      <a:noFill/>
                    </a:ln>
                  </pic:spPr>
                </pic:pic>
              </a:graphicData>
            </a:graphic>
          </wp:inline>
        </w:drawing>
      </w:r>
    </w:p>
    <w:p w14:paraId="362B61E8" w14:textId="23C7268A" w:rsidR="0063177A" w:rsidRPr="0063177A" w:rsidRDefault="0063177A" w:rsidP="0063177A">
      <w:pPr>
        <w:pStyle w:val="Heading2"/>
      </w:pPr>
      <w:bookmarkStart w:id="10" w:name="_bookmark6"/>
      <w:bookmarkStart w:id="11" w:name="_Toc111461786"/>
      <w:bookmarkEnd w:id="10"/>
      <w:r w:rsidRPr="0063177A">
        <w:lastRenderedPageBreak/>
        <w:t>Project Description</w:t>
      </w:r>
      <w:bookmarkEnd w:id="11"/>
    </w:p>
    <w:p w14:paraId="3957E4F0" w14:textId="77777777" w:rsidR="0063177A" w:rsidRPr="0063177A" w:rsidRDefault="0063177A" w:rsidP="0063177A">
      <w:pPr>
        <w:pStyle w:val="Heading3"/>
      </w:pPr>
      <w:bookmarkStart w:id="12" w:name="_Toc111461787"/>
      <w:r w:rsidRPr="0063177A">
        <w:t>Background</w:t>
      </w:r>
      <w:bookmarkEnd w:id="12"/>
    </w:p>
    <w:p w14:paraId="7BF694FD" w14:textId="7A0E12E7" w:rsidR="0063177A" w:rsidRPr="0063177A" w:rsidRDefault="0063177A" w:rsidP="0063177A">
      <w:pPr>
        <w:pStyle w:val="FlushLeft"/>
      </w:pPr>
      <w:r w:rsidRPr="0063177A">
        <w:t>In January 2020, Armstrong entered into a Corrective Action Consent Agreement (CACA) with the California Department of Toxic Substances Control (DTSC) to investigate possible source areas on the site associated with a regional volatile organic compound (VOC) issue</w:t>
      </w:r>
      <w:proofErr w:type="gramStart"/>
      <w:r w:rsidRPr="0063177A">
        <w:t xml:space="preserve">. </w:t>
      </w:r>
      <w:proofErr w:type="gramEnd"/>
      <w:r w:rsidRPr="0063177A">
        <w:t>The CACA included a list of possible chemicals of concern (COCs) which included asbestos</w:t>
      </w:r>
      <w:proofErr w:type="gramStart"/>
      <w:r w:rsidRPr="0063177A">
        <w:t xml:space="preserve">. </w:t>
      </w:r>
      <w:proofErr w:type="gramEnd"/>
      <w:r w:rsidRPr="0063177A">
        <w:t>In March 2021, Armstrong sold the property to South Gate Owner, LP</w:t>
      </w:r>
      <w:proofErr w:type="gramStart"/>
      <w:r w:rsidRPr="0063177A">
        <w:t xml:space="preserve">. </w:t>
      </w:r>
      <w:proofErr w:type="gramEnd"/>
      <w:r w:rsidRPr="0063177A">
        <w:t>(</w:t>
      </w:r>
      <w:r w:rsidR="001D7208">
        <w:t>SGO</w:t>
      </w:r>
      <w:r w:rsidRPr="0063177A">
        <w:t>).  Since acquisition, S</w:t>
      </w:r>
      <w:r w:rsidR="001D7208">
        <w:t xml:space="preserve">GO </w:t>
      </w:r>
      <w:r w:rsidRPr="0063177A">
        <w:t xml:space="preserve">has assumed the obligations of the </w:t>
      </w:r>
      <w:proofErr w:type="gramStart"/>
      <w:r w:rsidRPr="0063177A">
        <w:t>CACA</w:t>
      </w:r>
      <w:proofErr w:type="gramEnd"/>
      <w:r w:rsidRPr="0063177A">
        <w:t>, including the independent obligation to complete any necessary soil remediation</w:t>
      </w:r>
      <w:r w:rsidR="00A46874">
        <w:t>,</w:t>
      </w:r>
      <w:r w:rsidRPr="0063177A">
        <w:t xml:space="preserve"> per the terms of the CACA.  </w:t>
      </w:r>
    </w:p>
    <w:p w14:paraId="3DBEAAE4" w14:textId="6D1DC88F" w:rsidR="0063177A" w:rsidRPr="0063177A" w:rsidRDefault="0063177A" w:rsidP="0063177A">
      <w:pPr>
        <w:pStyle w:val="FlushLeft"/>
      </w:pPr>
      <w:r w:rsidRPr="0063177A">
        <w:t xml:space="preserve">Therefore, the remediation required under the </w:t>
      </w:r>
      <w:proofErr w:type="gramStart"/>
      <w:r w:rsidRPr="0063177A">
        <w:t>CACA</w:t>
      </w:r>
      <w:proofErr w:type="gramEnd"/>
      <w:r w:rsidRPr="0063177A">
        <w:t xml:space="preserve"> has independent utility because it is an independent obligation, requiring remediation is to occur regardless of whether the </w:t>
      </w:r>
      <w:r w:rsidR="001D7208">
        <w:t>P</w:t>
      </w:r>
      <w:r w:rsidRPr="0063177A">
        <w:t xml:space="preserve">roject </w:t>
      </w:r>
      <w:r w:rsidR="001D7208">
        <w:t>S</w:t>
      </w:r>
      <w:r w:rsidRPr="0063177A">
        <w:t xml:space="preserve">ite is developed in the future. </w:t>
      </w:r>
    </w:p>
    <w:p w14:paraId="56AEC5C4" w14:textId="77777777" w:rsidR="0063177A" w:rsidRPr="0063177A" w:rsidRDefault="0063177A" w:rsidP="0063177A">
      <w:pPr>
        <w:pStyle w:val="Heading3"/>
      </w:pPr>
      <w:bookmarkStart w:id="13" w:name="_Toc111461788"/>
      <w:r w:rsidRPr="0063177A">
        <w:t>Lead Agency Approval</w:t>
      </w:r>
      <w:bookmarkEnd w:id="13"/>
    </w:p>
    <w:p w14:paraId="09E5E159" w14:textId="68EDB777" w:rsidR="0063177A" w:rsidRPr="0063177A" w:rsidRDefault="0063177A" w:rsidP="0063177A">
      <w:pPr>
        <w:pStyle w:val="FlushLeft"/>
      </w:pPr>
      <w:r w:rsidRPr="0063177A">
        <w:t>DTSC is contemplating whether to approve an Interim Measures Workplan for the remediation and excavation of soil containing asbestos</w:t>
      </w:r>
      <w:proofErr w:type="gramStart"/>
      <w:r w:rsidRPr="0063177A">
        <w:t xml:space="preserve">. </w:t>
      </w:r>
      <w:proofErr w:type="gramEnd"/>
      <w:r w:rsidRPr="0063177A">
        <w:t>DTSC’s authority to approve the Project stems from Section 5.1 through Section 5.5 of the CACA</w:t>
      </w:r>
      <w:proofErr w:type="gramStart"/>
      <w:r w:rsidRPr="0063177A">
        <w:t xml:space="preserve">. </w:t>
      </w:r>
      <w:proofErr w:type="gramEnd"/>
      <w:r w:rsidRPr="0063177A">
        <w:t>Because DTSC is ultimately responsible for overseeing the remediation and excavation of the soil containing asbestos, DTSC is acting as the lead agency for this Project.</w:t>
      </w:r>
    </w:p>
    <w:p w14:paraId="5302D172" w14:textId="77777777" w:rsidR="0063177A" w:rsidRPr="0063177A" w:rsidRDefault="0063177A" w:rsidP="0063177A">
      <w:pPr>
        <w:pStyle w:val="Heading3"/>
      </w:pPr>
      <w:bookmarkStart w:id="14" w:name="_Toc111461789"/>
      <w:r w:rsidRPr="0063177A">
        <w:t>Scope of Work</w:t>
      </w:r>
      <w:bookmarkEnd w:id="14"/>
    </w:p>
    <w:p w14:paraId="2E29F282" w14:textId="44220A30" w:rsidR="0063177A" w:rsidRPr="0063177A" w:rsidRDefault="0063177A" w:rsidP="0063177A">
      <w:pPr>
        <w:pStyle w:val="FlushLeft"/>
      </w:pPr>
      <w:r w:rsidRPr="0063177A">
        <w:t>The Project involves the excavation and off-site disposal of asbestos-containing materials</w:t>
      </w:r>
      <w:proofErr w:type="gramStart"/>
      <w:r w:rsidRPr="0063177A">
        <w:t xml:space="preserve">. </w:t>
      </w:r>
      <w:proofErr w:type="gramEnd"/>
      <w:r w:rsidRPr="0063177A">
        <w:t>Excavation of the asbestos-containing materials will be completed by a State-licensed asbestos abatement contractor, under the direction of a Certified Asbestos Consultant (CAC) and a California Professional Geologist from Ardent</w:t>
      </w:r>
      <w:proofErr w:type="gramStart"/>
      <w:r w:rsidRPr="0063177A">
        <w:t xml:space="preserve">. </w:t>
      </w:r>
      <w:proofErr w:type="gramEnd"/>
      <w:r w:rsidRPr="0063177A">
        <w:t>DTSC will oversee the soil remediation.</w:t>
      </w:r>
    </w:p>
    <w:p w14:paraId="1A4934E1" w14:textId="4D91F7B5" w:rsidR="0063177A" w:rsidRPr="0063177A" w:rsidRDefault="0063177A" w:rsidP="0063177A">
      <w:pPr>
        <w:pStyle w:val="FlushLeft"/>
      </w:pPr>
      <w:r w:rsidRPr="0063177A">
        <w:t xml:space="preserve">Five areas within the </w:t>
      </w:r>
      <w:r w:rsidR="001D7208">
        <w:t>P</w:t>
      </w:r>
      <w:r w:rsidRPr="0063177A">
        <w:t xml:space="preserve">roject </w:t>
      </w:r>
      <w:r w:rsidR="001D7208">
        <w:t>S</w:t>
      </w:r>
      <w:r w:rsidRPr="0063177A">
        <w:t>ite were identified as requiring remediation</w:t>
      </w:r>
      <w:proofErr w:type="gramStart"/>
      <w:r w:rsidRPr="0063177A">
        <w:t xml:space="preserve">. </w:t>
      </w:r>
      <w:proofErr w:type="gramEnd"/>
      <w:r w:rsidRPr="0063177A">
        <w:t>As presented below, the estimated volume of the soil to be remediated was calculated in bank cubic yards (</w:t>
      </w:r>
      <w:r w:rsidR="00CD2A42" w:rsidRPr="0063177A">
        <w:t>i.e.,</w:t>
      </w:r>
      <w:r w:rsidRPr="0063177A">
        <w:t xml:space="preserve"> in-place volumes, yd3)</w:t>
      </w:r>
      <w:proofErr w:type="gramStart"/>
      <w:r w:rsidRPr="0063177A">
        <w:t xml:space="preserve">. </w:t>
      </w:r>
      <w:proofErr w:type="gramEnd"/>
      <w:r w:rsidR="001D7208">
        <w:t>A</w:t>
      </w:r>
      <w:r w:rsidRPr="0063177A">
        <w:t xml:space="preserve"> 1.3 expansion factor was applied, and the volumes were recalculated as excavated cubic yards</w:t>
      </w:r>
      <w:proofErr w:type="gramStart"/>
      <w:r w:rsidRPr="0063177A">
        <w:t xml:space="preserve">. </w:t>
      </w:r>
      <w:proofErr w:type="gramEnd"/>
      <w:r w:rsidRPr="0063177A">
        <w:t>These volumes were calculated based on a conversion factor of 1.5 tons per cubic yards.</w:t>
      </w:r>
    </w:p>
    <w:p w14:paraId="057E5271" w14:textId="3DF46E9A" w:rsidR="0063177A" w:rsidRPr="0063177A" w:rsidRDefault="0063177A" w:rsidP="0063177A">
      <w:pPr>
        <w:pStyle w:val="FlushLeft"/>
        <w:numPr>
          <w:ilvl w:val="0"/>
          <w:numId w:val="6"/>
        </w:numPr>
        <w:ind w:left="720" w:hanging="360"/>
      </w:pPr>
      <w:r w:rsidRPr="0063177A">
        <w:rPr>
          <w:b/>
          <w:bCs/>
        </w:rPr>
        <w:t>Area 1:</w:t>
      </w:r>
      <w:r w:rsidRPr="0063177A">
        <w:t xml:space="preserve"> 7,822 bank yd3, or 10, 168 excavated yd3, or 15,253 tons</w:t>
      </w:r>
    </w:p>
    <w:p w14:paraId="5A2D5D17" w14:textId="31FC4B12" w:rsidR="0063177A" w:rsidRPr="0063177A" w:rsidRDefault="0063177A" w:rsidP="0063177A">
      <w:pPr>
        <w:pStyle w:val="FlushLeft"/>
        <w:numPr>
          <w:ilvl w:val="0"/>
          <w:numId w:val="6"/>
        </w:numPr>
        <w:ind w:left="720" w:hanging="360"/>
      </w:pPr>
      <w:r w:rsidRPr="0063177A">
        <w:rPr>
          <w:b/>
          <w:bCs/>
        </w:rPr>
        <w:t>Area 2:</w:t>
      </w:r>
      <w:r w:rsidRPr="0063177A">
        <w:t xml:space="preserve"> 8,329 bank yd3, or 10, 827 excavated yd3, or 16,241 tons</w:t>
      </w:r>
    </w:p>
    <w:p w14:paraId="1959235C" w14:textId="36D8CDB4" w:rsidR="0063177A" w:rsidRPr="0063177A" w:rsidRDefault="0063177A" w:rsidP="0063177A">
      <w:pPr>
        <w:pStyle w:val="FlushLeft"/>
        <w:numPr>
          <w:ilvl w:val="0"/>
          <w:numId w:val="6"/>
        </w:numPr>
        <w:ind w:left="720" w:hanging="360"/>
      </w:pPr>
      <w:r w:rsidRPr="0063177A">
        <w:rPr>
          <w:b/>
          <w:bCs/>
        </w:rPr>
        <w:t>Area 3:</w:t>
      </w:r>
      <w:r w:rsidRPr="0063177A">
        <w:t xml:space="preserve"> 5,332 bank yd3, or 6,932 excavated yd3, or 10,400 tons</w:t>
      </w:r>
    </w:p>
    <w:p w14:paraId="0BAE3866" w14:textId="365835E7" w:rsidR="0063177A" w:rsidRPr="0063177A" w:rsidRDefault="0063177A" w:rsidP="0063177A">
      <w:pPr>
        <w:pStyle w:val="FlushLeft"/>
        <w:numPr>
          <w:ilvl w:val="0"/>
          <w:numId w:val="6"/>
        </w:numPr>
        <w:ind w:left="720" w:hanging="360"/>
      </w:pPr>
      <w:r w:rsidRPr="0063177A">
        <w:rPr>
          <w:b/>
          <w:bCs/>
        </w:rPr>
        <w:t>Area 4:</w:t>
      </w:r>
      <w:r w:rsidRPr="0063177A">
        <w:t xml:space="preserve"> 564 bank yd3, or 733 excavated yd3, or 1,100 tons</w:t>
      </w:r>
    </w:p>
    <w:p w14:paraId="35B64878" w14:textId="7118ABA4" w:rsidR="0063177A" w:rsidRPr="0063177A" w:rsidRDefault="0063177A" w:rsidP="0063177A">
      <w:pPr>
        <w:pStyle w:val="FlushLeft"/>
        <w:numPr>
          <w:ilvl w:val="0"/>
          <w:numId w:val="6"/>
        </w:numPr>
        <w:ind w:left="720" w:hanging="360"/>
      </w:pPr>
      <w:r w:rsidRPr="0063177A">
        <w:rPr>
          <w:b/>
          <w:bCs/>
        </w:rPr>
        <w:t>Area 5:</w:t>
      </w:r>
      <w:r w:rsidRPr="0063177A">
        <w:t xml:space="preserve"> 1,260 bank yd3, or 1,637 excavated yd3, or 2,455 tons</w:t>
      </w:r>
    </w:p>
    <w:p w14:paraId="2D06EBE7" w14:textId="0EE64E1F" w:rsidR="0063177A" w:rsidRPr="0063177A" w:rsidRDefault="0063177A" w:rsidP="0063177A">
      <w:pPr>
        <w:pStyle w:val="FlushLeft"/>
      </w:pPr>
      <w:r w:rsidRPr="0063177A">
        <w:t xml:space="preserve">Areas 1 through 4 will be excavated with a backhoe operated by Three D Service Company, </w:t>
      </w:r>
      <w:proofErr w:type="gramStart"/>
      <w:r w:rsidRPr="0063177A">
        <w:t xml:space="preserve">Inc. </w:t>
      </w:r>
      <w:proofErr w:type="gramEnd"/>
      <w:r w:rsidRPr="0063177A">
        <w:t>(Three D) of Pomona, California, a state licensed abatement contractor</w:t>
      </w:r>
      <w:proofErr w:type="gramStart"/>
      <w:r w:rsidRPr="0063177A">
        <w:t xml:space="preserve">. </w:t>
      </w:r>
      <w:proofErr w:type="gramEnd"/>
      <w:r w:rsidRPr="0063177A">
        <w:t xml:space="preserve">The excavated soil will be direct-loaded onto trucks and “burrito-wrapped” with </w:t>
      </w:r>
      <w:proofErr w:type="spellStart"/>
      <w:r w:rsidRPr="0063177A">
        <w:t>Visqueen</w:t>
      </w:r>
      <w:proofErr w:type="spellEnd"/>
      <w:r w:rsidRPr="0063177A">
        <w:t xml:space="preserve"> plastic</w:t>
      </w:r>
      <w:proofErr w:type="gramStart"/>
      <w:r w:rsidRPr="0063177A">
        <w:t xml:space="preserve">. </w:t>
      </w:r>
      <w:proofErr w:type="gramEnd"/>
      <w:r w:rsidRPr="0063177A">
        <w:t xml:space="preserve">These materials will be transported off-site </w:t>
      </w:r>
      <w:r w:rsidRPr="0063177A">
        <w:lastRenderedPageBreak/>
        <w:t>under hazardous waste manifests to Waste Management Azusa Land Reclamation, an off-site facility licensed to accept asbestos-containing waste</w:t>
      </w:r>
      <w:proofErr w:type="gramStart"/>
      <w:r w:rsidRPr="0063177A">
        <w:t xml:space="preserve">. </w:t>
      </w:r>
      <w:proofErr w:type="gramEnd"/>
      <w:r w:rsidRPr="0063177A">
        <w:t xml:space="preserve">Area 5 will be remediated by excavation </w:t>
      </w:r>
      <w:proofErr w:type="gramStart"/>
      <w:r w:rsidRPr="0063177A">
        <w:t>at a later date</w:t>
      </w:r>
      <w:proofErr w:type="gramEnd"/>
      <w:r w:rsidRPr="0063177A">
        <w:t>.</w:t>
      </w:r>
    </w:p>
    <w:p w14:paraId="7D94BB41" w14:textId="6503AF19" w:rsidR="0063177A" w:rsidRPr="0063177A" w:rsidRDefault="0063177A" w:rsidP="0063177A">
      <w:pPr>
        <w:pStyle w:val="Heading2"/>
      </w:pPr>
      <w:bookmarkStart w:id="15" w:name="_bookmark9"/>
      <w:bookmarkStart w:id="16" w:name="_Toc111461790"/>
      <w:bookmarkEnd w:id="15"/>
      <w:r w:rsidRPr="0063177A">
        <w:t>Consistency Analysis</w:t>
      </w:r>
      <w:bookmarkEnd w:id="16"/>
    </w:p>
    <w:p w14:paraId="4DE0B19C" w14:textId="77777777" w:rsidR="0063177A" w:rsidRPr="0063177A" w:rsidRDefault="0063177A" w:rsidP="0063177A">
      <w:pPr>
        <w:pStyle w:val="Heading3"/>
      </w:pPr>
      <w:bookmarkStart w:id="17" w:name="_bookmark10"/>
      <w:bookmarkStart w:id="18" w:name="_Toc111461791"/>
      <w:bookmarkEnd w:id="17"/>
      <w:r w:rsidRPr="0063177A">
        <w:t>General Rule CE Applicability</w:t>
      </w:r>
      <w:bookmarkEnd w:id="18"/>
    </w:p>
    <w:p w14:paraId="400A9765" w14:textId="1DDEC776" w:rsidR="0063177A" w:rsidRPr="0063177A" w:rsidRDefault="0063177A" w:rsidP="0063177A">
      <w:pPr>
        <w:pStyle w:val="FlushLeft"/>
      </w:pPr>
      <w:r w:rsidRPr="0063177A">
        <w:t xml:space="preserve">Pursuant to the </w:t>
      </w:r>
      <w:r w:rsidR="001D7208">
        <w:t>C</w:t>
      </w:r>
      <w:r w:rsidRPr="0063177A">
        <w:t xml:space="preserve">ommon </w:t>
      </w:r>
      <w:r w:rsidR="001D7208">
        <w:t>S</w:t>
      </w:r>
      <w:r w:rsidRPr="0063177A">
        <w:t>ense</w:t>
      </w:r>
      <w:r w:rsidR="001D7208">
        <w:t xml:space="preserve"> E</w:t>
      </w:r>
      <w:r w:rsidRPr="0063177A">
        <w:t>xemption, CEQA exempts activities that can be seen with certainty to have no possibility for causing a significant effect on the environment</w:t>
      </w:r>
      <w:proofErr w:type="gramStart"/>
      <w:r w:rsidRPr="0063177A">
        <w:t xml:space="preserve">. </w:t>
      </w:r>
      <w:proofErr w:type="gramEnd"/>
      <w:r w:rsidRPr="0063177A">
        <w:t>The</w:t>
      </w:r>
      <w:r w:rsidR="001D7208">
        <w:t xml:space="preserve"> Common Sense Exemption provides </w:t>
      </w:r>
      <w:r w:rsidRPr="0063177A">
        <w:t>that “CEQA applies only to projects which have the potential for causing a significant effect on the environment</w:t>
      </w:r>
      <w:proofErr w:type="gramStart"/>
      <w:r w:rsidRPr="0063177A">
        <w:t xml:space="preserve">. </w:t>
      </w:r>
      <w:proofErr w:type="gramEnd"/>
      <w:r w:rsidRPr="0063177A">
        <w:t>Where it can be seen with certainty that there is no possibility that the activity in question may have a significant effect on the environment, the activity is not subject to CEQA.”</w:t>
      </w:r>
    </w:p>
    <w:p w14:paraId="715EE2D8" w14:textId="0696BDE8" w:rsidR="0063177A" w:rsidRPr="0063177A" w:rsidRDefault="0063177A" w:rsidP="0063177A">
      <w:pPr>
        <w:pStyle w:val="FlushLeft"/>
      </w:pPr>
      <w:r w:rsidRPr="0063177A">
        <w:t xml:space="preserve">The Project meets the above criteria because the excavation required to remediate the site is minimal and all excavation activities are required to comply with the strict regulatory standards set forth in the </w:t>
      </w:r>
      <w:proofErr w:type="gramStart"/>
      <w:r w:rsidRPr="0063177A">
        <w:t>CACA</w:t>
      </w:r>
      <w:proofErr w:type="gramEnd"/>
      <w:r w:rsidRPr="0063177A">
        <w:t xml:space="preserve"> and the South Coast Air Quality Management District (SCAQMD) rules applicable to excavation activities.</w:t>
      </w:r>
    </w:p>
    <w:p w14:paraId="606BA438" w14:textId="77777777" w:rsidR="0063177A" w:rsidRPr="0063177A" w:rsidRDefault="0063177A" w:rsidP="0063177A">
      <w:pPr>
        <w:pStyle w:val="Heading3"/>
      </w:pPr>
      <w:bookmarkStart w:id="19" w:name="_bookmark11"/>
      <w:bookmarkStart w:id="20" w:name="_Toc111461792"/>
      <w:bookmarkEnd w:id="19"/>
      <w:r w:rsidRPr="0063177A">
        <w:t>Pre-Excavation Activities</w:t>
      </w:r>
      <w:bookmarkEnd w:id="20"/>
    </w:p>
    <w:p w14:paraId="1C87DFBF" w14:textId="3DA66250" w:rsidR="0063177A" w:rsidRPr="0063177A" w:rsidRDefault="0063177A" w:rsidP="0063177A">
      <w:pPr>
        <w:pStyle w:val="FlushLeft"/>
      </w:pPr>
      <w:bookmarkStart w:id="21" w:name="_Hlk110862130"/>
      <w:r w:rsidRPr="0063177A">
        <w:t>A Health and Safety Plan (HASP) was prepared as part of Ardent’s Soil Management Plan (SMP) for the site, dated June 9, 2021</w:t>
      </w:r>
      <w:proofErr w:type="gramStart"/>
      <w:r w:rsidRPr="0063177A">
        <w:t xml:space="preserve">. </w:t>
      </w:r>
      <w:proofErr w:type="gramEnd"/>
      <w:r w:rsidRPr="0063177A">
        <w:t>The HASP will be used by Ardent personnel and its subcontractors</w:t>
      </w:r>
      <w:proofErr w:type="gramStart"/>
      <w:r w:rsidRPr="0063177A">
        <w:t xml:space="preserve">. </w:t>
      </w:r>
      <w:proofErr w:type="gramEnd"/>
      <w:r w:rsidRPr="0063177A">
        <w:t>Ardent has also prepared a Transportation Plan associated with the hauling of the contaminated materials</w:t>
      </w:r>
      <w:proofErr w:type="gramStart"/>
      <w:r w:rsidRPr="0063177A">
        <w:t xml:space="preserve">. </w:t>
      </w:r>
      <w:bookmarkStart w:id="22" w:name="_Hlk101441930"/>
      <w:proofErr w:type="gramEnd"/>
      <w:r w:rsidRPr="0063177A">
        <w:t>This Transportation Plan was prepared in accordance with the DTSC’s Hazardous Materials Transportation Guides (DTSC, 1991) and Transportation Plan Preparation Guidance for Site Remediation (DTSC, 1994)</w:t>
      </w:r>
      <w:proofErr w:type="gramStart"/>
      <w:r w:rsidRPr="0063177A">
        <w:t>.</w:t>
      </w:r>
      <w:bookmarkEnd w:id="22"/>
      <w:r w:rsidRPr="0063177A">
        <w:t xml:space="preserve"> </w:t>
      </w:r>
      <w:proofErr w:type="gramEnd"/>
      <w:r w:rsidRPr="0063177A">
        <w:t xml:space="preserve">The Plan outlines the waste characteristics, destination, mode of transportation, route(s), traffic control and loading plan, record keeping, health and safety, and contingency plan associated with transporting asbestos-containing soil and/or tile chips known to exist at the </w:t>
      </w:r>
      <w:r w:rsidR="001D7208">
        <w:t>Project S</w:t>
      </w:r>
      <w:r w:rsidRPr="0063177A">
        <w:t xml:space="preserve">ite. </w:t>
      </w:r>
    </w:p>
    <w:p w14:paraId="239F6F57" w14:textId="7042A46B" w:rsidR="0063177A" w:rsidRPr="0063177A" w:rsidRDefault="0063177A" w:rsidP="0063177A">
      <w:pPr>
        <w:pStyle w:val="FlushLeft"/>
      </w:pPr>
      <w:r w:rsidRPr="0063177A">
        <w:t>Prior to excavation activities, a Procedure 5 Work Plan will be prepared in accordance with Rule 1403 and submitted to the SCAQMD</w:t>
      </w:r>
      <w:proofErr w:type="gramStart"/>
      <w:r w:rsidRPr="0063177A">
        <w:t xml:space="preserve">. </w:t>
      </w:r>
      <w:proofErr w:type="gramEnd"/>
      <w:r w:rsidRPr="0063177A">
        <w:t>Upon approval of the Procedure 5 Work Plan, DTSC and SCAQMD will be notified of the proposed schedule.</w:t>
      </w:r>
      <w:bookmarkEnd w:id="21"/>
    </w:p>
    <w:p w14:paraId="46BAC338" w14:textId="77777777" w:rsidR="0063177A" w:rsidRPr="0063177A" w:rsidRDefault="0063177A" w:rsidP="0063177A">
      <w:pPr>
        <w:pStyle w:val="Heading3"/>
      </w:pPr>
      <w:bookmarkStart w:id="23" w:name="_Toc111461793"/>
      <w:r w:rsidRPr="0063177A">
        <w:t>Excavation Activities</w:t>
      </w:r>
      <w:bookmarkEnd w:id="23"/>
    </w:p>
    <w:p w14:paraId="05E015DC" w14:textId="76228679" w:rsidR="0063177A" w:rsidRPr="0063177A" w:rsidRDefault="0063177A" w:rsidP="0063177A">
      <w:pPr>
        <w:pStyle w:val="FlushLeft"/>
      </w:pPr>
      <w:r w:rsidRPr="0063177A">
        <w:t>Prior to and during excavation, Ardent will monitor ambient air</w:t>
      </w:r>
      <w:proofErr w:type="gramStart"/>
      <w:r w:rsidRPr="0063177A">
        <w:t xml:space="preserve">. </w:t>
      </w:r>
      <w:proofErr w:type="gramEnd"/>
      <w:r w:rsidRPr="0063177A">
        <w:t>Each day before excavation activities begin, Ardent will collect baseline ambient air data which will include project boundary monitoring of PM10 and meteorological conditions, including wind direction and velocity</w:t>
      </w:r>
      <w:proofErr w:type="gramStart"/>
      <w:r w:rsidRPr="0063177A">
        <w:t xml:space="preserve">. </w:t>
      </w:r>
      <w:proofErr w:type="gramEnd"/>
      <w:r w:rsidRPr="0063177A">
        <w:t>During excavation activities, and as described below, air monitoring is required to be undertaken, which will include nuisance and fugitive dust, worker safety, and particulate emissions from soils with toxic air contaminants</w:t>
      </w:r>
      <w:proofErr w:type="gramStart"/>
      <w:r w:rsidRPr="0063177A">
        <w:t xml:space="preserve">. </w:t>
      </w:r>
      <w:proofErr w:type="gramEnd"/>
      <w:r w:rsidRPr="0063177A">
        <w:t>The SCAQMD regulations that apply to the development activities</w:t>
      </w:r>
      <w:r w:rsidR="001D7208">
        <w:t xml:space="preserve"> include</w:t>
      </w:r>
      <w:r w:rsidRPr="0063177A">
        <w:t xml:space="preserve"> Rules 402, 403, 1403, and 1466</w:t>
      </w:r>
      <w:proofErr w:type="gramStart"/>
      <w:r w:rsidRPr="0063177A">
        <w:t xml:space="preserve">. </w:t>
      </w:r>
      <w:proofErr w:type="gramEnd"/>
      <w:r w:rsidRPr="0063177A">
        <w:t xml:space="preserve">Rule 1403 pertains to the removal of asbestos-containing materials and identifies procedures to limit asbestos emissions to the </w:t>
      </w:r>
      <w:proofErr w:type="gramStart"/>
      <w:r w:rsidRPr="0063177A">
        <w:t>environment, and</w:t>
      </w:r>
      <w:proofErr w:type="gramEnd"/>
      <w:r w:rsidRPr="0063177A">
        <w:t xml:space="preserve"> includes survey and notification requirements.</w:t>
      </w:r>
    </w:p>
    <w:p w14:paraId="7BF39ACA" w14:textId="02CFEC87" w:rsidR="0063177A" w:rsidRPr="0063177A" w:rsidRDefault="0063177A" w:rsidP="0063177A">
      <w:pPr>
        <w:pStyle w:val="Heading2"/>
      </w:pPr>
      <w:bookmarkStart w:id="24" w:name="_bookmark12"/>
      <w:bookmarkStart w:id="25" w:name="_Toc111461794"/>
      <w:bookmarkEnd w:id="24"/>
      <w:r w:rsidRPr="0063177A">
        <w:lastRenderedPageBreak/>
        <w:t>Summary</w:t>
      </w:r>
      <w:bookmarkEnd w:id="25"/>
    </w:p>
    <w:p w14:paraId="5EA8195B" w14:textId="3B1A747C" w:rsidR="003E42DC" w:rsidRDefault="0063177A" w:rsidP="0063177A">
      <w:pPr>
        <w:pStyle w:val="FlushLeft"/>
      </w:pPr>
      <w:r w:rsidRPr="0063177A">
        <w:t>Based on</w:t>
      </w:r>
      <w:r w:rsidR="003E42DC">
        <w:t xml:space="preserve"> the limited scope and operations of the </w:t>
      </w:r>
      <w:r w:rsidR="00CD2A42">
        <w:t xml:space="preserve">Project, </w:t>
      </w:r>
      <w:r w:rsidR="00CD2A42" w:rsidRPr="0063177A">
        <w:t>the</w:t>
      </w:r>
      <w:r w:rsidRPr="0063177A">
        <w:t xml:space="preserve"> Project meets</w:t>
      </w:r>
      <w:r w:rsidR="001D7208">
        <w:t xml:space="preserve"> the</w:t>
      </w:r>
      <w:r w:rsidRPr="0063177A">
        <w:t xml:space="preserve"> criteria for </w:t>
      </w:r>
      <w:r w:rsidR="001D7208">
        <w:t>the Common Sense Exemption</w:t>
      </w:r>
      <w:r w:rsidRPr="0063177A">
        <w:t>.</w:t>
      </w:r>
      <w:r w:rsidR="00F41C8C">
        <w:t xml:space="preserve"> </w:t>
      </w:r>
      <w:r w:rsidR="003E42DC">
        <w:t xml:space="preserve"> </w:t>
      </w:r>
    </w:p>
    <w:p w14:paraId="59C83460" w14:textId="7001930E" w:rsidR="003E42DC" w:rsidRDefault="003E42DC" w:rsidP="0063177A">
      <w:pPr>
        <w:pStyle w:val="FlushLeft"/>
      </w:pPr>
      <w:r>
        <w:t>The Project will not result in any long-term emissions because the Project is anticipated to only take approximately 6 months to complete</w:t>
      </w:r>
      <w:proofErr w:type="gramStart"/>
      <w:r>
        <w:t xml:space="preserve">. </w:t>
      </w:r>
      <w:proofErr w:type="gramEnd"/>
      <w:r>
        <w:t>The Project will not result in any short-term emissions because the remediation and excavation activities is generally limited to removing the contaminated soils from the Project site and transporting it to the Azusa landfill approximately 26 miles away from the Project site</w:t>
      </w:r>
      <w:proofErr w:type="gramStart"/>
      <w:r>
        <w:t xml:space="preserve">. </w:t>
      </w:r>
      <w:proofErr w:type="gramEnd"/>
      <w:r>
        <w:t xml:space="preserve">The Project </w:t>
      </w:r>
      <w:r w:rsidR="00485187">
        <w:t xml:space="preserve">Applicant </w:t>
      </w:r>
      <w:r>
        <w:t xml:space="preserve">is anticipating </w:t>
      </w:r>
      <w:r w:rsidR="00485187">
        <w:t xml:space="preserve">only </w:t>
      </w:r>
      <w:r>
        <w:t>60 truck trips per day over the six month period</w:t>
      </w:r>
      <w:proofErr w:type="gramStart"/>
      <w:r>
        <w:t xml:space="preserve">. </w:t>
      </w:r>
      <w:proofErr w:type="gramEnd"/>
      <w:r>
        <w:t xml:space="preserve">Therefore, the Project will not have any air quality impacts because the Project has a short lifespan and generally only requires hauling contaminated soils a short distance </w:t>
      </w:r>
    </w:p>
    <w:p w14:paraId="19F1027B" w14:textId="16034F59" w:rsidR="003E42DC" w:rsidRPr="003E42DC" w:rsidRDefault="003E42DC" w:rsidP="0063177A">
      <w:pPr>
        <w:pStyle w:val="FlushLeft"/>
        <w:rPr>
          <w:rFonts w:asciiTheme="minorHAnsi" w:hAnsiTheme="minorHAnsi" w:cstheme="minorHAnsi"/>
          <w:szCs w:val="22"/>
        </w:rPr>
      </w:pPr>
      <w:r w:rsidRPr="003E42DC">
        <w:rPr>
          <w:rFonts w:asciiTheme="minorHAnsi" w:hAnsiTheme="minorHAnsi" w:cstheme="minorHAnsi"/>
          <w:szCs w:val="22"/>
        </w:rPr>
        <w:t xml:space="preserve">Due to the current state of the project site and the level of development in the surrounding area, the </w:t>
      </w:r>
      <w:r>
        <w:rPr>
          <w:rFonts w:asciiTheme="minorHAnsi" w:hAnsiTheme="minorHAnsi" w:cstheme="minorHAnsi"/>
          <w:szCs w:val="22"/>
        </w:rPr>
        <w:t>P</w:t>
      </w:r>
      <w:r w:rsidRPr="003E42DC">
        <w:rPr>
          <w:rFonts w:asciiTheme="minorHAnsi" w:hAnsiTheme="minorHAnsi" w:cstheme="minorHAnsi"/>
          <w:szCs w:val="22"/>
        </w:rPr>
        <w:t>roject site does not offer a suitable habitat for any rare and/or endangered species</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There are no local or regional plans, policies, or regulations that identify any riparian habitat or other sensitive natural community, nor does the California Department of Fish and Wildlife identify any such habitat</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The portions of the Los Angeles River that are located near the </w:t>
      </w:r>
      <w:r>
        <w:rPr>
          <w:rFonts w:asciiTheme="minorHAnsi" w:hAnsiTheme="minorHAnsi" w:cstheme="minorHAnsi"/>
          <w:szCs w:val="22"/>
        </w:rPr>
        <w:t>P</w:t>
      </w:r>
      <w:r w:rsidRPr="003E42DC">
        <w:rPr>
          <w:rFonts w:asciiTheme="minorHAnsi" w:hAnsiTheme="minorHAnsi" w:cstheme="minorHAnsi"/>
          <w:szCs w:val="22"/>
        </w:rPr>
        <w:t>roject site are concrete-lined and do not offer suitable riparian vegetation</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The U/S. Fish and Wildlife Service </w:t>
      </w:r>
      <w:r w:rsidR="00485187">
        <w:rPr>
          <w:rFonts w:asciiTheme="minorHAnsi" w:hAnsiTheme="minorHAnsi" w:cstheme="minorHAnsi"/>
          <w:szCs w:val="22"/>
        </w:rPr>
        <w:t>N</w:t>
      </w:r>
      <w:r w:rsidRPr="003E42DC">
        <w:rPr>
          <w:rFonts w:asciiTheme="minorHAnsi" w:hAnsiTheme="minorHAnsi" w:cstheme="minorHAnsi"/>
          <w:szCs w:val="22"/>
        </w:rPr>
        <w:t xml:space="preserve">ational Wetlands Inventory Wetlands Mapper does not identify any wetlands in the vicinity of the </w:t>
      </w:r>
      <w:r>
        <w:rPr>
          <w:rFonts w:asciiTheme="minorHAnsi" w:hAnsiTheme="minorHAnsi" w:cstheme="minorHAnsi"/>
          <w:szCs w:val="22"/>
        </w:rPr>
        <w:t>P</w:t>
      </w:r>
      <w:r w:rsidRPr="003E42DC">
        <w:rPr>
          <w:rFonts w:asciiTheme="minorHAnsi" w:hAnsiTheme="minorHAnsi" w:cstheme="minorHAnsi"/>
          <w:szCs w:val="22"/>
        </w:rPr>
        <w:t xml:space="preserve">roject site.  </w:t>
      </w:r>
      <w:r w:rsidR="00CD2A42" w:rsidRPr="003E42DC">
        <w:rPr>
          <w:rFonts w:asciiTheme="minorHAnsi" w:hAnsiTheme="minorHAnsi" w:cstheme="minorHAnsi"/>
          <w:szCs w:val="22"/>
        </w:rPr>
        <w:t>Therefore,</w:t>
      </w:r>
      <w:r w:rsidRPr="003E42DC">
        <w:rPr>
          <w:rFonts w:asciiTheme="minorHAnsi" w:hAnsiTheme="minorHAnsi" w:cstheme="minorHAnsi"/>
          <w:szCs w:val="22"/>
        </w:rPr>
        <w:t xml:space="preserve"> the Project will not have any impacts on biological resources.</w:t>
      </w:r>
    </w:p>
    <w:p w14:paraId="4B862F58" w14:textId="1545EEAE" w:rsidR="0063177A" w:rsidRPr="003E42DC" w:rsidRDefault="003E42DC" w:rsidP="0063177A">
      <w:pPr>
        <w:pStyle w:val="FlushLeft"/>
        <w:rPr>
          <w:rFonts w:asciiTheme="minorHAnsi" w:hAnsiTheme="minorHAnsi" w:cstheme="minorHAnsi"/>
          <w:szCs w:val="22"/>
        </w:rPr>
      </w:pPr>
      <w:r w:rsidRPr="003E42DC">
        <w:rPr>
          <w:rFonts w:asciiTheme="minorHAnsi" w:hAnsiTheme="minorHAnsi" w:cstheme="minorHAnsi"/>
          <w:szCs w:val="22"/>
        </w:rPr>
        <w:t xml:space="preserve">A records search for the </w:t>
      </w:r>
      <w:r>
        <w:rPr>
          <w:rFonts w:asciiTheme="minorHAnsi" w:hAnsiTheme="minorHAnsi" w:cstheme="minorHAnsi"/>
          <w:szCs w:val="22"/>
        </w:rPr>
        <w:t>P</w:t>
      </w:r>
      <w:r w:rsidRPr="003E42DC">
        <w:rPr>
          <w:rFonts w:asciiTheme="minorHAnsi" w:hAnsiTheme="minorHAnsi" w:cstheme="minorHAnsi"/>
          <w:szCs w:val="22"/>
        </w:rPr>
        <w:t xml:space="preserve">roject site and a 0.5-mile radius beyond the </w:t>
      </w:r>
      <w:r w:rsidR="00DE505E">
        <w:rPr>
          <w:rFonts w:asciiTheme="minorHAnsi" w:hAnsiTheme="minorHAnsi" w:cstheme="minorHAnsi"/>
          <w:szCs w:val="22"/>
        </w:rPr>
        <w:t>P</w:t>
      </w:r>
      <w:r w:rsidRPr="003E42DC">
        <w:rPr>
          <w:rFonts w:asciiTheme="minorHAnsi" w:hAnsiTheme="minorHAnsi" w:cstheme="minorHAnsi"/>
          <w:szCs w:val="22"/>
        </w:rPr>
        <w:t>roject boundaries was conducted at the SCCIC located at California State University, Fullerton</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The current inventories of the NRHP, the CRHR, the CHL list, the CPHI list, and the California BERD for Los Angeles County were also reviewed to deter</w:t>
      </w:r>
      <w:r>
        <w:rPr>
          <w:rFonts w:asciiTheme="minorHAnsi" w:hAnsiTheme="minorHAnsi" w:cstheme="minorHAnsi"/>
          <w:szCs w:val="22"/>
        </w:rPr>
        <w:t>m</w:t>
      </w:r>
      <w:r w:rsidRPr="003E42DC">
        <w:rPr>
          <w:rFonts w:asciiTheme="minorHAnsi" w:hAnsiTheme="minorHAnsi" w:cstheme="minorHAnsi"/>
          <w:szCs w:val="22"/>
        </w:rPr>
        <w:t xml:space="preserve">ine the existence of previously documented local historical resources.  The results of the records search indicate that two historic resources have been recorded within 0.5-mile of the </w:t>
      </w:r>
      <w:r w:rsidR="00DE505E">
        <w:rPr>
          <w:rFonts w:asciiTheme="minorHAnsi" w:hAnsiTheme="minorHAnsi" w:cstheme="minorHAnsi"/>
          <w:szCs w:val="22"/>
        </w:rPr>
        <w:t>P</w:t>
      </w:r>
      <w:r w:rsidRPr="003E42DC">
        <w:rPr>
          <w:rFonts w:asciiTheme="minorHAnsi" w:hAnsiTheme="minorHAnsi" w:cstheme="minorHAnsi"/>
          <w:szCs w:val="22"/>
        </w:rPr>
        <w:t>roject site</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None of which are located within the </w:t>
      </w:r>
      <w:r w:rsidR="00DE505E">
        <w:rPr>
          <w:rFonts w:asciiTheme="minorHAnsi" w:hAnsiTheme="minorHAnsi" w:cstheme="minorHAnsi"/>
          <w:szCs w:val="22"/>
        </w:rPr>
        <w:t>P</w:t>
      </w:r>
      <w:r w:rsidRPr="003E42DC">
        <w:rPr>
          <w:rFonts w:asciiTheme="minorHAnsi" w:hAnsiTheme="minorHAnsi" w:cstheme="minorHAnsi"/>
          <w:szCs w:val="22"/>
        </w:rPr>
        <w:t xml:space="preserve">roject boundaries.  There are also seven area-specific survey reports on file within the 0.5-mile radius; one report (LA-11993) addresses the </w:t>
      </w:r>
      <w:r w:rsidR="00DE505E">
        <w:rPr>
          <w:rFonts w:asciiTheme="minorHAnsi" w:hAnsiTheme="minorHAnsi" w:cstheme="minorHAnsi"/>
          <w:szCs w:val="22"/>
        </w:rPr>
        <w:t>P</w:t>
      </w:r>
      <w:r w:rsidRPr="003E42DC">
        <w:rPr>
          <w:rFonts w:asciiTheme="minorHAnsi" w:hAnsiTheme="minorHAnsi" w:cstheme="minorHAnsi"/>
          <w:szCs w:val="22"/>
        </w:rPr>
        <w:t>roject site, and two reports (LA-08255 and LA-04834) are immediately south of the project boundaries</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These reports indicate that the </w:t>
      </w:r>
      <w:r w:rsidR="00DE505E">
        <w:rPr>
          <w:rFonts w:asciiTheme="minorHAnsi" w:hAnsiTheme="minorHAnsi" w:cstheme="minorHAnsi"/>
          <w:szCs w:val="22"/>
        </w:rPr>
        <w:t>P</w:t>
      </w:r>
      <w:r w:rsidRPr="003E42DC">
        <w:rPr>
          <w:rFonts w:asciiTheme="minorHAnsi" w:hAnsiTheme="minorHAnsi" w:cstheme="minorHAnsi"/>
          <w:szCs w:val="22"/>
        </w:rPr>
        <w:t xml:space="preserve">roject site and the surrounding area have previously been surveyed for cultural resources.  The results of the surveys did not identify any cultural resources.  Therefore, the </w:t>
      </w:r>
      <w:r w:rsidR="00DE505E">
        <w:rPr>
          <w:rFonts w:asciiTheme="minorHAnsi" w:hAnsiTheme="minorHAnsi" w:cstheme="minorHAnsi"/>
          <w:szCs w:val="22"/>
        </w:rPr>
        <w:t>P</w:t>
      </w:r>
      <w:r w:rsidRPr="003E42DC">
        <w:rPr>
          <w:rFonts w:asciiTheme="minorHAnsi" w:hAnsiTheme="minorHAnsi" w:cstheme="minorHAnsi"/>
          <w:szCs w:val="22"/>
        </w:rPr>
        <w:t>roject will not result in any cultural resource impacts.</w:t>
      </w:r>
    </w:p>
    <w:p w14:paraId="065B1BF5" w14:textId="0541A7AC" w:rsidR="003E42DC" w:rsidRDefault="00DE505E" w:rsidP="0063177A">
      <w:pPr>
        <w:pStyle w:val="FlushLeft"/>
        <w:rPr>
          <w:rFonts w:asciiTheme="minorHAnsi" w:hAnsiTheme="minorHAnsi" w:cstheme="minorHAnsi"/>
          <w:szCs w:val="22"/>
        </w:rPr>
      </w:pPr>
      <w:r>
        <w:rPr>
          <w:rFonts w:asciiTheme="minorHAnsi" w:hAnsiTheme="minorHAnsi" w:cstheme="minorHAnsi"/>
          <w:szCs w:val="22"/>
        </w:rPr>
        <w:t>Th</w:t>
      </w:r>
      <w:r w:rsidR="003E42DC" w:rsidRPr="003E42DC">
        <w:rPr>
          <w:rFonts w:asciiTheme="minorHAnsi" w:hAnsiTheme="minorHAnsi" w:cstheme="minorHAnsi"/>
          <w:szCs w:val="22"/>
        </w:rPr>
        <w:t>e SCAQMD recommends calculating the total greenhouse gas emissions for the construction activities, dividing it by a 30-year project life</w:t>
      </w:r>
      <w:proofErr w:type="gramStart"/>
      <w:r w:rsidR="003E42DC" w:rsidRPr="003E42DC">
        <w:rPr>
          <w:rFonts w:asciiTheme="minorHAnsi" w:hAnsiTheme="minorHAnsi" w:cstheme="minorHAnsi"/>
          <w:szCs w:val="22"/>
        </w:rPr>
        <w:t xml:space="preserve">. </w:t>
      </w:r>
      <w:proofErr w:type="gramEnd"/>
      <w:r w:rsidR="003E42DC" w:rsidRPr="003E42DC">
        <w:rPr>
          <w:rFonts w:asciiTheme="minorHAnsi" w:hAnsiTheme="minorHAnsi" w:cstheme="minorHAnsi"/>
          <w:szCs w:val="22"/>
        </w:rPr>
        <w:t>The SCAQMD has adopted interim GHG thresholds for development projects within the South Coast Air Basin</w:t>
      </w:r>
      <w:proofErr w:type="gramStart"/>
      <w:r w:rsidR="003E42DC" w:rsidRPr="003E42DC">
        <w:rPr>
          <w:rFonts w:asciiTheme="minorHAnsi" w:hAnsiTheme="minorHAnsi" w:cstheme="minorHAnsi"/>
          <w:szCs w:val="22"/>
        </w:rPr>
        <w:t xml:space="preserve">. </w:t>
      </w:r>
      <w:proofErr w:type="gramEnd"/>
      <w:r w:rsidR="003E42DC" w:rsidRPr="003E42DC">
        <w:rPr>
          <w:rFonts w:asciiTheme="minorHAnsi" w:hAnsiTheme="minorHAnsi" w:cstheme="minorHAnsi"/>
          <w:szCs w:val="22"/>
        </w:rPr>
        <w:t xml:space="preserve">According to the SCAQMD, the interim thresholds for this </w:t>
      </w:r>
      <w:r>
        <w:rPr>
          <w:rFonts w:asciiTheme="minorHAnsi" w:hAnsiTheme="minorHAnsi" w:cstheme="minorHAnsi"/>
          <w:szCs w:val="22"/>
        </w:rPr>
        <w:t>P</w:t>
      </w:r>
      <w:r w:rsidR="003E42DC" w:rsidRPr="003E42DC">
        <w:rPr>
          <w:rFonts w:asciiTheme="minorHAnsi" w:hAnsiTheme="minorHAnsi" w:cstheme="minorHAnsi"/>
          <w:szCs w:val="22"/>
        </w:rPr>
        <w:t xml:space="preserve">roject would be 10,000 MTCO2E per year.  </w:t>
      </w:r>
      <w:r>
        <w:rPr>
          <w:rFonts w:asciiTheme="minorHAnsi" w:hAnsiTheme="minorHAnsi" w:cstheme="minorHAnsi"/>
          <w:szCs w:val="22"/>
        </w:rPr>
        <w:t>The excavation and remediation of the Project site would not result anywhere near 10,000 MTCO2E per year over 30 years because the Project is only estimated to last six months and generally only involves transporting contaminated soils to the nearby Azusa landfill</w:t>
      </w:r>
      <w:proofErr w:type="gramStart"/>
      <w:r>
        <w:rPr>
          <w:rFonts w:asciiTheme="minorHAnsi" w:hAnsiTheme="minorHAnsi" w:cstheme="minorHAnsi"/>
          <w:szCs w:val="22"/>
        </w:rPr>
        <w:t xml:space="preserve">. </w:t>
      </w:r>
      <w:proofErr w:type="gramEnd"/>
      <w:r>
        <w:rPr>
          <w:rFonts w:asciiTheme="minorHAnsi" w:hAnsiTheme="minorHAnsi" w:cstheme="minorHAnsi"/>
          <w:szCs w:val="22"/>
        </w:rPr>
        <w:t>Therefore, the Project will not result in any significant GHG emissions.</w:t>
      </w:r>
    </w:p>
    <w:p w14:paraId="42CA28B5" w14:textId="23FC328C" w:rsidR="00485187" w:rsidRPr="003E42DC" w:rsidRDefault="00485187" w:rsidP="0063177A">
      <w:pPr>
        <w:pStyle w:val="FlushLeft"/>
        <w:rPr>
          <w:rFonts w:asciiTheme="minorHAnsi" w:eastAsia="ArialMT" w:hAnsiTheme="minorHAnsi" w:cstheme="minorHAnsi"/>
          <w:szCs w:val="22"/>
        </w:rPr>
      </w:pPr>
      <w:r w:rsidRPr="00485187">
        <w:rPr>
          <w:rFonts w:asciiTheme="minorHAnsi" w:eastAsia="ArialMT" w:hAnsiTheme="minorHAnsi" w:cstheme="minorHAnsi"/>
          <w:szCs w:val="22"/>
        </w:rPr>
        <w:t xml:space="preserve">The distance from the site to the landfill is approximately 26 miles, which will take approximately 45 minutes during the hours of 9:00 am to 3:00 </w:t>
      </w:r>
      <w:proofErr w:type="gramStart"/>
      <w:r w:rsidRPr="00485187">
        <w:rPr>
          <w:rFonts w:asciiTheme="minorHAnsi" w:eastAsia="ArialMT" w:hAnsiTheme="minorHAnsi" w:cstheme="minorHAnsi"/>
          <w:szCs w:val="22"/>
        </w:rPr>
        <w:t xml:space="preserve">pm. </w:t>
      </w:r>
      <w:proofErr w:type="gramEnd"/>
      <w:r w:rsidRPr="00485187">
        <w:rPr>
          <w:rFonts w:asciiTheme="minorHAnsi" w:eastAsia="ArialMT" w:hAnsiTheme="minorHAnsi" w:cstheme="minorHAnsi"/>
          <w:szCs w:val="22"/>
        </w:rPr>
        <w:t>However, during the peak driving times (7:00 am to 9:00 am), considered “rush-hour traffic,” the route will take approximately 1 hour to complete</w:t>
      </w:r>
      <w:proofErr w:type="gramStart"/>
      <w:r w:rsidRPr="00485187">
        <w:rPr>
          <w:rFonts w:asciiTheme="minorHAnsi" w:eastAsia="ArialMT" w:hAnsiTheme="minorHAnsi" w:cstheme="minorHAnsi"/>
          <w:szCs w:val="22"/>
        </w:rPr>
        <w:t xml:space="preserve">. </w:t>
      </w:r>
      <w:proofErr w:type="gramEnd"/>
      <w:r w:rsidRPr="00485187">
        <w:rPr>
          <w:rFonts w:asciiTheme="minorHAnsi" w:eastAsia="ArialMT" w:hAnsiTheme="minorHAnsi" w:cstheme="minorHAnsi"/>
          <w:szCs w:val="22"/>
        </w:rPr>
        <w:t>Approximately 20 trucks will be used daily with each truck making 3 roundtrips</w:t>
      </w:r>
      <w:proofErr w:type="gramStart"/>
      <w:r w:rsidRPr="00485187">
        <w:rPr>
          <w:rFonts w:asciiTheme="minorHAnsi" w:eastAsia="ArialMT" w:hAnsiTheme="minorHAnsi" w:cstheme="minorHAnsi"/>
          <w:szCs w:val="22"/>
        </w:rPr>
        <w:t xml:space="preserve">. </w:t>
      </w:r>
      <w:proofErr w:type="gramEnd"/>
      <w:r w:rsidRPr="00485187">
        <w:rPr>
          <w:rFonts w:asciiTheme="minorHAnsi" w:eastAsia="ArialMT" w:hAnsiTheme="minorHAnsi" w:cstheme="minorHAnsi"/>
          <w:szCs w:val="22"/>
        </w:rPr>
        <w:t xml:space="preserve">The loading and transporting of materials are anticipated to take place from 7:00 am to 3:00 pm, Monday through Friday, over a 15-week period.  Given the short distance between the Project site and the landfill and </w:t>
      </w:r>
      <w:r w:rsidRPr="00485187">
        <w:rPr>
          <w:rFonts w:asciiTheme="minorHAnsi" w:eastAsia="ArialMT" w:hAnsiTheme="minorHAnsi" w:cstheme="minorHAnsi"/>
          <w:szCs w:val="22"/>
        </w:rPr>
        <w:lastRenderedPageBreak/>
        <w:t xml:space="preserve">the relatively minimal </w:t>
      </w:r>
      <w:r w:rsidR="002D3C7F" w:rsidRPr="00485187">
        <w:rPr>
          <w:rFonts w:asciiTheme="minorHAnsi" w:eastAsia="ArialMT" w:hAnsiTheme="minorHAnsi" w:cstheme="minorHAnsi"/>
          <w:szCs w:val="22"/>
        </w:rPr>
        <w:t>number</w:t>
      </w:r>
      <w:r w:rsidRPr="00485187">
        <w:rPr>
          <w:rFonts w:asciiTheme="minorHAnsi" w:eastAsia="ArialMT" w:hAnsiTheme="minorHAnsi" w:cstheme="minorHAnsi"/>
          <w:szCs w:val="22"/>
        </w:rPr>
        <w:t xml:space="preserve"> of trips to the landfill, the Project will not result in any significant GHG emissions.</w:t>
      </w:r>
    </w:p>
    <w:p w14:paraId="385FA8AF" w14:textId="79CF6C65" w:rsidR="003E42DC" w:rsidRDefault="003E42DC" w:rsidP="0063177A">
      <w:pPr>
        <w:pStyle w:val="FlushLeft"/>
        <w:rPr>
          <w:rFonts w:asciiTheme="minorHAnsi" w:hAnsiTheme="minorHAnsi" w:cstheme="minorHAnsi"/>
          <w:szCs w:val="22"/>
        </w:rPr>
      </w:pPr>
      <w:r w:rsidRPr="003E42DC">
        <w:rPr>
          <w:rFonts w:asciiTheme="minorHAnsi" w:eastAsia="ArialMT" w:hAnsiTheme="minorHAnsi" w:cstheme="minorHAnsi"/>
          <w:szCs w:val="22"/>
        </w:rPr>
        <w:t xml:space="preserve">The </w:t>
      </w:r>
      <w:r w:rsidR="00DE505E">
        <w:rPr>
          <w:rFonts w:asciiTheme="minorHAnsi" w:eastAsia="ArialMT" w:hAnsiTheme="minorHAnsi" w:cstheme="minorHAnsi"/>
          <w:szCs w:val="22"/>
        </w:rPr>
        <w:t>P</w:t>
      </w:r>
      <w:r w:rsidRPr="003E42DC">
        <w:rPr>
          <w:rFonts w:asciiTheme="minorHAnsi" w:eastAsia="ArialMT" w:hAnsiTheme="minorHAnsi" w:cstheme="minorHAnsi"/>
          <w:szCs w:val="22"/>
        </w:rPr>
        <w:t xml:space="preserve">roject </w:t>
      </w:r>
      <w:r w:rsidR="00DE505E">
        <w:rPr>
          <w:rFonts w:asciiTheme="minorHAnsi" w:eastAsia="ArialMT" w:hAnsiTheme="minorHAnsi" w:cstheme="minorHAnsi"/>
          <w:szCs w:val="22"/>
        </w:rPr>
        <w:t xml:space="preserve">only involves remediating and excavating contaminated soil from the Project site to the Azusa landfill.  As such, the Project </w:t>
      </w:r>
      <w:r w:rsidRPr="003E42DC">
        <w:rPr>
          <w:rFonts w:asciiTheme="minorHAnsi" w:eastAsia="ArialMT" w:hAnsiTheme="minorHAnsi" w:cstheme="minorHAnsi"/>
          <w:szCs w:val="22"/>
        </w:rPr>
        <w:t xml:space="preserve">will not result in any waste water discharge or degrade ground water quality, nor will the </w:t>
      </w:r>
      <w:r w:rsidR="00DE505E">
        <w:rPr>
          <w:rFonts w:asciiTheme="minorHAnsi" w:eastAsia="ArialMT" w:hAnsiTheme="minorHAnsi" w:cstheme="minorHAnsi"/>
          <w:szCs w:val="22"/>
        </w:rPr>
        <w:t>P</w:t>
      </w:r>
      <w:r w:rsidRPr="003E42DC">
        <w:rPr>
          <w:rFonts w:asciiTheme="minorHAnsi" w:eastAsia="ArialMT" w:hAnsiTheme="minorHAnsi" w:cstheme="minorHAnsi"/>
          <w:szCs w:val="22"/>
        </w:rPr>
        <w:t xml:space="preserve">roject substantially decrease groundwater supplies or interfere with groundwater recharge.  The </w:t>
      </w:r>
      <w:r w:rsidR="00DE505E">
        <w:rPr>
          <w:rFonts w:asciiTheme="minorHAnsi" w:eastAsia="ArialMT" w:hAnsiTheme="minorHAnsi" w:cstheme="minorHAnsi"/>
          <w:szCs w:val="22"/>
        </w:rPr>
        <w:t>P</w:t>
      </w:r>
      <w:r w:rsidRPr="003E42DC">
        <w:rPr>
          <w:rFonts w:asciiTheme="minorHAnsi" w:eastAsia="ArialMT" w:hAnsiTheme="minorHAnsi" w:cstheme="minorHAnsi"/>
          <w:szCs w:val="22"/>
        </w:rPr>
        <w:t xml:space="preserve">roject will </w:t>
      </w:r>
      <w:r w:rsidR="00DE505E">
        <w:rPr>
          <w:rFonts w:asciiTheme="minorHAnsi" w:eastAsia="ArialMT" w:hAnsiTheme="minorHAnsi" w:cstheme="minorHAnsi"/>
          <w:szCs w:val="22"/>
        </w:rPr>
        <w:t xml:space="preserve">also </w:t>
      </w:r>
      <w:r w:rsidRPr="003E42DC">
        <w:rPr>
          <w:rFonts w:asciiTheme="minorHAnsi" w:eastAsia="ArialMT" w:hAnsiTheme="minorHAnsi" w:cstheme="minorHAnsi"/>
          <w:szCs w:val="22"/>
        </w:rPr>
        <w:t>not substantially alter any existing drainage pattern</w:t>
      </w:r>
      <w:proofErr w:type="gramStart"/>
      <w:r w:rsidRPr="003E42DC">
        <w:rPr>
          <w:rFonts w:asciiTheme="minorHAnsi" w:eastAsia="ArialMT" w:hAnsiTheme="minorHAnsi" w:cstheme="minorHAnsi"/>
          <w:szCs w:val="22"/>
        </w:rPr>
        <w:t xml:space="preserve">. </w:t>
      </w:r>
      <w:proofErr w:type="gramEnd"/>
      <w:r w:rsidRPr="003E42DC">
        <w:rPr>
          <w:rFonts w:asciiTheme="minorHAnsi" w:hAnsiTheme="minorHAnsi" w:cstheme="minorHAnsi"/>
          <w:szCs w:val="22"/>
        </w:rPr>
        <w:t xml:space="preserve">The </w:t>
      </w:r>
      <w:r w:rsidR="00DE505E">
        <w:rPr>
          <w:rFonts w:asciiTheme="minorHAnsi" w:hAnsiTheme="minorHAnsi" w:cstheme="minorHAnsi"/>
          <w:szCs w:val="22"/>
        </w:rPr>
        <w:t>P</w:t>
      </w:r>
      <w:r w:rsidRPr="003E42DC">
        <w:rPr>
          <w:rFonts w:asciiTheme="minorHAnsi" w:hAnsiTheme="minorHAnsi" w:cstheme="minorHAnsi"/>
          <w:szCs w:val="22"/>
        </w:rPr>
        <w:t>roject site is not located within a 100-year flood plain</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Instead, the </w:t>
      </w:r>
      <w:r w:rsidR="00DE505E">
        <w:rPr>
          <w:rFonts w:asciiTheme="minorHAnsi" w:hAnsiTheme="minorHAnsi" w:cstheme="minorHAnsi"/>
          <w:szCs w:val="22"/>
        </w:rPr>
        <w:t>P</w:t>
      </w:r>
      <w:r w:rsidRPr="003E42DC">
        <w:rPr>
          <w:rFonts w:asciiTheme="minorHAnsi" w:hAnsiTheme="minorHAnsi" w:cstheme="minorHAnsi"/>
          <w:szCs w:val="22"/>
        </w:rPr>
        <w:t>roject site has an annual probability of flooding of less than 0.2 percent and represents areas outside the 500-year flood plain</w:t>
      </w:r>
      <w:proofErr w:type="gramStart"/>
      <w:r w:rsidRPr="003E42DC">
        <w:rPr>
          <w:rFonts w:asciiTheme="minorHAnsi" w:hAnsiTheme="minorHAnsi" w:cstheme="minorHAnsi"/>
          <w:szCs w:val="22"/>
        </w:rPr>
        <w:t xml:space="preserve">. </w:t>
      </w:r>
      <w:proofErr w:type="gramEnd"/>
      <w:r w:rsidRPr="003E42DC">
        <w:rPr>
          <w:rFonts w:asciiTheme="minorHAnsi" w:hAnsiTheme="minorHAnsi" w:cstheme="minorHAnsi"/>
          <w:szCs w:val="22"/>
        </w:rPr>
        <w:t xml:space="preserve">Therefore, the </w:t>
      </w:r>
      <w:r w:rsidR="00DE505E">
        <w:rPr>
          <w:rFonts w:asciiTheme="minorHAnsi" w:hAnsiTheme="minorHAnsi" w:cstheme="minorHAnsi"/>
          <w:szCs w:val="22"/>
        </w:rPr>
        <w:t>P</w:t>
      </w:r>
      <w:r w:rsidRPr="003E42DC">
        <w:rPr>
          <w:rFonts w:asciiTheme="minorHAnsi" w:hAnsiTheme="minorHAnsi" w:cstheme="minorHAnsi"/>
          <w:szCs w:val="22"/>
        </w:rPr>
        <w:t>roject will not have any hydrology impacts.</w:t>
      </w:r>
    </w:p>
    <w:p w14:paraId="2C233624" w14:textId="77777777" w:rsidR="00DE505E" w:rsidRDefault="00DE505E" w:rsidP="0063177A">
      <w:pPr>
        <w:pStyle w:val="FlushLeft"/>
        <w:rPr>
          <w:rFonts w:asciiTheme="minorHAnsi" w:hAnsiTheme="minorHAnsi" w:cstheme="minorHAnsi"/>
          <w:szCs w:val="22"/>
        </w:rPr>
      </w:pPr>
    </w:p>
    <w:p w14:paraId="5DB3286D" w14:textId="23018C57" w:rsidR="0063177A" w:rsidRPr="0063177A" w:rsidRDefault="0063177A" w:rsidP="0063177A">
      <w:pPr>
        <w:pStyle w:val="Heading2"/>
      </w:pPr>
      <w:bookmarkStart w:id="26" w:name="_bookmark13"/>
      <w:bookmarkStart w:id="27" w:name="_Toc111461795"/>
      <w:bookmarkEnd w:id="26"/>
      <w:r w:rsidRPr="0063177A">
        <w:t>References</w:t>
      </w:r>
      <w:bookmarkEnd w:id="27"/>
    </w:p>
    <w:p w14:paraId="3D22CEBD" w14:textId="77777777" w:rsidR="0063177A" w:rsidRPr="0063177A" w:rsidRDefault="0063177A" w:rsidP="0063177A">
      <w:pPr>
        <w:pStyle w:val="FlushLeft"/>
      </w:pPr>
      <w:r w:rsidRPr="0063177A">
        <w:t>Google Maps</w:t>
      </w:r>
      <w:proofErr w:type="gramStart"/>
      <w:r w:rsidRPr="0063177A">
        <w:t xml:space="preserve">. </w:t>
      </w:r>
      <w:proofErr w:type="gramEnd"/>
      <w:r w:rsidRPr="0063177A">
        <w:t xml:space="preserve">Website accessed on February 22, </w:t>
      </w:r>
      <w:proofErr w:type="gramStart"/>
      <w:r w:rsidRPr="0063177A">
        <w:t>2022</w:t>
      </w:r>
      <w:proofErr w:type="gramEnd"/>
      <w:r w:rsidRPr="0063177A">
        <w:t xml:space="preserve"> and Site Surveys conducted by Blodgett Baylosis Environmental Planning.</w:t>
      </w:r>
    </w:p>
    <w:p w14:paraId="7B620D23" w14:textId="59EEC6DC" w:rsidR="0063177A" w:rsidRPr="0063177A" w:rsidRDefault="0063177A" w:rsidP="0063177A">
      <w:pPr>
        <w:pStyle w:val="FlushLeft"/>
      </w:pPr>
      <w:r w:rsidRPr="0063177A">
        <w:t>California Department of Toxic Substances Control (DTSC)</w:t>
      </w:r>
      <w:proofErr w:type="gramStart"/>
      <w:r w:rsidRPr="0063177A">
        <w:t xml:space="preserve">. </w:t>
      </w:r>
      <w:proofErr w:type="gramEnd"/>
      <w:r w:rsidRPr="0063177A">
        <w:t>2019a. EnviroStor</w:t>
      </w:r>
      <w:proofErr w:type="gramStart"/>
      <w:r w:rsidRPr="0063177A">
        <w:t xml:space="preserve">. </w:t>
      </w:r>
      <w:proofErr w:type="gramEnd"/>
      <w:r w:rsidRPr="0063177A">
        <w:t>https://www.envirostor.dtsc.ca.gov/public/</w:t>
      </w:r>
      <w:proofErr w:type="gramStart"/>
      <w:r w:rsidRPr="0063177A">
        <w:t xml:space="preserve">. </w:t>
      </w:r>
      <w:proofErr w:type="gramEnd"/>
      <w:r w:rsidRPr="0063177A">
        <w:t>(accessed February 2019).</w:t>
      </w:r>
      <w:r w:rsidRPr="0063177A">
        <w:br/>
        <w:t>2019b.</w:t>
      </w:r>
    </w:p>
    <w:p w14:paraId="7B9EE7CE" w14:textId="77777777" w:rsidR="0063177A" w:rsidRPr="0063177A" w:rsidRDefault="0063177A" w:rsidP="0063177A">
      <w:pPr>
        <w:pStyle w:val="FlushLeft"/>
      </w:pPr>
      <w:r w:rsidRPr="0063177A">
        <w:rPr>
          <w:i/>
          <w:iCs/>
        </w:rPr>
        <w:t>Hazardous Waste and Substances Site List (Cortese List)</w:t>
      </w:r>
      <w:proofErr w:type="gramStart"/>
      <w:r w:rsidRPr="0063177A">
        <w:t xml:space="preserve">. </w:t>
      </w:r>
      <w:proofErr w:type="gramEnd"/>
      <w:r w:rsidRPr="0063177A">
        <w:t xml:space="preserve">http://www.dtsc.ca.gov/SiteCleanup/ </w:t>
      </w:r>
      <w:proofErr w:type="spellStart"/>
      <w:r w:rsidRPr="0063177A">
        <w:t>Cortese_List.cfm</w:t>
      </w:r>
      <w:proofErr w:type="spellEnd"/>
      <w:proofErr w:type="gramStart"/>
      <w:r w:rsidRPr="0063177A">
        <w:t xml:space="preserve">. </w:t>
      </w:r>
      <w:proofErr w:type="gramEnd"/>
      <w:r w:rsidRPr="0063177A">
        <w:t>(accessed February 2019).</w:t>
      </w:r>
    </w:p>
    <w:p w14:paraId="1A2FBFDA" w14:textId="77777777" w:rsidR="0063177A" w:rsidRPr="0063177A" w:rsidRDefault="0063177A" w:rsidP="0063177A">
      <w:pPr>
        <w:pStyle w:val="FlushLeft"/>
      </w:pPr>
      <w:r w:rsidRPr="0063177A">
        <w:t>United States Geological Survey</w:t>
      </w:r>
      <w:proofErr w:type="gramStart"/>
      <w:r w:rsidRPr="0063177A">
        <w:t xml:space="preserve">. </w:t>
      </w:r>
      <w:proofErr w:type="gramEnd"/>
      <w:r w:rsidRPr="0063177A">
        <w:t>South Gate 7 ½ Minute Quadrangle</w:t>
      </w:r>
      <w:proofErr w:type="gramStart"/>
      <w:r w:rsidRPr="0063177A">
        <w:t xml:space="preserve">. </w:t>
      </w:r>
      <w:proofErr w:type="gramEnd"/>
      <w:r w:rsidRPr="0063177A">
        <w:t>1994.</w:t>
      </w:r>
    </w:p>
    <w:p w14:paraId="34DFC4F8" w14:textId="77777777" w:rsidR="0063177A" w:rsidRPr="0063177A" w:rsidRDefault="0063177A" w:rsidP="0063177A">
      <w:pPr>
        <w:pStyle w:val="FlushLeft"/>
      </w:pPr>
      <w:r w:rsidRPr="0063177A">
        <w:t>Los Angeles County Department of Public Works</w:t>
      </w:r>
      <w:proofErr w:type="gramStart"/>
      <w:r w:rsidRPr="0063177A">
        <w:t xml:space="preserve">. </w:t>
      </w:r>
      <w:proofErr w:type="gramEnd"/>
      <w:r w:rsidRPr="0063177A">
        <w:t>Flood Zone Determination Website</w:t>
      </w:r>
      <w:proofErr w:type="gramStart"/>
      <w:r w:rsidRPr="0063177A">
        <w:t xml:space="preserve">. </w:t>
      </w:r>
      <w:proofErr w:type="gramEnd"/>
      <w:r w:rsidRPr="0063177A">
        <w:t>http:// dpw.lacounty.gov/</w:t>
      </w:r>
      <w:proofErr w:type="spellStart"/>
      <w:r w:rsidRPr="0063177A">
        <w:t>wmd</w:t>
      </w:r>
      <w:proofErr w:type="spellEnd"/>
      <w:r w:rsidRPr="0063177A">
        <w:t>/</w:t>
      </w:r>
      <w:proofErr w:type="spellStart"/>
      <w:r w:rsidRPr="0063177A">
        <w:t>floodzone</w:t>
      </w:r>
      <w:proofErr w:type="spellEnd"/>
      <w:r w:rsidRPr="0063177A">
        <w:t>/.</w:t>
      </w:r>
    </w:p>
    <w:p w14:paraId="07942F78" w14:textId="77777777" w:rsidR="0063177A" w:rsidRPr="0063177A" w:rsidRDefault="0063177A" w:rsidP="0063177A">
      <w:pPr>
        <w:pStyle w:val="FlushLeft"/>
      </w:pPr>
      <w:r w:rsidRPr="0063177A">
        <w:t>FEMA</w:t>
      </w:r>
      <w:proofErr w:type="gramStart"/>
      <w:r w:rsidRPr="0063177A">
        <w:t xml:space="preserve">. </w:t>
      </w:r>
      <w:proofErr w:type="gramEnd"/>
      <w:r w:rsidRPr="0063177A">
        <w:t>Flood Zones, Definition/Description</w:t>
      </w:r>
      <w:proofErr w:type="gramStart"/>
      <w:r w:rsidRPr="0063177A">
        <w:t xml:space="preserve">. </w:t>
      </w:r>
      <w:proofErr w:type="gramEnd"/>
      <w:r w:rsidRPr="0063177A">
        <w:t>http://www.fema.gov/floodplain-management/ flood-zones.</w:t>
      </w:r>
    </w:p>
    <w:p w14:paraId="2112A45C" w14:textId="271F0025" w:rsidR="00111D3C" w:rsidRPr="0063177A" w:rsidRDefault="0063177A" w:rsidP="005C4A71">
      <w:r w:rsidRPr="0063177A">
        <w:t>Revised Interim Measures Work Plan for Subsurface Asbestos</w:t>
      </w:r>
      <w:proofErr w:type="gramStart"/>
      <w:r w:rsidRPr="0063177A">
        <w:t xml:space="preserve">. </w:t>
      </w:r>
      <w:proofErr w:type="gramEnd"/>
      <w:r w:rsidRPr="0063177A">
        <w:rPr>
          <w:i/>
          <w:iCs/>
        </w:rPr>
        <w:t>Ardent Environmental Group, Inc.</w:t>
      </w:r>
      <w:r w:rsidRPr="0063177A">
        <w:t xml:space="preserve"> (July 1, 2022).</w:t>
      </w:r>
    </w:p>
    <w:sectPr w:rsidR="00111D3C" w:rsidRPr="0063177A" w:rsidSect="005C4A71">
      <w:headerReference w:type="default" r:id="rId24"/>
      <w:footerReference w:type="default" r:id="rId25"/>
      <w:headerReference w:type="first" r:id="rId26"/>
      <w:footerReference w:type="first" r:id="rId27"/>
      <w:pgSz w:w="12240" w:h="15840" w:code="1"/>
      <w:pgMar w:top="1440" w:right="1440" w:bottom="1440" w:left="1440" w:header="72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6B58B" w14:textId="77777777" w:rsidR="00907099" w:rsidRPr="004C1A1C" w:rsidRDefault="00907099" w:rsidP="00E53736">
      <w:pPr>
        <w:pStyle w:val="BlockText"/>
        <w:spacing w:before="0"/>
      </w:pPr>
      <w:r>
        <w:separator/>
      </w:r>
    </w:p>
  </w:endnote>
  <w:endnote w:type="continuationSeparator" w:id="0">
    <w:p w14:paraId="4936EAD5" w14:textId="77777777" w:rsidR="00907099" w:rsidRPr="004C1A1C" w:rsidRDefault="00907099" w:rsidP="00E53736">
      <w:pPr>
        <w:pStyle w:val="BlockText"/>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6FB3" w14:textId="77777777" w:rsidR="00D24AFA" w:rsidRDefault="00D24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63177A" w:rsidRPr="0063177A" w14:paraId="7DBCFE10" w14:textId="77777777" w:rsidTr="00D010FA">
      <w:tc>
        <w:tcPr>
          <w:tcW w:w="3780" w:type="dxa"/>
          <w:shd w:val="clear" w:color="auto" w:fill="auto"/>
          <w:vAlign w:val="bottom"/>
        </w:tcPr>
        <w:p w14:paraId="0DD2E5FA" w14:textId="485F81EA" w:rsidR="0063177A" w:rsidRPr="0063177A" w:rsidRDefault="0063177A" w:rsidP="0063177A">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6ECD4D48" w14:textId="77777777" w:rsidR="0063177A" w:rsidRPr="0063177A" w:rsidRDefault="0063177A" w:rsidP="0063177A">
          <w:pPr>
            <w:pStyle w:val="Footer"/>
            <w:jc w:val="center"/>
            <w:rPr>
              <w:rStyle w:val="PageNumber"/>
              <w:noProof/>
            </w:rPr>
          </w:pPr>
        </w:p>
      </w:tc>
      <w:tc>
        <w:tcPr>
          <w:tcW w:w="3780" w:type="dxa"/>
          <w:shd w:val="clear" w:color="auto" w:fill="auto"/>
          <w:vAlign w:val="bottom"/>
        </w:tcPr>
        <w:p w14:paraId="551ABC77" w14:textId="77777777" w:rsidR="0063177A" w:rsidRPr="0063177A" w:rsidRDefault="0063177A" w:rsidP="0063177A">
          <w:pPr>
            <w:pStyle w:val="Footer"/>
            <w:jc w:val="right"/>
            <w:rPr>
              <w:rStyle w:val="FooterTxt"/>
              <w:rFonts w:ascii="Century Gothic" w:hAnsi="Century Gothic"/>
              <w:noProof/>
              <w:sz w:val="18"/>
              <w:szCs w:val="18"/>
            </w:rPr>
          </w:pPr>
          <w:r w:rsidRPr="0063177A">
            <w:rPr>
              <w:rStyle w:val="FooterTxt"/>
              <w:rFonts w:ascii="Century Gothic" w:hAnsi="Century Gothic"/>
              <w:noProof/>
              <w:sz w:val="18"/>
              <w:szCs w:val="18"/>
            </w:rPr>
            <w:fldChar w:fldCharType="begin"/>
          </w:r>
          <w:r w:rsidRPr="0063177A">
            <w:rPr>
              <w:rStyle w:val="FooterTxt"/>
              <w:rFonts w:ascii="Century Gothic" w:hAnsi="Century Gothic"/>
              <w:noProof/>
              <w:sz w:val="18"/>
              <w:szCs w:val="18"/>
            </w:rPr>
            <w:instrText xml:space="preserve"> PAGE   \* MERGEFORMAT </w:instrText>
          </w:r>
          <w:r w:rsidRPr="0063177A">
            <w:rPr>
              <w:rStyle w:val="FooterTxt"/>
              <w:rFonts w:ascii="Century Gothic" w:hAnsi="Century Gothic"/>
              <w:noProof/>
              <w:sz w:val="18"/>
              <w:szCs w:val="18"/>
            </w:rPr>
            <w:fldChar w:fldCharType="separate"/>
          </w:r>
          <w:r w:rsidRPr="0063177A">
            <w:rPr>
              <w:rStyle w:val="FooterTxt"/>
              <w:rFonts w:ascii="Century Gothic" w:hAnsi="Century Gothic"/>
              <w:noProof/>
              <w:sz w:val="18"/>
              <w:szCs w:val="18"/>
            </w:rPr>
            <w:t>1</w:t>
          </w:r>
          <w:r w:rsidRPr="0063177A">
            <w:rPr>
              <w:rStyle w:val="FooterTxt"/>
              <w:rFonts w:ascii="Century Gothic" w:hAnsi="Century Gothic"/>
              <w:noProof/>
              <w:sz w:val="18"/>
              <w:szCs w:val="18"/>
            </w:rPr>
            <w:fldChar w:fldCharType="end"/>
          </w:r>
        </w:p>
      </w:tc>
    </w:tr>
  </w:tbl>
  <w:p w14:paraId="045B6C8C" w14:textId="77777777" w:rsidR="002755C5" w:rsidRPr="00C01183" w:rsidRDefault="002755C5" w:rsidP="00C01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E619" w14:textId="4D36AD6E" w:rsidR="005C4A71" w:rsidRDefault="005C4A71">
    <w:pPr>
      <w:pStyle w:val="Footer"/>
      <w:rPr>
        <w:rFonts w:ascii="Century Gothic" w:hAnsi="Century Gothic"/>
        <w:sz w:val="18"/>
        <w:szCs w:val="18"/>
      </w:rPr>
    </w:pPr>
    <w:r w:rsidRPr="005C4A71">
      <w:rPr>
        <w:rFonts w:ascii="Century Gothic" w:hAnsi="Century Gothic"/>
        <w:sz w:val="18"/>
        <w:szCs w:val="18"/>
      </w:rPr>
      <w:t>4890-6968-1710</w:t>
    </w:r>
  </w:p>
  <w:p w14:paraId="45A8297B" w14:textId="77777777" w:rsidR="005C4A71" w:rsidRPr="005C4A71" w:rsidRDefault="005C4A71">
    <w:pPr>
      <w:pStyle w:val="Footer"/>
      <w:rPr>
        <w:rFonts w:ascii="Century Gothic" w:hAnsi="Century Gothic"/>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5C4A71" w:rsidRPr="0063177A" w14:paraId="726D5DE9" w14:textId="77777777" w:rsidTr="0063177A">
      <w:tc>
        <w:tcPr>
          <w:tcW w:w="3780" w:type="dxa"/>
          <w:shd w:val="clear" w:color="auto" w:fill="auto"/>
          <w:vAlign w:val="bottom"/>
        </w:tcPr>
        <w:p w14:paraId="53E77C1F" w14:textId="77777777" w:rsidR="005C4A71" w:rsidRPr="0063177A" w:rsidRDefault="005C4A71" w:rsidP="0063177A">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72918F85" w14:textId="77777777" w:rsidR="005C4A71" w:rsidRPr="0063177A" w:rsidRDefault="005C4A71" w:rsidP="00C01183">
          <w:pPr>
            <w:pStyle w:val="Footer"/>
            <w:jc w:val="center"/>
            <w:rPr>
              <w:rStyle w:val="PageNumber"/>
              <w:noProof/>
            </w:rPr>
          </w:pPr>
        </w:p>
      </w:tc>
      <w:tc>
        <w:tcPr>
          <w:tcW w:w="3780" w:type="dxa"/>
          <w:shd w:val="clear" w:color="auto" w:fill="auto"/>
          <w:vAlign w:val="bottom"/>
        </w:tcPr>
        <w:p w14:paraId="553BCE7C" w14:textId="77777777" w:rsidR="005C4A71" w:rsidRPr="0063177A" w:rsidRDefault="005C4A71" w:rsidP="00C01183">
          <w:pPr>
            <w:pStyle w:val="Footer"/>
            <w:jc w:val="right"/>
            <w:rPr>
              <w:rStyle w:val="FooterTxt"/>
              <w:rFonts w:ascii="Century Gothic" w:hAnsi="Century Gothic"/>
              <w:noProof/>
              <w:sz w:val="18"/>
              <w:szCs w:val="18"/>
            </w:rPr>
          </w:pPr>
          <w:r w:rsidRPr="0063177A">
            <w:rPr>
              <w:rStyle w:val="FooterTxt"/>
              <w:rFonts w:ascii="Century Gothic" w:hAnsi="Century Gothic"/>
              <w:noProof/>
              <w:sz w:val="18"/>
              <w:szCs w:val="18"/>
            </w:rPr>
            <w:fldChar w:fldCharType="begin"/>
          </w:r>
          <w:r w:rsidRPr="0063177A">
            <w:rPr>
              <w:rStyle w:val="FooterTxt"/>
              <w:rFonts w:ascii="Century Gothic" w:hAnsi="Century Gothic"/>
              <w:noProof/>
              <w:sz w:val="18"/>
              <w:szCs w:val="18"/>
            </w:rPr>
            <w:instrText xml:space="preserve"> PAGE   \* MERGEFORMAT </w:instrText>
          </w:r>
          <w:r w:rsidRPr="0063177A">
            <w:rPr>
              <w:rStyle w:val="FooterTxt"/>
              <w:rFonts w:ascii="Century Gothic" w:hAnsi="Century Gothic"/>
              <w:noProof/>
              <w:sz w:val="18"/>
              <w:szCs w:val="18"/>
            </w:rPr>
            <w:fldChar w:fldCharType="separate"/>
          </w:r>
          <w:r w:rsidRPr="0063177A">
            <w:rPr>
              <w:rStyle w:val="FooterTxt"/>
              <w:rFonts w:ascii="Century Gothic" w:hAnsi="Century Gothic"/>
              <w:noProof/>
              <w:sz w:val="18"/>
              <w:szCs w:val="18"/>
            </w:rPr>
            <w:t>1</w:t>
          </w:r>
          <w:r w:rsidRPr="0063177A">
            <w:rPr>
              <w:rStyle w:val="FooterTxt"/>
              <w:rFonts w:ascii="Century Gothic" w:hAnsi="Century Gothic"/>
              <w:noProof/>
              <w:sz w:val="18"/>
              <w:szCs w:val="18"/>
            </w:rPr>
            <w:fldChar w:fldCharType="end"/>
          </w:r>
        </w:p>
      </w:tc>
    </w:tr>
  </w:tbl>
  <w:p w14:paraId="68B89EF1" w14:textId="77777777" w:rsidR="005C4A71" w:rsidRPr="00C01183" w:rsidRDefault="005C4A71" w:rsidP="00C011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5C4A71" w:rsidRPr="0063177A" w14:paraId="4CFF9F83" w14:textId="77777777" w:rsidTr="00D010FA">
      <w:tc>
        <w:tcPr>
          <w:tcW w:w="3780" w:type="dxa"/>
          <w:shd w:val="clear" w:color="auto" w:fill="auto"/>
          <w:vAlign w:val="bottom"/>
        </w:tcPr>
        <w:p w14:paraId="01400F99" w14:textId="77777777" w:rsidR="005C4A71" w:rsidRPr="0063177A" w:rsidRDefault="005C4A71" w:rsidP="005C4A71">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11A3152F" w14:textId="77777777" w:rsidR="005C4A71" w:rsidRPr="0063177A" w:rsidRDefault="005C4A71" w:rsidP="005C4A71">
          <w:pPr>
            <w:pStyle w:val="Footer"/>
            <w:jc w:val="center"/>
            <w:rPr>
              <w:rStyle w:val="PageNumber"/>
              <w:noProof/>
            </w:rPr>
          </w:pPr>
        </w:p>
      </w:tc>
      <w:tc>
        <w:tcPr>
          <w:tcW w:w="3780" w:type="dxa"/>
          <w:shd w:val="clear" w:color="auto" w:fill="auto"/>
          <w:vAlign w:val="bottom"/>
        </w:tcPr>
        <w:p w14:paraId="3870732F" w14:textId="77777777" w:rsidR="005C4A71" w:rsidRPr="0063177A" w:rsidRDefault="005C4A71" w:rsidP="005C4A71">
          <w:pPr>
            <w:pStyle w:val="Footer"/>
            <w:jc w:val="right"/>
            <w:rPr>
              <w:rStyle w:val="FooterTxt"/>
              <w:rFonts w:ascii="Century Gothic" w:hAnsi="Century Gothic"/>
              <w:noProof/>
              <w:sz w:val="18"/>
              <w:szCs w:val="18"/>
            </w:rPr>
          </w:pPr>
          <w:r w:rsidRPr="0063177A">
            <w:rPr>
              <w:rStyle w:val="FooterTxt"/>
              <w:rFonts w:ascii="Century Gothic" w:hAnsi="Century Gothic"/>
              <w:noProof/>
              <w:sz w:val="18"/>
              <w:szCs w:val="18"/>
            </w:rPr>
            <w:fldChar w:fldCharType="begin"/>
          </w:r>
          <w:r w:rsidRPr="0063177A">
            <w:rPr>
              <w:rStyle w:val="FooterTxt"/>
              <w:rFonts w:ascii="Century Gothic" w:hAnsi="Century Gothic"/>
              <w:noProof/>
              <w:sz w:val="18"/>
              <w:szCs w:val="18"/>
            </w:rPr>
            <w:instrText xml:space="preserve"> PAGE   \* MERGEFORMAT </w:instrText>
          </w:r>
          <w:r w:rsidRPr="0063177A">
            <w:rPr>
              <w:rStyle w:val="FooterTxt"/>
              <w:rFonts w:ascii="Century Gothic" w:hAnsi="Century Gothic"/>
              <w:noProof/>
              <w:sz w:val="18"/>
              <w:szCs w:val="18"/>
            </w:rPr>
            <w:fldChar w:fldCharType="separate"/>
          </w:r>
          <w:r w:rsidRPr="0063177A">
            <w:rPr>
              <w:rStyle w:val="FooterTxt"/>
              <w:rFonts w:ascii="Century Gothic" w:hAnsi="Century Gothic"/>
              <w:noProof/>
              <w:sz w:val="18"/>
              <w:szCs w:val="18"/>
            </w:rPr>
            <w:t>1</w:t>
          </w:r>
          <w:r w:rsidRPr="0063177A">
            <w:rPr>
              <w:rStyle w:val="FooterTxt"/>
              <w:rFonts w:ascii="Century Gothic" w:hAnsi="Century Gothic"/>
              <w:noProof/>
              <w:sz w:val="18"/>
              <w:szCs w:val="18"/>
            </w:rPr>
            <w:fldChar w:fldCharType="end"/>
          </w:r>
        </w:p>
      </w:tc>
    </w:tr>
  </w:tbl>
  <w:p w14:paraId="671CD016" w14:textId="77777777" w:rsidR="005C4A71" w:rsidRPr="00C01183" w:rsidRDefault="005C4A71" w:rsidP="005C4A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5C4A71" w:rsidRPr="0063177A" w14:paraId="5E5BC276" w14:textId="77777777" w:rsidTr="00D010FA">
      <w:tc>
        <w:tcPr>
          <w:tcW w:w="3780" w:type="dxa"/>
          <w:shd w:val="clear" w:color="auto" w:fill="auto"/>
          <w:vAlign w:val="bottom"/>
        </w:tcPr>
        <w:p w14:paraId="134E8BAA" w14:textId="77777777" w:rsidR="005C4A71" w:rsidRPr="0063177A" w:rsidRDefault="005C4A71" w:rsidP="005C4A71">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4750C077" w14:textId="77777777" w:rsidR="005C4A71" w:rsidRPr="0063177A" w:rsidRDefault="005C4A71" w:rsidP="005C4A71">
          <w:pPr>
            <w:pStyle w:val="Footer"/>
            <w:jc w:val="center"/>
            <w:rPr>
              <w:rStyle w:val="PageNumber"/>
              <w:noProof/>
            </w:rPr>
          </w:pPr>
        </w:p>
      </w:tc>
      <w:tc>
        <w:tcPr>
          <w:tcW w:w="3780" w:type="dxa"/>
          <w:shd w:val="clear" w:color="auto" w:fill="auto"/>
          <w:vAlign w:val="bottom"/>
        </w:tcPr>
        <w:p w14:paraId="7FF4688C" w14:textId="41B2390C" w:rsidR="005C4A71" w:rsidRPr="0063177A" w:rsidRDefault="005C4A71" w:rsidP="005C4A71">
          <w:pPr>
            <w:pStyle w:val="Footer"/>
            <w:jc w:val="right"/>
            <w:rPr>
              <w:rStyle w:val="FooterTxt"/>
              <w:rFonts w:ascii="Century Gothic" w:hAnsi="Century Gothic"/>
              <w:noProof/>
              <w:sz w:val="18"/>
              <w:szCs w:val="18"/>
            </w:rPr>
          </w:pPr>
        </w:p>
      </w:tc>
    </w:tr>
  </w:tbl>
  <w:p w14:paraId="00878E22" w14:textId="77777777" w:rsidR="005C4A71" w:rsidRPr="00C01183" w:rsidRDefault="005C4A71" w:rsidP="005C4A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5C4A71" w:rsidRPr="0063177A" w14:paraId="4C2DA93A" w14:textId="77777777" w:rsidTr="00D010FA">
      <w:tc>
        <w:tcPr>
          <w:tcW w:w="3780" w:type="dxa"/>
          <w:shd w:val="clear" w:color="auto" w:fill="auto"/>
          <w:vAlign w:val="bottom"/>
        </w:tcPr>
        <w:p w14:paraId="65AA656C" w14:textId="77777777" w:rsidR="005C4A71" w:rsidRPr="0063177A" w:rsidRDefault="005C4A71" w:rsidP="005C4A71">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5501D113" w14:textId="77777777" w:rsidR="005C4A71" w:rsidRPr="0063177A" w:rsidRDefault="005C4A71" w:rsidP="005C4A71">
          <w:pPr>
            <w:pStyle w:val="Footer"/>
            <w:jc w:val="center"/>
            <w:rPr>
              <w:rStyle w:val="PageNumber"/>
              <w:noProof/>
            </w:rPr>
          </w:pPr>
        </w:p>
      </w:tc>
      <w:tc>
        <w:tcPr>
          <w:tcW w:w="3780" w:type="dxa"/>
          <w:shd w:val="clear" w:color="auto" w:fill="auto"/>
          <w:vAlign w:val="bottom"/>
        </w:tcPr>
        <w:p w14:paraId="41BEB4DF" w14:textId="77777777" w:rsidR="005C4A71" w:rsidRPr="0063177A" w:rsidRDefault="005C4A71" w:rsidP="005C4A71">
          <w:pPr>
            <w:pStyle w:val="Footer"/>
            <w:jc w:val="right"/>
            <w:rPr>
              <w:rStyle w:val="FooterTxt"/>
              <w:rFonts w:ascii="Century Gothic" w:hAnsi="Century Gothic"/>
              <w:noProof/>
              <w:sz w:val="18"/>
              <w:szCs w:val="18"/>
            </w:rPr>
          </w:pPr>
          <w:r w:rsidRPr="0063177A">
            <w:rPr>
              <w:rStyle w:val="FooterTxt"/>
              <w:rFonts w:ascii="Century Gothic" w:hAnsi="Century Gothic"/>
              <w:noProof/>
              <w:sz w:val="18"/>
              <w:szCs w:val="18"/>
            </w:rPr>
            <w:fldChar w:fldCharType="begin"/>
          </w:r>
          <w:r w:rsidRPr="0063177A">
            <w:rPr>
              <w:rStyle w:val="FooterTxt"/>
              <w:rFonts w:ascii="Century Gothic" w:hAnsi="Century Gothic"/>
              <w:noProof/>
              <w:sz w:val="18"/>
              <w:szCs w:val="18"/>
            </w:rPr>
            <w:instrText xml:space="preserve"> PAGE   \* MERGEFORMAT </w:instrText>
          </w:r>
          <w:r w:rsidRPr="0063177A">
            <w:rPr>
              <w:rStyle w:val="FooterTxt"/>
              <w:rFonts w:ascii="Century Gothic" w:hAnsi="Century Gothic"/>
              <w:noProof/>
              <w:sz w:val="18"/>
              <w:szCs w:val="18"/>
            </w:rPr>
            <w:fldChar w:fldCharType="separate"/>
          </w:r>
          <w:r w:rsidRPr="0063177A">
            <w:rPr>
              <w:rStyle w:val="FooterTxt"/>
              <w:rFonts w:ascii="Century Gothic" w:hAnsi="Century Gothic"/>
              <w:noProof/>
              <w:sz w:val="18"/>
              <w:szCs w:val="18"/>
            </w:rPr>
            <w:t>1</w:t>
          </w:r>
          <w:r w:rsidRPr="0063177A">
            <w:rPr>
              <w:rStyle w:val="FooterTxt"/>
              <w:rFonts w:ascii="Century Gothic" w:hAnsi="Century Gothic"/>
              <w:noProof/>
              <w:sz w:val="18"/>
              <w:szCs w:val="18"/>
            </w:rPr>
            <w:fldChar w:fldCharType="end"/>
          </w:r>
        </w:p>
      </w:tc>
    </w:tr>
  </w:tbl>
  <w:p w14:paraId="0EC1E439" w14:textId="77777777" w:rsidR="005C4A71" w:rsidRPr="00C01183" w:rsidRDefault="005C4A71" w:rsidP="005C4A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4" w:space="0" w:color="auto"/>
      </w:tblBorders>
      <w:tblLayout w:type="fixed"/>
      <w:tblCellMar>
        <w:left w:w="0" w:type="dxa"/>
        <w:right w:w="0" w:type="dxa"/>
      </w:tblCellMar>
      <w:tblLook w:val="0000" w:firstRow="0" w:lastRow="0" w:firstColumn="0" w:lastColumn="0" w:noHBand="0" w:noVBand="0"/>
    </w:tblPr>
    <w:tblGrid>
      <w:gridCol w:w="3780"/>
      <w:gridCol w:w="1800"/>
      <w:gridCol w:w="3780"/>
    </w:tblGrid>
    <w:tr w:rsidR="005C4A71" w:rsidRPr="0063177A" w14:paraId="5AC7E292" w14:textId="77777777" w:rsidTr="00D010FA">
      <w:tc>
        <w:tcPr>
          <w:tcW w:w="3780" w:type="dxa"/>
          <w:shd w:val="clear" w:color="auto" w:fill="auto"/>
          <w:vAlign w:val="bottom"/>
        </w:tcPr>
        <w:p w14:paraId="04FE8AEC" w14:textId="77777777" w:rsidR="005C4A71" w:rsidRPr="0063177A" w:rsidRDefault="005C4A71" w:rsidP="005C4A71">
          <w:pPr>
            <w:pStyle w:val="Footer"/>
            <w:spacing w:before="240"/>
            <w:rPr>
              <w:rStyle w:val="FooterTxt"/>
              <w:rFonts w:ascii="Century Gothic" w:hAnsi="Century Gothic"/>
              <w:noProof/>
              <w:sz w:val="18"/>
              <w:szCs w:val="18"/>
            </w:rPr>
          </w:pPr>
          <w:r w:rsidRPr="0063177A">
            <w:rPr>
              <w:rStyle w:val="FooterTxt"/>
              <w:rFonts w:ascii="Century Gothic" w:hAnsi="Century Gothic"/>
              <w:noProof/>
              <w:sz w:val="18"/>
              <w:szCs w:val="18"/>
            </w:rPr>
            <w:t>CEQA Exemption Report</w:t>
          </w:r>
        </w:p>
      </w:tc>
      <w:tc>
        <w:tcPr>
          <w:tcW w:w="1800" w:type="dxa"/>
          <w:shd w:val="clear" w:color="auto" w:fill="auto"/>
          <w:vAlign w:val="bottom"/>
        </w:tcPr>
        <w:p w14:paraId="34243B3A" w14:textId="77777777" w:rsidR="005C4A71" w:rsidRPr="0063177A" w:rsidRDefault="005C4A71" w:rsidP="005C4A71">
          <w:pPr>
            <w:pStyle w:val="Footer"/>
            <w:jc w:val="center"/>
            <w:rPr>
              <w:rStyle w:val="PageNumber"/>
              <w:noProof/>
            </w:rPr>
          </w:pPr>
        </w:p>
      </w:tc>
      <w:tc>
        <w:tcPr>
          <w:tcW w:w="3780" w:type="dxa"/>
          <w:shd w:val="clear" w:color="auto" w:fill="auto"/>
          <w:vAlign w:val="bottom"/>
        </w:tcPr>
        <w:p w14:paraId="6D010273" w14:textId="77777777" w:rsidR="005C4A71" w:rsidRPr="0063177A" w:rsidRDefault="005C4A71" w:rsidP="005C4A71">
          <w:pPr>
            <w:pStyle w:val="Footer"/>
            <w:jc w:val="right"/>
            <w:rPr>
              <w:rStyle w:val="FooterTxt"/>
              <w:rFonts w:ascii="Century Gothic" w:hAnsi="Century Gothic"/>
              <w:noProof/>
              <w:sz w:val="18"/>
              <w:szCs w:val="18"/>
            </w:rPr>
          </w:pPr>
          <w:r w:rsidRPr="0063177A">
            <w:rPr>
              <w:rStyle w:val="FooterTxt"/>
              <w:rFonts w:ascii="Century Gothic" w:hAnsi="Century Gothic"/>
              <w:noProof/>
              <w:sz w:val="18"/>
              <w:szCs w:val="18"/>
            </w:rPr>
            <w:fldChar w:fldCharType="begin"/>
          </w:r>
          <w:r w:rsidRPr="0063177A">
            <w:rPr>
              <w:rStyle w:val="FooterTxt"/>
              <w:rFonts w:ascii="Century Gothic" w:hAnsi="Century Gothic"/>
              <w:noProof/>
              <w:sz w:val="18"/>
              <w:szCs w:val="18"/>
            </w:rPr>
            <w:instrText xml:space="preserve"> PAGE   \* MERGEFORMAT </w:instrText>
          </w:r>
          <w:r w:rsidRPr="0063177A">
            <w:rPr>
              <w:rStyle w:val="FooterTxt"/>
              <w:rFonts w:ascii="Century Gothic" w:hAnsi="Century Gothic"/>
              <w:noProof/>
              <w:sz w:val="18"/>
              <w:szCs w:val="18"/>
            </w:rPr>
            <w:fldChar w:fldCharType="separate"/>
          </w:r>
          <w:r w:rsidRPr="0063177A">
            <w:rPr>
              <w:rStyle w:val="FooterTxt"/>
              <w:rFonts w:ascii="Century Gothic" w:hAnsi="Century Gothic"/>
              <w:noProof/>
              <w:sz w:val="18"/>
              <w:szCs w:val="18"/>
            </w:rPr>
            <w:t>1</w:t>
          </w:r>
          <w:r w:rsidRPr="0063177A">
            <w:rPr>
              <w:rStyle w:val="FooterTxt"/>
              <w:rFonts w:ascii="Century Gothic" w:hAnsi="Century Gothic"/>
              <w:noProof/>
              <w:sz w:val="18"/>
              <w:szCs w:val="18"/>
            </w:rPr>
            <w:fldChar w:fldCharType="end"/>
          </w:r>
        </w:p>
      </w:tc>
    </w:tr>
  </w:tbl>
  <w:p w14:paraId="414BF15A" w14:textId="77777777" w:rsidR="005C4A71" w:rsidRPr="00C01183" w:rsidRDefault="005C4A71" w:rsidP="005C4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BCB1" w14:textId="77777777" w:rsidR="00907099" w:rsidRPr="004C1A1C" w:rsidRDefault="00907099" w:rsidP="006B667F">
      <w:r>
        <w:separator/>
      </w:r>
    </w:p>
  </w:footnote>
  <w:footnote w:type="continuationSeparator" w:id="0">
    <w:p w14:paraId="333CFA5D" w14:textId="77777777" w:rsidR="00907099" w:rsidRPr="004C1A1C" w:rsidRDefault="00907099" w:rsidP="006B667F">
      <w:r>
        <w:continuationSeparator/>
      </w:r>
    </w:p>
  </w:footnote>
  <w:footnote w:type="continuationNotice" w:id="1">
    <w:p w14:paraId="340850B6" w14:textId="77777777" w:rsidR="00907099" w:rsidRDefault="009070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DF4D" w14:textId="77777777" w:rsidR="00D24AFA" w:rsidRDefault="00D24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D01C" w14:textId="77777777" w:rsidR="0063177A" w:rsidRPr="0063177A" w:rsidRDefault="0063177A" w:rsidP="0063177A">
    <w:pPr>
      <w:pStyle w:val="Header"/>
      <w:jc w:val="right"/>
      <w:rPr>
        <w:rFonts w:ascii="Century Gothic" w:hAnsi="Century Gothic"/>
        <w:sz w:val="18"/>
        <w:szCs w:val="18"/>
      </w:rPr>
    </w:pPr>
    <w:r w:rsidRPr="0063177A">
      <w:rPr>
        <w:rFonts w:ascii="Century Gothic" w:hAnsi="Century Gothic"/>
        <w:sz w:val="18"/>
        <w:szCs w:val="18"/>
      </w:rPr>
      <w:t>Former Armstrong, Inc. Site</w:t>
    </w:r>
  </w:p>
  <w:p w14:paraId="57CDFC9E" w14:textId="77777777" w:rsidR="0063177A" w:rsidRDefault="00631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490" w14:textId="77777777" w:rsidR="00D24AFA" w:rsidRDefault="00D24A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06A9" w14:textId="77777777" w:rsidR="005C4A71" w:rsidRPr="005C4A71" w:rsidRDefault="005C4A71" w:rsidP="005C4A71">
    <w:pPr>
      <w:pStyle w:val="Header"/>
      <w:jc w:val="right"/>
      <w:rPr>
        <w:rFonts w:ascii="Century Gothic" w:hAnsi="Century Gothic"/>
        <w:b/>
        <w:bCs/>
        <w:sz w:val="18"/>
        <w:szCs w:val="18"/>
      </w:rPr>
    </w:pPr>
    <w:r w:rsidRPr="005C4A71">
      <w:rPr>
        <w:rFonts w:ascii="Century Gothic" w:hAnsi="Century Gothic"/>
        <w:b/>
        <w:bCs/>
        <w:sz w:val="18"/>
        <w:szCs w:val="18"/>
      </w:rPr>
      <w:t>Former Armstrong, Inc. Site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45B" w14:textId="77777777" w:rsidR="005C4A71" w:rsidRDefault="005C4A71">
    <w:pPr>
      <w:pStyle w:val="HeadingTitle"/>
      <w:spacing w:before="480"/>
      <w:jc w:val="right"/>
      <w:rPr>
        <w:b w:val="0"/>
      </w:rPr>
    </w:pPr>
    <w:r>
      <w:t>Page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F0A9" w14:textId="4A9E95C1" w:rsidR="005C4A71" w:rsidRPr="005C4A71" w:rsidRDefault="005C4A71" w:rsidP="005C4A71">
    <w:pPr>
      <w:pStyle w:val="Header"/>
      <w:jc w:val="right"/>
      <w:rPr>
        <w:rFonts w:ascii="Century Gothic" w:hAnsi="Century Gothic"/>
        <w:b/>
        <w:bCs/>
        <w:sz w:val="18"/>
        <w:szCs w:val="18"/>
      </w:rPr>
    </w:pPr>
    <w:r w:rsidRPr="005C4A71">
      <w:rPr>
        <w:rFonts w:ascii="Century Gothic" w:hAnsi="Century Gothic"/>
        <w:b/>
        <w:bCs/>
        <w:sz w:val="18"/>
        <w:szCs w:val="18"/>
      </w:rPr>
      <w:t>Former Armstrong, Inc. Site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9D83" w14:textId="67E005D7" w:rsidR="005C4A71" w:rsidRPr="005C4A71" w:rsidRDefault="005C4A71" w:rsidP="005C4A71">
    <w:pPr>
      <w:pStyle w:val="Header"/>
      <w:jc w:val="right"/>
      <w:rPr>
        <w:rFonts w:ascii="Century Gothic" w:hAnsi="Century Gothic"/>
        <w:b/>
        <w:bCs/>
        <w:sz w:val="18"/>
        <w:szCs w:val="18"/>
      </w:rPr>
    </w:pPr>
    <w:r w:rsidRPr="005C4A71">
      <w:rPr>
        <w:rFonts w:ascii="Century Gothic" w:hAnsi="Century Gothic"/>
        <w:b/>
        <w:bCs/>
        <w:sz w:val="18"/>
        <w:szCs w:val="18"/>
      </w:rPr>
      <w:t>Former Armstrong, Inc. Site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8E97" w14:textId="7FECFCFB" w:rsidR="005C4A71" w:rsidRPr="005C4A71" w:rsidRDefault="005C4A71" w:rsidP="005C4A71">
    <w:pPr>
      <w:pStyle w:val="Header"/>
      <w:jc w:val="right"/>
      <w:rPr>
        <w:rFonts w:ascii="Century Gothic" w:hAnsi="Century Gothic"/>
        <w:b/>
        <w:bCs/>
        <w:sz w:val="18"/>
        <w:szCs w:val="18"/>
      </w:rPr>
    </w:pPr>
    <w:r w:rsidRPr="005C4A71">
      <w:rPr>
        <w:rFonts w:ascii="Century Gothic" w:hAnsi="Century Gothic"/>
        <w:b/>
        <w:bCs/>
        <w:sz w:val="18"/>
        <w:szCs w:val="18"/>
      </w:rPr>
      <w:t>Former Armstrong, Inc. 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4BC9"/>
    <w:multiLevelType w:val="multilevel"/>
    <w:tmpl w:val="1B70F07E"/>
    <w:lvl w:ilvl="0">
      <w:start w:val="1"/>
      <w:numFmt w:val="none"/>
      <w:lvlRestart w:val="0"/>
      <w:pStyle w:val="Heading1"/>
      <w:suff w:val="nothing"/>
      <w:lvlText w:val="%1"/>
      <w:lvlJc w:val="left"/>
      <w:pPr>
        <w:ind w:left="0" w:firstLine="0"/>
      </w:pPr>
      <w:rPr>
        <w:rFonts w:hint="default"/>
      </w:rPr>
    </w:lvl>
    <w:lvl w:ilvl="1">
      <w:start w:val="1"/>
      <w:numFmt w:val="decimal"/>
      <w:lvlRestart w:val="0"/>
      <w:pStyle w:val="Heading2"/>
      <w:lvlText w:val="%2."/>
      <w:lvlJc w:val="left"/>
      <w:pPr>
        <w:tabs>
          <w:tab w:val="num" w:pos="720"/>
        </w:tabs>
        <w:ind w:left="0" w:firstLine="0"/>
      </w:pPr>
      <w:rPr>
        <w:rFonts w:hint="default"/>
      </w:rPr>
    </w:lvl>
    <w:lvl w:ilvl="2">
      <w:start w:val="1"/>
      <w:numFmt w:val="none"/>
      <w:pStyle w:val="Heading3"/>
      <w:lvlText w:val="%3"/>
      <w:lvlJc w:val="left"/>
      <w:pPr>
        <w:tabs>
          <w:tab w:val="num" w:pos="720"/>
        </w:tabs>
        <w:ind w:left="0" w:firstLine="0"/>
      </w:pPr>
      <w:rPr>
        <w:rFonts w:hint="default"/>
      </w:rPr>
    </w:lvl>
    <w:lvl w:ilvl="3">
      <w:start w:val="1"/>
      <w:numFmt w:val="decimal"/>
      <w:lvlRestart w:val="0"/>
      <w:pStyle w:val="Heading4"/>
      <w:lvlText w:val="Figure %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lowerLetter"/>
      <w:pStyle w:val="Heading6"/>
      <w:lvlText w:val="%6)"/>
      <w:lvlJc w:val="left"/>
      <w:pPr>
        <w:tabs>
          <w:tab w:val="num" w:pos="4320"/>
        </w:tabs>
        <w:ind w:left="4320" w:hanging="720"/>
      </w:pPr>
      <w:rPr>
        <w:rFonts w:hint="default"/>
      </w:rPr>
    </w:lvl>
    <w:lvl w:ilvl="6">
      <w:start w:val="1"/>
      <w:numFmt w:val="decimal"/>
      <w:pStyle w:val="Heading7"/>
      <w:lvlText w:val="%7)"/>
      <w:lvlJc w:val="left"/>
      <w:pPr>
        <w:tabs>
          <w:tab w:val="num" w:pos="5040"/>
        </w:tabs>
        <w:ind w:left="5040" w:hanging="720"/>
      </w:pPr>
      <w:rPr>
        <w:rFonts w:hint="default"/>
      </w:rPr>
    </w:lvl>
    <w:lvl w:ilvl="7">
      <w:start w:val="1"/>
      <w:numFmt w:val="lowerRoman"/>
      <w:pStyle w:val="Heading8"/>
      <w:lvlText w:val="%8)"/>
      <w:lvlJc w:val="left"/>
      <w:pPr>
        <w:tabs>
          <w:tab w:val="num" w:pos="5760"/>
        </w:tabs>
        <w:ind w:left="5760" w:hanging="720"/>
      </w:pPr>
      <w:rPr>
        <w:rFonts w:hint="default"/>
      </w:rPr>
    </w:lvl>
    <w:lvl w:ilvl="8">
      <w:start w:val="1"/>
      <w:numFmt w:val="lowerRoman"/>
      <w:pStyle w:val="Heading9"/>
      <w:lvlText w:val="%9."/>
      <w:lvlJc w:val="left"/>
      <w:pPr>
        <w:tabs>
          <w:tab w:val="num" w:pos="6480"/>
        </w:tabs>
        <w:ind w:left="6480" w:hanging="720"/>
      </w:pPr>
      <w:rPr>
        <w:rFonts w:hint="default"/>
      </w:rPr>
    </w:lvl>
  </w:abstractNum>
  <w:abstractNum w:abstractNumId="1" w15:restartNumberingAfterBreak="0">
    <w:nsid w:val="117030B1"/>
    <w:multiLevelType w:val="multilevel"/>
    <w:tmpl w:val="51B868D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B9040D"/>
    <w:multiLevelType w:val="hybridMultilevel"/>
    <w:tmpl w:val="D59A1A24"/>
    <w:lvl w:ilvl="0" w:tplc="715402D8">
      <w:start w:val="1"/>
      <w:numFmt w:val="decimal"/>
      <w:pStyle w:val="Numberedflushleft"/>
      <w:lvlText w:val="%1."/>
      <w:lvlJc w:val="left"/>
      <w:pPr>
        <w:tabs>
          <w:tab w:val="num" w:pos="720"/>
        </w:tabs>
        <w:ind w:left="0" w:firstLine="0"/>
      </w:pPr>
      <w:rPr>
        <w:rFonts w:ascii="Times New Roman" w:hAnsi="Times New Roman" w:cs="Times New Roman" w:hint="default"/>
        <w:sz w:val="24"/>
        <w:u w:val="none"/>
      </w:rPr>
    </w:lvl>
    <w:lvl w:ilvl="1" w:tplc="398287BC" w:tentative="1">
      <w:start w:val="1"/>
      <w:numFmt w:val="lowerLetter"/>
      <w:lvlText w:val="%2."/>
      <w:lvlJc w:val="left"/>
      <w:pPr>
        <w:ind w:left="1440" w:hanging="360"/>
      </w:pPr>
      <w:rPr>
        <w:rFonts w:ascii="Times New Roman" w:hAnsi="Times New Roman" w:cs="Times New Roman"/>
        <w:sz w:val="24"/>
      </w:rPr>
    </w:lvl>
    <w:lvl w:ilvl="2" w:tplc="75E692B2" w:tentative="1">
      <w:start w:val="1"/>
      <w:numFmt w:val="lowerRoman"/>
      <w:lvlText w:val="%3."/>
      <w:lvlJc w:val="right"/>
      <w:pPr>
        <w:ind w:left="2160" w:hanging="180"/>
      </w:pPr>
      <w:rPr>
        <w:rFonts w:ascii="Times New Roman" w:hAnsi="Times New Roman" w:cs="Times New Roman"/>
        <w:sz w:val="24"/>
      </w:rPr>
    </w:lvl>
    <w:lvl w:ilvl="3" w:tplc="0F32644C" w:tentative="1">
      <w:start w:val="1"/>
      <w:numFmt w:val="decimal"/>
      <w:lvlText w:val="%4."/>
      <w:lvlJc w:val="left"/>
      <w:pPr>
        <w:ind w:left="2880" w:hanging="360"/>
      </w:pPr>
      <w:rPr>
        <w:rFonts w:ascii="Times New Roman" w:hAnsi="Times New Roman" w:cs="Times New Roman"/>
        <w:sz w:val="24"/>
      </w:rPr>
    </w:lvl>
    <w:lvl w:ilvl="4" w:tplc="B09E0EFE" w:tentative="1">
      <w:start w:val="1"/>
      <w:numFmt w:val="lowerLetter"/>
      <w:lvlText w:val="%5."/>
      <w:lvlJc w:val="left"/>
      <w:pPr>
        <w:ind w:left="3600" w:hanging="360"/>
      </w:pPr>
      <w:rPr>
        <w:rFonts w:ascii="Times New Roman" w:hAnsi="Times New Roman" w:cs="Times New Roman"/>
        <w:sz w:val="24"/>
      </w:rPr>
    </w:lvl>
    <w:lvl w:ilvl="5" w:tplc="620AB66C" w:tentative="1">
      <w:start w:val="1"/>
      <w:numFmt w:val="lowerRoman"/>
      <w:lvlText w:val="%6."/>
      <w:lvlJc w:val="right"/>
      <w:pPr>
        <w:ind w:left="4320" w:hanging="180"/>
      </w:pPr>
      <w:rPr>
        <w:rFonts w:ascii="Times New Roman" w:hAnsi="Times New Roman" w:cs="Times New Roman"/>
        <w:sz w:val="24"/>
      </w:rPr>
    </w:lvl>
    <w:lvl w:ilvl="6" w:tplc="615EC3D0" w:tentative="1">
      <w:start w:val="1"/>
      <w:numFmt w:val="decimal"/>
      <w:lvlText w:val="%7."/>
      <w:lvlJc w:val="left"/>
      <w:pPr>
        <w:ind w:left="5040" w:hanging="360"/>
      </w:pPr>
      <w:rPr>
        <w:rFonts w:ascii="Times New Roman" w:hAnsi="Times New Roman" w:cs="Times New Roman"/>
        <w:sz w:val="24"/>
      </w:rPr>
    </w:lvl>
    <w:lvl w:ilvl="7" w:tplc="546AC542" w:tentative="1">
      <w:start w:val="1"/>
      <w:numFmt w:val="lowerLetter"/>
      <w:lvlText w:val="%8."/>
      <w:lvlJc w:val="left"/>
      <w:pPr>
        <w:ind w:left="5760" w:hanging="360"/>
      </w:pPr>
      <w:rPr>
        <w:rFonts w:ascii="Times New Roman" w:hAnsi="Times New Roman" w:cs="Times New Roman"/>
        <w:sz w:val="24"/>
      </w:rPr>
    </w:lvl>
    <w:lvl w:ilvl="8" w:tplc="453ED0D2" w:tentative="1">
      <w:start w:val="1"/>
      <w:numFmt w:val="lowerRoman"/>
      <w:lvlText w:val="%9."/>
      <w:lvlJc w:val="right"/>
      <w:pPr>
        <w:ind w:left="6480" w:hanging="180"/>
      </w:pPr>
      <w:rPr>
        <w:rFonts w:ascii="Times New Roman" w:hAnsi="Times New Roman" w:cs="Times New Roman"/>
        <w:sz w:val="24"/>
      </w:rPr>
    </w:lvl>
  </w:abstractNum>
  <w:abstractNum w:abstractNumId="3" w15:restartNumberingAfterBreak="0">
    <w:nsid w:val="654377B0"/>
    <w:multiLevelType w:val="hybridMultilevel"/>
    <w:tmpl w:val="330E1162"/>
    <w:lvl w:ilvl="0" w:tplc="D114A9A8">
      <w:numFmt w:val="bullet"/>
      <w:lvlText w:val="•"/>
      <w:lvlJc w:val="left"/>
      <w:pPr>
        <w:ind w:left="1080" w:hanging="72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A836F7"/>
    <w:multiLevelType w:val="hybridMultilevel"/>
    <w:tmpl w:val="52DAE3FE"/>
    <w:lvl w:ilvl="0" w:tplc="6E807F0E">
      <w:start w:val="1"/>
      <w:numFmt w:val="decimal"/>
      <w:pStyle w:val="Numberedindent"/>
      <w:lvlText w:val="%1."/>
      <w:lvlJc w:val="left"/>
      <w:pPr>
        <w:tabs>
          <w:tab w:val="num" w:pos="1440"/>
        </w:tabs>
        <w:ind w:left="0" w:firstLine="720"/>
      </w:pPr>
      <w:rPr>
        <w:rFonts w:ascii="Times New Roman" w:hAnsi="Times New Roman" w:cs="Times New Roman" w:hint="default"/>
        <w:sz w:val="24"/>
        <w:u w:val="none"/>
      </w:rPr>
    </w:lvl>
    <w:lvl w:ilvl="1" w:tplc="75E2DB64" w:tentative="1">
      <w:start w:val="1"/>
      <w:numFmt w:val="lowerLetter"/>
      <w:lvlText w:val="%2."/>
      <w:lvlJc w:val="left"/>
      <w:pPr>
        <w:ind w:left="1440" w:hanging="360"/>
      </w:pPr>
      <w:rPr>
        <w:rFonts w:ascii="Times New Roman" w:hAnsi="Times New Roman" w:cs="Times New Roman"/>
        <w:sz w:val="24"/>
      </w:rPr>
    </w:lvl>
    <w:lvl w:ilvl="2" w:tplc="17047AD4" w:tentative="1">
      <w:start w:val="1"/>
      <w:numFmt w:val="lowerRoman"/>
      <w:lvlText w:val="%3."/>
      <w:lvlJc w:val="right"/>
      <w:pPr>
        <w:ind w:left="2160" w:hanging="180"/>
      </w:pPr>
      <w:rPr>
        <w:rFonts w:ascii="Times New Roman" w:hAnsi="Times New Roman" w:cs="Times New Roman"/>
        <w:sz w:val="24"/>
      </w:rPr>
    </w:lvl>
    <w:lvl w:ilvl="3" w:tplc="CB96CE8A" w:tentative="1">
      <w:start w:val="1"/>
      <w:numFmt w:val="decimal"/>
      <w:lvlText w:val="%4."/>
      <w:lvlJc w:val="left"/>
      <w:pPr>
        <w:ind w:left="2880" w:hanging="360"/>
      </w:pPr>
      <w:rPr>
        <w:rFonts w:ascii="Times New Roman" w:hAnsi="Times New Roman" w:cs="Times New Roman"/>
        <w:sz w:val="24"/>
      </w:rPr>
    </w:lvl>
    <w:lvl w:ilvl="4" w:tplc="0F00C64E" w:tentative="1">
      <w:start w:val="1"/>
      <w:numFmt w:val="lowerLetter"/>
      <w:lvlText w:val="%5."/>
      <w:lvlJc w:val="left"/>
      <w:pPr>
        <w:ind w:left="3600" w:hanging="360"/>
      </w:pPr>
      <w:rPr>
        <w:rFonts w:ascii="Times New Roman" w:hAnsi="Times New Roman" w:cs="Times New Roman"/>
        <w:sz w:val="24"/>
      </w:rPr>
    </w:lvl>
    <w:lvl w:ilvl="5" w:tplc="5EDC8CE8" w:tentative="1">
      <w:start w:val="1"/>
      <w:numFmt w:val="lowerRoman"/>
      <w:lvlText w:val="%6."/>
      <w:lvlJc w:val="right"/>
      <w:pPr>
        <w:ind w:left="4320" w:hanging="180"/>
      </w:pPr>
      <w:rPr>
        <w:rFonts w:ascii="Times New Roman" w:hAnsi="Times New Roman" w:cs="Times New Roman"/>
        <w:sz w:val="24"/>
      </w:rPr>
    </w:lvl>
    <w:lvl w:ilvl="6" w:tplc="8E68B18C" w:tentative="1">
      <w:start w:val="1"/>
      <w:numFmt w:val="decimal"/>
      <w:lvlText w:val="%7."/>
      <w:lvlJc w:val="left"/>
      <w:pPr>
        <w:ind w:left="5040" w:hanging="360"/>
      </w:pPr>
      <w:rPr>
        <w:rFonts w:ascii="Times New Roman" w:hAnsi="Times New Roman" w:cs="Times New Roman"/>
        <w:sz w:val="24"/>
      </w:rPr>
    </w:lvl>
    <w:lvl w:ilvl="7" w:tplc="F510E780" w:tentative="1">
      <w:start w:val="1"/>
      <w:numFmt w:val="lowerLetter"/>
      <w:lvlText w:val="%8."/>
      <w:lvlJc w:val="left"/>
      <w:pPr>
        <w:ind w:left="5760" w:hanging="360"/>
      </w:pPr>
      <w:rPr>
        <w:rFonts w:ascii="Times New Roman" w:hAnsi="Times New Roman" w:cs="Times New Roman"/>
        <w:sz w:val="24"/>
      </w:rPr>
    </w:lvl>
    <w:lvl w:ilvl="8" w:tplc="17269318" w:tentative="1">
      <w:start w:val="1"/>
      <w:numFmt w:val="lowerRoman"/>
      <w:lvlText w:val="%9."/>
      <w:lvlJc w:val="right"/>
      <w:pPr>
        <w:ind w:left="6480" w:hanging="180"/>
      </w:pPr>
      <w:rPr>
        <w:rFonts w:ascii="Times New Roman" w:hAnsi="Times New Roman" w:cs="Times New Roman"/>
        <w:sz w:val="24"/>
      </w:rPr>
    </w:lvl>
  </w:abstractNum>
  <w:abstractNum w:abstractNumId="5" w15:restartNumberingAfterBreak="0">
    <w:nsid w:val="755626AC"/>
    <w:multiLevelType w:val="hybridMultilevel"/>
    <w:tmpl w:val="7A50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037534">
    <w:abstractNumId w:val="1"/>
  </w:num>
  <w:num w:numId="2" w16cid:durableId="1325621357">
    <w:abstractNumId w:val="2"/>
  </w:num>
  <w:num w:numId="3" w16cid:durableId="1224291450">
    <w:abstractNumId w:val="4"/>
  </w:num>
  <w:num w:numId="4" w16cid:durableId="1110245829">
    <w:abstractNumId w:val="0"/>
  </w:num>
  <w:num w:numId="5" w16cid:durableId="1317297810">
    <w:abstractNumId w:val="5"/>
  </w:num>
  <w:num w:numId="6" w16cid:durableId="1263608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rawingGridVerticalSpacing w:val="245"/>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7A"/>
    <w:rsid w:val="0001362A"/>
    <w:rsid w:val="00022E1E"/>
    <w:rsid w:val="00037157"/>
    <w:rsid w:val="00051E58"/>
    <w:rsid w:val="00052C5C"/>
    <w:rsid w:val="000551EF"/>
    <w:rsid w:val="00062C49"/>
    <w:rsid w:val="00065986"/>
    <w:rsid w:val="00086DF0"/>
    <w:rsid w:val="000A0048"/>
    <w:rsid w:val="000B1F8D"/>
    <w:rsid w:val="000C760A"/>
    <w:rsid w:val="000D335E"/>
    <w:rsid w:val="000F0BE5"/>
    <w:rsid w:val="000F36E0"/>
    <w:rsid w:val="000F62E3"/>
    <w:rsid w:val="00105DE6"/>
    <w:rsid w:val="00111D3C"/>
    <w:rsid w:val="0012000D"/>
    <w:rsid w:val="001413C3"/>
    <w:rsid w:val="0015703F"/>
    <w:rsid w:val="00170BD6"/>
    <w:rsid w:val="001732A2"/>
    <w:rsid w:val="0018004F"/>
    <w:rsid w:val="00181859"/>
    <w:rsid w:val="00182C6C"/>
    <w:rsid w:val="001B069D"/>
    <w:rsid w:val="001C58D0"/>
    <w:rsid w:val="001D7208"/>
    <w:rsid w:val="001D74EA"/>
    <w:rsid w:val="001E63D4"/>
    <w:rsid w:val="001F03D9"/>
    <w:rsid w:val="00200681"/>
    <w:rsid w:val="0020072B"/>
    <w:rsid w:val="00223087"/>
    <w:rsid w:val="00226FAD"/>
    <w:rsid w:val="00227D6C"/>
    <w:rsid w:val="002432F0"/>
    <w:rsid w:val="0026795A"/>
    <w:rsid w:val="00267DC9"/>
    <w:rsid w:val="002755C5"/>
    <w:rsid w:val="00280143"/>
    <w:rsid w:val="00296D8B"/>
    <w:rsid w:val="00297FF5"/>
    <w:rsid w:val="002B55F3"/>
    <w:rsid w:val="002C0123"/>
    <w:rsid w:val="002C68FB"/>
    <w:rsid w:val="002D3C7F"/>
    <w:rsid w:val="002E5A0C"/>
    <w:rsid w:val="002F0AB9"/>
    <w:rsid w:val="002F3B5E"/>
    <w:rsid w:val="002F4FFF"/>
    <w:rsid w:val="00300345"/>
    <w:rsid w:val="003022EF"/>
    <w:rsid w:val="00304128"/>
    <w:rsid w:val="00315504"/>
    <w:rsid w:val="003216AD"/>
    <w:rsid w:val="003242E0"/>
    <w:rsid w:val="00325DEC"/>
    <w:rsid w:val="0034543C"/>
    <w:rsid w:val="00345755"/>
    <w:rsid w:val="00374522"/>
    <w:rsid w:val="00380136"/>
    <w:rsid w:val="00386A52"/>
    <w:rsid w:val="00387E20"/>
    <w:rsid w:val="003A6045"/>
    <w:rsid w:val="003D3B2B"/>
    <w:rsid w:val="003E42DC"/>
    <w:rsid w:val="003E5939"/>
    <w:rsid w:val="004044D6"/>
    <w:rsid w:val="00410DAA"/>
    <w:rsid w:val="0044384E"/>
    <w:rsid w:val="0044590F"/>
    <w:rsid w:val="004461AD"/>
    <w:rsid w:val="00453ED9"/>
    <w:rsid w:val="004652A0"/>
    <w:rsid w:val="00470625"/>
    <w:rsid w:val="00470630"/>
    <w:rsid w:val="004712AA"/>
    <w:rsid w:val="0047153C"/>
    <w:rsid w:val="00485187"/>
    <w:rsid w:val="00495A75"/>
    <w:rsid w:val="004A342A"/>
    <w:rsid w:val="004B0ECD"/>
    <w:rsid w:val="004B6013"/>
    <w:rsid w:val="004C31B6"/>
    <w:rsid w:val="004C450D"/>
    <w:rsid w:val="004C57B4"/>
    <w:rsid w:val="004F5739"/>
    <w:rsid w:val="005032D3"/>
    <w:rsid w:val="00507762"/>
    <w:rsid w:val="00523BAA"/>
    <w:rsid w:val="0054349D"/>
    <w:rsid w:val="00560CA6"/>
    <w:rsid w:val="00561686"/>
    <w:rsid w:val="0056330E"/>
    <w:rsid w:val="00564144"/>
    <w:rsid w:val="00576E78"/>
    <w:rsid w:val="00577C47"/>
    <w:rsid w:val="00583204"/>
    <w:rsid w:val="0059001C"/>
    <w:rsid w:val="00590124"/>
    <w:rsid w:val="005939E0"/>
    <w:rsid w:val="005A6CD6"/>
    <w:rsid w:val="005C4A71"/>
    <w:rsid w:val="005C5363"/>
    <w:rsid w:val="005D45BF"/>
    <w:rsid w:val="005E2847"/>
    <w:rsid w:val="005F0C23"/>
    <w:rsid w:val="00600E70"/>
    <w:rsid w:val="006027A9"/>
    <w:rsid w:val="00622B7A"/>
    <w:rsid w:val="0063177A"/>
    <w:rsid w:val="00635D6C"/>
    <w:rsid w:val="00660FFB"/>
    <w:rsid w:val="00662CE2"/>
    <w:rsid w:val="00666F59"/>
    <w:rsid w:val="00676F27"/>
    <w:rsid w:val="00685B3C"/>
    <w:rsid w:val="006B667F"/>
    <w:rsid w:val="006D290C"/>
    <w:rsid w:val="006E78F0"/>
    <w:rsid w:val="006F07F8"/>
    <w:rsid w:val="006F2AD6"/>
    <w:rsid w:val="006F4701"/>
    <w:rsid w:val="006F4D1C"/>
    <w:rsid w:val="00710D77"/>
    <w:rsid w:val="00711009"/>
    <w:rsid w:val="00715116"/>
    <w:rsid w:val="007249DE"/>
    <w:rsid w:val="007903AB"/>
    <w:rsid w:val="00794814"/>
    <w:rsid w:val="007A24C2"/>
    <w:rsid w:val="007A4EC0"/>
    <w:rsid w:val="007A5328"/>
    <w:rsid w:val="007A54C9"/>
    <w:rsid w:val="007B2267"/>
    <w:rsid w:val="007B513B"/>
    <w:rsid w:val="007C7483"/>
    <w:rsid w:val="007D7E8B"/>
    <w:rsid w:val="007E3D43"/>
    <w:rsid w:val="007F18D2"/>
    <w:rsid w:val="00801959"/>
    <w:rsid w:val="00812ED7"/>
    <w:rsid w:val="00837AFD"/>
    <w:rsid w:val="008417FE"/>
    <w:rsid w:val="008462F1"/>
    <w:rsid w:val="00854EC7"/>
    <w:rsid w:val="00857E4F"/>
    <w:rsid w:val="008828F7"/>
    <w:rsid w:val="00882D02"/>
    <w:rsid w:val="00883E5B"/>
    <w:rsid w:val="008A00A3"/>
    <w:rsid w:val="008A31CA"/>
    <w:rsid w:val="008A6F44"/>
    <w:rsid w:val="008B6187"/>
    <w:rsid w:val="008B7DAF"/>
    <w:rsid w:val="008C7E06"/>
    <w:rsid w:val="008D27B5"/>
    <w:rsid w:val="008E3E3A"/>
    <w:rsid w:val="008E7175"/>
    <w:rsid w:val="008F056E"/>
    <w:rsid w:val="008F54E7"/>
    <w:rsid w:val="008F729D"/>
    <w:rsid w:val="008F792B"/>
    <w:rsid w:val="00907099"/>
    <w:rsid w:val="00917BF6"/>
    <w:rsid w:val="00927DD8"/>
    <w:rsid w:val="00940FA3"/>
    <w:rsid w:val="00943C3C"/>
    <w:rsid w:val="00973E47"/>
    <w:rsid w:val="0097576E"/>
    <w:rsid w:val="0097777C"/>
    <w:rsid w:val="00977C2B"/>
    <w:rsid w:val="00986B7C"/>
    <w:rsid w:val="00987BD2"/>
    <w:rsid w:val="009A6BD2"/>
    <w:rsid w:val="009B0AE7"/>
    <w:rsid w:val="009B0BA4"/>
    <w:rsid w:val="009C6C08"/>
    <w:rsid w:val="009D22EA"/>
    <w:rsid w:val="009D2C14"/>
    <w:rsid w:val="009E1781"/>
    <w:rsid w:val="00A06FCA"/>
    <w:rsid w:val="00A079E4"/>
    <w:rsid w:val="00A2116F"/>
    <w:rsid w:val="00A27716"/>
    <w:rsid w:val="00A304C5"/>
    <w:rsid w:val="00A3072D"/>
    <w:rsid w:val="00A31922"/>
    <w:rsid w:val="00A33709"/>
    <w:rsid w:val="00A46874"/>
    <w:rsid w:val="00A55E46"/>
    <w:rsid w:val="00A57832"/>
    <w:rsid w:val="00A60952"/>
    <w:rsid w:val="00A67C3D"/>
    <w:rsid w:val="00A74393"/>
    <w:rsid w:val="00A74A0A"/>
    <w:rsid w:val="00A7633B"/>
    <w:rsid w:val="00A77EB8"/>
    <w:rsid w:val="00AA0D50"/>
    <w:rsid w:val="00AC3623"/>
    <w:rsid w:val="00AC4DE5"/>
    <w:rsid w:val="00AD1618"/>
    <w:rsid w:val="00AD5D34"/>
    <w:rsid w:val="00AD5D3C"/>
    <w:rsid w:val="00AE2954"/>
    <w:rsid w:val="00AF4409"/>
    <w:rsid w:val="00B12227"/>
    <w:rsid w:val="00B25234"/>
    <w:rsid w:val="00B523C0"/>
    <w:rsid w:val="00B564D1"/>
    <w:rsid w:val="00B6318D"/>
    <w:rsid w:val="00B66DB1"/>
    <w:rsid w:val="00B821A0"/>
    <w:rsid w:val="00B846F3"/>
    <w:rsid w:val="00B90063"/>
    <w:rsid w:val="00B966D1"/>
    <w:rsid w:val="00BA1531"/>
    <w:rsid w:val="00BA1795"/>
    <w:rsid w:val="00BA268E"/>
    <w:rsid w:val="00BA632E"/>
    <w:rsid w:val="00BA7C93"/>
    <w:rsid w:val="00BB045E"/>
    <w:rsid w:val="00BC25DD"/>
    <w:rsid w:val="00BD5E2B"/>
    <w:rsid w:val="00BE1247"/>
    <w:rsid w:val="00BE6A4A"/>
    <w:rsid w:val="00BF7056"/>
    <w:rsid w:val="00C01183"/>
    <w:rsid w:val="00C04FB6"/>
    <w:rsid w:val="00C22E56"/>
    <w:rsid w:val="00C2638A"/>
    <w:rsid w:val="00C271D8"/>
    <w:rsid w:val="00C35F49"/>
    <w:rsid w:val="00C4688D"/>
    <w:rsid w:val="00C55955"/>
    <w:rsid w:val="00C56EB6"/>
    <w:rsid w:val="00C6102E"/>
    <w:rsid w:val="00C76858"/>
    <w:rsid w:val="00C87B92"/>
    <w:rsid w:val="00CA3BE3"/>
    <w:rsid w:val="00CA6707"/>
    <w:rsid w:val="00CB05C3"/>
    <w:rsid w:val="00CB16EA"/>
    <w:rsid w:val="00CB52F4"/>
    <w:rsid w:val="00CC52D6"/>
    <w:rsid w:val="00CD2A42"/>
    <w:rsid w:val="00CD79A5"/>
    <w:rsid w:val="00CE3A12"/>
    <w:rsid w:val="00D24AFA"/>
    <w:rsid w:val="00D27D72"/>
    <w:rsid w:val="00D44394"/>
    <w:rsid w:val="00D45EDD"/>
    <w:rsid w:val="00D46543"/>
    <w:rsid w:val="00D515BD"/>
    <w:rsid w:val="00D54897"/>
    <w:rsid w:val="00D7154D"/>
    <w:rsid w:val="00D81F4E"/>
    <w:rsid w:val="00DA24FA"/>
    <w:rsid w:val="00DB743E"/>
    <w:rsid w:val="00DC63AB"/>
    <w:rsid w:val="00DD3050"/>
    <w:rsid w:val="00DE505E"/>
    <w:rsid w:val="00DF6329"/>
    <w:rsid w:val="00DF7F2B"/>
    <w:rsid w:val="00E115A2"/>
    <w:rsid w:val="00E34F61"/>
    <w:rsid w:val="00E50924"/>
    <w:rsid w:val="00E53736"/>
    <w:rsid w:val="00E53D65"/>
    <w:rsid w:val="00E67DDD"/>
    <w:rsid w:val="00E7187F"/>
    <w:rsid w:val="00E72AE8"/>
    <w:rsid w:val="00E819B9"/>
    <w:rsid w:val="00E9069A"/>
    <w:rsid w:val="00E90820"/>
    <w:rsid w:val="00E931DE"/>
    <w:rsid w:val="00E95E8E"/>
    <w:rsid w:val="00E97559"/>
    <w:rsid w:val="00EA0719"/>
    <w:rsid w:val="00EA5DC2"/>
    <w:rsid w:val="00EB1340"/>
    <w:rsid w:val="00EC0295"/>
    <w:rsid w:val="00EC6F7D"/>
    <w:rsid w:val="00EC713F"/>
    <w:rsid w:val="00EE2F15"/>
    <w:rsid w:val="00EE5759"/>
    <w:rsid w:val="00F00479"/>
    <w:rsid w:val="00F16830"/>
    <w:rsid w:val="00F23626"/>
    <w:rsid w:val="00F260AB"/>
    <w:rsid w:val="00F32767"/>
    <w:rsid w:val="00F41C8C"/>
    <w:rsid w:val="00F5443A"/>
    <w:rsid w:val="00F60186"/>
    <w:rsid w:val="00F94BF9"/>
    <w:rsid w:val="00F95514"/>
    <w:rsid w:val="00FA0FE2"/>
    <w:rsid w:val="00FA22C3"/>
    <w:rsid w:val="00FA3A77"/>
    <w:rsid w:val="00FB13ED"/>
    <w:rsid w:val="00FB380F"/>
    <w:rsid w:val="00FB3F7A"/>
    <w:rsid w:val="00FD4DD3"/>
    <w:rsid w:val="00FF3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516ABCA7"/>
  <w15:docId w15:val="{28DCF107-D5DF-4A88-B386-D0B8C430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1"/>
    <w:lsdException w:name="heading 1" w:uiPriority="10" w:qFormat="1"/>
    <w:lsdException w:name="heading 2" w:uiPriority="10" w:qFormat="1"/>
    <w:lsdException w:name="heading 3" w:uiPriority="10" w:qFormat="1"/>
    <w:lsdException w:name="heading 4" w:uiPriority="10" w:qFormat="1"/>
    <w:lsdException w:name="heading 5" w:uiPriority="10"/>
    <w:lsdException w:name="heading 6" w:uiPriority="10"/>
    <w:lsdException w:name="heading 7" w:uiPriority="10"/>
    <w:lsdException w:name="heading 8" w:uiPriority="10"/>
    <w:lsdException w:name="heading 9" w:uiPriority="1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6" w:unhideWhenUsed="1"/>
    <w:lsdException w:name="toc 6" w:semiHidden="1" w:uiPriority="16" w:unhideWhenUsed="1"/>
    <w:lsdException w:name="toc 7" w:semiHidden="1" w:uiPriority="16" w:unhideWhenUsed="1"/>
    <w:lsdException w:name="toc 8" w:semiHidden="1" w:uiPriority="16" w:unhideWhenUsed="1"/>
    <w:lsdException w:name="toc 9" w:semiHidden="1" w:uiPriority="16"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16" w:unhideWhenUsed="1"/>
    <w:lsdException w:name="macro" w:semiHidden="1" w:unhideWhenUsed="1"/>
    <w:lsdException w:name="toa heading" w:semiHidden="1" w:uiPriority="16"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9"/>
    <w:lsdException w:name="Salutation" w:semiHidden="1" w:uiPriority="4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iPriority="5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7B513B"/>
    <w:rPr>
      <w:rFonts w:ascii="Calibri" w:hAnsi="Calibri" w:cs="Calibri"/>
      <w:sz w:val="22"/>
    </w:rPr>
  </w:style>
  <w:style w:type="paragraph" w:styleId="Heading1">
    <w:name w:val="heading 1"/>
    <w:basedOn w:val="Normal"/>
    <w:next w:val="Heading2"/>
    <w:link w:val="Heading1Char"/>
    <w:uiPriority w:val="10"/>
    <w:qFormat/>
    <w:rsid w:val="0063177A"/>
    <w:pPr>
      <w:keepNext/>
      <w:keepLines/>
      <w:pageBreakBefore/>
      <w:numPr>
        <w:numId w:val="4"/>
      </w:numPr>
      <w:tabs>
        <w:tab w:val="left" w:pos="9360"/>
      </w:tabs>
      <w:spacing w:before="240"/>
      <w:outlineLvl w:val="0"/>
    </w:pPr>
    <w:rPr>
      <w:rFonts w:ascii="Century Gothic" w:hAnsi="Century Gothic" w:cs="Times New Roman"/>
      <w:b/>
      <w:bCs/>
      <w:sz w:val="40"/>
      <w:szCs w:val="40"/>
      <w:u w:val="single"/>
    </w:rPr>
  </w:style>
  <w:style w:type="paragraph" w:styleId="Heading2">
    <w:name w:val="heading 2"/>
    <w:basedOn w:val="Normal"/>
    <w:link w:val="Heading2Char"/>
    <w:uiPriority w:val="10"/>
    <w:qFormat/>
    <w:rsid w:val="0063177A"/>
    <w:pPr>
      <w:keepNext/>
      <w:keepLines/>
      <w:numPr>
        <w:ilvl w:val="1"/>
        <w:numId w:val="4"/>
      </w:numPr>
      <w:spacing w:before="240"/>
      <w:outlineLvl w:val="1"/>
    </w:pPr>
    <w:rPr>
      <w:rFonts w:ascii="Century Gothic" w:hAnsi="Century Gothic" w:cs="Times New Roman"/>
      <w:sz w:val="32"/>
      <w:szCs w:val="32"/>
    </w:rPr>
  </w:style>
  <w:style w:type="paragraph" w:styleId="Heading3">
    <w:name w:val="heading 3"/>
    <w:basedOn w:val="Normal"/>
    <w:link w:val="Heading3Char"/>
    <w:uiPriority w:val="10"/>
    <w:qFormat/>
    <w:rsid w:val="0063177A"/>
    <w:pPr>
      <w:keepNext/>
      <w:keepLines/>
      <w:numPr>
        <w:ilvl w:val="2"/>
        <w:numId w:val="4"/>
      </w:numPr>
      <w:spacing w:before="240"/>
      <w:outlineLvl w:val="2"/>
    </w:pPr>
    <w:rPr>
      <w:rFonts w:ascii="Century Gothic" w:hAnsi="Century Gothic" w:cs="Times New Roman"/>
      <w:sz w:val="28"/>
      <w:szCs w:val="28"/>
    </w:rPr>
  </w:style>
  <w:style w:type="paragraph" w:styleId="Heading4">
    <w:name w:val="heading 4"/>
    <w:basedOn w:val="Normal"/>
    <w:link w:val="Heading4Char"/>
    <w:uiPriority w:val="10"/>
    <w:qFormat/>
    <w:rsid w:val="0063177A"/>
    <w:pPr>
      <w:keepNext/>
      <w:keepLines/>
      <w:numPr>
        <w:ilvl w:val="3"/>
        <w:numId w:val="4"/>
      </w:numPr>
      <w:tabs>
        <w:tab w:val="clear" w:pos="2880"/>
        <w:tab w:val="left" w:pos="900"/>
      </w:tabs>
      <w:spacing w:before="240"/>
      <w:ind w:left="0" w:firstLine="0"/>
      <w:outlineLvl w:val="3"/>
    </w:pPr>
    <w:rPr>
      <w:rFonts w:ascii="Century Gothic" w:hAnsi="Century Gothic" w:cstheme="minorHAnsi"/>
      <w:b/>
      <w:bCs/>
      <w:sz w:val="20"/>
    </w:rPr>
  </w:style>
  <w:style w:type="paragraph" w:styleId="Heading5">
    <w:name w:val="heading 5"/>
    <w:basedOn w:val="Normal"/>
    <w:link w:val="Heading5Char"/>
    <w:uiPriority w:val="10"/>
    <w:rsid w:val="00A2116F"/>
    <w:pPr>
      <w:keepNext/>
      <w:keepLines/>
      <w:numPr>
        <w:ilvl w:val="4"/>
        <w:numId w:val="4"/>
      </w:numPr>
      <w:spacing w:before="240"/>
      <w:outlineLvl w:val="4"/>
    </w:pPr>
    <w:rPr>
      <w:rFonts w:ascii="Times New Roman" w:hAnsi="Times New Roman" w:cs="Times New Roman"/>
      <w:sz w:val="24"/>
    </w:rPr>
  </w:style>
  <w:style w:type="paragraph" w:styleId="Heading6">
    <w:name w:val="heading 6"/>
    <w:basedOn w:val="Normal"/>
    <w:link w:val="Heading6Char"/>
    <w:uiPriority w:val="10"/>
    <w:rsid w:val="00A2116F"/>
    <w:pPr>
      <w:keepNext/>
      <w:keepLines/>
      <w:numPr>
        <w:ilvl w:val="5"/>
        <w:numId w:val="4"/>
      </w:numPr>
      <w:spacing w:before="240"/>
      <w:outlineLvl w:val="5"/>
    </w:pPr>
    <w:rPr>
      <w:rFonts w:ascii="Times New Roman" w:hAnsi="Times New Roman" w:cs="Times New Roman"/>
      <w:sz w:val="24"/>
    </w:rPr>
  </w:style>
  <w:style w:type="paragraph" w:styleId="Heading7">
    <w:name w:val="heading 7"/>
    <w:basedOn w:val="Normal"/>
    <w:link w:val="Heading7Char"/>
    <w:uiPriority w:val="10"/>
    <w:rsid w:val="00A2116F"/>
    <w:pPr>
      <w:keepNext/>
      <w:keepLines/>
      <w:numPr>
        <w:ilvl w:val="6"/>
        <w:numId w:val="4"/>
      </w:numPr>
      <w:spacing w:before="240"/>
      <w:outlineLvl w:val="6"/>
    </w:pPr>
    <w:rPr>
      <w:rFonts w:ascii="Times New Roman" w:hAnsi="Times New Roman" w:cs="Times New Roman"/>
      <w:sz w:val="24"/>
    </w:rPr>
  </w:style>
  <w:style w:type="paragraph" w:styleId="Heading8">
    <w:name w:val="heading 8"/>
    <w:basedOn w:val="Normal"/>
    <w:link w:val="Heading8Char"/>
    <w:uiPriority w:val="10"/>
    <w:rsid w:val="00A2116F"/>
    <w:pPr>
      <w:keepNext/>
      <w:keepLines/>
      <w:numPr>
        <w:ilvl w:val="7"/>
        <w:numId w:val="4"/>
      </w:numPr>
      <w:spacing w:before="240"/>
      <w:outlineLvl w:val="7"/>
    </w:pPr>
    <w:rPr>
      <w:rFonts w:ascii="Times New Roman" w:hAnsi="Times New Roman" w:cs="Times New Roman"/>
      <w:sz w:val="24"/>
    </w:rPr>
  </w:style>
  <w:style w:type="paragraph" w:styleId="Heading9">
    <w:name w:val="heading 9"/>
    <w:basedOn w:val="Normal"/>
    <w:link w:val="Heading9Char"/>
    <w:uiPriority w:val="10"/>
    <w:rsid w:val="00A2116F"/>
    <w:pPr>
      <w:keepLines/>
      <w:numPr>
        <w:ilvl w:val="8"/>
        <w:numId w:val="4"/>
      </w:numPr>
      <w:spacing w:before="240"/>
      <w:outlineLvl w:val="8"/>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B069D"/>
    <w:pPr>
      <w:tabs>
        <w:tab w:val="center" w:pos="4320"/>
        <w:tab w:val="right" w:pos="8640"/>
      </w:tabs>
    </w:pPr>
  </w:style>
  <w:style w:type="paragraph" w:styleId="Footer">
    <w:name w:val="footer"/>
    <w:basedOn w:val="Normal"/>
    <w:semiHidden/>
    <w:rsid w:val="001B069D"/>
    <w:pPr>
      <w:tabs>
        <w:tab w:val="center" w:pos="4320"/>
        <w:tab w:val="right" w:pos="8640"/>
      </w:tabs>
    </w:pPr>
  </w:style>
  <w:style w:type="character" w:styleId="PageNumber">
    <w:name w:val="page number"/>
    <w:basedOn w:val="DefaultParagraphFont"/>
    <w:semiHidden/>
    <w:rsid w:val="001B069D"/>
    <w:rPr>
      <w:sz w:val="20"/>
    </w:rPr>
  </w:style>
  <w:style w:type="paragraph" w:styleId="NormalIndent">
    <w:name w:val="Normal Indent"/>
    <w:basedOn w:val="Normal"/>
    <w:uiPriority w:val="99"/>
    <w:semiHidden/>
    <w:rsid w:val="001B069D"/>
    <w:pPr>
      <w:spacing w:before="240"/>
      <w:ind w:firstLine="1440"/>
    </w:pPr>
  </w:style>
  <w:style w:type="paragraph" w:styleId="FootnoteText">
    <w:name w:val="footnote text"/>
    <w:basedOn w:val="Normal"/>
    <w:semiHidden/>
    <w:rsid w:val="001B069D"/>
    <w:pPr>
      <w:widowControl w:val="0"/>
      <w:tabs>
        <w:tab w:val="left" w:pos="360"/>
      </w:tabs>
    </w:pPr>
  </w:style>
  <w:style w:type="paragraph" w:styleId="TOC1">
    <w:name w:val="toc 1"/>
    <w:basedOn w:val="Normal"/>
    <w:next w:val="Normal"/>
    <w:autoRedefine/>
    <w:uiPriority w:val="39"/>
    <w:rsid w:val="001B069D"/>
    <w:pPr>
      <w:tabs>
        <w:tab w:val="right" w:leader="dot" w:pos="9200"/>
      </w:tabs>
      <w:spacing w:after="240"/>
      <w:ind w:right="1008"/>
    </w:pPr>
  </w:style>
  <w:style w:type="paragraph" w:styleId="TOAHeading">
    <w:name w:val="toa heading"/>
    <w:basedOn w:val="Normal"/>
    <w:next w:val="Normal"/>
    <w:uiPriority w:val="16"/>
    <w:semiHidden/>
    <w:rsid w:val="001B069D"/>
    <w:pPr>
      <w:spacing w:before="240"/>
    </w:pPr>
    <w:rPr>
      <w:b/>
      <w:u w:val="single"/>
    </w:rPr>
  </w:style>
  <w:style w:type="character" w:customStyle="1" w:styleId="FooterTxt">
    <w:name w:val="FooterTxt"/>
    <w:basedOn w:val="DefaultParagraphFont"/>
    <w:uiPriority w:val="12"/>
    <w:rsid w:val="001B069D"/>
    <w:rPr>
      <w:sz w:val="14"/>
    </w:rPr>
  </w:style>
  <w:style w:type="paragraph" w:customStyle="1" w:styleId="Center">
    <w:name w:val="Center"/>
    <w:aliases w:val="c"/>
    <w:basedOn w:val="Normal"/>
    <w:next w:val="Body"/>
    <w:link w:val="CenterChar"/>
    <w:uiPriority w:val="2"/>
    <w:rsid w:val="001B069D"/>
    <w:pPr>
      <w:keepNext/>
      <w:keepLines/>
      <w:suppressAutoHyphens/>
      <w:spacing w:before="240"/>
      <w:jc w:val="center"/>
    </w:pPr>
  </w:style>
  <w:style w:type="paragraph" w:customStyle="1" w:styleId="Body">
    <w:name w:val="Body"/>
    <w:basedOn w:val="Normal"/>
    <w:link w:val="BodyChar"/>
    <w:qFormat/>
    <w:rsid w:val="00A31922"/>
    <w:pPr>
      <w:suppressAutoHyphens/>
      <w:spacing w:before="240"/>
      <w:ind w:firstLine="720"/>
    </w:pPr>
  </w:style>
  <w:style w:type="paragraph" w:styleId="BodyTextIndent">
    <w:name w:val="Body Text Indent"/>
    <w:basedOn w:val="Normal"/>
    <w:uiPriority w:val="99"/>
    <w:semiHidden/>
    <w:rsid w:val="001B069D"/>
    <w:pPr>
      <w:spacing w:before="240"/>
      <w:ind w:left="1440"/>
    </w:pPr>
  </w:style>
  <w:style w:type="paragraph" w:customStyle="1" w:styleId="FlushLeft">
    <w:name w:val="Flush Left"/>
    <w:basedOn w:val="Normal"/>
    <w:link w:val="FlushLeftChar"/>
    <w:uiPriority w:val="10"/>
    <w:qFormat/>
    <w:rsid w:val="0063177A"/>
    <w:pPr>
      <w:spacing w:before="240"/>
    </w:pPr>
  </w:style>
  <w:style w:type="paragraph" w:customStyle="1" w:styleId="BodyDouble">
    <w:name w:val="Body Double"/>
    <w:basedOn w:val="Body"/>
    <w:link w:val="BodyDoubleChar"/>
    <w:qFormat/>
    <w:rsid w:val="001B069D"/>
    <w:pPr>
      <w:spacing w:before="0" w:line="480" w:lineRule="auto"/>
    </w:pPr>
  </w:style>
  <w:style w:type="paragraph" w:customStyle="1" w:styleId="Table">
    <w:name w:val="Table"/>
    <w:basedOn w:val="Normal"/>
    <w:uiPriority w:val="40"/>
    <w:rsid w:val="001B069D"/>
    <w:pPr>
      <w:spacing w:before="40" w:after="40"/>
    </w:pPr>
  </w:style>
  <w:style w:type="paragraph" w:styleId="TOC2">
    <w:name w:val="toc 2"/>
    <w:basedOn w:val="Normal"/>
    <w:next w:val="Normal"/>
    <w:autoRedefine/>
    <w:uiPriority w:val="39"/>
    <w:rsid w:val="005C4A71"/>
    <w:pPr>
      <w:tabs>
        <w:tab w:val="right" w:leader="dot" w:pos="9200"/>
      </w:tabs>
      <w:spacing w:after="240"/>
      <w:ind w:left="720" w:right="1008" w:hanging="720"/>
    </w:pPr>
  </w:style>
  <w:style w:type="paragraph" w:styleId="TOC3">
    <w:name w:val="toc 3"/>
    <w:basedOn w:val="Normal"/>
    <w:next w:val="Normal"/>
    <w:autoRedefine/>
    <w:uiPriority w:val="39"/>
    <w:rsid w:val="005C4A71"/>
    <w:pPr>
      <w:tabs>
        <w:tab w:val="right" w:leader="dot" w:pos="9200"/>
      </w:tabs>
      <w:spacing w:after="240"/>
      <w:ind w:left="720" w:right="1008"/>
    </w:pPr>
  </w:style>
  <w:style w:type="paragraph" w:styleId="TOC4">
    <w:name w:val="toc 4"/>
    <w:basedOn w:val="Normal"/>
    <w:next w:val="Normal"/>
    <w:autoRedefine/>
    <w:uiPriority w:val="39"/>
    <w:rsid w:val="005C4A71"/>
    <w:pPr>
      <w:tabs>
        <w:tab w:val="right" w:leader="dot" w:pos="9200"/>
      </w:tabs>
      <w:spacing w:after="240"/>
      <w:ind w:right="1008"/>
    </w:pPr>
  </w:style>
  <w:style w:type="paragraph" w:styleId="TOC5">
    <w:name w:val="toc 5"/>
    <w:basedOn w:val="Normal"/>
    <w:next w:val="Normal"/>
    <w:autoRedefine/>
    <w:uiPriority w:val="16"/>
    <w:semiHidden/>
    <w:rsid w:val="001B069D"/>
    <w:pPr>
      <w:spacing w:after="240"/>
      <w:ind w:left="2880" w:right="1008"/>
    </w:pPr>
  </w:style>
  <w:style w:type="paragraph" w:styleId="TOC6">
    <w:name w:val="toc 6"/>
    <w:basedOn w:val="Normal"/>
    <w:next w:val="Normal"/>
    <w:autoRedefine/>
    <w:uiPriority w:val="16"/>
    <w:semiHidden/>
    <w:rsid w:val="001B069D"/>
    <w:pPr>
      <w:spacing w:after="240"/>
      <w:ind w:left="3600" w:right="1008"/>
    </w:pPr>
  </w:style>
  <w:style w:type="paragraph" w:styleId="TOC7">
    <w:name w:val="toc 7"/>
    <w:basedOn w:val="Normal"/>
    <w:next w:val="Normal"/>
    <w:autoRedefine/>
    <w:uiPriority w:val="16"/>
    <w:semiHidden/>
    <w:rsid w:val="001B069D"/>
    <w:pPr>
      <w:spacing w:after="240"/>
      <w:ind w:left="4320" w:right="1008"/>
    </w:pPr>
  </w:style>
  <w:style w:type="paragraph" w:styleId="TOC8">
    <w:name w:val="toc 8"/>
    <w:basedOn w:val="Normal"/>
    <w:next w:val="Normal"/>
    <w:autoRedefine/>
    <w:uiPriority w:val="16"/>
    <w:semiHidden/>
    <w:rsid w:val="001B069D"/>
    <w:pPr>
      <w:spacing w:after="240"/>
      <w:ind w:left="5040" w:right="1008"/>
    </w:pPr>
  </w:style>
  <w:style w:type="paragraph" w:styleId="TOC9">
    <w:name w:val="toc 9"/>
    <w:basedOn w:val="Normal"/>
    <w:next w:val="Normal"/>
    <w:autoRedefine/>
    <w:uiPriority w:val="16"/>
    <w:semiHidden/>
    <w:rsid w:val="001B069D"/>
    <w:pPr>
      <w:spacing w:after="240"/>
      <w:ind w:left="5760" w:right="1008"/>
    </w:pPr>
  </w:style>
  <w:style w:type="character" w:customStyle="1" w:styleId="NonTocText">
    <w:name w:val="Non Toc Text"/>
    <w:basedOn w:val="DefaultParagraphFont"/>
    <w:uiPriority w:val="12"/>
    <w:rsid w:val="00564144"/>
    <w:rPr>
      <w:color w:val="000000"/>
    </w:rPr>
  </w:style>
  <w:style w:type="character" w:styleId="FootnoteReference">
    <w:name w:val="footnote reference"/>
    <w:basedOn w:val="DefaultParagraphFont"/>
    <w:semiHidden/>
    <w:rsid w:val="001B069D"/>
    <w:rPr>
      <w:vertAlign w:val="superscript"/>
    </w:rPr>
  </w:style>
  <w:style w:type="paragraph" w:customStyle="1" w:styleId="HangingIndent">
    <w:name w:val="Hanging Indent"/>
    <w:basedOn w:val="Normal"/>
    <w:link w:val="HangingIndentChar"/>
    <w:uiPriority w:val="10"/>
    <w:qFormat/>
    <w:rsid w:val="001B069D"/>
    <w:pPr>
      <w:spacing w:before="240"/>
      <w:ind w:left="720" w:hanging="720"/>
    </w:pPr>
  </w:style>
  <w:style w:type="paragraph" w:styleId="BlockText">
    <w:name w:val="Block Text"/>
    <w:basedOn w:val="Normal"/>
    <w:uiPriority w:val="99"/>
    <w:semiHidden/>
    <w:rsid w:val="001B069D"/>
    <w:pPr>
      <w:spacing w:before="120"/>
      <w:ind w:left="1440" w:right="1440"/>
    </w:pPr>
  </w:style>
  <w:style w:type="paragraph" w:customStyle="1" w:styleId="FlushLeftDouble">
    <w:name w:val="Flush Left Double"/>
    <w:basedOn w:val="FlushLeft"/>
    <w:link w:val="FlushLeftDoubleChar"/>
    <w:uiPriority w:val="10"/>
    <w:qFormat/>
    <w:rsid w:val="001B069D"/>
    <w:pPr>
      <w:spacing w:before="0" w:line="480" w:lineRule="auto"/>
    </w:pPr>
  </w:style>
  <w:style w:type="paragraph" w:styleId="TableofAuthorities">
    <w:name w:val="table of authorities"/>
    <w:basedOn w:val="Normal"/>
    <w:next w:val="Normal"/>
    <w:autoRedefine/>
    <w:uiPriority w:val="16"/>
    <w:semiHidden/>
    <w:rsid w:val="001B069D"/>
    <w:pPr>
      <w:tabs>
        <w:tab w:val="right" w:leader="dot" w:pos="8928"/>
      </w:tabs>
      <w:ind w:left="720" w:right="1008" w:hanging="720"/>
    </w:pPr>
  </w:style>
  <w:style w:type="character" w:styleId="LineNumber">
    <w:name w:val="line number"/>
    <w:basedOn w:val="DefaultParagraphFont"/>
    <w:semiHidden/>
    <w:rsid w:val="001B069D"/>
  </w:style>
  <w:style w:type="paragraph" w:customStyle="1" w:styleId="CenterDouble">
    <w:name w:val="Center Double"/>
    <w:aliases w:val="cd"/>
    <w:basedOn w:val="Center"/>
    <w:next w:val="BodyDouble"/>
    <w:link w:val="CenterDoubleChar"/>
    <w:uiPriority w:val="6"/>
    <w:rsid w:val="001B069D"/>
    <w:pPr>
      <w:spacing w:before="0" w:line="480" w:lineRule="auto"/>
    </w:pPr>
  </w:style>
  <w:style w:type="paragraph" w:customStyle="1" w:styleId="Indent">
    <w:name w:val="Indent"/>
    <w:basedOn w:val="Normal"/>
    <w:link w:val="IndentChar"/>
    <w:uiPriority w:val="10"/>
    <w:qFormat/>
    <w:rsid w:val="001B069D"/>
    <w:pPr>
      <w:spacing w:before="240"/>
      <w:ind w:left="720"/>
    </w:pPr>
  </w:style>
  <w:style w:type="paragraph" w:styleId="BodyText2">
    <w:name w:val="Body Text 2"/>
    <w:basedOn w:val="Normal"/>
    <w:uiPriority w:val="99"/>
    <w:semiHidden/>
    <w:rsid w:val="001B069D"/>
    <w:pPr>
      <w:spacing w:line="480" w:lineRule="auto"/>
    </w:pPr>
  </w:style>
  <w:style w:type="paragraph" w:styleId="BodyText3">
    <w:name w:val="Body Text 3"/>
    <w:basedOn w:val="Normal"/>
    <w:uiPriority w:val="99"/>
    <w:semiHidden/>
    <w:rsid w:val="001B069D"/>
    <w:pPr>
      <w:spacing w:before="120"/>
    </w:pPr>
    <w:rPr>
      <w:sz w:val="16"/>
    </w:rPr>
  </w:style>
  <w:style w:type="paragraph" w:styleId="BodyTextFirstIndent">
    <w:name w:val="Body Text First Indent"/>
    <w:basedOn w:val="Normal"/>
    <w:uiPriority w:val="99"/>
    <w:semiHidden/>
    <w:rsid w:val="00676F27"/>
    <w:pPr>
      <w:spacing w:before="120"/>
      <w:ind w:firstLine="210"/>
    </w:pPr>
  </w:style>
  <w:style w:type="paragraph" w:styleId="ListBullet">
    <w:name w:val="List Bullet"/>
    <w:aliases w:val="*"/>
    <w:basedOn w:val="Normal"/>
    <w:autoRedefine/>
    <w:semiHidden/>
    <w:rsid w:val="001B069D"/>
    <w:pPr>
      <w:numPr>
        <w:numId w:val="1"/>
      </w:numPr>
    </w:pPr>
  </w:style>
  <w:style w:type="paragraph" w:customStyle="1" w:styleId="Body1">
    <w:name w:val="Body 1&quot;"/>
    <w:aliases w:val="b1"/>
    <w:basedOn w:val="Normal"/>
    <w:link w:val="Body1Char"/>
    <w:uiPriority w:val="1"/>
    <w:rsid w:val="001B069D"/>
    <w:pPr>
      <w:spacing w:before="240"/>
      <w:ind w:firstLine="1440"/>
    </w:pPr>
  </w:style>
  <w:style w:type="paragraph" w:customStyle="1" w:styleId="Body1Double">
    <w:name w:val="Body 1&quot; Double"/>
    <w:aliases w:val="b1d"/>
    <w:basedOn w:val="Body1"/>
    <w:link w:val="Body1DoubleChar"/>
    <w:uiPriority w:val="2"/>
    <w:rsid w:val="001B069D"/>
    <w:pPr>
      <w:spacing w:before="0" w:line="480" w:lineRule="auto"/>
    </w:pPr>
  </w:style>
  <w:style w:type="paragraph" w:customStyle="1" w:styleId="Auto1">
    <w:name w:val="Auto 1"/>
    <w:aliases w:val="a1"/>
    <w:basedOn w:val="Normal"/>
    <w:link w:val="Auto1Char"/>
    <w:rsid w:val="001B069D"/>
    <w:pPr>
      <w:spacing w:before="240"/>
    </w:pPr>
  </w:style>
  <w:style w:type="paragraph" w:customStyle="1" w:styleId="Auto2">
    <w:name w:val="Auto 2"/>
    <w:aliases w:val="a2"/>
    <w:basedOn w:val="Normal"/>
    <w:link w:val="Auto2Char"/>
    <w:rsid w:val="001B069D"/>
    <w:pPr>
      <w:spacing w:before="240"/>
    </w:pPr>
  </w:style>
  <w:style w:type="paragraph" w:customStyle="1" w:styleId="Auto3">
    <w:name w:val="Auto 3"/>
    <w:aliases w:val="a3"/>
    <w:basedOn w:val="Normal"/>
    <w:link w:val="Auto3Char"/>
    <w:rsid w:val="001B069D"/>
    <w:pPr>
      <w:spacing w:before="240"/>
    </w:pPr>
  </w:style>
  <w:style w:type="paragraph" w:customStyle="1" w:styleId="Auto4">
    <w:name w:val="Auto 4"/>
    <w:aliases w:val="a4"/>
    <w:basedOn w:val="Normal"/>
    <w:link w:val="Auto4Char"/>
    <w:rsid w:val="001B069D"/>
    <w:pPr>
      <w:spacing w:before="240"/>
    </w:pPr>
  </w:style>
  <w:style w:type="paragraph" w:customStyle="1" w:styleId="Auto5">
    <w:name w:val="Auto 5"/>
    <w:aliases w:val="a5"/>
    <w:basedOn w:val="Normal"/>
    <w:link w:val="Auto5Char"/>
    <w:rsid w:val="001B069D"/>
    <w:pPr>
      <w:spacing w:before="240"/>
    </w:pPr>
  </w:style>
  <w:style w:type="paragraph" w:customStyle="1" w:styleId="Auto6">
    <w:name w:val="Auto 6"/>
    <w:aliases w:val="a6"/>
    <w:basedOn w:val="Normal"/>
    <w:link w:val="Auto6Char"/>
    <w:rsid w:val="001B069D"/>
    <w:pPr>
      <w:spacing w:before="240"/>
    </w:pPr>
  </w:style>
  <w:style w:type="paragraph" w:customStyle="1" w:styleId="Auto7">
    <w:name w:val="Auto 7"/>
    <w:aliases w:val="a7"/>
    <w:basedOn w:val="Normal"/>
    <w:link w:val="Auto7Char"/>
    <w:rsid w:val="001B069D"/>
    <w:pPr>
      <w:spacing w:before="240"/>
    </w:pPr>
  </w:style>
  <w:style w:type="paragraph" w:customStyle="1" w:styleId="Auto8">
    <w:name w:val="Auto 8"/>
    <w:aliases w:val="a8"/>
    <w:basedOn w:val="Normal"/>
    <w:link w:val="Auto8Char"/>
    <w:rsid w:val="001B069D"/>
    <w:pPr>
      <w:spacing w:before="240"/>
    </w:pPr>
  </w:style>
  <w:style w:type="paragraph" w:customStyle="1" w:styleId="Auto9">
    <w:name w:val="Auto 9"/>
    <w:aliases w:val="a9"/>
    <w:basedOn w:val="Normal"/>
    <w:link w:val="Auto9Char"/>
    <w:rsid w:val="001B069D"/>
    <w:pPr>
      <w:spacing w:before="240"/>
    </w:pPr>
  </w:style>
  <w:style w:type="paragraph" w:customStyle="1" w:styleId="QuoteDouble">
    <w:name w:val="Quote Double"/>
    <w:basedOn w:val="Normal"/>
    <w:link w:val="QuoteDoubleChar"/>
    <w:uiPriority w:val="11"/>
    <w:qFormat/>
    <w:rsid w:val="00E34F61"/>
    <w:pPr>
      <w:spacing w:line="480" w:lineRule="auto"/>
      <w:ind w:left="1440" w:right="1440"/>
    </w:pPr>
  </w:style>
  <w:style w:type="paragraph" w:styleId="BodyTextFirstIndent2">
    <w:name w:val="Body Text First Indent 2"/>
    <w:basedOn w:val="BodyTextIndent"/>
    <w:uiPriority w:val="99"/>
    <w:semiHidden/>
    <w:rsid w:val="001B069D"/>
    <w:pPr>
      <w:spacing w:before="120"/>
      <w:ind w:left="360" w:firstLine="210"/>
    </w:pPr>
  </w:style>
  <w:style w:type="paragraph" w:styleId="BodyTextIndent2">
    <w:name w:val="Body Text Indent 2"/>
    <w:basedOn w:val="Normal"/>
    <w:uiPriority w:val="99"/>
    <w:semiHidden/>
    <w:rsid w:val="001B069D"/>
    <w:pPr>
      <w:spacing w:line="480" w:lineRule="auto"/>
      <w:ind w:left="360"/>
    </w:pPr>
  </w:style>
  <w:style w:type="paragraph" w:styleId="BodyTextIndent3">
    <w:name w:val="Body Text Indent 3"/>
    <w:basedOn w:val="Normal"/>
    <w:uiPriority w:val="99"/>
    <w:semiHidden/>
    <w:rsid w:val="001B069D"/>
    <w:pPr>
      <w:spacing w:before="120"/>
      <w:ind w:left="360"/>
    </w:pPr>
    <w:rPr>
      <w:sz w:val="16"/>
    </w:rPr>
  </w:style>
  <w:style w:type="paragraph" w:styleId="Caption">
    <w:name w:val="caption"/>
    <w:basedOn w:val="Normal"/>
    <w:next w:val="Normal"/>
    <w:uiPriority w:val="99"/>
    <w:rsid w:val="001B069D"/>
    <w:pPr>
      <w:spacing w:before="120" w:after="120"/>
    </w:pPr>
    <w:rPr>
      <w:b/>
    </w:rPr>
  </w:style>
  <w:style w:type="paragraph" w:styleId="Closing">
    <w:name w:val="Closing"/>
    <w:basedOn w:val="Normal"/>
    <w:semiHidden/>
    <w:rsid w:val="001B069D"/>
    <w:pPr>
      <w:ind w:left="4320"/>
    </w:pPr>
  </w:style>
  <w:style w:type="paragraph" w:styleId="CommentText">
    <w:name w:val="annotation text"/>
    <w:basedOn w:val="Normal"/>
    <w:link w:val="CommentTextChar"/>
    <w:uiPriority w:val="99"/>
    <w:semiHidden/>
    <w:rsid w:val="001B069D"/>
    <w:rPr>
      <w:sz w:val="20"/>
    </w:rPr>
  </w:style>
  <w:style w:type="paragraph" w:styleId="Date">
    <w:name w:val="Date"/>
    <w:basedOn w:val="Normal"/>
    <w:next w:val="Normal"/>
    <w:semiHidden/>
    <w:rsid w:val="001B069D"/>
  </w:style>
  <w:style w:type="paragraph" w:styleId="DocumentMap">
    <w:name w:val="Document Map"/>
    <w:basedOn w:val="Normal"/>
    <w:semiHidden/>
    <w:rsid w:val="001B069D"/>
    <w:pPr>
      <w:shd w:val="clear" w:color="auto" w:fill="000080"/>
    </w:pPr>
    <w:rPr>
      <w:rFonts w:ascii="Tahoma" w:hAnsi="Tahoma"/>
    </w:rPr>
  </w:style>
  <w:style w:type="paragraph" w:styleId="EndnoteText">
    <w:name w:val="endnote text"/>
    <w:basedOn w:val="Normal"/>
    <w:semiHidden/>
    <w:rsid w:val="001B069D"/>
    <w:rPr>
      <w:sz w:val="20"/>
    </w:rPr>
  </w:style>
  <w:style w:type="paragraph" w:styleId="EnvelopeAddress">
    <w:name w:val="envelope address"/>
    <w:basedOn w:val="Normal"/>
    <w:semiHidden/>
    <w:rsid w:val="001B069D"/>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1B069D"/>
    <w:rPr>
      <w:rFonts w:ascii="Arial" w:hAnsi="Arial"/>
      <w:sz w:val="20"/>
    </w:rPr>
  </w:style>
  <w:style w:type="paragraph" w:styleId="Index1">
    <w:name w:val="index 1"/>
    <w:basedOn w:val="Normal"/>
    <w:next w:val="Normal"/>
    <w:autoRedefine/>
    <w:semiHidden/>
    <w:rsid w:val="001B069D"/>
    <w:pPr>
      <w:tabs>
        <w:tab w:val="right" w:leader="dot" w:pos="9187"/>
      </w:tabs>
      <w:ind w:right="1440"/>
    </w:pPr>
  </w:style>
  <w:style w:type="paragraph" w:styleId="Index2">
    <w:name w:val="index 2"/>
    <w:basedOn w:val="Normal"/>
    <w:next w:val="Normal"/>
    <w:autoRedefine/>
    <w:semiHidden/>
    <w:rsid w:val="001B069D"/>
    <w:pPr>
      <w:tabs>
        <w:tab w:val="right" w:leader="dot" w:pos="9187"/>
      </w:tabs>
      <w:ind w:left="245" w:right="1440"/>
    </w:pPr>
  </w:style>
  <w:style w:type="paragraph" w:styleId="Index3">
    <w:name w:val="index 3"/>
    <w:basedOn w:val="Normal"/>
    <w:next w:val="Normal"/>
    <w:autoRedefine/>
    <w:semiHidden/>
    <w:rsid w:val="001B069D"/>
    <w:pPr>
      <w:tabs>
        <w:tab w:val="right" w:leader="dot" w:pos="9187"/>
      </w:tabs>
      <w:ind w:left="475" w:right="1440"/>
    </w:pPr>
  </w:style>
  <w:style w:type="paragraph" w:styleId="Index4">
    <w:name w:val="index 4"/>
    <w:basedOn w:val="Normal"/>
    <w:next w:val="Normal"/>
    <w:autoRedefine/>
    <w:semiHidden/>
    <w:rsid w:val="001B069D"/>
    <w:pPr>
      <w:tabs>
        <w:tab w:val="right" w:leader="dot" w:pos="9187"/>
      </w:tabs>
      <w:ind w:left="720" w:right="1440"/>
    </w:pPr>
  </w:style>
  <w:style w:type="paragraph" w:styleId="Index5">
    <w:name w:val="index 5"/>
    <w:basedOn w:val="Normal"/>
    <w:next w:val="Normal"/>
    <w:autoRedefine/>
    <w:semiHidden/>
    <w:rsid w:val="001B069D"/>
    <w:pPr>
      <w:tabs>
        <w:tab w:val="right" w:leader="dot" w:pos="9187"/>
      </w:tabs>
      <w:ind w:left="965" w:right="1440"/>
    </w:pPr>
  </w:style>
  <w:style w:type="paragraph" w:styleId="Index6">
    <w:name w:val="index 6"/>
    <w:basedOn w:val="Normal"/>
    <w:next w:val="Normal"/>
    <w:autoRedefine/>
    <w:semiHidden/>
    <w:rsid w:val="001B069D"/>
    <w:pPr>
      <w:tabs>
        <w:tab w:val="right" w:leader="dot" w:pos="9187"/>
      </w:tabs>
      <w:ind w:left="1195" w:right="1440"/>
    </w:pPr>
  </w:style>
  <w:style w:type="paragraph" w:styleId="Index7">
    <w:name w:val="index 7"/>
    <w:basedOn w:val="Normal"/>
    <w:next w:val="Normal"/>
    <w:autoRedefine/>
    <w:semiHidden/>
    <w:rsid w:val="001B069D"/>
    <w:pPr>
      <w:tabs>
        <w:tab w:val="right" w:leader="dot" w:pos="9187"/>
      </w:tabs>
      <w:ind w:left="1440" w:right="1440"/>
    </w:pPr>
  </w:style>
  <w:style w:type="paragraph" w:styleId="Index8">
    <w:name w:val="index 8"/>
    <w:basedOn w:val="Normal"/>
    <w:next w:val="Normal"/>
    <w:autoRedefine/>
    <w:semiHidden/>
    <w:rsid w:val="001B069D"/>
    <w:pPr>
      <w:tabs>
        <w:tab w:val="right" w:leader="dot" w:pos="9187"/>
      </w:tabs>
      <w:ind w:left="1685" w:right="1440"/>
    </w:pPr>
  </w:style>
  <w:style w:type="paragraph" w:styleId="Index9">
    <w:name w:val="index 9"/>
    <w:basedOn w:val="Normal"/>
    <w:next w:val="Normal"/>
    <w:autoRedefine/>
    <w:semiHidden/>
    <w:rsid w:val="001B069D"/>
    <w:pPr>
      <w:tabs>
        <w:tab w:val="right" w:leader="dot" w:pos="9187"/>
      </w:tabs>
      <w:ind w:left="1915" w:right="1440"/>
    </w:pPr>
  </w:style>
  <w:style w:type="paragraph" w:styleId="IndexHeading">
    <w:name w:val="index heading"/>
    <w:basedOn w:val="Normal"/>
    <w:next w:val="Index1"/>
    <w:semiHidden/>
    <w:rsid w:val="001B069D"/>
    <w:rPr>
      <w:rFonts w:ascii="Arial" w:hAnsi="Arial"/>
      <w:b/>
    </w:rPr>
  </w:style>
  <w:style w:type="paragraph" w:styleId="List">
    <w:name w:val="List"/>
    <w:basedOn w:val="Normal"/>
    <w:semiHidden/>
    <w:rsid w:val="001B069D"/>
    <w:pPr>
      <w:ind w:left="360" w:hanging="360"/>
    </w:pPr>
  </w:style>
  <w:style w:type="paragraph" w:styleId="List2">
    <w:name w:val="List 2"/>
    <w:basedOn w:val="Normal"/>
    <w:semiHidden/>
    <w:rsid w:val="001B069D"/>
    <w:pPr>
      <w:ind w:left="720" w:hanging="360"/>
    </w:pPr>
  </w:style>
  <w:style w:type="paragraph" w:styleId="List3">
    <w:name w:val="List 3"/>
    <w:basedOn w:val="Normal"/>
    <w:semiHidden/>
    <w:rsid w:val="001B069D"/>
    <w:pPr>
      <w:ind w:left="1080" w:hanging="360"/>
    </w:pPr>
  </w:style>
  <w:style w:type="paragraph" w:styleId="List4">
    <w:name w:val="List 4"/>
    <w:basedOn w:val="Normal"/>
    <w:semiHidden/>
    <w:rsid w:val="001B069D"/>
    <w:pPr>
      <w:ind w:left="1440" w:hanging="360"/>
    </w:pPr>
  </w:style>
  <w:style w:type="paragraph" w:styleId="List5">
    <w:name w:val="List 5"/>
    <w:basedOn w:val="Normal"/>
    <w:semiHidden/>
    <w:rsid w:val="001B069D"/>
    <w:pPr>
      <w:ind w:left="1800" w:hanging="360"/>
    </w:pPr>
  </w:style>
  <w:style w:type="paragraph" w:styleId="ListBullet2">
    <w:name w:val="List Bullet 2"/>
    <w:basedOn w:val="Normal"/>
    <w:autoRedefine/>
    <w:semiHidden/>
    <w:rsid w:val="001B069D"/>
    <w:pPr>
      <w:tabs>
        <w:tab w:val="num" w:pos="720"/>
      </w:tabs>
      <w:ind w:left="720" w:hanging="720"/>
    </w:pPr>
  </w:style>
  <w:style w:type="paragraph" w:styleId="ListBullet3">
    <w:name w:val="List Bullet 3"/>
    <w:basedOn w:val="Normal"/>
    <w:autoRedefine/>
    <w:semiHidden/>
    <w:rsid w:val="001B069D"/>
    <w:pPr>
      <w:tabs>
        <w:tab w:val="num" w:pos="720"/>
      </w:tabs>
      <w:ind w:left="720" w:hanging="720"/>
    </w:pPr>
  </w:style>
  <w:style w:type="paragraph" w:styleId="ListBullet4">
    <w:name w:val="List Bullet 4"/>
    <w:basedOn w:val="Normal"/>
    <w:autoRedefine/>
    <w:semiHidden/>
    <w:rsid w:val="001B069D"/>
    <w:pPr>
      <w:tabs>
        <w:tab w:val="num" w:pos="720"/>
      </w:tabs>
      <w:ind w:left="720" w:hanging="720"/>
    </w:pPr>
  </w:style>
  <w:style w:type="paragraph" w:styleId="ListBullet5">
    <w:name w:val="List Bullet 5"/>
    <w:basedOn w:val="Normal"/>
    <w:autoRedefine/>
    <w:semiHidden/>
    <w:rsid w:val="001B069D"/>
    <w:pPr>
      <w:tabs>
        <w:tab w:val="num" w:pos="720"/>
      </w:tabs>
      <w:ind w:left="720" w:hanging="720"/>
    </w:pPr>
  </w:style>
  <w:style w:type="paragraph" w:styleId="ListContinue">
    <w:name w:val="List Continue"/>
    <w:basedOn w:val="Normal"/>
    <w:semiHidden/>
    <w:rsid w:val="001B069D"/>
    <w:pPr>
      <w:spacing w:before="120"/>
      <w:ind w:left="360"/>
    </w:pPr>
  </w:style>
  <w:style w:type="paragraph" w:styleId="ListContinue2">
    <w:name w:val="List Continue 2"/>
    <w:basedOn w:val="Normal"/>
    <w:semiHidden/>
    <w:rsid w:val="001B069D"/>
    <w:pPr>
      <w:spacing w:before="120"/>
      <w:ind w:left="720"/>
    </w:pPr>
  </w:style>
  <w:style w:type="paragraph" w:styleId="ListContinue3">
    <w:name w:val="List Continue 3"/>
    <w:basedOn w:val="Normal"/>
    <w:semiHidden/>
    <w:rsid w:val="001B069D"/>
    <w:pPr>
      <w:spacing w:before="120"/>
      <w:ind w:left="1080"/>
    </w:pPr>
  </w:style>
  <w:style w:type="paragraph" w:styleId="ListContinue4">
    <w:name w:val="List Continue 4"/>
    <w:basedOn w:val="Normal"/>
    <w:semiHidden/>
    <w:rsid w:val="001B069D"/>
    <w:pPr>
      <w:spacing w:before="120"/>
      <w:ind w:left="1440"/>
    </w:pPr>
  </w:style>
  <w:style w:type="paragraph" w:styleId="ListContinue5">
    <w:name w:val="List Continue 5"/>
    <w:basedOn w:val="Normal"/>
    <w:semiHidden/>
    <w:rsid w:val="001B069D"/>
    <w:pPr>
      <w:spacing w:before="120"/>
      <w:ind w:left="1800"/>
    </w:pPr>
  </w:style>
  <w:style w:type="paragraph" w:styleId="ListNumber">
    <w:name w:val="List Number"/>
    <w:basedOn w:val="Normal"/>
    <w:semiHidden/>
    <w:rsid w:val="001B069D"/>
    <w:pPr>
      <w:tabs>
        <w:tab w:val="num" w:pos="720"/>
      </w:tabs>
      <w:ind w:left="720" w:hanging="720"/>
    </w:pPr>
  </w:style>
  <w:style w:type="paragraph" w:styleId="ListNumber2">
    <w:name w:val="List Number 2"/>
    <w:basedOn w:val="Normal"/>
    <w:semiHidden/>
    <w:rsid w:val="001B069D"/>
    <w:pPr>
      <w:tabs>
        <w:tab w:val="num" w:pos="720"/>
      </w:tabs>
      <w:ind w:left="720" w:hanging="720"/>
    </w:pPr>
  </w:style>
  <w:style w:type="paragraph" w:styleId="ListNumber3">
    <w:name w:val="List Number 3"/>
    <w:basedOn w:val="Normal"/>
    <w:semiHidden/>
    <w:rsid w:val="001B069D"/>
    <w:pPr>
      <w:tabs>
        <w:tab w:val="num" w:pos="720"/>
      </w:tabs>
      <w:ind w:left="720" w:hanging="720"/>
    </w:pPr>
  </w:style>
  <w:style w:type="paragraph" w:styleId="ListNumber4">
    <w:name w:val="List Number 4"/>
    <w:basedOn w:val="Normal"/>
    <w:semiHidden/>
    <w:rsid w:val="001B069D"/>
    <w:pPr>
      <w:tabs>
        <w:tab w:val="num" w:pos="720"/>
      </w:tabs>
      <w:ind w:left="720" w:hanging="720"/>
    </w:pPr>
  </w:style>
  <w:style w:type="paragraph" w:styleId="ListNumber5">
    <w:name w:val="List Number 5"/>
    <w:basedOn w:val="Normal"/>
    <w:semiHidden/>
    <w:rsid w:val="001B069D"/>
    <w:pPr>
      <w:tabs>
        <w:tab w:val="num" w:pos="720"/>
      </w:tabs>
      <w:ind w:left="720" w:hanging="720"/>
    </w:pPr>
  </w:style>
  <w:style w:type="paragraph" w:styleId="MacroText">
    <w:name w:val="macro"/>
    <w:semiHidden/>
    <w:rsid w:val="001B069D"/>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rsid w:val="001B069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teHeading">
    <w:name w:val="Note Heading"/>
    <w:basedOn w:val="Normal"/>
    <w:next w:val="Normal"/>
    <w:uiPriority w:val="99"/>
    <w:semiHidden/>
    <w:rsid w:val="001B069D"/>
  </w:style>
  <w:style w:type="paragraph" w:styleId="PlainText">
    <w:name w:val="Plain Text"/>
    <w:basedOn w:val="Normal"/>
    <w:uiPriority w:val="59"/>
    <w:semiHidden/>
    <w:rsid w:val="001B069D"/>
    <w:rPr>
      <w:rFonts w:ascii="Courier New" w:hAnsi="Courier New"/>
      <w:sz w:val="20"/>
    </w:rPr>
  </w:style>
  <w:style w:type="paragraph" w:styleId="Salutation">
    <w:name w:val="Salutation"/>
    <w:basedOn w:val="Normal"/>
    <w:next w:val="Normal"/>
    <w:uiPriority w:val="40"/>
    <w:semiHidden/>
    <w:rsid w:val="001B069D"/>
  </w:style>
  <w:style w:type="paragraph" w:styleId="Signature">
    <w:name w:val="Signature"/>
    <w:basedOn w:val="Normal"/>
    <w:semiHidden/>
    <w:rsid w:val="001B069D"/>
    <w:pPr>
      <w:ind w:left="4320"/>
    </w:pPr>
  </w:style>
  <w:style w:type="paragraph" w:styleId="Subtitle">
    <w:name w:val="Subtitle"/>
    <w:basedOn w:val="Normal"/>
    <w:uiPriority w:val="59"/>
    <w:rsid w:val="001B069D"/>
    <w:pPr>
      <w:spacing w:before="60"/>
      <w:jc w:val="center"/>
      <w:outlineLvl w:val="1"/>
    </w:pPr>
    <w:rPr>
      <w:rFonts w:ascii="Arial" w:hAnsi="Arial"/>
    </w:rPr>
  </w:style>
  <w:style w:type="paragraph" w:styleId="TableofFigures">
    <w:name w:val="table of figures"/>
    <w:basedOn w:val="Normal"/>
    <w:next w:val="Normal"/>
    <w:uiPriority w:val="40"/>
    <w:semiHidden/>
    <w:rsid w:val="001B069D"/>
    <w:pPr>
      <w:ind w:left="480" w:hanging="480"/>
    </w:pPr>
  </w:style>
  <w:style w:type="paragraph" w:styleId="Title">
    <w:name w:val="Title"/>
    <w:basedOn w:val="Normal"/>
    <w:uiPriority w:val="59"/>
    <w:rsid w:val="001B069D"/>
    <w:pPr>
      <w:spacing w:before="240" w:after="60"/>
      <w:jc w:val="center"/>
      <w:outlineLvl w:val="0"/>
    </w:pPr>
    <w:rPr>
      <w:rFonts w:ascii="Arial" w:hAnsi="Arial"/>
      <w:b/>
      <w:kern w:val="28"/>
      <w:sz w:val="32"/>
    </w:rPr>
  </w:style>
  <w:style w:type="paragraph" w:customStyle="1" w:styleId="CenterBoldUnderscore">
    <w:name w:val="Center Bold Underscore"/>
    <w:aliases w:val="cbu"/>
    <w:basedOn w:val="Center"/>
    <w:next w:val="Body"/>
    <w:link w:val="CenterBoldUnderscoreChar"/>
    <w:uiPriority w:val="5"/>
    <w:rsid w:val="001B069D"/>
    <w:rPr>
      <w:b/>
      <w:u w:val="single"/>
    </w:rPr>
  </w:style>
  <w:style w:type="paragraph" w:customStyle="1" w:styleId="CenterBold">
    <w:name w:val="Center Bold"/>
    <w:basedOn w:val="Center"/>
    <w:next w:val="Body"/>
    <w:link w:val="CenterBoldChar"/>
    <w:uiPriority w:val="3"/>
    <w:qFormat/>
    <w:rsid w:val="001B069D"/>
    <w:rPr>
      <w:b/>
    </w:rPr>
  </w:style>
  <w:style w:type="paragraph" w:customStyle="1" w:styleId="CenterDoubleBoldUnd">
    <w:name w:val="Center Double Bold Und"/>
    <w:aliases w:val="cdbu"/>
    <w:basedOn w:val="CenterDouble"/>
    <w:next w:val="BodyDouble"/>
    <w:link w:val="CenterDoubleBoldUndChar"/>
    <w:uiPriority w:val="9"/>
    <w:rsid w:val="001B069D"/>
    <w:rPr>
      <w:b/>
      <w:u w:val="single"/>
    </w:rPr>
  </w:style>
  <w:style w:type="paragraph" w:customStyle="1" w:styleId="CenterDoubleBold">
    <w:name w:val="Center Double Bold"/>
    <w:aliases w:val="cbd"/>
    <w:basedOn w:val="CenterDouble"/>
    <w:next w:val="BodyDouble"/>
    <w:link w:val="CenterDoubleBoldChar"/>
    <w:uiPriority w:val="7"/>
    <w:rsid w:val="001B069D"/>
    <w:rPr>
      <w:b/>
    </w:rPr>
  </w:style>
  <w:style w:type="paragraph" w:customStyle="1" w:styleId="CenterDoubleUnd">
    <w:name w:val="Center Double Und"/>
    <w:aliases w:val="cdu"/>
    <w:basedOn w:val="CenterDouble"/>
    <w:next w:val="BodyDouble"/>
    <w:link w:val="CenterDoubleUndChar"/>
    <w:uiPriority w:val="8"/>
    <w:rsid w:val="001B069D"/>
    <w:rPr>
      <w:u w:val="single"/>
    </w:rPr>
  </w:style>
  <w:style w:type="paragraph" w:customStyle="1" w:styleId="CenterUnderscore">
    <w:name w:val="Center Underscore"/>
    <w:basedOn w:val="Center"/>
    <w:next w:val="Body"/>
    <w:link w:val="CenterUnderscoreChar"/>
    <w:uiPriority w:val="4"/>
    <w:qFormat/>
    <w:rsid w:val="001B069D"/>
    <w:rPr>
      <w:u w:val="single"/>
    </w:rPr>
  </w:style>
  <w:style w:type="paragraph" w:customStyle="1" w:styleId="HeadingTitle">
    <w:name w:val="Heading Title"/>
    <w:aliases w:val="ht"/>
    <w:basedOn w:val="Normal"/>
    <w:next w:val="Normal"/>
    <w:rsid w:val="001B069D"/>
    <w:pPr>
      <w:keepNext/>
      <w:keepLines/>
      <w:spacing w:after="240"/>
      <w:jc w:val="center"/>
    </w:pPr>
    <w:rPr>
      <w:b/>
      <w:u w:val="single"/>
    </w:rPr>
  </w:style>
  <w:style w:type="paragraph" w:customStyle="1" w:styleId="zExhibitName">
    <w:name w:val="zExhibitName"/>
    <w:basedOn w:val="Normal"/>
    <w:next w:val="FlushLeft"/>
    <w:uiPriority w:val="18"/>
    <w:rsid w:val="001B069D"/>
    <w:pPr>
      <w:keepNext/>
      <w:keepLines/>
      <w:spacing w:after="240"/>
      <w:jc w:val="center"/>
    </w:pPr>
    <w:rPr>
      <w:b/>
      <w:u w:val="single"/>
    </w:rPr>
  </w:style>
  <w:style w:type="paragraph" w:customStyle="1" w:styleId="zExhibitLabel">
    <w:name w:val="zExhibitLabel"/>
    <w:basedOn w:val="Normal"/>
    <w:next w:val="FlushLeft"/>
    <w:uiPriority w:val="18"/>
    <w:rsid w:val="007D7E8B"/>
    <w:pPr>
      <w:keepNext/>
      <w:keepLines/>
      <w:jc w:val="center"/>
    </w:pPr>
    <w:rPr>
      <w:b/>
      <w:u w:val="single"/>
    </w:rPr>
  </w:style>
  <w:style w:type="character" w:customStyle="1" w:styleId="Auto1Char">
    <w:name w:val="Auto 1 Char"/>
    <w:aliases w:val="a1 Char"/>
    <w:basedOn w:val="DefaultParagraphFont"/>
    <w:link w:val="Auto1"/>
    <w:rsid w:val="001E63D4"/>
    <w:rPr>
      <w:sz w:val="24"/>
    </w:rPr>
  </w:style>
  <w:style w:type="character" w:customStyle="1" w:styleId="Auto2Char">
    <w:name w:val="Auto 2 Char"/>
    <w:aliases w:val="a2 Char"/>
    <w:basedOn w:val="DefaultParagraphFont"/>
    <w:link w:val="Auto2"/>
    <w:rsid w:val="001E63D4"/>
    <w:rPr>
      <w:sz w:val="24"/>
    </w:rPr>
  </w:style>
  <w:style w:type="character" w:customStyle="1" w:styleId="Auto3Char">
    <w:name w:val="Auto 3 Char"/>
    <w:aliases w:val="a3 Char"/>
    <w:basedOn w:val="DefaultParagraphFont"/>
    <w:link w:val="Auto3"/>
    <w:rsid w:val="001E63D4"/>
    <w:rPr>
      <w:sz w:val="24"/>
    </w:rPr>
  </w:style>
  <w:style w:type="paragraph" w:styleId="Quote">
    <w:name w:val="Quote"/>
    <w:basedOn w:val="Normal"/>
    <w:link w:val="QuoteChar"/>
    <w:uiPriority w:val="11"/>
    <w:qFormat/>
    <w:rsid w:val="000F36E0"/>
    <w:pPr>
      <w:spacing w:before="240"/>
      <w:ind w:left="1440" w:right="1440"/>
    </w:pPr>
    <w:rPr>
      <w:iCs/>
      <w:color w:val="000000" w:themeColor="text1"/>
    </w:rPr>
  </w:style>
  <w:style w:type="character" w:customStyle="1" w:styleId="QuoteChar">
    <w:name w:val="Quote Char"/>
    <w:basedOn w:val="DefaultParagraphFont"/>
    <w:link w:val="Quote"/>
    <w:uiPriority w:val="11"/>
    <w:rsid w:val="000F36E0"/>
    <w:rPr>
      <w:iCs/>
      <w:color w:val="000000" w:themeColor="text1"/>
      <w:sz w:val="24"/>
    </w:rPr>
  </w:style>
  <w:style w:type="paragraph" w:customStyle="1" w:styleId="NoticeAddresses">
    <w:name w:val="Notice Addresses"/>
    <w:basedOn w:val="Normal"/>
    <w:link w:val="NoticeAddressesChar"/>
    <w:uiPriority w:val="11"/>
    <w:qFormat/>
    <w:rsid w:val="008417FE"/>
    <w:pPr>
      <w:ind w:left="2880" w:hanging="2880"/>
    </w:pPr>
  </w:style>
  <w:style w:type="character" w:customStyle="1" w:styleId="FlushLeftChar">
    <w:name w:val="Flush Left Char"/>
    <w:basedOn w:val="DefaultParagraphFont"/>
    <w:link w:val="FlushLeft"/>
    <w:uiPriority w:val="10"/>
    <w:rsid w:val="0063177A"/>
    <w:rPr>
      <w:rFonts w:ascii="Calibri" w:hAnsi="Calibri" w:cs="Calibri"/>
      <w:sz w:val="22"/>
    </w:rPr>
  </w:style>
  <w:style w:type="character" w:customStyle="1" w:styleId="NoticeAddressesChar">
    <w:name w:val="Notice Addresses Char"/>
    <w:basedOn w:val="FlushLeftChar"/>
    <w:link w:val="NoticeAddresses"/>
    <w:rsid w:val="008417FE"/>
    <w:rPr>
      <w:rFonts w:ascii="Calibri" w:hAnsi="Calibri" w:cs="Calibri"/>
      <w:sz w:val="24"/>
    </w:rPr>
  </w:style>
  <w:style w:type="paragraph" w:styleId="BalloonText">
    <w:name w:val="Balloon Text"/>
    <w:basedOn w:val="Normal"/>
    <w:link w:val="BalloonTextChar"/>
    <w:uiPriority w:val="99"/>
    <w:semiHidden/>
    <w:unhideWhenUsed/>
    <w:rsid w:val="008417FE"/>
    <w:rPr>
      <w:rFonts w:ascii="Tahoma" w:hAnsi="Tahoma" w:cs="Tahoma"/>
      <w:sz w:val="16"/>
      <w:szCs w:val="16"/>
    </w:rPr>
  </w:style>
  <w:style w:type="character" w:customStyle="1" w:styleId="BalloonTextChar">
    <w:name w:val="Balloon Text Char"/>
    <w:basedOn w:val="DefaultParagraphFont"/>
    <w:link w:val="BalloonText"/>
    <w:uiPriority w:val="99"/>
    <w:semiHidden/>
    <w:rsid w:val="008417FE"/>
    <w:rPr>
      <w:rFonts w:ascii="Tahoma" w:hAnsi="Tahoma" w:cs="Tahoma"/>
      <w:sz w:val="16"/>
      <w:szCs w:val="16"/>
    </w:rPr>
  </w:style>
  <w:style w:type="paragraph" w:styleId="Bibliography">
    <w:name w:val="Bibliography"/>
    <w:basedOn w:val="Normal"/>
    <w:next w:val="Normal"/>
    <w:uiPriority w:val="99"/>
    <w:semiHidden/>
    <w:unhideWhenUsed/>
    <w:rsid w:val="008417FE"/>
  </w:style>
  <w:style w:type="character" w:styleId="BookTitle">
    <w:name w:val="Book Title"/>
    <w:basedOn w:val="DefaultParagraphFont"/>
    <w:uiPriority w:val="99"/>
    <w:rsid w:val="008417FE"/>
    <w:rPr>
      <w:b/>
      <w:bCs/>
      <w:smallCaps/>
      <w:spacing w:val="5"/>
    </w:rPr>
  </w:style>
  <w:style w:type="table" w:styleId="ColorfulGrid">
    <w:name w:val="Colorful Grid"/>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417F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8417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417F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417F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417F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417F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417F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417F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8417F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417F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417F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417F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417F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417F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417F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417FE"/>
    <w:rPr>
      <w:sz w:val="16"/>
      <w:szCs w:val="16"/>
    </w:rPr>
  </w:style>
  <w:style w:type="paragraph" w:styleId="CommentSubject">
    <w:name w:val="annotation subject"/>
    <w:basedOn w:val="CommentText"/>
    <w:next w:val="CommentText"/>
    <w:link w:val="CommentSubjectChar"/>
    <w:uiPriority w:val="99"/>
    <w:semiHidden/>
    <w:unhideWhenUsed/>
    <w:rsid w:val="008417FE"/>
    <w:rPr>
      <w:b/>
      <w:bCs/>
    </w:rPr>
  </w:style>
  <w:style w:type="character" w:customStyle="1" w:styleId="CommentTextChar">
    <w:name w:val="Comment Text Char"/>
    <w:basedOn w:val="DefaultParagraphFont"/>
    <w:link w:val="CommentText"/>
    <w:uiPriority w:val="99"/>
    <w:semiHidden/>
    <w:rsid w:val="008417FE"/>
  </w:style>
  <w:style w:type="character" w:customStyle="1" w:styleId="CommentSubjectChar">
    <w:name w:val="Comment Subject Char"/>
    <w:basedOn w:val="CommentTextChar"/>
    <w:link w:val="CommentSubject"/>
    <w:rsid w:val="008417FE"/>
  </w:style>
  <w:style w:type="table" w:styleId="DarkList">
    <w:name w:val="Dark List"/>
    <w:basedOn w:val="TableNormal"/>
    <w:uiPriority w:val="70"/>
    <w:rsid w:val="008417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417F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417F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417F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417F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417F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417F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semiHidden/>
    <w:unhideWhenUsed/>
    <w:rsid w:val="008417FE"/>
  </w:style>
  <w:style w:type="character" w:customStyle="1" w:styleId="E-mailSignatureChar">
    <w:name w:val="E-mail Signature Char"/>
    <w:basedOn w:val="DefaultParagraphFont"/>
    <w:link w:val="E-mailSignature"/>
    <w:uiPriority w:val="99"/>
    <w:semiHidden/>
    <w:rsid w:val="008417FE"/>
    <w:rPr>
      <w:sz w:val="24"/>
    </w:rPr>
  </w:style>
  <w:style w:type="character" w:styleId="Emphasis">
    <w:name w:val="Emphasis"/>
    <w:basedOn w:val="DefaultParagraphFont"/>
    <w:uiPriority w:val="20"/>
    <w:rsid w:val="008417FE"/>
    <w:rPr>
      <w:i/>
      <w:iCs/>
    </w:rPr>
  </w:style>
  <w:style w:type="character" w:styleId="EndnoteReference">
    <w:name w:val="endnote reference"/>
    <w:basedOn w:val="DefaultParagraphFont"/>
    <w:uiPriority w:val="99"/>
    <w:semiHidden/>
    <w:unhideWhenUsed/>
    <w:rsid w:val="008417FE"/>
    <w:rPr>
      <w:vertAlign w:val="superscript"/>
    </w:rPr>
  </w:style>
  <w:style w:type="character" w:styleId="FollowedHyperlink">
    <w:name w:val="FollowedHyperlink"/>
    <w:basedOn w:val="DefaultParagraphFont"/>
    <w:uiPriority w:val="99"/>
    <w:semiHidden/>
    <w:unhideWhenUsed/>
    <w:rsid w:val="008417FE"/>
    <w:rPr>
      <w:color w:val="800080" w:themeColor="followedHyperlink"/>
      <w:u w:val="single"/>
    </w:rPr>
  </w:style>
  <w:style w:type="character" w:styleId="HTMLAcronym">
    <w:name w:val="HTML Acronym"/>
    <w:basedOn w:val="DefaultParagraphFont"/>
    <w:uiPriority w:val="99"/>
    <w:semiHidden/>
    <w:unhideWhenUsed/>
    <w:rsid w:val="008417FE"/>
  </w:style>
  <w:style w:type="paragraph" w:styleId="HTMLAddress">
    <w:name w:val="HTML Address"/>
    <w:basedOn w:val="Normal"/>
    <w:link w:val="HTMLAddressChar"/>
    <w:uiPriority w:val="99"/>
    <w:semiHidden/>
    <w:unhideWhenUsed/>
    <w:rsid w:val="008417FE"/>
    <w:rPr>
      <w:i/>
      <w:iCs/>
    </w:rPr>
  </w:style>
  <w:style w:type="character" w:customStyle="1" w:styleId="HTMLAddressChar">
    <w:name w:val="HTML Address Char"/>
    <w:basedOn w:val="DefaultParagraphFont"/>
    <w:link w:val="HTMLAddress"/>
    <w:uiPriority w:val="99"/>
    <w:semiHidden/>
    <w:rsid w:val="008417FE"/>
    <w:rPr>
      <w:i/>
      <w:iCs/>
      <w:sz w:val="24"/>
    </w:rPr>
  </w:style>
  <w:style w:type="character" w:styleId="HTMLCite">
    <w:name w:val="HTML Cite"/>
    <w:basedOn w:val="DefaultParagraphFont"/>
    <w:uiPriority w:val="99"/>
    <w:semiHidden/>
    <w:unhideWhenUsed/>
    <w:rsid w:val="008417FE"/>
    <w:rPr>
      <w:i/>
      <w:iCs/>
    </w:rPr>
  </w:style>
  <w:style w:type="character" w:styleId="HTMLCode">
    <w:name w:val="HTML Code"/>
    <w:basedOn w:val="DefaultParagraphFont"/>
    <w:uiPriority w:val="99"/>
    <w:semiHidden/>
    <w:unhideWhenUsed/>
    <w:rsid w:val="008417FE"/>
    <w:rPr>
      <w:rFonts w:ascii="Consolas" w:hAnsi="Consolas"/>
      <w:sz w:val="20"/>
      <w:szCs w:val="20"/>
    </w:rPr>
  </w:style>
  <w:style w:type="character" w:styleId="HTMLDefinition">
    <w:name w:val="HTML Definition"/>
    <w:basedOn w:val="DefaultParagraphFont"/>
    <w:uiPriority w:val="99"/>
    <w:semiHidden/>
    <w:unhideWhenUsed/>
    <w:rsid w:val="008417FE"/>
    <w:rPr>
      <w:i/>
      <w:iCs/>
    </w:rPr>
  </w:style>
  <w:style w:type="character" w:styleId="HTMLKeyboard">
    <w:name w:val="HTML Keyboard"/>
    <w:basedOn w:val="DefaultParagraphFont"/>
    <w:uiPriority w:val="99"/>
    <w:semiHidden/>
    <w:unhideWhenUsed/>
    <w:rsid w:val="008417FE"/>
    <w:rPr>
      <w:rFonts w:ascii="Consolas" w:hAnsi="Consolas"/>
      <w:sz w:val="20"/>
      <w:szCs w:val="20"/>
    </w:rPr>
  </w:style>
  <w:style w:type="paragraph" w:styleId="HTMLPreformatted">
    <w:name w:val="HTML Preformatted"/>
    <w:basedOn w:val="Normal"/>
    <w:link w:val="HTMLPreformattedChar"/>
    <w:uiPriority w:val="99"/>
    <w:semiHidden/>
    <w:unhideWhenUsed/>
    <w:rsid w:val="008417FE"/>
    <w:rPr>
      <w:rFonts w:ascii="Consolas" w:hAnsi="Consolas"/>
      <w:sz w:val="20"/>
    </w:rPr>
  </w:style>
  <w:style w:type="character" w:customStyle="1" w:styleId="HTMLPreformattedChar">
    <w:name w:val="HTML Preformatted Char"/>
    <w:basedOn w:val="DefaultParagraphFont"/>
    <w:link w:val="HTMLPreformatted"/>
    <w:uiPriority w:val="99"/>
    <w:semiHidden/>
    <w:rsid w:val="008417FE"/>
    <w:rPr>
      <w:rFonts w:ascii="Consolas" w:hAnsi="Consolas"/>
    </w:rPr>
  </w:style>
  <w:style w:type="character" w:styleId="HTMLSample">
    <w:name w:val="HTML Sample"/>
    <w:basedOn w:val="DefaultParagraphFont"/>
    <w:uiPriority w:val="99"/>
    <w:semiHidden/>
    <w:unhideWhenUsed/>
    <w:rsid w:val="008417FE"/>
    <w:rPr>
      <w:rFonts w:ascii="Consolas" w:hAnsi="Consolas"/>
      <w:sz w:val="24"/>
      <w:szCs w:val="24"/>
    </w:rPr>
  </w:style>
  <w:style w:type="character" w:styleId="HTMLTypewriter">
    <w:name w:val="HTML Typewriter"/>
    <w:basedOn w:val="DefaultParagraphFont"/>
    <w:uiPriority w:val="99"/>
    <w:semiHidden/>
    <w:unhideWhenUsed/>
    <w:rsid w:val="008417FE"/>
    <w:rPr>
      <w:rFonts w:ascii="Consolas" w:hAnsi="Consolas"/>
      <w:sz w:val="20"/>
      <w:szCs w:val="20"/>
    </w:rPr>
  </w:style>
  <w:style w:type="character" w:styleId="HTMLVariable">
    <w:name w:val="HTML Variable"/>
    <w:basedOn w:val="DefaultParagraphFont"/>
    <w:uiPriority w:val="99"/>
    <w:semiHidden/>
    <w:unhideWhenUsed/>
    <w:rsid w:val="008417FE"/>
    <w:rPr>
      <w:i/>
      <w:iCs/>
    </w:rPr>
  </w:style>
  <w:style w:type="character" w:styleId="Hyperlink">
    <w:name w:val="Hyperlink"/>
    <w:basedOn w:val="DefaultParagraphFont"/>
    <w:uiPriority w:val="99"/>
    <w:unhideWhenUsed/>
    <w:rsid w:val="008417FE"/>
    <w:rPr>
      <w:color w:val="0000FF" w:themeColor="hyperlink"/>
      <w:u w:val="single"/>
    </w:rPr>
  </w:style>
  <w:style w:type="character" w:styleId="IntenseEmphasis">
    <w:name w:val="Intense Emphasis"/>
    <w:basedOn w:val="DefaultParagraphFont"/>
    <w:uiPriority w:val="21"/>
    <w:rsid w:val="008417FE"/>
    <w:rPr>
      <w:b/>
      <w:bCs/>
      <w:i/>
      <w:iCs/>
      <w:color w:val="4F81BD" w:themeColor="accent1"/>
    </w:rPr>
  </w:style>
  <w:style w:type="paragraph" w:styleId="IntenseQuote">
    <w:name w:val="Intense Quote"/>
    <w:basedOn w:val="Normal"/>
    <w:next w:val="Normal"/>
    <w:link w:val="IntenseQuoteChar"/>
    <w:uiPriority w:val="30"/>
    <w:rsid w:val="008417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417FE"/>
    <w:rPr>
      <w:b/>
      <w:bCs/>
      <w:i/>
      <w:iCs/>
      <w:color w:val="4F81BD" w:themeColor="accent1"/>
      <w:sz w:val="24"/>
    </w:rPr>
  </w:style>
  <w:style w:type="character" w:styleId="IntenseReference">
    <w:name w:val="Intense Reference"/>
    <w:basedOn w:val="DefaultParagraphFont"/>
    <w:uiPriority w:val="32"/>
    <w:rsid w:val="008417FE"/>
    <w:rPr>
      <w:b/>
      <w:bCs/>
      <w:smallCaps/>
      <w:color w:val="C0504D" w:themeColor="accent2"/>
      <w:spacing w:val="5"/>
      <w:u w:val="single"/>
    </w:rPr>
  </w:style>
  <w:style w:type="table" w:styleId="LightGrid">
    <w:name w:val="Light Grid"/>
    <w:basedOn w:val="TableNormal"/>
    <w:uiPriority w:val="62"/>
    <w:rsid w:val="008417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417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417F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417F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417F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417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417F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8417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417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417F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417F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417F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417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417F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8417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417F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417F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417F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417F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417F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417F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rsid w:val="008417FE"/>
    <w:pPr>
      <w:ind w:left="720"/>
    </w:pPr>
  </w:style>
  <w:style w:type="table" w:styleId="MediumGrid1">
    <w:name w:val="Medium Grid 1"/>
    <w:basedOn w:val="TableNormal"/>
    <w:uiPriority w:val="67"/>
    <w:rsid w:val="008417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417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417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417F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417F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417F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417F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417F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417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8417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417F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417F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417F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417F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417F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417F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417F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417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417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417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417F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17F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17F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17F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417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9"/>
    <w:rsid w:val="008417FE"/>
    <w:rPr>
      <w:sz w:val="24"/>
    </w:rPr>
  </w:style>
  <w:style w:type="paragraph" w:styleId="NormalWeb">
    <w:name w:val="Normal (Web)"/>
    <w:basedOn w:val="Normal"/>
    <w:uiPriority w:val="99"/>
    <w:semiHidden/>
    <w:unhideWhenUsed/>
    <w:rsid w:val="008417FE"/>
    <w:rPr>
      <w:szCs w:val="24"/>
    </w:rPr>
  </w:style>
  <w:style w:type="character" w:styleId="PlaceholderText">
    <w:name w:val="Placeholder Text"/>
    <w:basedOn w:val="DefaultParagraphFont"/>
    <w:uiPriority w:val="99"/>
    <w:semiHidden/>
    <w:rsid w:val="008417FE"/>
    <w:rPr>
      <w:color w:val="808080"/>
    </w:rPr>
  </w:style>
  <w:style w:type="character" w:styleId="Strong">
    <w:name w:val="Strong"/>
    <w:basedOn w:val="DefaultParagraphFont"/>
    <w:uiPriority w:val="99"/>
    <w:rsid w:val="008417FE"/>
    <w:rPr>
      <w:b/>
      <w:bCs/>
    </w:rPr>
  </w:style>
  <w:style w:type="character" w:styleId="SubtleEmphasis">
    <w:name w:val="Subtle Emphasis"/>
    <w:basedOn w:val="DefaultParagraphFont"/>
    <w:uiPriority w:val="19"/>
    <w:rsid w:val="008417FE"/>
    <w:rPr>
      <w:i/>
      <w:iCs/>
      <w:color w:val="808080" w:themeColor="text1" w:themeTint="7F"/>
    </w:rPr>
  </w:style>
  <w:style w:type="character" w:styleId="SubtleReference">
    <w:name w:val="Subtle Reference"/>
    <w:basedOn w:val="DefaultParagraphFont"/>
    <w:uiPriority w:val="31"/>
    <w:rsid w:val="008417FE"/>
    <w:rPr>
      <w:smallCaps/>
      <w:color w:val="C0504D" w:themeColor="accent2"/>
      <w:u w:val="single"/>
    </w:rPr>
  </w:style>
  <w:style w:type="table" w:styleId="Table3Deffects1">
    <w:name w:val="Table 3D effects 1"/>
    <w:basedOn w:val="TableNormal"/>
    <w:uiPriority w:val="99"/>
    <w:semiHidden/>
    <w:unhideWhenUsed/>
    <w:rsid w:val="008417F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417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417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417F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417F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417F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417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417F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417F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417F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417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417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417F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417F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417F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417F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417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417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1">
    <w:name w:val="Table Grid 1"/>
    <w:basedOn w:val="TableNormal"/>
    <w:uiPriority w:val="99"/>
    <w:semiHidden/>
    <w:unhideWhenUsed/>
    <w:rsid w:val="008417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417F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417F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417F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417F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417F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417F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417F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417F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417F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417F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417F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417F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417F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417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417F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417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417F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417F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417F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417F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417F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41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417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417F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417F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8417FE"/>
    <w:pPr>
      <w:spacing w:before="480"/>
      <w:outlineLvl w:val="9"/>
    </w:pPr>
    <w:rPr>
      <w:rFonts w:asciiTheme="majorHAnsi" w:eastAsiaTheme="majorEastAsia" w:hAnsiTheme="majorHAnsi" w:cstheme="majorBidi"/>
      <w:b w:val="0"/>
      <w:bCs w:val="0"/>
      <w:color w:val="365F91" w:themeColor="accent1" w:themeShade="BF"/>
      <w:sz w:val="28"/>
      <w:szCs w:val="28"/>
    </w:rPr>
  </w:style>
  <w:style w:type="character" w:customStyle="1" w:styleId="Auto4Char">
    <w:name w:val="Auto 4 Char"/>
    <w:aliases w:val="a4 Char"/>
    <w:basedOn w:val="DefaultParagraphFont"/>
    <w:link w:val="Auto4"/>
    <w:rsid w:val="008417FE"/>
    <w:rPr>
      <w:sz w:val="24"/>
    </w:rPr>
  </w:style>
  <w:style w:type="character" w:customStyle="1" w:styleId="Auto5Char">
    <w:name w:val="Auto 5 Char"/>
    <w:aliases w:val="a5 Char"/>
    <w:basedOn w:val="DefaultParagraphFont"/>
    <w:link w:val="Auto5"/>
    <w:rsid w:val="008417FE"/>
    <w:rPr>
      <w:sz w:val="24"/>
    </w:rPr>
  </w:style>
  <w:style w:type="character" w:customStyle="1" w:styleId="Auto6Char">
    <w:name w:val="Auto 6 Char"/>
    <w:aliases w:val="a6 Char"/>
    <w:basedOn w:val="DefaultParagraphFont"/>
    <w:link w:val="Auto6"/>
    <w:rsid w:val="008417FE"/>
    <w:rPr>
      <w:sz w:val="24"/>
    </w:rPr>
  </w:style>
  <w:style w:type="character" w:customStyle="1" w:styleId="Auto7Char">
    <w:name w:val="Auto 7 Char"/>
    <w:aliases w:val="a7 Char"/>
    <w:basedOn w:val="DefaultParagraphFont"/>
    <w:link w:val="Auto7"/>
    <w:rsid w:val="008417FE"/>
    <w:rPr>
      <w:sz w:val="24"/>
    </w:rPr>
  </w:style>
  <w:style w:type="character" w:customStyle="1" w:styleId="Auto8Char">
    <w:name w:val="Auto 8 Char"/>
    <w:aliases w:val="a8 Char"/>
    <w:basedOn w:val="DefaultParagraphFont"/>
    <w:link w:val="Auto8"/>
    <w:rsid w:val="008417FE"/>
    <w:rPr>
      <w:sz w:val="24"/>
    </w:rPr>
  </w:style>
  <w:style w:type="character" w:customStyle="1" w:styleId="Auto9Char">
    <w:name w:val="Auto 9 Char"/>
    <w:aliases w:val="a9 Char"/>
    <w:basedOn w:val="DefaultParagraphFont"/>
    <w:link w:val="Auto9"/>
    <w:rsid w:val="008417FE"/>
    <w:rPr>
      <w:sz w:val="24"/>
    </w:rPr>
  </w:style>
  <w:style w:type="character" w:customStyle="1" w:styleId="BodyChar">
    <w:name w:val="Body Char"/>
    <w:basedOn w:val="DefaultParagraphFont"/>
    <w:link w:val="Body"/>
    <w:rsid w:val="00A31922"/>
    <w:rPr>
      <w:sz w:val="24"/>
    </w:rPr>
  </w:style>
  <w:style w:type="character" w:customStyle="1" w:styleId="BodyDoubleChar">
    <w:name w:val="Body Double Char"/>
    <w:basedOn w:val="BodyChar"/>
    <w:link w:val="BodyDouble"/>
    <w:rsid w:val="008417FE"/>
    <w:rPr>
      <w:sz w:val="24"/>
    </w:rPr>
  </w:style>
  <w:style w:type="character" w:customStyle="1" w:styleId="Body1Char">
    <w:name w:val="Body 1&quot; Char"/>
    <w:aliases w:val="b1 Char"/>
    <w:basedOn w:val="DefaultParagraphFont"/>
    <w:link w:val="Body1"/>
    <w:uiPriority w:val="1"/>
    <w:rsid w:val="008417FE"/>
    <w:rPr>
      <w:sz w:val="24"/>
    </w:rPr>
  </w:style>
  <w:style w:type="character" w:customStyle="1" w:styleId="Body1DoubleChar">
    <w:name w:val="Body 1&quot; Double Char"/>
    <w:aliases w:val="b1d Char"/>
    <w:basedOn w:val="Body1Char"/>
    <w:link w:val="Body1Double"/>
    <w:uiPriority w:val="2"/>
    <w:rsid w:val="008417FE"/>
    <w:rPr>
      <w:sz w:val="24"/>
    </w:rPr>
  </w:style>
  <w:style w:type="character" w:customStyle="1" w:styleId="CenterChar">
    <w:name w:val="Center Char"/>
    <w:aliases w:val="c Char"/>
    <w:basedOn w:val="DefaultParagraphFont"/>
    <w:link w:val="Center"/>
    <w:uiPriority w:val="2"/>
    <w:rsid w:val="008417FE"/>
    <w:rPr>
      <w:sz w:val="24"/>
    </w:rPr>
  </w:style>
  <w:style w:type="character" w:customStyle="1" w:styleId="CenterBoldChar">
    <w:name w:val="Center Bold Char"/>
    <w:basedOn w:val="CenterChar"/>
    <w:link w:val="CenterBold"/>
    <w:uiPriority w:val="3"/>
    <w:rsid w:val="008417FE"/>
    <w:rPr>
      <w:b/>
      <w:sz w:val="24"/>
    </w:rPr>
  </w:style>
  <w:style w:type="character" w:customStyle="1" w:styleId="CenterUnderscoreChar">
    <w:name w:val="Center Underscore Char"/>
    <w:basedOn w:val="CenterChar"/>
    <w:link w:val="CenterUnderscore"/>
    <w:uiPriority w:val="4"/>
    <w:rsid w:val="008417FE"/>
    <w:rPr>
      <w:sz w:val="24"/>
      <w:u w:val="single"/>
    </w:rPr>
  </w:style>
  <w:style w:type="character" w:customStyle="1" w:styleId="CenterBoldUnderscoreChar">
    <w:name w:val="Center Bold Underscore Char"/>
    <w:aliases w:val="cbu Char"/>
    <w:basedOn w:val="CenterChar"/>
    <w:link w:val="CenterBoldUnderscore"/>
    <w:uiPriority w:val="5"/>
    <w:rsid w:val="008417FE"/>
    <w:rPr>
      <w:b/>
      <w:sz w:val="24"/>
      <w:u w:val="single"/>
    </w:rPr>
  </w:style>
  <w:style w:type="character" w:customStyle="1" w:styleId="CenterDoubleChar">
    <w:name w:val="Center Double Char"/>
    <w:aliases w:val="cd Char"/>
    <w:basedOn w:val="CenterChar"/>
    <w:link w:val="CenterDouble"/>
    <w:uiPriority w:val="6"/>
    <w:rsid w:val="008417FE"/>
    <w:rPr>
      <w:sz w:val="24"/>
    </w:rPr>
  </w:style>
  <w:style w:type="character" w:customStyle="1" w:styleId="CenterDoubleBoldChar">
    <w:name w:val="Center Double Bold Char"/>
    <w:aliases w:val="cbd Char"/>
    <w:basedOn w:val="CenterDoubleChar"/>
    <w:link w:val="CenterDoubleBold"/>
    <w:uiPriority w:val="7"/>
    <w:rsid w:val="008417FE"/>
    <w:rPr>
      <w:b/>
      <w:sz w:val="24"/>
    </w:rPr>
  </w:style>
  <w:style w:type="character" w:customStyle="1" w:styleId="CenterDoubleUndChar">
    <w:name w:val="Center Double Und Char"/>
    <w:aliases w:val="cdu Char"/>
    <w:basedOn w:val="CenterDoubleChar"/>
    <w:link w:val="CenterDoubleUnd"/>
    <w:uiPriority w:val="8"/>
    <w:rsid w:val="008417FE"/>
    <w:rPr>
      <w:sz w:val="24"/>
      <w:u w:val="single"/>
    </w:rPr>
  </w:style>
  <w:style w:type="character" w:customStyle="1" w:styleId="CenterDoubleBoldUndChar">
    <w:name w:val="Center Double Bold Und Char"/>
    <w:aliases w:val="cdbu Char"/>
    <w:basedOn w:val="CenterDoubleChar"/>
    <w:link w:val="CenterDoubleBoldUnd"/>
    <w:uiPriority w:val="9"/>
    <w:rsid w:val="008417FE"/>
    <w:rPr>
      <w:b/>
      <w:sz w:val="24"/>
      <w:u w:val="single"/>
    </w:rPr>
  </w:style>
  <w:style w:type="character" w:customStyle="1" w:styleId="FlushLeftDoubleChar">
    <w:name w:val="Flush Left Double Char"/>
    <w:basedOn w:val="FlushLeftChar"/>
    <w:link w:val="FlushLeftDouble"/>
    <w:uiPriority w:val="10"/>
    <w:rsid w:val="008417FE"/>
    <w:rPr>
      <w:rFonts w:ascii="Calibri" w:hAnsi="Calibri" w:cs="Calibri"/>
      <w:sz w:val="24"/>
    </w:rPr>
  </w:style>
  <w:style w:type="character" w:customStyle="1" w:styleId="HangingIndentChar">
    <w:name w:val="Hanging Indent Char"/>
    <w:basedOn w:val="DefaultParagraphFont"/>
    <w:link w:val="HangingIndent"/>
    <w:uiPriority w:val="10"/>
    <w:rsid w:val="008417FE"/>
    <w:rPr>
      <w:sz w:val="24"/>
    </w:rPr>
  </w:style>
  <w:style w:type="character" w:customStyle="1" w:styleId="Heading1Char">
    <w:name w:val="Heading 1 Char"/>
    <w:basedOn w:val="DefaultParagraphFont"/>
    <w:link w:val="Heading1"/>
    <w:uiPriority w:val="10"/>
    <w:rsid w:val="0063177A"/>
    <w:rPr>
      <w:rFonts w:ascii="Century Gothic" w:hAnsi="Century Gothic"/>
      <w:b/>
      <w:bCs/>
      <w:sz w:val="40"/>
      <w:szCs w:val="40"/>
      <w:u w:val="single"/>
    </w:rPr>
  </w:style>
  <w:style w:type="character" w:customStyle="1" w:styleId="Heading2Char">
    <w:name w:val="Heading 2 Char"/>
    <w:basedOn w:val="DefaultParagraphFont"/>
    <w:link w:val="Heading2"/>
    <w:uiPriority w:val="10"/>
    <w:rsid w:val="0063177A"/>
    <w:rPr>
      <w:rFonts w:ascii="Century Gothic" w:hAnsi="Century Gothic"/>
      <w:sz w:val="32"/>
      <w:szCs w:val="32"/>
    </w:rPr>
  </w:style>
  <w:style w:type="character" w:customStyle="1" w:styleId="Heading3Char">
    <w:name w:val="Heading 3 Char"/>
    <w:basedOn w:val="DefaultParagraphFont"/>
    <w:link w:val="Heading3"/>
    <w:uiPriority w:val="10"/>
    <w:rsid w:val="0063177A"/>
    <w:rPr>
      <w:rFonts w:ascii="Century Gothic" w:hAnsi="Century Gothic"/>
      <w:sz w:val="28"/>
      <w:szCs w:val="28"/>
    </w:rPr>
  </w:style>
  <w:style w:type="character" w:customStyle="1" w:styleId="Heading4Char">
    <w:name w:val="Heading 4 Char"/>
    <w:basedOn w:val="DefaultParagraphFont"/>
    <w:link w:val="Heading4"/>
    <w:uiPriority w:val="10"/>
    <w:rsid w:val="0063177A"/>
    <w:rPr>
      <w:rFonts w:ascii="Century Gothic" w:hAnsi="Century Gothic" w:cstheme="minorHAnsi"/>
      <w:b/>
      <w:bCs/>
    </w:rPr>
  </w:style>
  <w:style w:type="character" w:customStyle="1" w:styleId="Heading5Char">
    <w:name w:val="Heading 5 Char"/>
    <w:basedOn w:val="DefaultParagraphFont"/>
    <w:link w:val="Heading5"/>
    <w:uiPriority w:val="10"/>
    <w:rsid w:val="00A2116F"/>
    <w:rPr>
      <w:sz w:val="24"/>
    </w:rPr>
  </w:style>
  <w:style w:type="character" w:customStyle="1" w:styleId="Heading6Char">
    <w:name w:val="Heading 6 Char"/>
    <w:basedOn w:val="DefaultParagraphFont"/>
    <w:link w:val="Heading6"/>
    <w:uiPriority w:val="10"/>
    <w:rsid w:val="00A2116F"/>
    <w:rPr>
      <w:sz w:val="24"/>
    </w:rPr>
  </w:style>
  <w:style w:type="character" w:customStyle="1" w:styleId="Heading7Char">
    <w:name w:val="Heading 7 Char"/>
    <w:basedOn w:val="DefaultParagraphFont"/>
    <w:link w:val="Heading7"/>
    <w:uiPriority w:val="10"/>
    <w:rsid w:val="00A2116F"/>
    <w:rPr>
      <w:sz w:val="24"/>
    </w:rPr>
  </w:style>
  <w:style w:type="character" w:customStyle="1" w:styleId="Heading8Char">
    <w:name w:val="Heading 8 Char"/>
    <w:basedOn w:val="DefaultParagraphFont"/>
    <w:link w:val="Heading8"/>
    <w:uiPriority w:val="10"/>
    <w:rsid w:val="00A2116F"/>
    <w:rPr>
      <w:sz w:val="24"/>
    </w:rPr>
  </w:style>
  <w:style w:type="character" w:customStyle="1" w:styleId="Heading9Char">
    <w:name w:val="Heading 9 Char"/>
    <w:basedOn w:val="DefaultParagraphFont"/>
    <w:link w:val="Heading9"/>
    <w:uiPriority w:val="10"/>
    <w:rsid w:val="00A2116F"/>
    <w:rPr>
      <w:sz w:val="24"/>
    </w:rPr>
  </w:style>
  <w:style w:type="character" w:customStyle="1" w:styleId="IndentChar">
    <w:name w:val="Indent Char"/>
    <w:basedOn w:val="DefaultParagraphFont"/>
    <w:link w:val="Indent"/>
    <w:uiPriority w:val="10"/>
    <w:rsid w:val="008417FE"/>
    <w:rPr>
      <w:sz w:val="24"/>
    </w:rPr>
  </w:style>
  <w:style w:type="character" w:customStyle="1" w:styleId="QuoteDoubleChar">
    <w:name w:val="Quote Double Char"/>
    <w:basedOn w:val="DefaultParagraphFont"/>
    <w:link w:val="QuoteDouble"/>
    <w:uiPriority w:val="11"/>
    <w:rsid w:val="00E34F61"/>
    <w:rPr>
      <w:sz w:val="24"/>
    </w:rPr>
  </w:style>
  <w:style w:type="paragraph" w:customStyle="1" w:styleId="Numberedflushleft">
    <w:name w:val="Numbered (flush left)"/>
    <w:basedOn w:val="Normal"/>
    <w:uiPriority w:val="11"/>
    <w:qFormat/>
    <w:rsid w:val="005F0C23"/>
    <w:pPr>
      <w:numPr>
        <w:numId w:val="2"/>
      </w:numPr>
      <w:tabs>
        <w:tab w:val="left" w:pos="720"/>
      </w:tabs>
      <w:spacing w:before="240"/>
    </w:pPr>
  </w:style>
  <w:style w:type="paragraph" w:customStyle="1" w:styleId="Numberedindent">
    <w:name w:val="Numbered (indent)"/>
    <w:basedOn w:val="Normal"/>
    <w:uiPriority w:val="11"/>
    <w:qFormat/>
    <w:rsid w:val="005F0C23"/>
    <w:pPr>
      <w:numPr>
        <w:numId w:val="3"/>
      </w:numPr>
      <w:tabs>
        <w:tab w:val="left" w:pos="1440"/>
      </w:tabs>
      <w:spacing w:before="240"/>
    </w:pPr>
  </w:style>
  <w:style w:type="paragraph" w:styleId="BodyText">
    <w:name w:val="Body Text"/>
    <w:basedOn w:val="Normal"/>
    <w:link w:val="BodyTextChar"/>
    <w:uiPriority w:val="99"/>
    <w:semiHidden/>
    <w:unhideWhenUsed/>
    <w:rsid w:val="00267DC9"/>
    <w:pPr>
      <w:spacing w:after="120"/>
    </w:pPr>
  </w:style>
  <w:style w:type="character" w:customStyle="1" w:styleId="BodyTextChar">
    <w:name w:val="Body Text Char"/>
    <w:basedOn w:val="DefaultParagraphFont"/>
    <w:link w:val="BodyText"/>
    <w:uiPriority w:val="99"/>
    <w:semiHidden/>
    <w:rsid w:val="00267D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3CD5E-9625-4A4C-A6F2-8430EC8E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2521</Words>
  <Characters>15087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Johnson</dc:creator>
  <cp:lastModifiedBy>Mahoney, Cheryl@DTSC</cp:lastModifiedBy>
  <cp:revision>2</cp:revision>
  <dcterms:created xsi:type="dcterms:W3CDTF">2022-12-09T23:22:00Z</dcterms:created>
  <dcterms:modified xsi:type="dcterms:W3CDTF">2022-12-09T23:22:00Z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390939</vt:lpwstr>
  </property>
  <property fmtid="{D5CDD505-2E9C-101B-9397-08002B2CF9AE}" pid="3" name="Document number">
    <vt:lpwstr>4890-6968-1710</vt:lpwstr>
  </property>
  <property fmtid="{D5CDD505-2E9C-101B-9397-08002B2CF9AE}" pid="4" name="Matter">
    <vt:lpwstr>00003</vt:lpwstr>
  </property>
  <property fmtid="{D5CDD505-2E9C-101B-9397-08002B2CF9AE}" pid="5" name="Document version">
    <vt:lpwstr>4</vt:lpwstr>
  </property>
  <property fmtid="{D5CDD505-2E9C-101B-9397-08002B2CF9AE}" pid="6" name="Footer Notes">
    <vt:lpwstr/>
  </property>
  <property fmtid="{D5CDD505-2E9C-101B-9397-08002B2CF9AE}" pid="7" name="User Init">
    <vt:lpwstr>bnp</vt:lpwstr>
  </property>
  <property fmtid="{D5CDD505-2E9C-101B-9397-08002B2CF9AE}" pid="8" name="Typist Init">
    <vt:lpwstr>bnp</vt:lpwstr>
  </property>
  <property fmtid="{D5CDD505-2E9C-101B-9397-08002B2CF9AE}" pid="9" name="Document Library">
    <vt:lpwstr/>
  </property>
</Properties>
</file>