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D32E" w14:textId="77777777" w:rsidR="0039300C" w:rsidRPr="000E4E06" w:rsidRDefault="007E0769" w:rsidP="003B72B5">
      <w:r w:rsidRPr="000E4E06">
        <w:rPr>
          <w:noProof/>
        </w:rPr>
        <w:drawing>
          <wp:inline distT="0" distB="0" distL="0" distR="0" wp14:anchorId="1EE095A1" wp14:editId="28D8F27E">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1BBD6806" w14:textId="77777777" w:rsidR="0039300C" w:rsidRPr="000E4E06" w:rsidRDefault="0039300C" w:rsidP="008C7E70">
      <w:pPr>
        <w:pStyle w:val="Heading1"/>
        <w:rPr>
          <w:color w:val="auto"/>
        </w:rPr>
      </w:pPr>
      <w:r w:rsidRPr="000E4E06">
        <w:rPr>
          <w:color w:val="auto"/>
        </w:rPr>
        <w:t>State Water Resources Control Board</w:t>
      </w:r>
    </w:p>
    <w:p w14:paraId="4C4C7FA0" w14:textId="77777777" w:rsidR="004F72CD" w:rsidRPr="000E4E06" w:rsidRDefault="004F72CD" w:rsidP="004F72CD">
      <w:pPr>
        <w:tabs>
          <w:tab w:val="left" w:pos="1440"/>
        </w:tabs>
      </w:pPr>
      <w:r w:rsidRPr="000E4E06">
        <w:rPr>
          <w:b/>
          <w:bCs/>
        </w:rPr>
        <w:t>TO</w:t>
      </w:r>
      <w:r w:rsidRPr="000E4E06">
        <w:t>:</w:t>
      </w:r>
      <w:r w:rsidRPr="000E4E06">
        <w:tab/>
      </w:r>
      <w:r w:rsidR="00E657D6" w:rsidRPr="000E4E06">
        <w:t>Ali R. Rezvani, P.E.</w:t>
      </w:r>
    </w:p>
    <w:p w14:paraId="2DC907F9" w14:textId="77777777" w:rsidR="00E657D6" w:rsidRPr="000E4E06" w:rsidRDefault="00E657D6" w:rsidP="004F72CD">
      <w:pPr>
        <w:tabs>
          <w:tab w:val="left" w:pos="1440"/>
        </w:tabs>
      </w:pPr>
      <w:r w:rsidRPr="000E4E06">
        <w:tab/>
        <w:t>Sacramento District Engineer</w:t>
      </w:r>
    </w:p>
    <w:p w14:paraId="1443B60C" w14:textId="77777777" w:rsidR="004F72CD" w:rsidRPr="000E4E06" w:rsidRDefault="004F72CD" w:rsidP="004F72CD">
      <w:pPr>
        <w:tabs>
          <w:tab w:val="left" w:pos="1440"/>
        </w:tabs>
        <w:spacing w:before="360"/>
      </w:pPr>
      <w:r w:rsidRPr="000E4E06">
        <w:rPr>
          <w:b/>
          <w:bCs/>
        </w:rPr>
        <w:t>FROM</w:t>
      </w:r>
      <w:r w:rsidRPr="000E4E06">
        <w:t>:</w:t>
      </w:r>
      <w:r w:rsidRPr="000E4E06">
        <w:tab/>
      </w:r>
      <w:r w:rsidR="00E657D6" w:rsidRPr="000E4E06">
        <w:t>Salvador Turrubiartes, P.E.</w:t>
      </w:r>
    </w:p>
    <w:p w14:paraId="04ABB4FE" w14:textId="77777777" w:rsidR="004F72CD" w:rsidRPr="000E4E06" w:rsidRDefault="004F72CD" w:rsidP="004F72CD">
      <w:pPr>
        <w:tabs>
          <w:tab w:val="left" w:pos="1440"/>
        </w:tabs>
      </w:pPr>
      <w:r w:rsidRPr="000E4E06">
        <w:tab/>
      </w:r>
      <w:r w:rsidR="00E657D6" w:rsidRPr="000E4E06">
        <w:t>Associate Sanitary Engineer</w:t>
      </w:r>
    </w:p>
    <w:p w14:paraId="4A4B2474" w14:textId="77777777" w:rsidR="004F72CD" w:rsidRPr="000E4E06" w:rsidRDefault="004F72CD" w:rsidP="004F72CD">
      <w:pPr>
        <w:tabs>
          <w:tab w:val="left" w:pos="1440"/>
        </w:tabs>
        <w:rPr>
          <w:b/>
          <w:bCs/>
        </w:rPr>
      </w:pPr>
      <w:r w:rsidRPr="000E4E06">
        <w:tab/>
      </w:r>
      <w:r w:rsidR="00E657D6" w:rsidRPr="000E4E06">
        <w:rPr>
          <w:b/>
          <w:bCs/>
        </w:rPr>
        <w:t>STATE WATER RESOURCE CONTROL BOARD,</w:t>
      </w:r>
    </w:p>
    <w:p w14:paraId="3FC2481D" w14:textId="77777777" w:rsidR="00E657D6" w:rsidRPr="000E4E06" w:rsidRDefault="00E657D6" w:rsidP="004F72CD">
      <w:pPr>
        <w:tabs>
          <w:tab w:val="left" w:pos="1440"/>
        </w:tabs>
        <w:rPr>
          <w:b/>
          <w:bCs/>
        </w:rPr>
      </w:pPr>
      <w:r w:rsidRPr="000E4E06">
        <w:rPr>
          <w:b/>
          <w:bCs/>
        </w:rPr>
        <w:tab/>
        <w:t>DIVISION OF DRINKING WATER</w:t>
      </w:r>
    </w:p>
    <w:p w14:paraId="1B554F70" w14:textId="002FE251" w:rsidR="004F72CD" w:rsidRPr="000E4E06" w:rsidRDefault="004F72CD" w:rsidP="004F72CD">
      <w:pPr>
        <w:tabs>
          <w:tab w:val="left" w:pos="1440"/>
        </w:tabs>
        <w:spacing w:before="360"/>
      </w:pPr>
      <w:r w:rsidRPr="000E4E06">
        <w:rPr>
          <w:b/>
          <w:bCs/>
        </w:rPr>
        <w:t>DATE</w:t>
      </w:r>
      <w:r w:rsidRPr="000E4E06">
        <w:t>:</w:t>
      </w:r>
      <w:r w:rsidRPr="000E4E06">
        <w:tab/>
      </w:r>
      <w:r w:rsidR="00E657D6" w:rsidRPr="004B5750">
        <w:t xml:space="preserve">November </w:t>
      </w:r>
      <w:r w:rsidR="00380850" w:rsidRPr="004B5750">
        <w:t>21</w:t>
      </w:r>
      <w:r w:rsidR="00E657D6" w:rsidRPr="004B5750">
        <w:t>, 2022</w:t>
      </w:r>
    </w:p>
    <w:p w14:paraId="32D5396E" w14:textId="3616FB75" w:rsidR="004F72CD" w:rsidRPr="000E4E06" w:rsidRDefault="004F72CD" w:rsidP="00E657D6">
      <w:pPr>
        <w:tabs>
          <w:tab w:val="left" w:pos="1440"/>
        </w:tabs>
        <w:spacing w:before="360" w:after="360"/>
        <w:ind w:left="1440" w:hanging="1440"/>
      </w:pPr>
      <w:r w:rsidRPr="000E4E06">
        <w:rPr>
          <w:b/>
          <w:bCs/>
        </w:rPr>
        <w:t>SUBJECT</w:t>
      </w:r>
      <w:r w:rsidRPr="000E4E06">
        <w:t>:</w:t>
      </w:r>
      <w:r w:rsidRPr="000E4E06">
        <w:tab/>
      </w:r>
      <w:r w:rsidR="00E657D6" w:rsidRPr="000E4E06">
        <w:rPr>
          <w:b/>
          <w:bCs/>
        </w:rPr>
        <w:t xml:space="preserve">REPLY TO </w:t>
      </w:r>
      <w:r w:rsidR="00D34FF2">
        <w:rPr>
          <w:b/>
          <w:bCs/>
        </w:rPr>
        <w:t xml:space="preserve">SACRAMENTO </w:t>
      </w:r>
      <w:r w:rsidR="00380850">
        <w:rPr>
          <w:b/>
          <w:bCs/>
        </w:rPr>
        <w:t>SUBURBAN WATER DISTRICT</w:t>
      </w:r>
      <w:r w:rsidR="00D34FF2">
        <w:rPr>
          <w:b/>
          <w:bCs/>
        </w:rPr>
        <w:t xml:space="preserve"> </w:t>
      </w:r>
      <w:r w:rsidR="00E657D6" w:rsidRPr="000E4E06">
        <w:rPr>
          <w:b/>
          <w:bCs/>
        </w:rPr>
        <w:t xml:space="preserve">(PWS NO. </w:t>
      </w:r>
      <w:r w:rsidR="00D34FF2">
        <w:rPr>
          <w:b/>
          <w:bCs/>
        </w:rPr>
        <w:t>34100</w:t>
      </w:r>
      <w:r w:rsidR="00380850">
        <w:rPr>
          <w:b/>
          <w:bCs/>
        </w:rPr>
        <w:t>01</w:t>
      </w:r>
      <w:r w:rsidR="00E657D6" w:rsidRPr="000E4E06">
        <w:rPr>
          <w:b/>
          <w:bCs/>
        </w:rPr>
        <w:t xml:space="preserve">) – </w:t>
      </w:r>
      <w:r w:rsidR="00380850">
        <w:rPr>
          <w:b/>
          <w:bCs/>
        </w:rPr>
        <w:t>CEQA EXEMPTION FORMS – SSWD WELLS 33A AND 60</w:t>
      </w:r>
    </w:p>
    <w:p w14:paraId="3908FE36" w14:textId="5C741E24" w:rsidR="007E3218" w:rsidRPr="004B5750" w:rsidRDefault="00E657D6" w:rsidP="00D3775C">
      <w:pPr>
        <w:spacing w:after="240"/>
        <w:jc w:val="both"/>
      </w:pPr>
      <w:r w:rsidRPr="004B5750">
        <w:t xml:space="preserve">On October </w:t>
      </w:r>
      <w:r w:rsidR="00D34FF2" w:rsidRPr="004B5750">
        <w:t>1</w:t>
      </w:r>
      <w:r w:rsidR="007458FB" w:rsidRPr="004B5750">
        <w:t>2</w:t>
      </w:r>
      <w:r w:rsidRPr="004B5750">
        <w:t xml:space="preserve">, 2022, the State Water Resource Control Board, Division of Drinking Water (Division) received </w:t>
      </w:r>
      <w:r w:rsidR="007458FB" w:rsidRPr="004B5750">
        <w:t xml:space="preserve">an email from Sacramento Suburban Water District (Water System, PWS No. 3410001) requesting signatures for two </w:t>
      </w:r>
      <w:r w:rsidR="0089690C" w:rsidRPr="004B5750">
        <w:t>California Environmental Quality Act (</w:t>
      </w:r>
      <w:r w:rsidR="007458FB" w:rsidRPr="004B5750">
        <w:t>CEQA</w:t>
      </w:r>
      <w:r w:rsidR="0089690C" w:rsidRPr="004B5750">
        <w:t>) Notice of Exemption</w:t>
      </w:r>
      <w:r w:rsidR="007458FB" w:rsidRPr="004B5750">
        <w:t xml:space="preserve"> forms for work at two well sites: </w:t>
      </w:r>
      <w:r w:rsidR="004B5750" w:rsidRPr="004B5750">
        <w:t xml:space="preserve">Auburn/Norris </w:t>
      </w:r>
      <w:r w:rsidR="007458FB" w:rsidRPr="004B5750">
        <w:t>Well 33A (Source No. 3410001_</w:t>
      </w:r>
      <w:r w:rsidR="000051DE" w:rsidRPr="004B5750">
        <w:t>072</w:t>
      </w:r>
      <w:r w:rsidR="007458FB" w:rsidRPr="004B5750">
        <w:t>_</w:t>
      </w:r>
      <w:r w:rsidR="000051DE" w:rsidRPr="004B5750">
        <w:t>072</w:t>
      </w:r>
      <w:r w:rsidR="007458FB" w:rsidRPr="004B5750">
        <w:t>) and</w:t>
      </w:r>
      <w:r w:rsidR="004B5750" w:rsidRPr="004B5750">
        <w:t xml:space="preserve"> Whitney/Concetta</w:t>
      </w:r>
      <w:r w:rsidR="007458FB" w:rsidRPr="004B5750">
        <w:t xml:space="preserve"> Well 60 (Source No. CA3410001_</w:t>
      </w:r>
      <w:r w:rsidR="004B5750" w:rsidRPr="004B5750">
        <w:t>042</w:t>
      </w:r>
      <w:r w:rsidR="007458FB" w:rsidRPr="004B5750">
        <w:t>_</w:t>
      </w:r>
      <w:r w:rsidR="004B5750" w:rsidRPr="004B5750">
        <w:t>042</w:t>
      </w:r>
      <w:r w:rsidR="007458FB" w:rsidRPr="004B5750">
        <w:t>). Both wells are permitted as active sources serving Zone 3: Southern Service Area, which provide chlorination and fluoridation.</w:t>
      </w:r>
      <w:r w:rsidR="009E6531" w:rsidRPr="004B5750">
        <w:t xml:space="preserve"> I have reviewed the information provided by the Water System for the proposed project and I have no significant comments. </w:t>
      </w:r>
      <w:r w:rsidR="002E1E72" w:rsidRPr="004B5750">
        <w:t>The Notice of Exemption forms for these projects appears acceptable.</w:t>
      </w:r>
    </w:p>
    <w:p w14:paraId="43B9EE32" w14:textId="23215953" w:rsidR="009E6531" w:rsidRPr="004B5750" w:rsidRDefault="009E6531" w:rsidP="00D3775C">
      <w:pPr>
        <w:spacing w:after="240"/>
        <w:jc w:val="both"/>
      </w:pPr>
      <w:r w:rsidRPr="004B5750">
        <w:t xml:space="preserve">The proposed work involves above ground piping and programming work at each well site plus minor drinking water distribution system modifications in the already paved public right of way to tie into the North Service Area. Since both wells are close to the North Service Area and South Service Area boundary, the Water System has decided to make improvements that would allow these sources to function as both North Service Area and South Service Area sources of water supply. The Water System describes these modifications </w:t>
      </w:r>
      <w:r w:rsidR="0089690C" w:rsidRPr="004B5750">
        <w:t>will have no environmental impacts, will not result in an increase of floor area of existing structures, and the project is not located in an environmentally sensitive area.</w:t>
      </w:r>
    </w:p>
    <w:p w14:paraId="2F8CAB4E" w14:textId="423C7C6E" w:rsidR="009E6531" w:rsidRPr="004B5750" w:rsidRDefault="0089690C" w:rsidP="00D3775C">
      <w:pPr>
        <w:spacing w:after="240"/>
        <w:jc w:val="both"/>
      </w:pPr>
      <w:r w:rsidRPr="004B5750">
        <w:t xml:space="preserve">Based on the project description, I would agree that the modification to tie into an existing drinking water pipeline meets the criteria of a </w:t>
      </w:r>
      <w:r w:rsidR="0043054E" w:rsidRPr="004B5750">
        <w:t xml:space="preserve">Class 1 (Existing Facilities) Exemption, as per </w:t>
      </w:r>
      <w:r w:rsidR="00693AD1" w:rsidRPr="004B5750">
        <w:t xml:space="preserve">Title 14 of the California Code of </w:t>
      </w:r>
      <w:r w:rsidR="002E1E72" w:rsidRPr="004B5750">
        <w:t>Regulations</w:t>
      </w:r>
      <w:r w:rsidR="00693AD1" w:rsidRPr="004B5750">
        <w:t xml:space="preserve">, Division 6, Chapter 3, </w:t>
      </w:r>
      <w:r w:rsidR="0043054E" w:rsidRPr="004B5750">
        <w:t>Article 19, Section 15301</w:t>
      </w:r>
      <w:r w:rsidR="00693AD1" w:rsidRPr="004B5750">
        <w:t>. In addition, t</w:t>
      </w:r>
      <w:r w:rsidR="009E6531" w:rsidRPr="004B5750">
        <w:t xml:space="preserve">he Water System should meet water main separation </w:t>
      </w:r>
      <w:r w:rsidR="009E6531" w:rsidRPr="004B5750">
        <w:lastRenderedPageBreak/>
        <w:t xml:space="preserve">requirements, as </w:t>
      </w:r>
      <w:r w:rsidR="004B5750" w:rsidRPr="004B5750">
        <w:t>specified</w:t>
      </w:r>
      <w:r w:rsidR="009E6531" w:rsidRPr="004B5750">
        <w:t xml:space="preserve"> in Title 22 of the California Code of Regulations, </w:t>
      </w:r>
      <w:r w:rsidR="004B5750" w:rsidRPr="004B5750">
        <w:t xml:space="preserve">Division 4, </w:t>
      </w:r>
      <w:r w:rsidR="009E6531" w:rsidRPr="004B5750">
        <w:t xml:space="preserve">Chapter </w:t>
      </w:r>
      <w:r w:rsidR="004B5750" w:rsidRPr="004B5750">
        <w:t>16</w:t>
      </w:r>
      <w:r w:rsidR="009E6531" w:rsidRPr="004B5750">
        <w:t xml:space="preserve">, </w:t>
      </w:r>
      <w:r w:rsidR="004B5750" w:rsidRPr="004B5750">
        <w:t xml:space="preserve">Article 4, </w:t>
      </w:r>
      <w:r w:rsidR="009E6531" w:rsidRPr="004B5750">
        <w:t xml:space="preserve">Section </w:t>
      </w:r>
      <w:r w:rsidR="004B5750" w:rsidRPr="004B5750">
        <w:t>64572</w:t>
      </w:r>
      <w:r w:rsidR="009E6531" w:rsidRPr="004B5750">
        <w:t>.</w:t>
      </w:r>
    </w:p>
    <w:p w14:paraId="6184624F" w14:textId="189A786D" w:rsidR="00997AB9" w:rsidRPr="004B5750" w:rsidRDefault="002E1E72" w:rsidP="00D3775C">
      <w:pPr>
        <w:spacing w:after="240"/>
        <w:jc w:val="both"/>
      </w:pPr>
      <w:r w:rsidRPr="004B5750">
        <w:t>Attachments</w:t>
      </w:r>
      <w:r w:rsidR="00997AB9" w:rsidRPr="004B5750">
        <w:t>:</w:t>
      </w:r>
    </w:p>
    <w:p w14:paraId="6B7EFD02" w14:textId="49CDBB11" w:rsidR="00997AB9" w:rsidRDefault="00554A15" w:rsidP="00997AB9">
      <w:pPr>
        <w:pStyle w:val="ListParagraph"/>
        <w:numPr>
          <w:ilvl w:val="0"/>
          <w:numId w:val="2"/>
        </w:numPr>
        <w:spacing w:after="240"/>
        <w:jc w:val="both"/>
      </w:pPr>
      <w:r w:rsidRPr="004B5750">
        <w:t xml:space="preserve">CEQA </w:t>
      </w:r>
      <w:r w:rsidR="00F878D9" w:rsidRPr="004B5750">
        <w:t xml:space="preserve">NOE (Well 33A &amp; Well 60) </w:t>
      </w:r>
      <w:r w:rsidRPr="004B5750">
        <w:t xml:space="preserve">emailed </w:t>
      </w:r>
      <w:r w:rsidR="00F878D9" w:rsidRPr="004B5750">
        <w:t>(</w:t>
      </w:r>
      <w:r w:rsidRPr="004B5750">
        <w:t>10/1</w:t>
      </w:r>
      <w:r w:rsidR="00F878D9" w:rsidRPr="004B5750">
        <w:t>7</w:t>
      </w:r>
      <w:r w:rsidRPr="004B5750">
        <w:t>/2</w:t>
      </w:r>
      <w:r w:rsidR="00F878D9" w:rsidRPr="004B5750">
        <w:t>022)</w:t>
      </w:r>
    </w:p>
    <w:p w14:paraId="748E5C0E" w14:textId="28C0E4DD" w:rsidR="00F063C2" w:rsidRDefault="00F063C2" w:rsidP="00997AB9">
      <w:pPr>
        <w:pStyle w:val="ListParagraph"/>
        <w:numPr>
          <w:ilvl w:val="0"/>
          <w:numId w:val="2"/>
        </w:numPr>
        <w:spacing w:after="240"/>
        <w:jc w:val="both"/>
      </w:pPr>
      <w:r>
        <w:t>Whitney/Concetta Well 60 Connection to the North Service Area Map (11/17/2022)</w:t>
      </w:r>
    </w:p>
    <w:p w14:paraId="0B0A76C6" w14:textId="3FE4E943" w:rsidR="004E61B9" w:rsidRPr="004B5750" w:rsidRDefault="004E61B9" w:rsidP="00997AB9">
      <w:pPr>
        <w:pStyle w:val="ListParagraph"/>
        <w:numPr>
          <w:ilvl w:val="0"/>
          <w:numId w:val="2"/>
        </w:numPr>
        <w:spacing w:after="240"/>
        <w:jc w:val="both"/>
      </w:pPr>
      <w:r>
        <w:t>CEQA exemption worksheets (Well 33A &amp; Well 60) (11/18/2022)</w:t>
      </w:r>
    </w:p>
    <w:p w14:paraId="5CACF78A" w14:textId="1E2D3C7A" w:rsidR="004F72CD" w:rsidRPr="000E4E06" w:rsidRDefault="004F72CD" w:rsidP="00C157E9">
      <w:pPr>
        <w:tabs>
          <w:tab w:val="left" w:pos="540"/>
        </w:tabs>
        <w:spacing w:before="360"/>
        <w:rPr>
          <w:rFonts w:cs="Arial"/>
        </w:rPr>
      </w:pPr>
      <w:r w:rsidRPr="000E4E06">
        <w:rPr>
          <w:rFonts w:cs="Arial"/>
        </w:rPr>
        <w:t>cc:</w:t>
      </w:r>
    </w:p>
    <w:p w14:paraId="4875E518" w14:textId="6DE29C36" w:rsidR="009062DA" w:rsidRPr="000E4E06" w:rsidRDefault="009062DA" w:rsidP="00C157E9">
      <w:pPr>
        <w:tabs>
          <w:tab w:val="left" w:pos="540"/>
        </w:tabs>
        <w:spacing w:before="360"/>
        <w:rPr>
          <w:rFonts w:cs="Arial"/>
        </w:rPr>
      </w:pPr>
    </w:p>
    <w:p w14:paraId="298FC34C" w14:textId="0B4401DF" w:rsidR="009062DA" w:rsidRPr="000E4E06" w:rsidRDefault="009062DA" w:rsidP="00C157E9">
      <w:pPr>
        <w:tabs>
          <w:tab w:val="left" w:pos="540"/>
        </w:tabs>
        <w:spacing w:before="360"/>
        <w:rPr>
          <w:rFonts w:cs="Arial"/>
        </w:rPr>
      </w:pPr>
    </w:p>
    <w:p w14:paraId="4B087186" w14:textId="1DF7ED49" w:rsidR="009062DA" w:rsidRPr="000E4E06" w:rsidRDefault="009062DA" w:rsidP="00C157E9">
      <w:pPr>
        <w:tabs>
          <w:tab w:val="left" w:pos="540"/>
        </w:tabs>
        <w:spacing w:before="360"/>
        <w:rPr>
          <w:rFonts w:cs="Arial"/>
        </w:rPr>
      </w:pPr>
    </w:p>
    <w:p w14:paraId="4B56C78F" w14:textId="5B32A213" w:rsidR="009062DA" w:rsidRPr="000E4E06" w:rsidRDefault="009062DA" w:rsidP="00C157E9">
      <w:pPr>
        <w:tabs>
          <w:tab w:val="left" w:pos="540"/>
        </w:tabs>
        <w:spacing w:before="360"/>
        <w:rPr>
          <w:rFonts w:cs="Arial"/>
        </w:rPr>
      </w:pPr>
    </w:p>
    <w:p w14:paraId="408086AC" w14:textId="1DBB512C" w:rsidR="009062DA" w:rsidRPr="000E4E06" w:rsidRDefault="009062DA" w:rsidP="00C157E9">
      <w:pPr>
        <w:tabs>
          <w:tab w:val="left" w:pos="540"/>
        </w:tabs>
        <w:spacing w:before="360"/>
        <w:rPr>
          <w:rFonts w:cs="Arial"/>
        </w:rPr>
      </w:pPr>
    </w:p>
    <w:p w14:paraId="7FE05A49" w14:textId="5CF4A438" w:rsidR="009062DA" w:rsidRPr="000E4E06" w:rsidRDefault="009062DA" w:rsidP="00C157E9">
      <w:pPr>
        <w:tabs>
          <w:tab w:val="left" w:pos="540"/>
        </w:tabs>
        <w:spacing w:before="360"/>
        <w:rPr>
          <w:rFonts w:cs="Arial"/>
        </w:rPr>
      </w:pPr>
    </w:p>
    <w:p w14:paraId="304CE25E" w14:textId="77777777" w:rsidR="009062DA" w:rsidRPr="000E4E06" w:rsidRDefault="009062DA" w:rsidP="00C157E9">
      <w:pPr>
        <w:tabs>
          <w:tab w:val="left" w:pos="540"/>
        </w:tabs>
        <w:spacing w:before="360"/>
        <w:rPr>
          <w:rFonts w:cs="Arial"/>
        </w:rPr>
      </w:pPr>
    </w:p>
    <w:p w14:paraId="72A14511" w14:textId="77777777" w:rsidR="004F72CD" w:rsidRPr="000E4E06" w:rsidRDefault="004F72CD" w:rsidP="004F72CD">
      <w:pPr>
        <w:tabs>
          <w:tab w:val="left" w:pos="540"/>
        </w:tabs>
        <w:spacing w:before="240"/>
        <w:rPr>
          <w:rFonts w:cs="Arial"/>
        </w:rPr>
      </w:pPr>
      <w:proofErr w:type="spellStart"/>
      <w:r w:rsidRPr="000E4E06">
        <w:rPr>
          <w:rFonts w:cs="Arial"/>
        </w:rPr>
        <w:t>bc</w:t>
      </w:r>
      <w:proofErr w:type="spellEnd"/>
      <w:r w:rsidRPr="000E4E06">
        <w:rPr>
          <w:rFonts w:cs="Arial"/>
        </w:rPr>
        <w:t>:</w:t>
      </w:r>
    </w:p>
    <w:p w14:paraId="2FE39882" w14:textId="77777777" w:rsidR="00D820A2" w:rsidRPr="000E4E06" w:rsidRDefault="00D820A2" w:rsidP="004F72CD">
      <w:pPr>
        <w:tabs>
          <w:tab w:val="left" w:pos="-1440"/>
          <w:tab w:val="left" w:pos="-720"/>
          <w:tab w:val="left" w:pos="540"/>
        </w:tabs>
        <w:suppressAutoHyphens/>
        <w:spacing w:before="240"/>
      </w:pPr>
      <w:r w:rsidRPr="000E4E06">
        <w:t>XXX/xxx</w:t>
      </w:r>
    </w:p>
    <w:p w14:paraId="495E8C77" w14:textId="77777777" w:rsidR="00D820A2" w:rsidRPr="000E4E06" w:rsidRDefault="002650FB" w:rsidP="00D820A2">
      <w:pPr>
        <w:tabs>
          <w:tab w:val="left" w:pos="-1440"/>
          <w:tab w:val="left" w:pos="-720"/>
          <w:tab w:val="left" w:pos="540"/>
        </w:tabs>
        <w:suppressAutoHyphens/>
      </w:pPr>
      <w:proofErr w:type="spellStart"/>
      <w:r w:rsidRPr="000E4E06">
        <w:t>x</w:t>
      </w:r>
      <w:r w:rsidR="004F72CD" w:rsidRPr="000E4E06">
        <w:t>date</w:t>
      </w:r>
      <w:proofErr w:type="spellEnd"/>
      <w:r w:rsidR="004F72CD" w:rsidRPr="000E4E06">
        <w:rPr>
          <w:vanish/>
        </w:rPr>
        <w:t xml:space="preserve"> / revised xdate</w:t>
      </w:r>
    </w:p>
    <w:p w14:paraId="4B3F97E2" w14:textId="77777777" w:rsidR="004F72CD" w:rsidRPr="000E4E06" w:rsidRDefault="00E80729" w:rsidP="004F72CD">
      <w:pPr>
        <w:tabs>
          <w:tab w:val="left" w:pos="-1440"/>
          <w:tab w:val="left" w:pos="-720"/>
          <w:tab w:val="left" w:pos="540"/>
        </w:tabs>
        <w:suppressAutoHyphens/>
      </w:pPr>
      <w:fldSimple w:instr=" FILENAME \p\* Lower \* MERGEFORMAT ">
        <w:r w:rsidR="006919AB" w:rsidRPr="000E4E06">
          <w:rPr>
            <w:noProof/>
          </w:rPr>
          <w:t>document1</w:t>
        </w:r>
      </w:fldSimple>
    </w:p>
    <w:p w14:paraId="61B28D18" w14:textId="77777777" w:rsidR="00E31865" w:rsidRPr="000E4E06" w:rsidRDefault="004F72CD" w:rsidP="00D820A2">
      <w:pPr>
        <w:tabs>
          <w:tab w:val="left" w:pos="-1440"/>
          <w:tab w:val="left" w:pos="-720"/>
          <w:tab w:val="left" w:pos="540"/>
        </w:tabs>
        <w:suppressAutoHyphens/>
      </w:pPr>
      <w:r w:rsidRPr="000E4E06">
        <w:t>ECM#</w:t>
      </w:r>
    </w:p>
    <w:p w14:paraId="19DBC350" w14:textId="77777777" w:rsidR="004F72CD" w:rsidRPr="000E4E06" w:rsidRDefault="004F72CD" w:rsidP="00D820A2">
      <w:pPr>
        <w:tabs>
          <w:tab w:val="left" w:pos="-1440"/>
          <w:tab w:val="left" w:pos="-720"/>
          <w:tab w:val="left" w:pos="540"/>
        </w:tabs>
        <w:suppressAutoHyphens/>
      </w:pPr>
    </w:p>
    <w:sectPr w:rsidR="004F72CD" w:rsidRPr="000E4E06" w:rsidSect="0038041C">
      <w:headerReference w:type="default" r:id="rId8"/>
      <w:footerReference w:type="first" r:id="rId9"/>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61A1" w14:textId="77777777" w:rsidR="006919AB" w:rsidRDefault="006919AB" w:rsidP="0090791C">
      <w:r>
        <w:separator/>
      </w:r>
    </w:p>
  </w:endnote>
  <w:endnote w:type="continuationSeparator" w:id="0">
    <w:p w14:paraId="081B8469" w14:textId="77777777" w:rsidR="006919AB" w:rsidRDefault="006919AB"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1182" w14:textId="77777777" w:rsidR="00C06CDD" w:rsidRPr="00E31865" w:rsidRDefault="00D61E0C" w:rsidP="00D61E0C">
    <w:pPr>
      <w:pStyle w:val="Footer"/>
      <w:rPr>
        <w:rFonts w:ascii="Arial" w:hAnsi="Arial" w:cs="Arial"/>
      </w:rPr>
    </w:pPr>
    <w:r w:rsidRPr="00E31865">
      <w:rPr>
        <w:rFonts w:ascii="Arial" w:hAnsi="Arial" w:cs="Arial"/>
        <w:noProof/>
      </w:rPr>
      <w:drawing>
        <wp:inline distT="0" distB="0" distL="0" distR="0" wp14:anchorId="1F662B24" wp14:editId="2D91CA23">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9DAC" w14:textId="77777777" w:rsidR="006919AB" w:rsidRDefault="006919AB" w:rsidP="0090791C">
      <w:r>
        <w:separator/>
      </w:r>
    </w:p>
  </w:footnote>
  <w:footnote w:type="continuationSeparator" w:id="0">
    <w:p w14:paraId="3089A5BC" w14:textId="77777777" w:rsidR="006919AB" w:rsidRDefault="006919AB"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07F" w14:textId="27ACE29A" w:rsidR="00C06CDD" w:rsidRPr="00E31865" w:rsidRDefault="0014694E" w:rsidP="0038041C">
    <w:pPr>
      <w:pStyle w:val="Header"/>
      <w:spacing w:after="440"/>
      <w:rPr>
        <w:rFonts w:ascii="Arial" w:hAnsi="Arial" w:cs="Arial"/>
      </w:rPr>
    </w:pPr>
    <w:r>
      <w:rPr>
        <w:rFonts w:ascii="Arial" w:hAnsi="Arial" w:cs="Arial"/>
      </w:rPr>
      <w:t>Ali R. Rezvani, P.E.</w:t>
    </w:r>
    <w:r w:rsidR="00C06CDD" w:rsidRPr="00E31865">
      <w:rPr>
        <w:rFonts w:ascii="Arial" w:hAnsi="Arial" w:cs="Arial"/>
      </w:rPr>
      <w:tab/>
      <w:t xml:space="preserve">- </w:t>
    </w:r>
    <w:r w:rsidR="00C06CDD" w:rsidRPr="00E31865">
      <w:rPr>
        <w:rStyle w:val="PageNumber"/>
        <w:rFonts w:ascii="Arial" w:hAnsi="Arial" w:cs="Arial"/>
      </w:rPr>
      <w:fldChar w:fldCharType="begin"/>
    </w:r>
    <w:r w:rsidR="00C06CDD" w:rsidRPr="00E31865">
      <w:rPr>
        <w:rStyle w:val="PageNumber"/>
        <w:rFonts w:ascii="Arial" w:hAnsi="Arial" w:cs="Arial"/>
      </w:rPr>
      <w:instrText xml:space="preserve"> PAGE </w:instrText>
    </w:r>
    <w:r w:rsidR="00C06CDD" w:rsidRPr="00E31865">
      <w:rPr>
        <w:rStyle w:val="PageNumber"/>
        <w:rFonts w:ascii="Arial" w:hAnsi="Arial" w:cs="Arial"/>
      </w:rPr>
      <w:fldChar w:fldCharType="separate"/>
    </w:r>
    <w:r w:rsidR="00C06CDD" w:rsidRPr="00E31865">
      <w:rPr>
        <w:rStyle w:val="PageNumber"/>
        <w:rFonts w:ascii="Arial" w:hAnsi="Arial" w:cs="Arial"/>
      </w:rPr>
      <w:t>2</w:t>
    </w:r>
    <w:r w:rsidR="00C06CDD" w:rsidRPr="00E31865">
      <w:rPr>
        <w:rStyle w:val="PageNumber"/>
        <w:rFonts w:ascii="Arial" w:hAnsi="Arial" w:cs="Arial"/>
      </w:rPr>
      <w:fldChar w:fldCharType="end"/>
    </w:r>
    <w:r w:rsidR="00C06CDD" w:rsidRPr="00E31865">
      <w:rPr>
        <w:rStyle w:val="PageNumber"/>
        <w:rFonts w:ascii="Arial" w:hAnsi="Arial" w:cs="Arial"/>
      </w:rPr>
      <w:t xml:space="preserve"> -</w:t>
    </w:r>
    <w:r w:rsidR="00C06CDD" w:rsidRPr="00E31865">
      <w:rPr>
        <w:rFonts w:ascii="Arial" w:hAnsi="Arial" w:cs="Arial"/>
      </w:rPr>
      <w:tab/>
    </w:r>
    <w:r>
      <w:rPr>
        <w:rFonts w:ascii="Arial" w:hAnsi="Arial" w:cs="Arial"/>
      </w:rPr>
      <w:t xml:space="preserve">November </w:t>
    </w:r>
    <w:r w:rsidR="00C0451B">
      <w:rPr>
        <w:rFonts w:ascii="Arial" w:hAnsi="Arial" w:cs="Arial"/>
      </w:rPr>
      <w:t>21</w:t>
    </w:r>
    <w:r>
      <w:rPr>
        <w:rFonts w:ascii="Arial" w:hAnsi="Arial" w:cs="Arial"/>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75762"/>
    <w:multiLevelType w:val="hybridMultilevel"/>
    <w:tmpl w:val="29A03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B583A"/>
    <w:multiLevelType w:val="hybridMultilevel"/>
    <w:tmpl w:val="35DC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750813">
    <w:abstractNumId w:val="0"/>
  </w:num>
  <w:num w:numId="2" w16cid:durableId="152551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AB"/>
    <w:rsid w:val="000051DE"/>
    <w:rsid w:val="00060067"/>
    <w:rsid w:val="000E09B8"/>
    <w:rsid w:val="000E3184"/>
    <w:rsid w:val="000E4E06"/>
    <w:rsid w:val="001018D2"/>
    <w:rsid w:val="0014694E"/>
    <w:rsid w:val="001C5FD1"/>
    <w:rsid w:val="001E6EC1"/>
    <w:rsid w:val="0024067D"/>
    <w:rsid w:val="002650FB"/>
    <w:rsid w:val="00286093"/>
    <w:rsid w:val="002A5EF3"/>
    <w:rsid w:val="002A5F84"/>
    <w:rsid w:val="002B49A8"/>
    <w:rsid w:val="002C2FA9"/>
    <w:rsid w:val="002E1E72"/>
    <w:rsid w:val="002E3BC5"/>
    <w:rsid w:val="002F2A6C"/>
    <w:rsid w:val="003215F3"/>
    <w:rsid w:val="00365C73"/>
    <w:rsid w:val="0038041C"/>
    <w:rsid w:val="00380850"/>
    <w:rsid w:val="0039300C"/>
    <w:rsid w:val="003A52BA"/>
    <w:rsid w:val="003B554F"/>
    <w:rsid w:val="003B72B5"/>
    <w:rsid w:val="003D79C5"/>
    <w:rsid w:val="003F426A"/>
    <w:rsid w:val="00406BCF"/>
    <w:rsid w:val="00407818"/>
    <w:rsid w:val="0043054E"/>
    <w:rsid w:val="004462CA"/>
    <w:rsid w:val="004B5750"/>
    <w:rsid w:val="004E61B9"/>
    <w:rsid w:val="004F4051"/>
    <w:rsid w:val="004F72CD"/>
    <w:rsid w:val="00506F60"/>
    <w:rsid w:val="00523CEC"/>
    <w:rsid w:val="00554A15"/>
    <w:rsid w:val="0057298B"/>
    <w:rsid w:val="005813C9"/>
    <w:rsid w:val="005A74D0"/>
    <w:rsid w:val="00610DCE"/>
    <w:rsid w:val="00626350"/>
    <w:rsid w:val="00676175"/>
    <w:rsid w:val="00691948"/>
    <w:rsid w:val="006919AB"/>
    <w:rsid w:val="00693AD1"/>
    <w:rsid w:val="006B6609"/>
    <w:rsid w:val="006C1228"/>
    <w:rsid w:val="006C1CE7"/>
    <w:rsid w:val="006C638A"/>
    <w:rsid w:val="006C7417"/>
    <w:rsid w:val="006D3CF4"/>
    <w:rsid w:val="0070295C"/>
    <w:rsid w:val="00731974"/>
    <w:rsid w:val="007458FB"/>
    <w:rsid w:val="007A2F6E"/>
    <w:rsid w:val="007E0769"/>
    <w:rsid w:val="007E3218"/>
    <w:rsid w:val="0082395E"/>
    <w:rsid w:val="008537EF"/>
    <w:rsid w:val="00867510"/>
    <w:rsid w:val="0089690C"/>
    <w:rsid w:val="008A3AF5"/>
    <w:rsid w:val="008C7E70"/>
    <w:rsid w:val="009062DA"/>
    <w:rsid w:val="0090791C"/>
    <w:rsid w:val="00910AD9"/>
    <w:rsid w:val="009113E3"/>
    <w:rsid w:val="00966C4F"/>
    <w:rsid w:val="0098569F"/>
    <w:rsid w:val="009867F9"/>
    <w:rsid w:val="00997AB9"/>
    <w:rsid w:val="009A5137"/>
    <w:rsid w:val="009C4BDA"/>
    <w:rsid w:val="009E6531"/>
    <w:rsid w:val="00A920AC"/>
    <w:rsid w:val="00AA0042"/>
    <w:rsid w:val="00AA050C"/>
    <w:rsid w:val="00AE344C"/>
    <w:rsid w:val="00B01920"/>
    <w:rsid w:val="00B24B1F"/>
    <w:rsid w:val="00B36DF3"/>
    <w:rsid w:val="00B65C50"/>
    <w:rsid w:val="00BF2B34"/>
    <w:rsid w:val="00C0451B"/>
    <w:rsid w:val="00C06CDD"/>
    <w:rsid w:val="00C157E9"/>
    <w:rsid w:val="00C263BA"/>
    <w:rsid w:val="00C864DF"/>
    <w:rsid w:val="00CB4187"/>
    <w:rsid w:val="00D17D89"/>
    <w:rsid w:val="00D34FF2"/>
    <w:rsid w:val="00D3775C"/>
    <w:rsid w:val="00D61E0C"/>
    <w:rsid w:val="00D6778A"/>
    <w:rsid w:val="00D820A2"/>
    <w:rsid w:val="00DA46C8"/>
    <w:rsid w:val="00DC7562"/>
    <w:rsid w:val="00DD10DB"/>
    <w:rsid w:val="00E31865"/>
    <w:rsid w:val="00E6232B"/>
    <w:rsid w:val="00E62DF3"/>
    <w:rsid w:val="00E657D6"/>
    <w:rsid w:val="00E80729"/>
    <w:rsid w:val="00E94D72"/>
    <w:rsid w:val="00EA2370"/>
    <w:rsid w:val="00ED4B04"/>
    <w:rsid w:val="00ED6B89"/>
    <w:rsid w:val="00F063C2"/>
    <w:rsid w:val="00F34F01"/>
    <w:rsid w:val="00F37068"/>
    <w:rsid w:val="00F878D9"/>
    <w:rsid w:val="00F9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A1640"/>
  <w15:chartTrackingRefBased/>
  <w15:docId w15:val="{63FECDA6-3491-4A86-92B2-8AA557E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69"/>
    <w:rPr>
      <w:rFonts w:ascii="Arial" w:eastAsia="Times New Roman" w:hAnsi="Arial" w:cs="Times New Roman"/>
    </w:rPr>
  </w:style>
  <w:style w:type="paragraph" w:styleId="Heading1">
    <w:name w:val="heading 1"/>
    <w:basedOn w:val="LetterOrg"/>
    <w:next w:val="Normal"/>
    <w:link w:val="Heading1Char"/>
    <w:uiPriority w:val="9"/>
    <w:qFormat/>
    <w:rsid w:val="008C7E70"/>
    <w:pPr>
      <w:spacing w:after="3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8C7E70"/>
    <w:rPr>
      <w:rFonts w:ascii="Arial" w:eastAsiaTheme="majorEastAsia" w:hAnsi="Arial" w:cs="Arial"/>
      <w:color w:val="2F5496" w:themeColor="accent1" w:themeShade="BF"/>
      <w:sz w:val="32"/>
      <w:szCs w:val="32"/>
    </w:rPr>
  </w:style>
  <w:style w:type="paragraph" w:customStyle="1" w:styleId="LetterOrg">
    <w:name w:val="LetterOrg"/>
    <w:qFormat/>
    <w:rsid w:val="00AA0042"/>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table" w:styleId="TableGrid">
    <w:name w:val="Table Grid"/>
    <w:basedOn w:val="TableNormal"/>
    <w:uiPriority w:val="39"/>
    <w:rsid w:val="00AE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775C"/>
    <w:pPr>
      <w:spacing w:after="200"/>
    </w:pPr>
    <w:rPr>
      <w:i/>
      <w:iCs/>
      <w:color w:val="44546A" w:themeColor="text2"/>
      <w:sz w:val="18"/>
      <w:szCs w:val="18"/>
    </w:rPr>
  </w:style>
  <w:style w:type="paragraph" w:styleId="ListParagraph">
    <w:name w:val="List Paragraph"/>
    <w:basedOn w:val="Normal"/>
    <w:uiPriority w:val="34"/>
    <w:qFormat/>
    <w:rsid w:val="0090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Salvador%20Turrubiartes\Systems\Yolo%20County%20-%2057\5710003%20-%20City%20of%20West%20Sacramento\System%20Info\Operation\Operations%20and%20Maintenance%20Manual_2022-10-8\CA5710003-MEMO-Updated%20OM%20Plan_2022-1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CA5710003-MEMO-Updated OM Plan_2022-11-10.dotx</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Turrubiartes, Salvador@Waterboards</dc:creator>
  <cp:keywords/>
  <dc:description/>
  <cp:lastModifiedBy>Turrubiartes, Salvador@Waterboards</cp:lastModifiedBy>
  <cp:revision>2</cp:revision>
  <cp:lastPrinted>2022-11-16T22:28:00Z</cp:lastPrinted>
  <dcterms:created xsi:type="dcterms:W3CDTF">2022-11-18T20:06:00Z</dcterms:created>
  <dcterms:modified xsi:type="dcterms:W3CDTF">2022-11-18T20:06:00Z</dcterms:modified>
</cp:coreProperties>
</file>