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4AF697" w14:textId="25AA9235" w:rsidR="00463489" w:rsidRDefault="0047432A" w:rsidP="00275B75">
      <w:pPr>
        <w:ind w:left="126"/>
      </w:pPr>
      <w:bookmarkStart w:id="0" w:name="_Hlk83968378"/>
      <w:r>
        <w:rPr>
          <w:noProof/>
        </w:rPr>
        <w:drawing>
          <wp:inline distT="0" distB="0" distL="0" distR="0" wp14:anchorId="6417AA9F" wp14:editId="0F670D07">
            <wp:extent cx="5652770" cy="29895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2770" cy="2989580"/>
                    </a:xfrm>
                    <a:prstGeom prst="rect">
                      <a:avLst/>
                    </a:prstGeom>
                    <a:noFill/>
                    <a:ln>
                      <a:noFill/>
                    </a:ln>
                  </pic:spPr>
                </pic:pic>
              </a:graphicData>
            </a:graphic>
          </wp:inline>
        </w:drawing>
      </w:r>
    </w:p>
    <w:tbl>
      <w:tblPr>
        <w:tblW w:w="9018" w:type="dxa"/>
        <w:tblLayout w:type="fixed"/>
        <w:tblLook w:val="04A0" w:firstRow="1" w:lastRow="0" w:firstColumn="1" w:lastColumn="0" w:noHBand="0" w:noVBand="1"/>
      </w:tblPr>
      <w:tblGrid>
        <w:gridCol w:w="114"/>
        <w:gridCol w:w="8904"/>
      </w:tblGrid>
      <w:tr w:rsidR="0046621B" w:rsidRPr="00E5753A" w14:paraId="77CA6B22" w14:textId="77777777" w:rsidTr="00F277BB">
        <w:trPr>
          <w:gridBefore w:val="1"/>
          <w:wBefore w:w="114" w:type="dxa"/>
        </w:trPr>
        <w:tc>
          <w:tcPr>
            <w:tcW w:w="8904" w:type="dxa"/>
            <w:shd w:val="clear" w:color="auto" w:fill="24618E"/>
          </w:tcPr>
          <w:p w14:paraId="73895D3A" w14:textId="56D69E4F" w:rsidR="00932203" w:rsidRPr="00F277BB" w:rsidRDefault="00437B49" w:rsidP="00275B75">
            <w:pPr>
              <w:pStyle w:val="CoverTitle"/>
              <w:ind w:left="-333"/>
              <w:rPr>
                <w:spacing w:val="-2"/>
                <w:sz w:val="38"/>
                <w:szCs w:val="38"/>
              </w:rPr>
            </w:pPr>
            <w:bookmarkStart w:id="1" w:name="_Ref435770187"/>
            <w:r w:rsidRPr="00F277BB">
              <w:rPr>
                <w:spacing w:val="-2"/>
                <w:sz w:val="38"/>
                <w:szCs w:val="38"/>
              </w:rPr>
              <w:t xml:space="preserve">1155 and 1185 Terra Bella Avenue </w:t>
            </w:r>
            <w:r w:rsidR="00F277BB">
              <w:rPr>
                <w:spacing w:val="-2"/>
                <w:sz w:val="38"/>
                <w:szCs w:val="38"/>
              </w:rPr>
              <w:t xml:space="preserve">Office </w:t>
            </w:r>
            <w:r w:rsidRPr="00F277BB">
              <w:rPr>
                <w:spacing w:val="-2"/>
                <w:sz w:val="38"/>
                <w:szCs w:val="38"/>
              </w:rPr>
              <w:t>Project</w:t>
            </w:r>
          </w:p>
        </w:tc>
      </w:tr>
      <w:tr w:rsidR="00AA619C" w:rsidRPr="00E5753A" w14:paraId="74C18DDD" w14:textId="77777777" w:rsidTr="00F277BB">
        <w:tc>
          <w:tcPr>
            <w:tcW w:w="9018" w:type="dxa"/>
            <w:gridSpan w:val="2"/>
          </w:tcPr>
          <w:p w14:paraId="2B7CFB4D" w14:textId="556BD979" w:rsidR="00AA619C" w:rsidRPr="00437B49" w:rsidRDefault="006F54AE" w:rsidP="00EB4901">
            <w:pPr>
              <w:pStyle w:val="CoverSubhead"/>
              <w:spacing w:after="120"/>
            </w:pPr>
            <w:r w:rsidRPr="00437B49">
              <w:t>Initial Study –</w:t>
            </w:r>
            <w:r w:rsidR="00275B75">
              <w:t xml:space="preserve"> </w:t>
            </w:r>
            <w:r w:rsidRPr="00437B49">
              <w:t>Negative Declaration</w:t>
            </w:r>
          </w:p>
        </w:tc>
      </w:tr>
      <w:tr w:rsidR="00932203" w:rsidRPr="00E5753A" w14:paraId="60F75428" w14:textId="77777777" w:rsidTr="00F277BB">
        <w:tc>
          <w:tcPr>
            <w:tcW w:w="9018" w:type="dxa"/>
            <w:gridSpan w:val="2"/>
          </w:tcPr>
          <w:p w14:paraId="406AEC48" w14:textId="77777777" w:rsidR="00932203" w:rsidRPr="00D173D9" w:rsidRDefault="00932203" w:rsidP="00EB4901">
            <w:pPr>
              <w:pStyle w:val="BodyText"/>
              <w:spacing w:before="400" w:after="0"/>
              <w:jc w:val="right"/>
              <w:rPr>
                <w:i/>
                <w:sz w:val="24"/>
                <w:szCs w:val="24"/>
              </w:rPr>
            </w:pPr>
            <w:r w:rsidRPr="00D173D9">
              <w:rPr>
                <w:i/>
                <w:sz w:val="24"/>
                <w:szCs w:val="24"/>
              </w:rPr>
              <w:t>prepared by</w:t>
            </w:r>
          </w:p>
        </w:tc>
      </w:tr>
      <w:tr w:rsidR="00932203" w:rsidRPr="00E5753A" w14:paraId="24B9D45E" w14:textId="77777777" w:rsidTr="00F277BB">
        <w:tc>
          <w:tcPr>
            <w:tcW w:w="9018" w:type="dxa"/>
            <w:gridSpan w:val="2"/>
          </w:tcPr>
          <w:p w14:paraId="0B645FBF" w14:textId="4BE41F15" w:rsidR="006F0402" w:rsidRPr="00D173D9" w:rsidRDefault="00D173D9" w:rsidP="000D75C9">
            <w:pPr>
              <w:pStyle w:val="BodyText"/>
              <w:jc w:val="right"/>
              <w:rPr>
                <w:sz w:val="24"/>
                <w:szCs w:val="24"/>
              </w:rPr>
            </w:pPr>
            <w:r w:rsidRPr="00D173D9">
              <w:rPr>
                <w:b/>
                <w:sz w:val="24"/>
                <w:szCs w:val="24"/>
              </w:rPr>
              <w:t>City of Mountain View</w:t>
            </w:r>
            <w:r w:rsidR="00437B49" w:rsidRPr="00D173D9">
              <w:rPr>
                <w:sz w:val="24"/>
                <w:szCs w:val="24"/>
              </w:rPr>
              <w:t xml:space="preserve"> </w:t>
            </w:r>
            <w:r w:rsidR="006F54AE" w:rsidRPr="00D173D9">
              <w:rPr>
                <w:sz w:val="24"/>
                <w:szCs w:val="24"/>
              </w:rPr>
              <w:br/>
            </w:r>
            <w:r w:rsidRPr="00D173D9">
              <w:rPr>
                <w:sz w:val="24"/>
                <w:szCs w:val="24"/>
              </w:rPr>
              <w:t>Planning Division</w:t>
            </w:r>
            <w:r w:rsidR="006F54AE" w:rsidRPr="00D173D9">
              <w:rPr>
                <w:sz w:val="24"/>
                <w:szCs w:val="24"/>
              </w:rPr>
              <w:br/>
            </w:r>
            <w:r w:rsidRPr="00D173D9">
              <w:rPr>
                <w:sz w:val="24"/>
                <w:szCs w:val="24"/>
              </w:rPr>
              <w:t>500 Castro Street, P</w:t>
            </w:r>
            <w:r w:rsidR="00EC4AA6">
              <w:rPr>
                <w:sz w:val="24"/>
                <w:szCs w:val="24"/>
              </w:rPr>
              <w:t>.O.</w:t>
            </w:r>
            <w:r w:rsidRPr="00D173D9">
              <w:rPr>
                <w:sz w:val="24"/>
                <w:szCs w:val="24"/>
              </w:rPr>
              <w:t xml:space="preserve"> Box 7540</w:t>
            </w:r>
            <w:r w:rsidR="006F54AE" w:rsidRPr="00D173D9">
              <w:rPr>
                <w:sz w:val="24"/>
                <w:szCs w:val="24"/>
              </w:rPr>
              <w:br/>
            </w:r>
            <w:r w:rsidRPr="00D173D9">
              <w:rPr>
                <w:sz w:val="24"/>
                <w:szCs w:val="24"/>
              </w:rPr>
              <w:t>Mountain View, C</w:t>
            </w:r>
            <w:r w:rsidR="00EC4AA6">
              <w:rPr>
                <w:sz w:val="24"/>
                <w:szCs w:val="24"/>
              </w:rPr>
              <w:t>alifornia</w:t>
            </w:r>
            <w:r w:rsidRPr="00D173D9">
              <w:rPr>
                <w:sz w:val="24"/>
                <w:szCs w:val="24"/>
              </w:rPr>
              <w:t xml:space="preserve"> 94039-7540</w:t>
            </w:r>
            <w:r w:rsidR="006F54AE" w:rsidRPr="00D173D9">
              <w:rPr>
                <w:sz w:val="24"/>
                <w:szCs w:val="24"/>
              </w:rPr>
              <w:br/>
              <w:t xml:space="preserve">Contact: </w:t>
            </w:r>
            <w:r w:rsidR="00C6054F">
              <w:rPr>
                <w:sz w:val="24"/>
                <w:szCs w:val="24"/>
              </w:rPr>
              <w:t>Brittany Whitehill</w:t>
            </w:r>
            <w:r w:rsidR="006F54AE" w:rsidRPr="00D173D9">
              <w:rPr>
                <w:sz w:val="24"/>
                <w:szCs w:val="24"/>
              </w:rPr>
              <w:t xml:space="preserve">, </w:t>
            </w:r>
            <w:r w:rsidR="00515BD2" w:rsidRPr="00D173D9">
              <w:rPr>
                <w:sz w:val="24"/>
                <w:szCs w:val="24"/>
              </w:rPr>
              <w:t>Associate</w:t>
            </w:r>
            <w:r w:rsidR="006F54AE" w:rsidRPr="00D173D9">
              <w:rPr>
                <w:sz w:val="24"/>
                <w:szCs w:val="24"/>
              </w:rPr>
              <w:t xml:space="preserve"> Planner</w:t>
            </w:r>
          </w:p>
        </w:tc>
      </w:tr>
      <w:tr w:rsidR="00932203" w:rsidRPr="00E5753A" w14:paraId="22045A95" w14:textId="77777777" w:rsidTr="00F277BB">
        <w:tc>
          <w:tcPr>
            <w:tcW w:w="9018" w:type="dxa"/>
            <w:gridSpan w:val="2"/>
          </w:tcPr>
          <w:p w14:paraId="0814D38C" w14:textId="77777777" w:rsidR="00932203" w:rsidRPr="00D173D9" w:rsidRDefault="00932203" w:rsidP="000D75C9">
            <w:pPr>
              <w:pStyle w:val="BodyText"/>
              <w:spacing w:before="400" w:after="0"/>
              <w:jc w:val="right"/>
              <w:rPr>
                <w:i/>
                <w:sz w:val="24"/>
                <w:szCs w:val="24"/>
              </w:rPr>
            </w:pPr>
            <w:r w:rsidRPr="00D173D9">
              <w:rPr>
                <w:i/>
                <w:sz w:val="24"/>
                <w:szCs w:val="24"/>
              </w:rPr>
              <w:t>prepared with the assistance of</w:t>
            </w:r>
          </w:p>
        </w:tc>
      </w:tr>
      <w:tr w:rsidR="00932203" w:rsidRPr="00E5753A" w14:paraId="3EA6FFBE" w14:textId="77777777" w:rsidTr="00F277BB">
        <w:tc>
          <w:tcPr>
            <w:tcW w:w="9018" w:type="dxa"/>
            <w:gridSpan w:val="2"/>
          </w:tcPr>
          <w:p w14:paraId="1C13CCDD" w14:textId="0C039061" w:rsidR="00932203" w:rsidRPr="00D173D9" w:rsidRDefault="00932203" w:rsidP="000D75C9">
            <w:pPr>
              <w:pStyle w:val="BodyText"/>
              <w:jc w:val="right"/>
              <w:rPr>
                <w:b/>
                <w:sz w:val="24"/>
                <w:szCs w:val="24"/>
              </w:rPr>
            </w:pPr>
            <w:r w:rsidRPr="00D173D9">
              <w:rPr>
                <w:b/>
                <w:sz w:val="24"/>
                <w:szCs w:val="24"/>
              </w:rPr>
              <w:t>Rincon Consultants</w:t>
            </w:r>
            <w:r w:rsidR="00387DE2" w:rsidRPr="00D173D9">
              <w:rPr>
                <w:b/>
                <w:sz w:val="24"/>
                <w:szCs w:val="24"/>
              </w:rPr>
              <w:t>, Inc.</w:t>
            </w:r>
            <w:r w:rsidR="00A274C1" w:rsidRPr="00D173D9">
              <w:rPr>
                <w:b/>
                <w:sz w:val="24"/>
                <w:szCs w:val="24"/>
              </w:rPr>
              <w:br/>
            </w:r>
            <w:r w:rsidR="00515BD2" w:rsidRPr="00D173D9">
              <w:rPr>
                <w:sz w:val="24"/>
                <w:szCs w:val="24"/>
              </w:rPr>
              <w:t>449 15</w:t>
            </w:r>
            <w:r w:rsidR="00275B75">
              <w:rPr>
                <w:sz w:val="24"/>
                <w:szCs w:val="24"/>
              </w:rPr>
              <w:t xml:space="preserve">th </w:t>
            </w:r>
            <w:r w:rsidR="00515BD2" w:rsidRPr="00D173D9">
              <w:rPr>
                <w:sz w:val="24"/>
                <w:szCs w:val="24"/>
              </w:rPr>
              <w:t>Street, Suite 303</w:t>
            </w:r>
            <w:r w:rsidR="006F54AE" w:rsidRPr="00D173D9">
              <w:rPr>
                <w:b/>
                <w:sz w:val="24"/>
                <w:szCs w:val="24"/>
              </w:rPr>
              <w:br/>
            </w:r>
            <w:r w:rsidR="00515BD2" w:rsidRPr="00D173D9">
              <w:rPr>
                <w:sz w:val="24"/>
                <w:szCs w:val="24"/>
              </w:rPr>
              <w:t>Oakland</w:t>
            </w:r>
            <w:r w:rsidR="006F54AE" w:rsidRPr="00D173D9">
              <w:rPr>
                <w:sz w:val="24"/>
                <w:szCs w:val="24"/>
              </w:rPr>
              <w:t xml:space="preserve">, California </w:t>
            </w:r>
            <w:r w:rsidR="00515BD2" w:rsidRPr="00D173D9">
              <w:rPr>
                <w:sz w:val="24"/>
                <w:szCs w:val="24"/>
              </w:rPr>
              <w:t>94612</w:t>
            </w:r>
          </w:p>
        </w:tc>
      </w:tr>
      <w:tr w:rsidR="00932203" w:rsidRPr="00872F3C" w14:paraId="59EE77BD" w14:textId="77777777" w:rsidTr="00F277BB">
        <w:tc>
          <w:tcPr>
            <w:tcW w:w="9018" w:type="dxa"/>
            <w:gridSpan w:val="2"/>
          </w:tcPr>
          <w:p w14:paraId="27AE047A" w14:textId="23A8DEBF" w:rsidR="00932203" w:rsidRPr="00872F3C" w:rsidRDefault="002C6F54" w:rsidP="00EB4901">
            <w:pPr>
              <w:pStyle w:val="BodyText"/>
              <w:spacing w:before="400" w:after="0"/>
              <w:jc w:val="right"/>
              <w:rPr>
                <w:b/>
                <w:noProof/>
                <w:sz w:val="24"/>
                <w:szCs w:val="24"/>
              </w:rPr>
            </w:pPr>
            <w:r>
              <w:rPr>
                <w:b/>
                <w:noProof/>
                <w:sz w:val="24"/>
                <w:szCs w:val="24"/>
              </w:rPr>
              <w:t>September</w:t>
            </w:r>
            <w:r w:rsidRPr="00872F3C">
              <w:rPr>
                <w:b/>
                <w:noProof/>
                <w:sz w:val="24"/>
                <w:szCs w:val="24"/>
              </w:rPr>
              <w:t xml:space="preserve"> </w:t>
            </w:r>
            <w:r w:rsidR="007160DF" w:rsidRPr="00872F3C">
              <w:rPr>
                <w:b/>
                <w:noProof/>
                <w:sz w:val="24"/>
                <w:szCs w:val="24"/>
              </w:rPr>
              <w:t>2022</w:t>
            </w:r>
          </w:p>
        </w:tc>
      </w:tr>
    </w:tbl>
    <w:p w14:paraId="2C746913" w14:textId="77777777" w:rsidR="00294746" w:rsidRPr="000E45CD" w:rsidRDefault="00294746" w:rsidP="00014DA2">
      <w:pPr>
        <w:ind w:right="117"/>
        <w:rPr>
          <w:rFonts w:ascii="Calibri Light" w:hAnsi="Calibri Light"/>
          <w:noProof/>
          <w:sz w:val="24"/>
          <w:szCs w:val="24"/>
          <w:highlight w:val="lightGray"/>
        </w:rPr>
        <w:sectPr w:rsidR="00294746" w:rsidRPr="000E45CD" w:rsidSect="00294746">
          <w:footerReference w:type="even" r:id="rId9"/>
          <w:footerReference w:type="default" r:id="rId10"/>
          <w:pgSz w:w="12240" w:h="15840"/>
          <w:pgMar w:top="1440" w:right="1627" w:bottom="1872" w:left="1627" w:header="720" w:footer="720" w:gutter="0"/>
          <w:pgNumType w:fmt="lowerRoman" w:start="1"/>
          <w:cols w:space="720"/>
          <w:docGrid w:linePitch="360"/>
        </w:sectPr>
      </w:pPr>
    </w:p>
    <w:tbl>
      <w:tblPr>
        <w:tblW w:w="9018" w:type="dxa"/>
        <w:tblLayout w:type="fixed"/>
        <w:tblLook w:val="04A0" w:firstRow="1" w:lastRow="0" w:firstColumn="1" w:lastColumn="0" w:noHBand="0" w:noVBand="1"/>
      </w:tblPr>
      <w:tblGrid>
        <w:gridCol w:w="114"/>
        <w:gridCol w:w="8904"/>
      </w:tblGrid>
      <w:tr w:rsidR="00A274C1" w:rsidRPr="00E5753A" w14:paraId="71EA0013" w14:textId="77777777" w:rsidTr="00EF5C22">
        <w:tc>
          <w:tcPr>
            <w:tcW w:w="9018" w:type="dxa"/>
            <w:gridSpan w:val="2"/>
            <w:vAlign w:val="center"/>
          </w:tcPr>
          <w:p w14:paraId="08EFC876" w14:textId="77777777" w:rsidR="00A274C1" w:rsidRPr="000E45CD" w:rsidRDefault="00A274C1" w:rsidP="00A274C1">
            <w:pPr>
              <w:spacing w:before="4900" w:after="0"/>
              <w:rPr>
                <w:highlight w:val="lightGray"/>
              </w:rPr>
            </w:pPr>
          </w:p>
        </w:tc>
      </w:tr>
      <w:tr w:rsidR="00A274C1" w:rsidRPr="00D173D9" w14:paraId="7C32F905" w14:textId="77777777" w:rsidTr="00A274C1">
        <w:trPr>
          <w:gridBefore w:val="1"/>
          <w:wBefore w:w="114" w:type="dxa"/>
        </w:trPr>
        <w:tc>
          <w:tcPr>
            <w:tcW w:w="8904" w:type="dxa"/>
            <w:shd w:val="clear" w:color="auto" w:fill="000000" w:themeFill="text1"/>
          </w:tcPr>
          <w:p w14:paraId="3911D55C" w14:textId="7BD05144" w:rsidR="00A274C1" w:rsidRPr="00F277BB" w:rsidRDefault="00D173D9" w:rsidP="00275B75">
            <w:pPr>
              <w:pStyle w:val="CoverTitle"/>
              <w:ind w:left="-135" w:right="-18"/>
              <w:rPr>
                <w:sz w:val="38"/>
                <w:szCs w:val="38"/>
              </w:rPr>
            </w:pPr>
            <w:r w:rsidRPr="00F277BB">
              <w:rPr>
                <w:sz w:val="38"/>
                <w:szCs w:val="38"/>
              </w:rPr>
              <w:t>1155 and 1185 Terra Bella Avenue</w:t>
            </w:r>
            <w:r w:rsidR="00F277BB">
              <w:rPr>
                <w:sz w:val="38"/>
                <w:szCs w:val="38"/>
              </w:rPr>
              <w:t xml:space="preserve"> Office</w:t>
            </w:r>
            <w:r w:rsidRPr="00F277BB">
              <w:rPr>
                <w:sz w:val="38"/>
                <w:szCs w:val="38"/>
              </w:rPr>
              <w:t xml:space="preserve"> Project</w:t>
            </w:r>
          </w:p>
        </w:tc>
      </w:tr>
      <w:tr w:rsidR="00AA619C" w:rsidRPr="00D173D9" w14:paraId="63C350E1" w14:textId="77777777" w:rsidTr="000D3D20">
        <w:tc>
          <w:tcPr>
            <w:tcW w:w="9018" w:type="dxa"/>
            <w:gridSpan w:val="2"/>
          </w:tcPr>
          <w:p w14:paraId="4A882369" w14:textId="54C57501" w:rsidR="00AA619C" w:rsidRPr="00D173D9" w:rsidRDefault="00303E4A" w:rsidP="00EB4901">
            <w:pPr>
              <w:pStyle w:val="CoverSubhead"/>
              <w:spacing w:after="120"/>
            </w:pPr>
            <w:r w:rsidRPr="00D173D9">
              <w:t>Initial Study –</w:t>
            </w:r>
            <w:r w:rsidR="00275B75">
              <w:t xml:space="preserve"> </w:t>
            </w:r>
            <w:r w:rsidRPr="00D173D9">
              <w:t>Negative Declaration</w:t>
            </w:r>
          </w:p>
        </w:tc>
      </w:tr>
      <w:tr w:rsidR="00D173D9" w:rsidRPr="00E5753A" w14:paraId="3CEB4B9F" w14:textId="77777777" w:rsidTr="00EF5C22">
        <w:tc>
          <w:tcPr>
            <w:tcW w:w="9018" w:type="dxa"/>
            <w:gridSpan w:val="2"/>
          </w:tcPr>
          <w:p w14:paraId="4C56E711" w14:textId="5AE3FA28" w:rsidR="00D173D9" w:rsidRPr="000E45CD" w:rsidRDefault="00D173D9" w:rsidP="00EB4901">
            <w:pPr>
              <w:pStyle w:val="BodyText"/>
              <w:spacing w:before="400" w:after="0"/>
              <w:jc w:val="right"/>
              <w:rPr>
                <w:i/>
                <w:sz w:val="24"/>
                <w:szCs w:val="24"/>
                <w:highlight w:val="lightGray"/>
              </w:rPr>
            </w:pPr>
            <w:r w:rsidRPr="00D173D9">
              <w:rPr>
                <w:i/>
                <w:sz w:val="24"/>
                <w:szCs w:val="24"/>
              </w:rPr>
              <w:t>prepared by</w:t>
            </w:r>
          </w:p>
        </w:tc>
      </w:tr>
      <w:tr w:rsidR="00D173D9" w:rsidRPr="00E5753A" w14:paraId="679554E2" w14:textId="77777777" w:rsidTr="00EF5C22">
        <w:tc>
          <w:tcPr>
            <w:tcW w:w="9018" w:type="dxa"/>
            <w:gridSpan w:val="2"/>
          </w:tcPr>
          <w:p w14:paraId="29C0E170" w14:textId="77A50791" w:rsidR="00D173D9" w:rsidRPr="000E45CD" w:rsidRDefault="00D173D9" w:rsidP="00D173D9">
            <w:pPr>
              <w:pStyle w:val="BodyText"/>
              <w:jc w:val="right"/>
              <w:rPr>
                <w:sz w:val="24"/>
                <w:szCs w:val="24"/>
                <w:highlight w:val="lightGray"/>
              </w:rPr>
            </w:pPr>
            <w:r w:rsidRPr="00D173D9">
              <w:rPr>
                <w:b/>
                <w:sz w:val="24"/>
                <w:szCs w:val="24"/>
              </w:rPr>
              <w:t>City of Mountain View</w:t>
            </w:r>
            <w:r w:rsidRPr="00D173D9">
              <w:rPr>
                <w:sz w:val="24"/>
                <w:szCs w:val="24"/>
              </w:rPr>
              <w:t xml:space="preserve"> </w:t>
            </w:r>
            <w:r w:rsidRPr="00D173D9">
              <w:rPr>
                <w:sz w:val="24"/>
                <w:szCs w:val="24"/>
              </w:rPr>
              <w:br/>
              <w:t>Planning Division</w:t>
            </w:r>
            <w:r w:rsidRPr="00D173D9">
              <w:rPr>
                <w:sz w:val="24"/>
                <w:szCs w:val="24"/>
              </w:rPr>
              <w:br/>
              <w:t>500 Castro Street, P</w:t>
            </w:r>
            <w:r w:rsidR="00275B75">
              <w:rPr>
                <w:sz w:val="24"/>
                <w:szCs w:val="24"/>
              </w:rPr>
              <w:t>.O.</w:t>
            </w:r>
            <w:r w:rsidRPr="00D173D9">
              <w:rPr>
                <w:sz w:val="24"/>
                <w:szCs w:val="24"/>
              </w:rPr>
              <w:t xml:space="preserve"> Box 7540</w:t>
            </w:r>
            <w:r w:rsidRPr="00D173D9">
              <w:rPr>
                <w:sz w:val="24"/>
                <w:szCs w:val="24"/>
              </w:rPr>
              <w:br/>
              <w:t>Mountain View, C</w:t>
            </w:r>
            <w:r w:rsidR="00EC4AA6">
              <w:rPr>
                <w:sz w:val="24"/>
                <w:szCs w:val="24"/>
              </w:rPr>
              <w:t>alifornia</w:t>
            </w:r>
            <w:r w:rsidRPr="00D173D9">
              <w:rPr>
                <w:sz w:val="24"/>
                <w:szCs w:val="24"/>
              </w:rPr>
              <w:t xml:space="preserve"> 94039-7540</w:t>
            </w:r>
            <w:r w:rsidRPr="00D173D9">
              <w:rPr>
                <w:sz w:val="24"/>
                <w:szCs w:val="24"/>
              </w:rPr>
              <w:br/>
              <w:t xml:space="preserve">Contact: </w:t>
            </w:r>
            <w:r w:rsidR="005C6622">
              <w:rPr>
                <w:sz w:val="24"/>
                <w:szCs w:val="24"/>
              </w:rPr>
              <w:t>Brittany Whitehill</w:t>
            </w:r>
            <w:r w:rsidRPr="00D173D9">
              <w:rPr>
                <w:sz w:val="24"/>
                <w:szCs w:val="24"/>
              </w:rPr>
              <w:t>, Associate Planner</w:t>
            </w:r>
          </w:p>
        </w:tc>
      </w:tr>
      <w:tr w:rsidR="00D173D9" w:rsidRPr="00E5753A" w14:paraId="2F4D7C66" w14:textId="77777777" w:rsidTr="00EF5C22">
        <w:tc>
          <w:tcPr>
            <w:tcW w:w="9018" w:type="dxa"/>
            <w:gridSpan w:val="2"/>
          </w:tcPr>
          <w:p w14:paraId="66E66214" w14:textId="3FE821C8" w:rsidR="00D173D9" w:rsidRPr="000E45CD" w:rsidRDefault="00D173D9" w:rsidP="00D173D9">
            <w:pPr>
              <w:pStyle w:val="BodyText"/>
              <w:spacing w:before="400" w:after="0"/>
              <w:jc w:val="right"/>
              <w:rPr>
                <w:i/>
                <w:sz w:val="24"/>
                <w:szCs w:val="24"/>
                <w:highlight w:val="lightGray"/>
              </w:rPr>
            </w:pPr>
            <w:r w:rsidRPr="00D173D9">
              <w:rPr>
                <w:i/>
                <w:sz w:val="24"/>
                <w:szCs w:val="24"/>
              </w:rPr>
              <w:t>prepared with the assistance of</w:t>
            </w:r>
          </w:p>
        </w:tc>
      </w:tr>
      <w:tr w:rsidR="00D173D9" w:rsidRPr="00E5753A" w14:paraId="79DF2683" w14:textId="77777777" w:rsidTr="00EF5C22">
        <w:tc>
          <w:tcPr>
            <w:tcW w:w="9018" w:type="dxa"/>
            <w:gridSpan w:val="2"/>
          </w:tcPr>
          <w:p w14:paraId="4AAA1472" w14:textId="0FF712E5" w:rsidR="00D173D9" w:rsidRPr="000E45CD" w:rsidRDefault="00D173D9" w:rsidP="00D173D9">
            <w:pPr>
              <w:pStyle w:val="BodyText"/>
              <w:jc w:val="right"/>
              <w:rPr>
                <w:b/>
                <w:sz w:val="24"/>
                <w:szCs w:val="24"/>
                <w:highlight w:val="lightGray"/>
              </w:rPr>
            </w:pPr>
            <w:r w:rsidRPr="00D173D9">
              <w:rPr>
                <w:b/>
                <w:sz w:val="24"/>
                <w:szCs w:val="24"/>
              </w:rPr>
              <w:t>Rincon Consultants, Inc.</w:t>
            </w:r>
            <w:r w:rsidRPr="00D173D9">
              <w:rPr>
                <w:b/>
                <w:sz w:val="24"/>
                <w:szCs w:val="24"/>
              </w:rPr>
              <w:br/>
            </w:r>
            <w:r w:rsidRPr="00D173D9">
              <w:rPr>
                <w:sz w:val="24"/>
                <w:szCs w:val="24"/>
              </w:rPr>
              <w:t>449 15</w:t>
            </w:r>
            <w:r w:rsidR="00275B75">
              <w:rPr>
                <w:sz w:val="24"/>
                <w:szCs w:val="24"/>
              </w:rPr>
              <w:t xml:space="preserve">th </w:t>
            </w:r>
            <w:r w:rsidRPr="00D173D9">
              <w:rPr>
                <w:sz w:val="24"/>
                <w:szCs w:val="24"/>
              </w:rPr>
              <w:t>Street, Suite 303</w:t>
            </w:r>
            <w:r w:rsidRPr="00D173D9">
              <w:rPr>
                <w:b/>
                <w:sz w:val="24"/>
                <w:szCs w:val="24"/>
              </w:rPr>
              <w:br/>
            </w:r>
            <w:r w:rsidRPr="00D173D9">
              <w:rPr>
                <w:sz w:val="24"/>
                <w:szCs w:val="24"/>
              </w:rPr>
              <w:t>Oakland, California 94612</w:t>
            </w:r>
          </w:p>
        </w:tc>
      </w:tr>
      <w:tr w:rsidR="00D173D9" w:rsidRPr="00872F3C" w14:paraId="16A77680" w14:textId="77777777" w:rsidTr="007776FC">
        <w:trPr>
          <w:trHeight w:val="684"/>
        </w:trPr>
        <w:tc>
          <w:tcPr>
            <w:tcW w:w="9018" w:type="dxa"/>
            <w:gridSpan w:val="2"/>
          </w:tcPr>
          <w:p w14:paraId="00D56C46" w14:textId="2AF1DD94" w:rsidR="00D173D9" w:rsidRPr="00872F3C" w:rsidRDefault="002C6F54" w:rsidP="00EB4901">
            <w:pPr>
              <w:pStyle w:val="BodyText"/>
              <w:spacing w:before="400" w:after="0"/>
              <w:jc w:val="right"/>
              <w:rPr>
                <w:b/>
                <w:noProof/>
                <w:sz w:val="24"/>
                <w:szCs w:val="24"/>
              </w:rPr>
            </w:pPr>
            <w:r>
              <w:rPr>
                <w:b/>
                <w:noProof/>
                <w:sz w:val="24"/>
                <w:szCs w:val="24"/>
              </w:rPr>
              <w:t>September</w:t>
            </w:r>
            <w:r w:rsidRPr="00872F3C">
              <w:rPr>
                <w:b/>
                <w:noProof/>
                <w:sz w:val="24"/>
                <w:szCs w:val="24"/>
              </w:rPr>
              <w:t xml:space="preserve"> </w:t>
            </w:r>
            <w:r w:rsidR="007160DF" w:rsidRPr="00872F3C">
              <w:rPr>
                <w:b/>
                <w:noProof/>
                <w:sz w:val="24"/>
                <w:szCs w:val="24"/>
              </w:rPr>
              <w:t>2022</w:t>
            </w:r>
          </w:p>
        </w:tc>
      </w:tr>
    </w:tbl>
    <w:p w14:paraId="3179C167" w14:textId="77777777" w:rsidR="00251B5D" w:rsidRPr="000E45CD" w:rsidRDefault="00251B5D" w:rsidP="00251B5D">
      <w:pPr>
        <w:pStyle w:val="Blank"/>
        <w:rPr>
          <w:highlight w:val="lightGray"/>
        </w:rPr>
      </w:pPr>
    </w:p>
    <w:p w14:paraId="26FD548A" w14:textId="77777777" w:rsidR="00DC4191" w:rsidRPr="00D571A9" w:rsidRDefault="00A42750" w:rsidP="00251B5D">
      <w:pPr>
        <w:pStyle w:val="Blank"/>
      </w:pPr>
      <w:r w:rsidRPr="00D571A9">
        <w:t>This report prepared on 50% recycled paper with 50% post-consumer content</w:t>
      </w:r>
      <w:r w:rsidR="00791D0D" w:rsidRPr="00D571A9">
        <w:t>.</w:t>
      </w:r>
    </w:p>
    <w:p w14:paraId="5FA0F23B" w14:textId="77777777" w:rsidR="00FD1418" w:rsidRPr="000E45CD" w:rsidRDefault="00FD1418" w:rsidP="001867B7">
      <w:pPr>
        <w:rPr>
          <w:highlight w:val="lightGray"/>
        </w:rPr>
      </w:pPr>
    </w:p>
    <w:bookmarkEnd w:id="0"/>
    <w:p w14:paraId="3C79BD8E" w14:textId="77777777" w:rsidR="002655CC" w:rsidRPr="000E45CD" w:rsidRDefault="002655CC" w:rsidP="001867B7">
      <w:pPr>
        <w:spacing w:after="0"/>
        <w:rPr>
          <w:highlight w:val="lightGray"/>
        </w:rPr>
        <w:sectPr w:rsidR="002655CC" w:rsidRPr="000E45CD" w:rsidSect="00294746">
          <w:footerReference w:type="default" r:id="rId11"/>
          <w:pgSz w:w="12240" w:h="15840"/>
          <w:pgMar w:top="1440" w:right="1627" w:bottom="1872" w:left="1627" w:header="720" w:footer="720" w:gutter="0"/>
          <w:pgNumType w:fmt="lowerRoman" w:start="1"/>
          <w:cols w:space="720"/>
          <w:docGrid w:linePitch="360"/>
        </w:sectPr>
      </w:pPr>
    </w:p>
    <w:p w14:paraId="2569B2F9" w14:textId="77777777" w:rsidR="00932203" w:rsidRPr="00583DE2" w:rsidRDefault="005763F2" w:rsidP="00D316EF">
      <w:pPr>
        <w:pStyle w:val="TOCpagetitle"/>
        <w:spacing w:before="0"/>
      </w:pPr>
      <w:bookmarkStart w:id="2" w:name="_Toc454524056"/>
      <w:bookmarkStart w:id="3" w:name="_Toc464749880"/>
      <w:bookmarkStart w:id="4" w:name="_Toc468112985"/>
      <w:bookmarkStart w:id="5" w:name="_Toc471220608"/>
      <w:bookmarkStart w:id="6" w:name="_Toc475602916"/>
      <w:bookmarkStart w:id="7" w:name="_Hlk83968434"/>
      <w:r w:rsidRPr="00583DE2">
        <w:lastRenderedPageBreak/>
        <w:t>Table of Contents</w:t>
      </w:r>
      <w:bookmarkEnd w:id="2"/>
      <w:bookmarkEnd w:id="3"/>
      <w:bookmarkEnd w:id="4"/>
      <w:bookmarkEnd w:id="5"/>
      <w:bookmarkEnd w:id="6"/>
    </w:p>
    <w:bookmarkEnd w:id="7"/>
    <w:p w14:paraId="48635514" w14:textId="284A5E1E" w:rsidR="00FA55F1" w:rsidRDefault="002666BD">
      <w:pPr>
        <w:pStyle w:val="TOC1"/>
        <w:rPr>
          <w:rFonts w:asciiTheme="minorHAnsi" w:eastAsiaTheme="minorEastAsia" w:hAnsiTheme="minorHAnsi" w:cstheme="minorBidi"/>
          <w:bCs w:val="0"/>
          <w:noProof/>
        </w:rPr>
      </w:pPr>
      <w:r w:rsidRPr="00583DE2">
        <w:rPr>
          <w:rFonts w:asciiTheme="minorHAnsi" w:hAnsiTheme="minorHAnsi"/>
        </w:rPr>
        <w:fldChar w:fldCharType="begin"/>
      </w:r>
      <w:r w:rsidRPr="00583DE2">
        <w:rPr>
          <w:rFonts w:asciiTheme="minorHAnsi" w:hAnsiTheme="minorHAnsi"/>
        </w:rPr>
        <w:instrText xml:space="preserve"> TOC \h \z \t "Heading 1,1,Heading 2,2,Heading 2 - no number,2,Heading 3 CEQA,2" </w:instrText>
      </w:r>
      <w:r w:rsidRPr="00583DE2">
        <w:rPr>
          <w:rFonts w:asciiTheme="minorHAnsi" w:hAnsiTheme="minorHAnsi"/>
        </w:rPr>
        <w:fldChar w:fldCharType="separate"/>
      </w:r>
      <w:hyperlink w:anchor="_Toc112942408" w:history="1">
        <w:r w:rsidR="00FA55F1" w:rsidRPr="00E23285">
          <w:rPr>
            <w:rStyle w:val="Hyperlink"/>
            <w:noProof/>
          </w:rPr>
          <w:t>Abbreviations and Acronyms</w:t>
        </w:r>
        <w:r w:rsidR="00FA55F1">
          <w:rPr>
            <w:noProof/>
            <w:webHidden/>
          </w:rPr>
          <w:tab/>
        </w:r>
        <w:r w:rsidR="00FA55F1">
          <w:rPr>
            <w:noProof/>
            <w:webHidden/>
          </w:rPr>
          <w:fldChar w:fldCharType="begin"/>
        </w:r>
        <w:r w:rsidR="00FA55F1">
          <w:rPr>
            <w:noProof/>
            <w:webHidden/>
          </w:rPr>
          <w:instrText xml:space="preserve"> PAGEREF _Toc112942408 \h </w:instrText>
        </w:r>
        <w:r w:rsidR="00FA55F1">
          <w:rPr>
            <w:noProof/>
            <w:webHidden/>
          </w:rPr>
        </w:r>
        <w:r w:rsidR="00FA55F1">
          <w:rPr>
            <w:noProof/>
            <w:webHidden/>
          </w:rPr>
          <w:fldChar w:fldCharType="separate"/>
        </w:r>
        <w:r w:rsidR="00FA55F1">
          <w:rPr>
            <w:noProof/>
            <w:webHidden/>
          </w:rPr>
          <w:t>v</w:t>
        </w:r>
        <w:r w:rsidR="00FA55F1">
          <w:rPr>
            <w:noProof/>
            <w:webHidden/>
          </w:rPr>
          <w:fldChar w:fldCharType="end"/>
        </w:r>
      </w:hyperlink>
    </w:p>
    <w:p w14:paraId="25C3AAD2" w14:textId="35A3D0EC" w:rsidR="00FA55F1" w:rsidRDefault="00817BC5">
      <w:pPr>
        <w:pStyle w:val="TOC1"/>
        <w:rPr>
          <w:rFonts w:asciiTheme="minorHAnsi" w:eastAsiaTheme="minorEastAsia" w:hAnsiTheme="minorHAnsi" w:cstheme="minorBidi"/>
          <w:bCs w:val="0"/>
          <w:noProof/>
        </w:rPr>
      </w:pPr>
      <w:hyperlink w:anchor="_Toc112942409" w:history="1">
        <w:r w:rsidR="00FA55F1" w:rsidRPr="00E23285">
          <w:rPr>
            <w:rStyle w:val="Hyperlink"/>
            <w:noProof/>
          </w:rPr>
          <w:t>Initial Study</w:t>
        </w:r>
        <w:r w:rsidR="00FA55F1">
          <w:rPr>
            <w:noProof/>
            <w:webHidden/>
          </w:rPr>
          <w:tab/>
        </w:r>
        <w:r w:rsidR="00FA55F1">
          <w:rPr>
            <w:noProof/>
            <w:webHidden/>
          </w:rPr>
          <w:fldChar w:fldCharType="begin"/>
        </w:r>
        <w:r w:rsidR="00FA55F1">
          <w:rPr>
            <w:noProof/>
            <w:webHidden/>
          </w:rPr>
          <w:instrText xml:space="preserve"> PAGEREF _Toc112942409 \h </w:instrText>
        </w:r>
        <w:r w:rsidR="00FA55F1">
          <w:rPr>
            <w:noProof/>
            <w:webHidden/>
          </w:rPr>
        </w:r>
        <w:r w:rsidR="00FA55F1">
          <w:rPr>
            <w:noProof/>
            <w:webHidden/>
          </w:rPr>
          <w:fldChar w:fldCharType="separate"/>
        </w:r>
        <w:r w:rsidR="00FA55F1">
          <w:rPr>
            <w:noProof/>
            <w:webHidden/>
          </w:rPr>
          <w:t>1</w:t>
        </w:r>
        <w:r w:rsidR="00FA55F1">
          <w:rPr>
            <w:noProof/>
            <w:webHidden/>
          </w:rPr>
          <w:fldChar w:fldCharType="end"/>
        </w:r>
      </w:hyperlink>
    </w:p>
    <w:p w14:paraId="5E7D09DD" w14:textId="62B15C0E" w:rsidR="00FA55F1" w:rsidRDefault="00817BC5">
      <w:pPr>
        <w:pStyle w:val="TOC2"/>
        <w:rPr>
          <w:rFonts w:asciiTheme="minorHAnsi" w:hAnsiTheme="minorHAnsi" w:cstheme="minorBidi"/>
          <w:bCs w:val="0"/>
        </w:rPr>
      </w:pPr>
      <w:hyperlink w:anchor="_Toc112942410" w:history="1">
        <w:r w:rsidR="00FA55F1" w:rsidRPr="00E23285">
          <w:rPr>
            <w:rStyle w:val="Hyperlink"/>
          </w:rPr>
          <w:t>1.</w:t>
        </w:r>
        <w:r w:rsidR="00FA55F1">
          <w:rPr>
            <w:rFonts w:asciiTheme="minorHAnsi" w:hAnsiTheme="minorHAnsi" w:cstheme="minorBidi"/>
            <w:bCs w:val="0"/>
          </w:rPr>
          <w:tab/>
        </w:r>
        <w:r w:rsidR="00FA55F1" w:rsidRPr="00E23285">
          <w:rPr>
            <w:rStyle w:val="Hyperlink"/>
          </w:rPr>
          <w:t>Project Title</w:t>
        </w:r>
        <w:r w:rsidR="00FA55F1">
          <w:rPr>
            <w:webHidden/>
          </w:rPr>
          <w:tab/>
        </w:r>
        <w:r w:rsidR="00FA55F1">
          <w:rPr>
            <w:webHidden/>
          </w:rPr>
          <w:fldChar w:fldCharType="begin"/>
        </w:r>
        <w:r w:rsidR="00FA55F1">
          <w:rPr>
            <w:webHidden/>
          </w:rPr>
          <w:instrText xml:space="preserve"> PAGEREF _Toc112942410 \h </w:instrText>
        </w:r>
        <w:r w:rsidR="00FA55F1">
          <w:rPr>
            <w:webHidden/>
          </w:rPr>
        </w:r>
        <w:r w:rsidR="00FA55F1">
          <w:rPr>
            <w:webHidden/>
          </w:rPr>
          <w:fldChar w:fldCharType="separate"/>
        </w:r>
        <w:r w:rsidR="00FA55F1">
          <w:rPr>
            <w:webHidden/>
          </w:rPr>
          <w:t>1</w:t>
        </w:r>
        <w:r w:rsidR="00FA55F1">
          <w:rPr>
            <w:webHidden/>
          </w:rPr>
          <w:fldChar w:fldCharType="end"/>
        </w:r>
      </w:hyperlink>
    </w:p>
    <w:p w14:paraId="7DF03960" w14:textId="3B9A660B" w:rsidR="00FA55F1" w:rsidRDefault="00817BC5">
      <w:pPr>
        <w:pStyle w:val="TOC2"/>
        <w:rPr>
          <w:rFonts w:asciiTheme="minorHAnsi" w:hAnsiTheme="minorHAnsi" w:cstheme="minorBidi"/>
          <w:bCs w:val="0"/>
        </w:rPr>
      </w:pPr>
      <w:hyperlink w:anchor="_Toc112942411" w:history="1">
        <w:r w:rsidR="00FA55F1" w:rsidRPr="00E23285">
          <w:rPr>
            <w:rStyle w:val="Hyperlink"/>
          </w:rPr>
          <w:t>2.</w:t>
        </w:r>
        <w:r w:rsidR="00FA55F1">
          <w:rPr>
            <w:rFonts w:asciiTheme="minorHAnsi" w:hAnsiTheme="minorHAnsi" w:cstheme="minorBidi"/>
            <w:bCs w:val="0"/>
          </w:rPr>
          <w:tab/>
        </w:r>
        <w:r w:rsidR="00FA55F1" w:rsidRPr="00E23285">
          <w:rPr>
            <w:rStyle w:val="Hyperlink"/>
          </w:rPr>
          <w:t>Lead Agency Name and Address</w:t>
        </w:r>
        <w:r w:rsidR="00FA55F1">
          <w:rPr>
            <w:webHidden/>
          </w:rPr>
          <w:tab/>
        </w:r>
        <w:r w:rsidR="00FA55F1">
          <w:rPr>
            <w:webHidden/>
          </w:rPr>
          <w:fldChar w:fldCharType="begin"/>
        </w:r>
        <w:r w:rsidR="00FA55F1">
          <w:rPr>
            <w:webHidden/>
          </w:rPr>
          <w:instrText xml:space="preserve"> PAGEREF _Toc112942411 \h </w:instrText>
        </w:r>
        <w:r w:rsidR="00FA55F1">
          <w:rPr>
            <w:webHidden/>
          </w:rPr>
        </w:r>
        <w:r w:rsidR="00FA55F1">
          <w:rPr>
            <w:webHidden/>
          </w:rPr>
          <w:fldChar w:fldCharType="separate"/>
        </w:r>
        <w:r w:rsidR="00FA55F1">
          <w:rPr>
            <w:webHidden/>
          </w:rPr>
          <w:t>1</w:t>
        </w:r>
        <w:r w:rsidR="00FA55F1">
          <w:rPr>
            <w:webHidden/>
          </w:rPr>
          <w:fldChar w:fldCharType="end"/>
        </w:r>
      </w:hyperlink>
    </w:p>
    <w:p w14:paraId="03D60CC4" w14:textId="797CE04A" w:rsidR="00FA55F1" w:rsidRDefault="00817BC5">
      <w:pPr>
        <w:pStyle w:val="TOC2"/>
        <w:rPr>
          <w:rFonts w:asciiTheme="minorHAnsi" w:hAnsiTheme="minorHAnsi" w:cstheme="minorBidi"/>
          <w:bCs w:val="0"/>
        </w:rPr>
      </w:pPr>
      <w:hyperlink w:anchor="_Toc112942412" w:history="1">
        <w:r w:rsidR="00FA55F1" w:rsidRPr="00E23285">
          <w:rPr>
            <w:rStyle w:val="Hyperlink"/>
          </w:rPr>
          <w:t>3.</w:t>
        </w:r>
        <w:r w:rsidR="00FA55F1">
          <w:rPr>
            <w:rFonts w:asciiTheme="minorHAnsi" w:hAnsiTheme="minorHAnsi" w:cstheme="minorBidi"/>
            <w:bCs w:val="0"/>
          </w:rPr>
          <w:tab/>
        </w:r>
        <w:r w:rsidR="00FA55F1" w:rsidRPr="00E23285">
          <w:rPr>
            <w:rStyle w:val="Hyperlink"/>
          </w:rPr>
          <w:t>Contact Person and Phone Number</w:t>
        </w:r>
        <w:r w:rsidR="00FA55F1">
          <w:rPr>
            <w:webHidden/>
          </w:rPr>
          <w:tab/>
        </w:r>
        <w:r w:rsidR="00FA55F1">
          <w:rPr>
            <w:webHidden/>
          </w:rPr>
          <w:fldChar w:fldCharType="begin"/>
        </w:r>
        <w:r w:rsidR="00FA55F1">
          <w:rPr>
            <w:webHidden/>
          </w:rPr>
          <w:instrText xml:space="preserve"> PAGEREF _Toc112942412 \h </w:instrText>
        </w:r>
        <w:r w:rsidR="00FA55F1">
          <w:rPr>
            <w:webHidden/>
          </w:rPr>
        </w:r>
        <w:r w:rsidR="00FA55F1">
          <w:rPr>
            <w:webHidden/>
          </w:rPr>
          <w:fldChar w:fldCharType="separate"/>
        </w:r>
        <w:r w:rsidR="00FA55F1">
          <w:rPr>
            <w:webHidden/>
          </w:rPr>
          <w:t>1</w:t>
        </w:r>
        <w:r w:rsidR="00FA55F1">
          <w:rPr>
            <w:webHidden/>
          </w:rPr>
          <w:fldChar w:fldCharType="end"/>
        </w:r>
      </w:hyperlink>
    </w:p>
    <w:p w14:paraId="45B47C77" w14:textId="3BDCCAC6" w:rsidR="00FA55F1" w:rsidRDefault="00817BC5">
      <w:pPr>
        <w:pStyle w:val="TOC2"/>
        <w:rPr>
          <w:rFonts w:asciiTheme="minorHAnsi" w:hAnsiTheme="minorHAnsi" w:cstheme="minorBidi"/>
          <w:bCs w:val="0"/>
        </w:rPr>
      </w:pPr>
      <w:hyperlink w:anchor="_Toc112942413" w:history="1">
        <w:r w:rsidR="00FA55F1" w:rsidRPr="00E23285">
          <w:rPr>
            <w:rStyle w:val="Hyperlink"/>
          </w:rPr>
          <w:t>4.</w:t>
        </w:r>
        <w:r w:rsidR="00FA55F1">
          <w:rPr>
            <w:rFonts w:asciiTheme="minorHAnsi" w:hAnsiTheme="minorHAnsi" w:cstheme="minorBidi"/>
            <w:bCs w:val="0"/>
          </w:rPr>
          <w:tab/>
        </w:r>
        <w:r w:rsidR="00FA55F1" w:rsidRPr="00E23285">
          <w:rPr>
            <w:rStyle w:val="Hyperlink"/>
          </w:rPr>
          <w:t>Project Sponsor’s Name and Address</w:t>
        </w:r>
        <w:r w:rsidR="00FA55F1">
          <w:rPr>
            <w:webHidden/>
          </w:rPr>
          <w:tab/>
        </w:r>
        <w:r w:rsidR="00FA55F1">
          <w:rPr>
            <w:webHidden/>
          </w:rPr>
          <w:fldChar w:fldCharType="begin"/>
        </w:r>
        <w:r w:rsidR="00FA55F1">
          <w:rPr>
            <w:webHidden/>
          </w:rPr>
          <w:instrText xml:space="preserve"> PAGEREF _Toc112942413 \h </w:instrText>
        </w:r>
        <w:r w:rsidR="00FA55F1">
          <w:rPr>
            <w:webHidden/>
          </w:rPr>
        </w:r>
        <w:r w:rsidR="00FA55F1">
          <w:rPr>
            <w:webHidden/>
          </w:rPr>
          <w:fldChar w:fldCharType="separate"/>
        </w:r>
        <w:r w:rsidR="00FA55F1">
          <w:rPr>
            <w:webHidden/>
          </w:rPr>
          <w:t>1</w:t>
        </w:r>
        <w:r w:rsidR="00FA55F1">
          <w:rPr>
            <w:webHidden/>
          </w:rPr>
          <w:fldChar w:fldCharType="end"/>
        </w:r>
      </w:hyperlink>
    </w:p>
    <w:p w14:paraId="3817C316" w14:textId="7E5BFED1" w:rsidR="00FA55F1" w:rsidRDefault="00817BC5">
      <w:pPr>
        <w:pStyle w:val="TOC2"/>
        <w:rPr>
          <w:rFonts w:asciiTheme="minorHAnsi" w:hAnsiTheme="minorHAnsi" w:cstheme="minorBidi"/>
          <w:bCs w:val="0"/>
        </w:rPr>
      </w:pPr>
      <w:hyperlink w:anchor="_Toc112942414" w:history="1">
        <w:r w:rsidR="00FA55F1" w:rsidRPr="00E23285">
          <w:rPr>
            <w:rStyle w:val="Hyperlink"/>
          </w:rPr>
          <w:t>5.</w:t>
        </w:r>
        <w:r w:rsidR="00FA55F1">
          <w:rPr>
            <w:rFonts w:asciiTheme="minorHAnsi" w:hAnsiTheme="minorHAnsi" w:cstheme="minorBidi"/>
            <w:bCs w:val="0"/>
          </w:rPr>
          <w:tab/>
        </w:r>
        <w:r w:rsidR="00FA55F1" w:rsidRPr="00E23285">
          <w:rPr>
            <w:rStyle w:val="Hyperlink"/>
          </w:rPr>
          <w:t>Project Location</w:t>
        </w:r>
        <w:r w:rsidR="00FA55F1">
          <w:rPr>
            <w:webHidden/>
          </w:rPr>
          <w:tab/>
        </w:r>
        <w:r w:rsidR="00FA55F1">
          <w:rPr>
            <w:webHidden/>
          </w:rPr>
          <w:fldChar w:fldCharType="begin"/>
        </w:r>
        <w:r w:rsidR="00FA55F1">
          <w:rPr>
            <w:webHidden/>
          </w:rPr>
          <w:instrText xml:space="preserve"> PAGEREF _Toc112942414 \h </w:instrText>
        </w:r>
        <w:r w:rsidR="00FA55F1">
          <w:rPr>
            <w:webHidden/>
          </w:rPr>
        </w:r>
        <w:r w:rsidR="00FA55F1">
          <w:rPr>
            <w:webHidden/>
          </w:rPr>
          <w:fldChar w:fldCharType="separate"/>
        </w:r>
        <w:r w:rsidR="00FA55F1">
          <w:rPr>
            <w:webHidden/>
          </w:rPr>
          <w:t>1</w:t>
        </w:r>
        <w:r w:rsidR="00FA55F1">
          <w:rPr>
            <w:webHidden/>
          </w:rPr>
          <w:fldChar w:fldCharType="end"/>
        </w:r>
      </w:hyperlink>
    </w:p>
    <w:p w14:paraId="02A40561" w14:textId="2F886DA3" w:rsidR="00FA55F1" w:rsidRDefault="00817BC5">
      <w:pPr>
        <w:pStyle w:val="TOC2"/>
        <w:rPr>
          <w:rFonts w:asciiTheme="minorHAnsi" w:hAnsiTheme="minorHAnsi" w:cstheme="minorBidi"/>
          <w:bCs w:val="0"/>
        </w:rPr>
      </w:pPr>
      <w:hyperlink w:anchor="_Toc112942415" w:history="1">
        <w:r w:rsidR="00FA55F1" w:rsidRPr="00E23285">
          <w:rPr>
            <w:rStyle w:val="Hyperlink"/>
          </w:rPr>
          <w:t>6.</w:t>
        </w:r>
        <w:r w:rsidR="00FA55F1">
          <w:rPr>
            <w:rFonts w:asciiTheme="minorHAnsi" w:hAnsiTheme="minorHAnsi" w:cstheme="minorBidi"/>
            <w:bCs w:val="0"/>
          </w:rPr>
          <w:tab/>
        </w:r>
        <w:r w:rsidR="00FA55F1" w:rsidRPr="00E23285">
          <w:rPr>
            <w:rStyle w:val="Hyperlink"/>
          </w:rPr>
          <w:t>General Plan Designation</w:t>
        </w:r>
        <w:r w:rsidR="00FA55F1">
          <w:rPr>
            <w:webHidden/>
          </w:rPr>
          <w:tab/>
        </w:r>
        <w:r w:rsidR="00FA55F1">
          <w:rPr>
            <w:webHidden/>
          </w:rPr>
          <w:fldChar w:fldCharType="begin"/>
        </w:r>
        <w:r w:rsidR="00FA55F1">
          <w:rPr>
            <w:webHidden/>
          </w:rPr>
          <w:instrText xml:space="preserve"> PAGEREF _Toc112942415 \h </w:instrText>
        </w:r>
        <w:r w:rsidR="00FA55F1">
          <w:rPr>
            <w:webHidden/>
          </w:rPr>
        </w:r>
        <w:r w:rsidR="00FA55F1">
          <w:rPr>
            <w:webHidden/>
          </w:rPr>
          <w:fldChar w:fldCharType="separate"/>
        </w:r>
        <w:r w:rsidR="00FA55F1">
          <w:rPr>
            <w:webHidden/>
          </w:rPr>
          <w:t>4</w:t>
        </w:r>
        <w:r w:rsidR="00FA55F1">
          <w:rPr>
            <w:webHidden/>
          </w:rPr>
          <w:fldChar w:fldCharType="end"/>
        </w:r>
      </w:hyperlink>
    </w:p>
    <w:p w14:paraId="696EFA4E" w14:textId="5D44700F" w:rsidR="00FA55F1" w:rsidRDefault="00817BC5">
      <w:pPr>
        <w:pStyle w:val="TOC2"/>
        <w:rPr>
          <w:rFonts w:asciiTheme="minorHAnsi" w:hAnsiTheme="minorHAnsi" w:cstheme="minorBidi"/>
          <w:bCs w:val="0"/>
        </w:rPr>
      </w:pPr>
      <w:hyperlink w:anchor="_Toc112942416" w:history="1">
        <w:r w:rsidR="00FA55F1" w:rsidRPr="00E23285">
          <w:rPr>
            <w:rStyle w:val="Hyperlink"/>
          </w:rPr>
          <w:t>7.</w:t>
        </w:r>
        <w:r w:rsidR="00FA55F1">
          <w:rPr>
            <w:rFonts w:asciiTheme="minorHAnsi" w:hAnsiTheme="minorHAnsi" w:cstheme="minorBidi"/>
            <w:bCs w:val="0"/>
          </w:rPr>
          <w:tab/>
        </w:r>
        <w:r w:rsidR="00FA55F1" w:rsidRPr="00E23285">
          <w:rPr>
            <w:rStyle w:val="Hyperlink"/>
          </w:rPr>
          <w:t>Zoning</w:t>
        </w:r>
        <w:r w:rsidR="00FA55F1">
          <w:rPr>
            <w:webHidden/>
          </w:rPr>
          <w:tab/>
        </w:r>
        <w:r w:rsidR="00FA55F1">
          <w:rPr>
            <w:webHidden/>
          </w:rPr>
          <w:fldChar w:fldCharType="begin"/>
        </w:r>
        <w:r w:rsidR="00FA55F1">
          <w:rPr>
            <w:webHidden/>
          </w:rPr>
          <w:instrText xml:space="preserve"> PAGEREF _Toc112942416 \h </w:instrText>
        </w:r>
        <w:r w:rsidR="00FA55F1">
          <w:rPr>
            <w:webHidden/>
          </w:rPr>
        </w:r>
        <w:r w:rsidR="00FA55F1">
          <w:rPr>
            <w:webHidden/>
          </w:rPr>
          <w:fldChar w:fldCharType="separate"/>
        </w:r>
        <w:r w:rsidR="00FA55F1">
          <w:rPr>
            <w:webHidden/>
          </w:rPr>
          <w:t>4</w:t>
        </w:r>
        <w:r w:rsidR="00FA55F1">
          <w:rPr>
            <w:webHidden/>
          </w:rPr>
          <w:fldChar w:fldCharType="end"/>
        </w:r>
      </w:hyperlink>
    </w:p>
    <w:p w14:paraId="618578A6" w14:textId="00F7B390" w:rsidR="00FA55F1" w:rsidRDefault="00817BC5">
      <w:pPr>
        <w:pStyle w:val="TOC2"/>
        <w:rPr>
          <w:rFonts w:asciiTheme="minorHAnsi" w:hAnsiTheme="minorHAnsi" w:cstheme="minorBidi"/>
          <w:bCs w:val="0"/>
        </w:rPr>
      </w:pPr>
      <w:hyperlink w:anchor="_Toc112942417" w:history="1">
        <w:r w:rsidR="00FA55F1" w:rsidRPr="00E23285">
          <w:rPr>
            <w:rStyle w:val="Hyperlink"/>
          </w:rPr>
          <w:t>8.</w:t>
        </w:r>
        <w:r w:rsidR="00FA55F1">
          <w:rPr>
            <w:rFonts w:asciiTheme="minorHAnsi" w:hAnsiTheme="minorHAnsi" w:cstheme="minorBidi"/>
            <w:bCs w:val="0"/>
          </w:rPr>
          <w:tab/>
        </w:r>
        <w:r w:rsidR="00FA55F1" w:rsidRPr="00E23285">
          <w:rPr>
            <w:rStyle w:val="Hyperlink"/>
          </w:rPr>
          <w:t>Surrounding Land Uses and Setting</w:t>
        </w:r>
        <w:r w:rsidR="00FA55F1">
          <w:rPr>
            <w:webHidden/>
          </w:rPr>
          <w:tab/>
        </w:r>
        <w:r w:rsidR="00FA55F1">
          <w:rPr>
            <w:webHidden/>
          </w:rPr>
          <w:fldChar w:fldCharType="begin"/>
        </w:r>
        <w:r w:rsidR="00FA55F1">
          <w:rPr>
            <w:webHidden/>
          </w:rPr>
          <w:instrText xml:space="preserve"> PAGEREF _Toc112942417 \h </w:instrText>
        </w:r>
        <w:r w:rsidR="00FA55F1">
          <w:rPr>
            <w:webHidden/>
          </w:rPr>
        </w:r>
        <w:r w:rsidR="00FA55F1">
          <w:rPr>
            <w:webHidden/>
          </w:rPr>
          <w:fldChar w:fldCharType="separate"/>
        </w:r>
        <w:r w:rsidR="00FA55F1">
          <w:rPr>
            <w:webHidden/>
          </w:rPr>
          <w:t>4</w:t>
        </w:r>
        <w:r w:rsidR="00FA55F1">
          <w:rPr>
            <w:webHidden/>
          </w:rPr>
          <w:fldChar w:fldCharType="end"/>
        </w:r>
      </w:hyperlink>
    </w:p>
    <w:p w14:paraId="587261E1" w14:textId="3E12F2CE" w:rsidR="00FA55F1" w:rsidRDefault="00817BC5">
      <w:pPr>
        <w:pStyle w:val="TOC2"/>
        <w:rPr>
          <w:rFonts w:asciiTheme="minorHAnsi" w:hAnsiTheme="minorHAnsi" w:cstheme="minorBidi"/>
          <w:bCs w:val="0"/>
        </w:rPr>
      </w:pPr>
      <w:hyperlink w:anchor="_Toc112942418" w:history="1">
        <w:r w:rsidR="00FA55F1" w:rsidRPr="00E23285">
          <w:rPr>
            <w:rStyle w:val="Hyperlink"/>
          </w:rPr>
          <w:t>9.</w:t>
        </w:r>
        <w:r w:rsidR="00FA55F1">
          <w:rPr>
            <w:rFonts w:asciiTheme="minorHAnsi" w:hAnsiTheme="minorHAnsi" w:cstheme="minorBidi"/>
            <w:bCs w:val="0"/>
          </w:rPr>
          <w:tab/>
        </w:r>
        <w:r w:rsidR="00FA55F1" w:rsidRPr="00E23285">
          <w:rPr>
            <w:rStyle w:val="Hyperlink"/>
          </w:rPr>
          <w:t>Project Description</w:t>
        </w:r>
        <w:r w:rsidR="00FA55F1">
          <w:rPr>
            <w:webHidden/>
          </w:rPr>
          <w:tab/>
        </w:r>
        <w:r w:rsidR="00FA55F1">
          <w:rPr>
            <w:webHidden/>
          </w:rPr>
          <w:fldChar w:fldCharType="begin"/>
        </w:r>
        <w:r w:rsidR="00FA55F1">
          <w:rPr>
            <w:webHidden/>
          </w:rPr>
          <w:instrText xml:space="preserve"> PAGEREF _Toc112942418 \h </w:instrText>
        </w:r>
        <w:r w:rsidR="00FA55F1">
          <w:rPr>
            <w:webHidden/>
          </w:rPr>
        </w:r>
        <w:r w:rsidR="00FA55F1">
          <w:rPr>
            <w:webHidden/>
          </w:rPr>
          <w:fldChar w:fldCharType="separate"/>
        </w:r>
        <w:r w:rsidR="00FA55F1">
          <w:rPr>
            <w:webHidden/>
          </w:rPr>
          <w:t>4</w:t>
        </w:r>
        <w:r w:rsidR="00FA55F1">
          <w:rPr>
            <w:webHidden/>
          </w:rPr>
          <w:fldChar w:fldCharType="end"/>
        </w:r>
      </w:hyperlink>
    </w:p>
    <w:p w14:paraId="3721CBF5" w14:textId="3BE5FAEC" w:rsidR="00FA55F1" w:rsidRDefault="00817BC5">
      <w:pPr>
        <w:pStyle w:val="TOC2"/>
        <w:tabs>
          <w:tab w:val="left" w:pos="1080"/>
        </w:tabs>
        <w:rPr>
          <w:rFonts w:asciiTheme="minorHAnsi" w:hAnsiTheme="minorHAnsi" w:cstheme="minorBidi"/>
          <w:bCs w:val="0"/>
        </w:rPr>
      </w:pPr>
      <w:hyperlink w:anchor="_Toc112942419" w:history="1">
        <w:r w:rsidR="00FA55F1" w:rsidRPr="00E23285">
          <w:rPr>
            <w:rStyle w:val="Hyperlink"/>
          </w:rPr>
          <w:t>10.</w:t>
        </w:r>
        <w:r w:rsidR="00FA55F1">
          <w:rPr>
            <w:rFonts w:asciiTheme="minorHAnsi" w:hAnsiTheme="minorHAnsi" w:cstheme="minorBidi"/>
            <w:bCs w:val="0"/>
          </w:rPr>
          <w:tab/>
        </w:r>
        <w:r w:rsidR="00FA55F1" w:rsidRPr="00E23285">
          <w:rPr>
            <w:rStyle w:val="Hyperlink"/>
          </w:rPr>
          <w:t>Site Preparation and Construction</w:t>
        </w:r>
        <w:r w:rsidR="00FA55F1">
          <w:rPr>
            <w:webHidden/>
          </w:rPr>
          <w:tab/>
        </w:r>
        <w:r w:rsidR="00FA55F1">
          <w:rPr>
            <w:webHidden/>
          </w:rPr>
          <w:fldChar w:fldCharType="begin"/>
        </w:r>
        <w:r w:rsidR="00FA55F1">
          <w:rPr>
            <w:webHidden/>
          </w:rPr>
          <w:instrText xml:space="preserve"> PAGEREF _Toc112942419 \h </w:instrText>
        </w:r>
        <w:r w:rsidR="00FA55F1">
          <w:rPr>
            <w:webHidden/>
          </w:rPr>
        </w:r>
        <w:r w:rsidR="00FA55F1">
          <w:rPr>
            <w:webHidden/>
          </w:rPr>
          <w:fldChar w:fldCharType="separate"/>
        </w:r>
        <w:r w:rsidR="00FA55F1">
          <w:rPr>
            <w:webHidden/>
          </w:rPr>
          <w:t>10</w:t>
        </w:r>
        <w:r w:rsidR="00FA55F1">
          <w:rPr>
            <w:webHidden/>
          </w:rPr>
          <w:fldChar w:fldCharType="end"/>
        </w:r>
      </w:hyperlink>
    </w:p>
    <w:p w14:paraId="269A39F7" w14:textId="78703B0A" w:rsidR="00FA55F1" w:rsidRDefault="00817BC5">
      <w:pPr>
        <w:pStyle w:val="TOC2"/>
        <w:tabs>
          <w:tab w:val="left" w:pos="1080"/>
        </w:tabs>
        <w:rPr>
          <w:rFonts w:asciiTheme="minorHAnsi" w:hAnsiTheme="minorHAnsi" w:cstheme="minorBidi"/>
          <w:bCs w:val="0"/>
        </w:rPr>
      </w:pPr>
      <w:hyperlink w:anchor="_Toc112942420" w:history="1">
        <w:r w:rsidR="00FA55F1" w:rsidRPr="00E23285">
          <w:rPr>
            <w:rStyle w:val="Hyperlink"/>
          </w:rPr>
          <w:t>11.</w:t>
        </w:r>
        <w:r w:rsidR="00FA55F1">
          <w:rPr>
            <w:rFonts w:asciiTheme="minorHAnsi" w:hAnsiTheme="minorHAnsi" w:cstheme="minorBidi"/>
            <w:bCs w:val="0"/>
          </w:rPr>
          <w:tab/>
        </w:r>
        <w:r w:rsidR="00FA55F1" w:rsidRPr="00E23285">
          <w:rPr>
            <w:rStyle w:val="Hyperlink"/>
          </w:rPr>
          <w:t>City of Mountain View Permits and Approvals Required</w:t>
        </w:r>
        <w:r w:rsidR="00FA55F1">
          <w:rPr>
            <w:webHidden/>
          </w:rPr>
          <w:tab/>
        </w:r>
        <w:r w:rsidR="00FA55F1">
          <w:rPr>
            <w:webHidden/>
          </w:rPr>
          <w:fldChar w:fldCharType="begin"/>
        </w:r>
        <w:r w:rsidR="00FA55F1">
          <w:rPr>
            <w:webHidden/>
          </w:rPr>
          <w:instrText xml:space="preserve"> PAGEREF _Toc112942420 \h </w:instrText>
        </w:r>
        <w:r w:rsidR="00FA55F1">
          <w:rPr>
            <w:webHidden/>
          </w:rPr>
        </w:r>
        <w:r w:rsidR="00FA55F1">
          <w:rPr>
            <w:webHidden/>
          </w:rPr>
          <w:fldChar w:fldCharType="separate"/>
        </w:r>
        <w:r w:rsidR="00FA55F1">
          <w:rPr>
            <w:webHidden/>
          </w:rPr>
          <w:t>11</w:t>
        </w:r>
        <w:r w:rsidR="00FA55F1">
          <w:rPr>
            <w:webHidden/>
          </w:rPr>
          <w:fldChar w:fldCharType="end"/>
        </w:r>
      </w:hyperlink>
    </w:p>
    <w:p w14:paraId="05AE88E8" w14:textId="074321AB" w:rsidR="00FA55F1" w:rsidRDefault="00817BC5">
      <w:pPr>
        <w:pStyle w:val="TOC2"/>
        <w:tabs>
          <w:tab w:val="left" w:pos="1080"/>
        </w:tabs>
        <w:rPr>
          <w:rFonts w:asciiTheme="minorHAnsi" w:hAnsiTheme="minorHAnsi" w:cstheme="minorBidi"/>
          <w:bCs w:val="0"/>
        </w:rPr>
      </w:pPr>
      <w:hyperlink w:anchor="_Toc112942421" w:history="1">
        <w:r w:rsidR="00FA55F1" w:rsidRPr="00E23285">
          <w:rPr>
            <w:rStyle w:val="Hyperlink"/>
          </w:rPr>
          <w:t>12.</w:t>
        </w:r>
        <w:r w:rsidR="00FA55F1">
          <w:rPr>
            <w:rFonts w:asciiTheme="minorHAnsi" w:hAnsiTheme="minorHAnsi" w:cstheme="minorBidi"/>
            <w:bCs w:val="0"/>
          </w:rPr>
          <w:tab/>
        </w:r>
        <w:r w:rsidR="00FA55F1" w:rsidRPr="00E23285">
          <w:rPr>
            <w:rStyle w:val="Hyperlink"/>
          </w:rPr>
          <w:t>Other Public Agencies Whose Approval is Required</w:t>
        </w:r>
        <w:r w:rsidR="00FA55F1">
          <w:rPr>
            <w:webHidden/>
          </w:rPr>
          <w:tab/>
        </w:r>
        <w:r w:rsidR="00FA55F1">
          <w:rPr>
            <w:webHidden/>
          </w:rPr>
          <w:fldChar w:fldCharType="begin"/>
        </w:r>
        <w:r w:rsidR="00FA55F1">
          <w:rPr>
            <w:webHidden/>
          </w:rPr>
          <w:instrText xml:space="preserve"> PAGEREF _Toc112942421 \h </w:instrText>
        </w:r>
        <w:r w:rsidR="00FA55F1">
          <w:rPr>
            <w:webHidden/>
          </w:rPr>
        </w:r>
        <w:r w:rsidR="00FA55F1">
          <w:rPr>
            <w:webHidden/>
          </w:rPr>
          <w:fldChar w:fldCharType="separate"/>
        </w:r>
        <w:r w:rsidR="00FA55F1">
          <w:rPr>
            <w:webHidden/>
          </w:rPr>
          <w:t>11</w:t>
        </w:r>
        <w:r w:rsidR="00FA55F1">
          <w:rPr>
            <w:webHidden/>
          </w:rPr>
          <w:fldChar w:fldCharType="end"/>
        </w:r>
      </w:hyperlink>
    </w:p>
    <w:p w14:paraId="13C6ED66" w14:textId="0C76581C" w:rsidR="00FA55F1" w:rsidRDefault="00817BC5">
      <w:pPr>
        <w:pStyle w:val="TOC2"/>
        <w:tabs>
          <w:tab w:val="left" w:pos="1080"/>
        </w:tabs>
        <w:rPr>
          <w:rFonts w:asciiTheme="minorHAnsi" w:hAnsiTheme="minorHAnsi" w:cstheme="minorBidi"/>
          <w:bCs w:val="0"/>
        </w:rPr>
      </w:pPr>
      <w:hyperlink w:anchor="_Toc112942422" w:history="1">
        <w:r w:rsidR="00FA55F1" w:rsidRPr="00E23285">
          <w:rPr>
            <w:rStyle w:val="Hyperlink"/>
          </w:rPr>
          <w:t>13.</w:t>
        </w:r>
        <w:r w:rsidR="00FA55F1">
          <w:rPr>
            <w:rFonts w:asciiTheme="minorHAnsi" w:hAnsiTheme="minorHAnsi" w:cstheme="minorBidi"/>
            <w:bCs w:val="0"/>
          </w:rPr>
          <w:tab/>
        </w:r>
        <w:r w:rsidR="00FA55F1" w:rsidRPr="00E23285">
          <w:rPr>
            <w:rStyle w:val="Hyperlink"/>
          </w:rPr>
          <w:t>Have California Native American Tribes Traditionally and Culturally Affiliated with the Project Area Requested Consultation Pursuant to Public Resources Code Section 21080.3.1?</w:t>
        </w:r>
        <w:r w:rsidR="00FA55F1">
          <w:rPr>
            <w:webHidden/>
          </w:rPr>
          <w:tab/>
        </w:r>
        <w:r w:rsidR="00FA55F1">
          <w:rPr>
            <w:webHidden/>
          </w:rPr>
          <w:fldChar w:fldCharType="begin"/>
        </w:r>
        <w:r w:rsidR="00FA55F1">
          <w:rPr>
            <w:webHidden/>
          </w:rPr>
          <w:instrText xml:space="preserve"> PAGEREF _Toc112942422 \h </w:instrText>
        </w:r>
        <w:r w:rsidR="00FA55F1">
          <w:rPr>
            <w:webHidden/>
          </w:rPr>
        </w:r>
        <w:r w:rsidR="00FA55F1">
          <w:rPr>
            <w:webHidden/>
          </w:rPr>
          <w:fldChar w:fldCharType="separate"/>
        </w:r>
        <w:r w:rsidR="00FA55F1">
          <w:rPr>
            <w:webHidden/>
          </w:rPr>
          <w:t>11</w:t>
        </w:r>
        <w:r w:rsidR="00FA55F1">
          <w:rPr>
            <w:webHidden/>
          </w:rPr>
          <w:fldChar w:fldCharType="end"/>
        </w:r>
      </w:hyperlink>
    </w:p>
    <w:p w14:paraId="518E0F9C" w14:textId="40C86AE2" w:rsidR="00FA55F1" w:rsidRDefault="00817BC5">
      <w:pPr>
        <w:pStyle w:val="TOC1"/>
        <w:rPr>
          <w:rFonts w:asciiTheme="minorHAnsi" w:eastAsiaTheme="minorEastAsia" w:hAnsiTheme="minorHAnsi" w:cstheme="minorBidi"/>
          <w:bCs w:val="0"/>
          <w:noProof/>
        </w:rPr>
      </w:pPr>
      <w:hyperlink w:anchor="_Toc112942423" w:history="1">
        <w:r w:rsidR="00FA55F1" w:rsidRPr="00E23285">
          <w:rPr>
            <w:rStyle w:val="Hyperlink"/>
            <w:noProof/>
          </w:rPr>
          <w:t>Environmental Factors Potentially Affected</w:t>
        </w:r>
        <w:r w:rsidR="00FA55F1">
          <w:rPr>
            <w:noProof/>
            <w:webHidden/>
          </w:rPr>
          <w:tab/>
        </w:r>
        <w:r w:rsidR="00FA55F1">
          <w:rPr>
            <w:noProof/>
            <w:webHidden/>
          </w:rPr>
          <w:fldChar w:fldCharType="begin"/>
        </w:r>
        <w:r w:rsidR="00FA55F1">
          <w:rPr>
            <w:noProof/>
            <w:webHidden/>
          </w:rPr>
          <w:instrText xml:space="preserve"> PAGEREF _Toc112942423 \h </w:instrText>
        </w:r>
        <w:r w:rsidR="00FA55F1">
          <w:rPr>
            <w:noProof/>
            <w:webHidden/>
          </w:rPr>
        </w:r>
        <w:r w:rsidR="00FA55F1">
          <w:rPr>
            <w:noProof/>
            <w:webHidden/>
          </w:rPr>
          <w:fldChar w:fldCharType="separate"/>
        </w:r>
        <w:r w:rsidR="00FA55F1">
          <w:rPr>
            <w:noProof/>
            <w:webHidden/>
          </w:rPr>
          <w:t>13</w:t>
        </w:r>
        <w:r w:rsidR="00FA55F1">
          <w:rPr>
            <w:noProof/>
            <w:webHidden/>
          </w:rPr>
          <w:fldChar w:fldCharType="end"/>
        </w:r>
      </w:hyperlink>
    </w:p>
    <w:p w14:paraId="51F9BE4B" w14:textId="5518B6E7" w:rsidR="00FA55F1" w:rsidRDefault="00817BC5">
      <w:pPr>
        <w:pStyle w:val="TOC1"/>
        <w:rPr>
          <w:rFonts w:asciiTheme="minorHAnsi" w:eastAsiaTheme="minorEastAsia" w:hAnsiTheme="minorHAnsi" w:cstheme="minorBidi"/>
          <w:bCs w:val="0"/>
          <w:noProof/>
        </w:rPr>
      </w:pPr>
      <w:hyperlink w:anchor="_Toc112942424" w:history="1">
        <w:r w:rsidR="00FA55F1" w:rsidRPr="00E23285">
          <w:rPr>
            <w:rStyle w:val="Hyperlink"/>
            <w:noProof/>
          </w:rPr>
          <w:t>Determination</w:t>
        </w:r>
        <w:r w:rsidR="00FA55F1">
          <w:rPr>
            <w:noProof/>
            <w:webHidden/>
          </w:rPr>
          <w:tab/>
        </w:r>
        <w:r w:rsidR="00FA55F1">
          <w:rPr>
            <w:noProof/>
            <w:webHidden/>
          </w:rPr>
          <w:fldChar w:fldCharType="begin"/>
        </w:r>
        <w:r w:rsidR="00FA55F1">
          <w:rPr>
            <w:noProof/>
            <w:webHidden/>
          </w:rPr>
          <w:instrText xml:space="preserve"> PAGEREF _Toc112942424 \h </w:instrText>
        </w:r>
        <w:r w:rsidR="00FA55F1">
          <w:rPr>
            <w:noProof/>
            <w:webHidden/>
          </w:rPr>
        </w:r>
        <w:r w:rsidR="00FA55F1">
          <w:rPr>
            <w:noProof/>
            <w:webHidden/>
          </w:rPr>
          <w:fldChar w:fldCharType="separate"/>
        </w:r>
        <w:r w:rsidR="00FA55F1">
          <w:rPr>
            <w:noProof/>
            <w:webHidden/>
          </w:rPr>
          <w:t>13</w:t>
        </w:r>
        <w:r w:rsidR="00FA55F1">
          <w:rPr>
            <w:noProof/>
            <w:webHidden/>
          </w:rPr>
          <w:fldChar w:fldCharType="end"/>
        </w:r>
      </w:hyperlink>
    </w:p>
    <w:p w14:paraId="75062F4A" w14:textId="5F66EA31" w:rsidR="00FA55F1" w:rsidRDefault="00817BC5">
      <w:pPr>
        <w:pStyle w:val="TOC1"/>
        <w:rPr>
          <w:rFonts w:asciiTheme="minorHAnsi" w:eastAsiaTheme="minorEastAsia" w:hAnsiTheme="minorHAnsi" w:cstheme="minorBidi"/>
          <w:bCs w:val="0"/>
          <w:noProof/>
        </w:rPr>
      </w:pPr>
      <w:hyperlink w:anchor="_Toc112942425" w:history="1">
        <w:r w:rsidR="00FA55F1" w:rsidRPr="00E23285">
          <w:rPr>
            <w:rStyle w:val="Hyperlink"/>
            <w:noProof/>
          </w:rPr>
          <w:t>Environmental Checklist</w:t>
        </w:r>
        <w:r w:rsidR="00FA55F1">
          <w:rPr>
            <w:noProof/>
            <w:webHidden/>
          </w:rPr>
          <w:tab/>
        </w:r>
        <w:r w:rsidR="00FA55F1">
          <w:rPr>
            <w:noProof/>
            <w:webHidden/>
          </w:rPr>
          <w:fldChar w:fldCharType="begin"/>
        </w:r>
        <w:r w:rsidR="00FA55F1">
          <w:rPr>
            <w:noProof/>
            <w:webHidden/>
          </w:rPr>
          <w:instrText xml:space="preserve"> PAGEREF _Toc112942425 \h </w:instrText>
        </w:r>
        <w:r w:rsidR="00FA55F1">
          <w:rPr>
            <w:noProof/>
            <w:webHidden/>
          </w:rPr>
        </w:r>
        <w:r w:rsidR="00FA55F1">
          <w:rPr>
            <w:noProof/>
            <w:webHidden/>
          </w:rPr>
          <w:fldChar w:fldCharType="separate"/>
        </w:r>
        <w:r w:rsidR="00FA55F1">
          <w:rPr>
            <w:noProof/>
            <w:webHidden/>
          </w:rPr>
          <w:t>15</w:t>
        </w:r>
        <w:r w:rsidR="00FA55F1">
          <w:rPr>
            <w:noProof/>
            <w:webHidden/>
          </w:rPr>
          <w:fldChar w:fldCharType="end"/>
        </w:r>
      </w:hyperlink>
    </w:p>
    <w:p w14:paraId="0951273E" w14:textId="6A56807B" w:rsidR="00FA55F1" w:rsidRDefault="00817BC5">
      <w:pPr>
        <w:pStyle w:val="TOC2"/>
        <w:rPr>
          <w:rFonts w:asciiTheme="minorHAnsi" w:hAnsiTheme="minorHAnsi" w:cstheme="minorBidi"/>
          <w:bCs w:val="0"/>
        </w:rPr>
      </w:pPr>
      <w:hyperlink w:anchor="_Toc112942426" w:history="1">
        <w:r w:rsidR="00FA55F1" w:rsidRPr="00E23285">
          <w:rPr>
            <w:rStyle w:val="Hyperlink"/>
          </w:rPr>
          <w:t>1</w:t>
        </w:r>
        <w:r w:rsidR="00FA55F1">
          <w:rPr>
            <w:rFonts w:asciiTheme="minorHAnsi" w:hAnsiTheme="minorHAnsi" w:cstheme="minorBidi"/>
            <w:bCs w:val="0"/>
          </w:rPr>
          <w:tab/>
        </w:r>
        <w:r w:rsidR="00FA55F1" w:rsidRPr="00E23285">
          <w:rPr>
            <w:rStyle w:val="Hyperlink"/>
          </w:rPr>
          <w:t>Aesthetics</w:t>
        </w:r>
        <w:r w:rsidR="00FA55F1">
          <w:rPr>
            <w:webHidden/>
          </w:rPr>
          <w:tab/>
        </w:r>
        <w:r w:rsidR="00FA55F1">
          <w:rPr>
            <w:webHidden/>
          </w:rPr>
          <w:fldChar w:fldCharType="begin"/>
        </w:r>
        <w:r w:rsidR="00FA55F1">
          <w:rPr>
            <w:webHidden/>
          </w:rPr>
          <w:instrText xml:space="preserve"> PAGEREF _Toc112942426 \h </w:instrText>
        </w:r>
        <w:r w:rsidR="00FA55F1">
          <w:rPr>
            <w:webHidden/>
          </w:rPr>
        </w:r>
        <w:r w:rsidR="00FA55F1">
          <w:rPr>
            <w:webHidden/>
          </w:rPr>
          <w:fldChar w:fldCharType="separate"/>
        </w:r>
        <w:r w:rsidR="00FA55F1">
          <w:rPr>
            <w:webHidden/>
          </w:rPr>
          <w:t>15</w:t>
        </w:r>
        <w:r w:rsidR="00FA55F1">
          <w:rPr>
            <w:webHidden/>
          </w:rPr>
          <w:fldChar w:fldCharType="end"/>
        </w:r>
      </w:hyperlink>
    </w:p>
    <w:p w14:paraId="095B24A8" w14:textId="75D1E041" w:rsidR="00FA55F1" w:rsidRDefault="00817BC5">
      <w:pPr>
        <w:pStyle w:val="TOC2"/>
        <w:rPr>
          <w:rFonts w:asciiTheme="minorHAnsi" w:hAnsiTheme="minorHAnsi" w:cstheme="minorBidi"/>
          <w:bCs w:val="0"/>
        </w:rPr>
      </w:pPr>
      <w:hyperlink w:anchor="_Toc112942427" w:history="1">
        <w:r w:rsidR="00FA55F1" w:rsidRPr="00E23285">
          <w:rPr>
            <w:rStyle w:val="Hyperlink"/>
          </w:rPr>
          <w:t>2</w:t>
        </w:r>
        <w:r w:rsidR="00FA55F1">
          <w:rPr>
            <w:rFonts w:asciiTheme="minorHAnsi" w:hAnsiTheme="minorHAnsi" w:cstheme="minorBidi"/>
            <w:bCs w:val="0"/>
          </w:rPr>
          <w:tab/>
        </w:r>
        <w:r w:rsidR="00FA55F1" w:rsidRPr="00E23285">
          <w:rPr>
            <w:rStyle w:val="Hyperlink"/>
          </w:rPr>
          <w:t>Agriculture and Forestry Resources</w:t>
        </w:r>
        <w:r w:rsidR="00FA55F1">
          <w:rPr>
            <w:webHidden/>
          </w:rPr>
          <w:tab/>
        </w:r>
        <w:r w:rsidR="00FA55F1">
          <w:rPr>
            <w:webHidden/>
          </w:rPr>
          <w:fldChar w:fldCharType="begin"/>
        </w:r>
        <w:r w:rsidR="00FA55F1">
          <w:rPr>
            <w:webHidden/>
          </w:rPr>
          <w:instrText xml:space="preserve"> PAGEREF _Toc112942427 \h </w:instrText>
        </w:r>
        <w:r w:rsidR="00FA55F1">
          <w:rPr>
            <w:webHidden/>
          </w:rPr>
        </w:r>
        <w:r w:rsidR="00FA55F1">
          <w:rPr>
            <w:webHidden/>
          </w:rPr>
          <w:fldChar w:fldCharType="separate"/>
        </w:r>
        <w:r w:rsidR="00FA55F1">
          <w:rPr>
            <w:webHidden/>
          </w:rPr>
          <w:t>21</w:t>
        </w:r>
        <w:r w:rsidR="00FA55F1">
          <w:rPr>
            <w:webHidden/>
          </w:rPr>
          <w:fldChar w:fldCharType="end"/>
        </w:r>
      </w:hyperlink>
    </w:p>
    <w:p w14:paraId="0899FE2D" w14:textId="6280FC78" w:rsidR="00FA55F1" w:rsidRDefault="00817BC5">
      <w:pPr>
        <w:pStyle w:val="TOC2"/>
        <w:rPr>
          <w:rFonts w:asciiTheme="minorHAnsi" w:hAnsiTheme="minorHAnsi" w:cstheme="minorBidi"/>
          <w:bCs w:val="0"/>
        </w:rPr>
      </w:pPr>
      <w:hyperlink w:anchor="_Toc112942428" w:history="1">
        <w:r w:rsidR="00FA55F1" w:rsidRPr="00E23285">
          <w:rPr>
            <w:rStyle w:val="Hyperlink"/>
          </w:rPr>
          <w:t>3</w:t>
        </w:r>
        <w:r w:rsidR="00FA55F1">
          <w:rPr>
            <w:rFonts w:asciiTheme="minorHAnsi" w:hAnsiTheme="minorHAnsi" w:cstheme="minorBidi"/>
            <w:bCs w:val="0"/>
          </w:rPr>
          <w:tab/>
        </w:r>
        <w:r w:rsidR="00FA55F1" w:rsidRPr="00E23285">
          <w:rPr>
            <w:rStyle w:val="Hyperlink"/>
          </w:rPr>
          <w:t>Air Quality</w:t>
        </w:r>
        <w:r w:rsidR="00FA55F1">
          <w:rPr>
            <w:webHidden/>
          </w:rPr>
          <w:tab/>
        </w:r>
        <w:r w:rsidR="00FA55F1">
          <w:rPr>
            <w:webHidden/>
          </w:rPr>
          <w:fldChar w:fldCharType="begin"/>
        </w:r>
        <w:r w:rsidR="00FA55F1">
          <w:rPr>
            <w:webHidden/>
          </w:rPr>
          <w:instrText xml:space="preserve"> PAGEREF _Toc112942428 \h </w:instrText>
        </w:r>
        <w:r w:rsidR="00FA55F1">
          <w:rPr>
            <w:webHidden/>
          </w:rPr>
        </w:r>
        <w:r w:rsidR="00FA55F1">
          <w:rPr>
            <w:webHidden/>
          </w:rPr>
          <w:fldChar w:fldCharType="separate"/>
        </w:r>
        <w:r w:rsidR="00FA55F1">
          <w:rPr>
            <w:webHidden/>
          </w:rPr>
          <w:t>25</w:t>
        </w:r>
        <w:r w:rsidR="00FA55F1">
          <w:rPr>
            <w:webHidden/>
          </w:rPr>
          <w:fldChar w:fldCharType="end"/>
        </w:r>
      </w:hyperlink>
    </w:p>
    <w:p w14:paraId="16B8C038" w14:textId="1E3251A5" w:rsidR="00FA55F1" w:rsidRDefault="00817BC5">
      <w:pPr>
        <w:pStyle w:val="TOC2"/>
        <w:rPr>
          <w:rFonts w:asciiTheme="minorHAnsi" w:hAnsiTheme="minorHAnsi" w:cstheme="minorBidi"/>
          <w:bCs w:val="0"/>
        </w:rPr>
      </w:pPr>
      <w:hyperlink w:anchor="_Toc112942429" w:history="1">
        <w:r w:rsidR="00FA55F1" w:rsidRPr="00E23285">
          <w:rPr>
            <w:rStyle w:val="Hyperlink"/>
          </w:rPr>
          <w:t>4</w:t>
        </w:r>
        <w:r w:rsidR="00FA55F1">
          <w:rPr>
            <w:rFonts w:asciiTheme="minorHAnsi" w:hAnsiTheme="minorHAnsi" w:cstheme="minorBidi"/>
            <w:bCs w:val="0"/>
          </w:rPr>
          <w:tab/>
        </w:r>
        <w:r w:rsidR="00FA55F1" w:rsidRPr="00E23285">
          <w:rPr>
            <w:rStyle w:val="Hyperlink"/>
          </w:rPr>
          <w:t>Biological Resources</w:t>
        </w:r>
        <w:r w:rsidR="00FA55F1">
          <w:rPr>
            <w:webHidden/>
          </w:rPr>
          <w:tab/>
        </w:r>
        <w:r w:rsidR="00FA55F1">
          <w:rPr>
            <w:webHidden/>
          </w:rPr>
          <w:fldChar w:fldCharType="begin"/>
        </w:r>
        <w:r w:rsidR="00FA55F1">
          <w:rPr>
            <w:webHidden/>
          </w:rPr>
          <w:instrText xml:space="preserve"> PAGEREF _Toc112942429 \h </w:instrText>
        </w:r>
        <w:r w:rsidR="00FA55F1">
          <w:rPr>
            <w:webHidden/>
          </w:rPr>
        </w:r>
        <w:r w:rsidR="00FA55F1">
          <w:rPr>
            <w:webHidden/>
          </w:rPr>
          <w:fldChar w:fldCharType="separate"/>
        </w:r>
        <w:r w:rsidR="00FA55F1">
          <w:rPr>
            <w:webHidden/>
          </w:rPr>
          <w:t>37</w:t>
        </w:r>
        <w:r w:rsidR="00FA55F1">
          <w:rPr>
            <w:webHidden/>
          </w:rPr>
          <w:fldChar w:fldCharType="end"/>
        </w:r>
      </w:hyperlink>
    </w:p>
    <w:p w14:paraId="48B2DCD7" w14:textId="533749C1" w:rsidR="00FA55F1" w:rsidRDefault="00817BC5">
      <w:pPr>
        <w:pStyle w:val="TOC2"/>
        <w:rPr>
          <w:rFonts w:asciiTheme="minorHAnsi" w:hAnsiTheme="minorHAnsi" w:cstheme="minorBidi"/>
          <w:bCs w:val="0"/>
        </w:rPr>
      </w:pPr>
      <w:hyperlink w:anchor="_Toc112942430" w:history="1">
        <w:r w:rsidR="00FA55F1" w:rsidRPr="00E23285">
          <w:rPr>
            <w:rStyle w:val="Hyperlink"/>
          </w:rPr>
          <w:t>5</w:t>
        </w:r>
        <w:r w:rsidR="00FA55F1">
          <w:rPr>
            <w:rFonts w:asciiTheme="minorHAnsi" w:hAnsiTheme="minorHAnsi" w:cstheme="minorBidi"/>
            <w:bCs w:val="0"/>
          </w:rPr>
          <w:tab/>
        </w:r>
        <w:r w:rsidR="00FA55F1" w:rsidRPr="00E23285">
          <w:rPr>
            <w:rStyle w:val="Hyperlink"/>
          </w:rPr>
          <w:t>Cultural Resources</w:t>
        </w:r>
        <w:r w:rsidR="00FA55F1">
          <w:rPr>
            <w:webHidden/>
          </w:rPr>
          <w:tab/>
        </w:r>
        <w:r w:rsidR="00FA55F1">
          <w:rPr>
            <w:webHidden/>
          </w:rPr>
          <w:fldChar w:fldCharType="begin"/>
        </w:r>
        <w:r w:rsidR="00FA55F1">
          <w:rPr>
            <w:webHidden/>
          </w:rPr>
          <w:instrText xml:space="preserve"> PAGEREF _Toc112942430 \h </w:instrText>
        </w:r>
        <w:r w:rsidR="00FA55F1">
          <w:rPr>
            <w:webHidden/>
          </w:rPr>
        </w:r>
        <w:r w:rsidR="00FA55F1">
          <w:rPr>
            <w:webHidden/>
          </w:rPr>
          <w:fldChar w:fldCharType="separate"/>
        </w:r>
        <w:r w:rsidR="00FA55F1">
          <w:rPr>
            <w:webHidden/>
          </w:rPr>
          <w:t>43</w:t>
        </w:r>
        <w:r w:rsidR="00FA55F1">
          <w:rPr>
            <w:webHidden/>
          </w:rPr>
          <w:fldChar w:fldCharType="end"/>
        </w:r>
      </w:hyperlink>
    </w:p>
    <w:p w14:paraId="10CEFC4D" w14:textId="4B705E3C" w:rsidR="00FA55F1" w:rsidRDefault="00817BC5">
      <w:pPr>
        <w:pStyle w:val="TOC2"/>
        <w:rPr>
          <w:rFonts w:asciiTheme="minorHAnsi" w:hAnsiTheme="minorHAnsi" w:cstheme="minorBidi"/>
          <w:bCs w:val="0"/>
        </w:rPr>
      </w:pPr>
      <w:hyperlink w:anchor="_Toc112942431" w:history="1">
        <w:r w:rsidR="00FA55F1" w:rsidRPr="00E23285">
          <w:rPr>
            <w:rStyle w:val="Hyperlink"/>
          </w:rPr>
          <w:t>6</w:t>
        </w:r>
        <w:r w:rsidR="00FA55F1">
          <w:rPr>
            <w:rFonts w:asciiTheme="minorHAnsi" w:hAnsiTheme="minorHAnsi" w:cstheme="minorBidi"/>
            <w:bCs w:val="0"/>
          </w:rPr>
          <w:tab/>
        </w:r>
        <w:r w:rsidR="00FA55F1" w:rsidRPr="00E23285">
          <w:rPr>
            <w:rStyle w:val="Hyperlink"/>
          </w:rPr>
          <w:t>Energy</w:t>
        </w:r>
        <w:r w:rsidR="00FA55F1">
          <w:rPr>
            <w:webHidden/>
          </w:rPr>
          <w:tab/>
        </w:r>
        <w:r w:rsidR="00FA55F1">
          <w:rPr>
            <w:webHidden/>
          </w:rPr>
          <w:fldChar w:fldCharType="begin"/>
        </w:r>
        <w:r w:rsidR="00FA55F1">
          <w:rPr>
            <w:webHidden/>
          </w:rPr>
          <w:instrText xml:space="preserve"> PAGEREF _Toc112942431 \h </w:instrText>
        </w:r>
        <w:r w:rsidR="00FA55F1">
          <w:rPr>
            <w:webHidden/>
          </w:rPr>
        </w:r>
        <w:r w:rsidR="00FA55F1">
          <w:rPr>
            <w:webHidden/>
          </w:rPr>
          <w:fldChar w:fldCharType="separate"/>
        </w:r>
        <w:r w:rsidR="00FA55F1">
          <w:rPr>
            <w:webHidden/>
          </w:rPr>
          <w:t>47</w:t>
        </w:r>
        <w:r w:rsidR="00FA55F1">
          <w:rPr>
            <w:webHidden/>
          </w:rPr>
          <w:fldChar w:fldCharType="end"/>
        </w:r>
      </w:hyperlink>
    </w:p>
    <w:p w14:paraId="6FB1C16E" w14:textId="02450BE6" w:rsidR="00FA55F1" w:rsidRDefault="00817BC5">
      <w:pPr>
        <w:pStyle w:val="TOC2"/>
        <w:rPr>
          <w:rFonts w:asciiTheme="minorHAnsi" w:hAnsiTheme="minorHAnsi" w:cstheme="minorBidi"/>
          <w:bCs w:val="0"/>
        </w:rPr>
      </w:pPr>
      <w:hyperlink w:anchor="_Toc112942432" w:history="1">
        <w:r w:rsidR="00FA55F1" w:rsidRPr="00E23285">
          <w:rPr>
            <w:rStyle w:val="Hyperlink"/>
          </w:rPr>
          <w:t>7</w:t>
        </w:r>
        <w:r w:rsidR="00FA55F1">
          <w:rPr>
            <w:rFonts w:asciiTheme="minorHAnsi" w:hAnsiTheme="minorHAnsi" w:cstheme="minorBidi"/>
            <w:bCs w:val="0"/>
          </w:rPr>
          <w:tab/>
        </w:r>
        <w:r w:rsidR="00FA55F1" w:rsidRPr="00E23285">
          <w:rPr>
            <w:rStyle w:val="Hyperlink"/>
          </w:rPr>
          <w:t>Geology and Soils</w:t>
        </w:r>
        <w:r w:rsidR="00FA55F1">
          <w:rPr>
            <w:webHidden/>
          </w:rPr>
          <w:tab/>
        </w:r>
        <w:r w:rsidR="00FA55F1">
          <w:rPr>
            <w:webHidden/>
          </w:rPr>
          <w:fldChar w:fldCharType="begin"/>
        </w:r>
        <w:r w:rsidR="00FA55F1">
          <w:rPr>
            <w:webHidden/>
          </w:rPr>
          <w:instrText xml:space="preserve"> PAGEREF _Toc112942432 \h </w:instrText>
        </w:r>
        <w:r w:rsidR="00FA55F1">
          <w:rPr>
            <w:webHidden/>
          </w:rPr>
        </w:r>
        <w:r w:rsidR="00FA55F1">
          <w:rPr>
            <w:webHidden/>
          </w:rPr>
          <w:fldChar w:fldCharType="separate"/>
        </w:r>
        <w:r w:rsidR="00FA55F1">
          <w:rPr>
            <w:webHidden/>
          </w:rPr>
          <w:t>53</w:t>
        </w:r>
        <w:r w:rsidR="00FA55F1">
          <w:rPr>
            <w:webHidden/>
          </w:rPr>
          <w:fldChar w:fldCharType="end"/>
        </w:r>
      </w:hyperlink>
    </w:p>
    <w:p w14:paraId="1156804A" w14:textId="73BBD17F" w:rsidR="00FA55F1" w:rsidRDefault="00817BC5">
      <w:pPr>
        <w:pStyle w:val="TOC2"/>
        <w:rPr>
          <w:rFonts w:asciiTheme="minorHAnsi" w:hAnsiTheme="minorHAnsi" w:cstheme="minorBidi"/>
          <w:bCs w:val="0"/>
        </w:rPr>
      </w:pPr>
      <w:hyperlink w:anchor="_Toc112942433" w:history="1">
        <w:r w:rsidR="00FA55F1" w:rsidRPr="00E23285">
          <w:rPr>
            <w:rStyle w:val="Hyperlink"/>
          </w:rPr>
          <w:t>8</w:t>
        </w:r>
        <w:r w:rsidR="00FA55F1">
          <w:rPr>
            <w:rFonts w:asciiTheme="minorHAnsi" w:hAnsiTheme="minorHAnsi" w:cstheme="minorBidi"/>
            <w:bCs w:val="0"/>
          </w:rPr>
          <w:tab/>
        </w:r>
        <w:r w:rsidR="00FA55F1" w:rsidRPr="00E23285">
          <w:rPr>
            <w:rStyle w:val="Hyperlink"/>
          </w:rPr>
          <w:t>Greenhouse Gas Emissions</w:t>
        </w:r>
        <w:r w:rsidR="00FA55F1">
          <w:rPr>
            <w:webHidden/>
          </w:rPr>
          <w:tab/>
        </w:r>
        <w:r w:rsidR="00FA55F1">
          <w:rPr>
            <w:webHidden/>
          </w:rPr>
          <w:fldChar w:fldCharType="begin"/>
        </w:r>
        <w:r w:rsidR="00FA55F1">
          <w:rPr>
            <w:webHidden/>
          </w:rPr>
          <w:instrText xml:space="preserve"> PAGEREF _Toc112942433 \h </w:instrText>
        </w:r>
        <w:r w:rsidR="00FA55F1">
          <w:rPr>
            <w:webHidden/>
          </w:rPr>
        </w:r>
        <w:r w:rsidR="00FA55F1">
          <w:rPr>
            <w:webHidden/>
          </w:rPr>
          <w:fldChar w:fldCharType="separate"/>
        </w:r>
        <w:r w:rsidR="00FA55F1">
          <w:rPr>
            <w:webHidden/>
          </w:rPr>
          <w:t>61</w:t>
        </w:r>
        <w:r w:rsidR="00FA55F1">
          <w:rPr>
            <w:webHidden/>
          </w:rPr>
          <w:fldChar w:fldCharType="end"/>
        </w:r>
      </w:hyperlink>
    </w:p>
    <w:p w14:paraId="3E845CF1" w14:textId="2E23D72E" w:rsidR="00FA55F1" w:rsidRDefault="00817BC5">
      <w:pPr>
        <w:pStyle w:val="TOC2"/>
        <w:rPr>
          <w:rFonts w:asciiTheme="minorHAnsi" w:hAnsiTheme="minorHAnsi" w:cstheme="minorBidi"/>
          <w:bCs w:val="0"/>
        </w:rPr>
      </w:pPr>
      <w:hyperlink w:anchor="_Toc112942434" w:history="1">
        <w:r w:rsidR="00FA55F1" w:rsidRPr="00E23285">
          <w:rPr>
            <w:rStyle w:val="Hyperlink"/>
          </w:rPr>
          <w:t>9</w:t>
        </w:r>
        <w:r w:rsidR="00FA55F1">
          <w:rPr>
            <w:rFonts w:asciiTheme="minorHAnsi" w:hAnsiTheme="minorHAnsi" w:cstheme="minorBidi"/>
            <w:bCs w:val="0"/>
          </w:rPr>
          <w:tab/>
        </w:r>
        <w:r w:rsidR="00FA55F1" w:rsidRPr="00E23285">
          <w:rPr>
            <w:rStyle w:val="Hyperlink"/>
          </w:rPr>
          <w:t>Hazards and Hazardous Materials</w:t>
        </w:r>
        <w:r w:rsidR="00FA55F1">
          <w:rPr>
            <w:webHidden/>
          </w:rPr>
          <w:tab/>
        </w:r>
        <w:r w:rsidR="00FA55F1">
          <w:rPr>
            <w:webHidden/>
          </w:rPr>
          <w:fldChar w:fldCharType="begin"/>
        </w:r>
        <w:r w:rsidR="00FA55F1">
          <w:rPr>
            <w:webHidden/>
          </w:rPr>
          <w:instrText xml:space="preserve"> PAGEREF _Toc112942434 \h </w:instrText>
        </w:r>
        <w:r w:rsidR="00FA55F1">
          <w:rPr>
            <w:webHidden/>
          </w:rPr>
        </w:r>
        <w:r w:rsidR="00FA55F1">
          <w:rPr>
            <w:webHidden/>
          </w:rPr>
          <w:fldChar w:fldCharType="separate"/>
        </w:r>
        <w:r w:rsidR="00FA55F1">
          <w:rPr>
            <w:webHidden/>
          </w:rPr>
          <w:t>71</w:t>
        </w:r>
        <w:r w:rsidR="00FA55F1">
          <w:rPr>
            <w:webHidden/>
          </w:rPr>
          <w:fldChar w:fldCharType="end"/>
        </w:r>
      </w:hyperlink>
    </w:p>
    <w:p w14:paraId="76EE5D05" w14:textId="77A5F04C" w:rsidR="00FA55F1" w:rsidRDefault="00817BC5">
      <w:pPr>
        <w:pStyle w:val="TOC2"/>
        <w:tabs>
          <w:tab w:val="left" w:pos="1080"/>
        </w:tabs>
        <w:rPr>
          <w:rFonts w:asciiTheme="minorHAnsi" w:hAnsiTheme="minorHAnsi" w:cstheme="minorBidi"/>
          <w:bCs w:val="0"/>
        </w:rPr>
      </w:pPr>
      <w:hyperlink w:anchor="_Toc112942435" w:history="1">
        <w:r w:rsidR="00FA55F1" w:rsidRPr="00E23285">
          <w:rPr>
            <w:rStyle w:val="Hyperlink"/>
          </w:rPr>
          <w:t>10</w:t>
        </w:r>
        <w:r w:rsidR="00FA55F1">
          <w:rPr>
            <w:rFonts w:asciiTheme="minorHAnsi" w:hAnsiTheme="minorHAnsi" w:cstheme="minorBidi"/>
            <w:bCs w:val="0"/>
          </w:rPr>
          <w:tab/>
        </w:r>
        <w:r w:rsidR="00FA55F1" w:rsidRPr="00E23285">
          <w:rPr>
            <w:rStyle w:val="Hyperlink"/>
          </w:rPr>
          <w:t>Hydrology and Water Quality</w:t>
        </w:r>
        <w:r w:rsidR="00FA55F1">
          <w:rPr>
            <w:webHidden/>
          </w:rPr>
          <w:tab/>
        </w:r>
        <w:r w:rsidR="00FA55F1">
          <w:rPr>
            <w:webHidden/>
          </w:rPr>
          <w:fldChar w:fldCharType="begin"/>
        </w:r>
        <w:r w:rsidR="00FA55F1">
          <w:rPr>
            <w:webHidden/>
          </w:rPr>
          <w:instrText xml:space="preserve"> PAGEREF _Toc112942435 \h </w:instrText>
        </w:r>
        <w:r w:rsidR="00FA55F1">
          <w:rPr>
            <w:webHidden/>
          </w:rPr>
        </w:r>
        <w:r w:rsidR="00FA55F1">
          <w:rPr>
            <w:webHidden/>
          </w:rPr>
          <w:fldChar w:fldCharType="separate"/>
        </w:r>
        <w:r w:rsidR="00FA55F1">
          <w:rPr>
            <w:webHidden/>
          </w:rPr>
          <w:t>81</w:t>
        </w:r>
        <w:r w:rsidR="00FA55F1">
          <w:rPr>
            <w:webHidden/>
          </w:rPr>
          <w:fldChar w:fldCharType="end"/>
        </w:r>
      </w:hyperlink>
    </w:p>
    <w:p w14:paraId="31736FFE" w14:textId="1508462D" w:rsidR="00FA55F1" w:rsidRDefault="00817BC5">
      <w:pPr>
        <w:pStyle w:val="TOC2"/>
        <w:tabs>
          <w:tab w:val="left" w:pos="1080"/>
        </w:tabs>
        <w:rPr>
          <w:rFonts w:asciiTheme="minorHAnsi" w:hAnsiTheme="minorHAnsi" w:cstheme="minorBidi"/>
          <w:bCs w:val="0"/>
        </w:rPr>
      </w:pPr>
      <w:hyperlink w:anchor="_Toc112942436" w:history="1">
        <w:r w:rsidR="00FA55F1" w:rsidRPr="00E23285">
          <w:rPr>
            <w:rStyle w:val="Hyperlink"/>
          </w:rPr>
          <w:t>11</w:t>
        </w:r>
        <w:r w:rsidR="00FA55F1">
          <w:rPr>
            <w:rFonts w:asciiTheme="minorHAnsi" w:hAnsiTheme="minorHAnsi" w:cstheme="minorBidi"/>
            <w:bCs w:val="0"/>
          </w:rPr>
          <w:tab/>
        </w:r>
        <w:r w:rsidR="00FA55F1" w:rsidRPr="00E23285">
          <w:rPr>
            <w:rStyle w:val="Hyperlink"/>
          </w:rPr>
          <w:t>Land Use and Planning</w:t>
        </w:r>
        <w:r w:rsidR="00FA55F1">
          <w:rPr>
            <w:webHidden/>
          </w:rPr>
          <w:tab/>
        </w:r>
        <w:r w:rsidR="00FA55F1">
          <w:rPr>
            <w:webHidden/>
          </w:rPr>
          <w:fldChar w:fldCharType="begin"/>
        </w:r>
        <w:r w:rsidR="00FA55F1">
          <w:rPr>
            <w:webHidden/>
          </w:rPr>
          <w:instrText xml:space="preserve"> PAGEREF _Toc112942436 \h </w:instrText>
        </w:r>
        <w:r w:rsidR="00FA55F1">
          <w:rPr>
            <w:webHidden/>
          </w:rPr>
        </w:r>
        <w:r w:rsidR="00FA55F1">
          <w:rPr>
            <w:webHidden/>
          </w:rPr>
          <w:fldChar w:fldCharType="separate"/>
        </w:r>
        <w:r w:rsidR="00FA55F1">
          <w:rPr>
            <w:webHidden/>
          </w:rPr>
          <w:t>89</w:t>
        </w:r>
        <w:r w:rsidR="00FA55F1">
          <w:rPr>
            <w:webHidden/>
          </w:rPr>
          <w:fldChar w:fldCharType="end"/>
        </w:r>
      </w:hyperlink>
    </w:p>
    <w:p w14:paraId="349C41C2" w14:textId="30A1EB9F" w:rsidR="00FA55F1" w:rsidRDefault="00817BC5">
      <w:pPr>
        <w:pStyle w:val="TOC2"/>
        <w:tabs>
          <w:tab w:val="left" w:pos="1080"/>
        </w:tabs>
        <w:rPr>
          <w:rFonts w:asciiTheme="minorHAnsi" w:hAnsiTheme="minorHAnsi" w:cstheme="minorBidi"/>
          <w:bCs w:val="0"/>
        </w:rPr>
      </w:pPr>
      <w:hyperlink w:anchor="_Toc112942437" w:history="1">
        <w:r w:rsidR="00FA55F1" w:rsidRPr="00E23285">
          <w:rPr>
            <w:rStyle w:val="Hyperlink"/>
          </w:rPr>
          <w:t>12</w:t>
        </w:r>
        <w:r w:rsidR="00FA55F1">
          <w:rPr>
            <w:rFonts w:asciiTheme="minorHAnsi" w:hAnsiTheme="minorHAnsi" w:cstheme="minorBidi"/>
            <w:bCs w:val="0"/>
          </w:rPr>
          <w:tab/>
        </w:r>
        <w:r w:rsidR="00FA55F1" w:rsidRPr="00E23285">
          <w:rPr>
            <w:rStyle w:val="Hyperlink"/>
          </w:rPr>
          <w:t>Mineral Resources</w:t>
        </w:r>
        <w:r w:rsidR="00FA55F1">
          <w:rPr>
            <w:webHidden/>
          </w:rPr>
          <w:tab/>
        </w:r>
        <w:r w:rsidR="00FA55F1">
          <w:rPr>
            <w:webHidden/>
          </w:rPr>
          <w:fldChar w:fldCharType="begin"/>
        </w:r>
        <w:r w:rsidR="00FA55F1">
          <w:rPr>
            <w:webHidden/>
          </w:rPr>
          <w:instrText xml:space="preserve"> PAGEREF _Toc112942437 \h </w:instrText>
        </w:r>
        <w:r w:rsidR="00FA55F1">
          <w:rPr>
            <w:webHidden/>
          </w:rPr>
        </w:r>
        <w:r w:rsidR="00FA55F1">
          <w:rPr>
            <w:webHidden/>
          </w:rPr>
          <w:fldChar w:fldCharType="separate"/>
        </w:r>
        <w:r w:rsidR="00FA55F1">
          <w:rPr>
            <w:webHidden/>
          </w:rPr>
          <w:t>93</w:t>
        </w:r>
        <w:r w:rsidR="00FA55F1">
          <w:rPr>
            <w:webHidden/>
          </w:rPr>
          <w:fldChar w:fldCharType="end"/>
        </w:r>
      </w:hyperlink>
    </w:p>
    <w:p w14:paraId="69938B30" w14:textId="77D680D7" w:rsidR="00FA55F1" w:rsidRDefault="00817BC5">
      <w:pPr>
        <w:pStyle w:val="TOC2"/>
        <w:tabs>
          <w:tab w:val="left" w:pos="1080"/>
        </w:tabs>
        <w:rPr>
          <w:rFonts w:asciiTheme="minorHAnsi" w:hAnsiTheme="minorHAnsi" w:cstheme="minorBidi"/>
          <w:bCs w:val="0"/>
        </w:rPr>
      </w:pPr>
      <w:hyperlink w:anchor="_Toc112942438" w:history="1">
        <w:r w:rsidR="00FA55F1" w:rsidRPr="00E23285">
          <w:rPr>
            <w:rStyle w:val="Hyperlink"/>
          </w:rPr>
          <w:t>13</w:t>
        </w:r>
        <w:r w:rsidR="00FA55F1">
          <w:rPr>
            <w:rFonts w:asciiTheme="minorHAnsi" w:hAnsiTheme="minorHAnsi" w:cstheme="minorBidi"/>
            <w:bCs w:val="0"/>
          </w:rPr>
          <w:tab/>
        </w:r>
        <w:r w:rsidR="00FA55F1" w:rsidRPr="00E23285">
          <w:rPr>
            <w:rStyle w:val="Hyperlink"/>
          </w:rPr>
          <w:t>Noise</w:t>
        </w:r>
        <w:r w:rsidR="00FA55F1">
          <w:rPr>
            <w:webHidden/>
          </w:rPr>
          <w:tab/>
        </w:r>
        <w:r w:rsidR="00FA55F1">
          <w:rPr>
            <w:webHidden/>
          </w:rPr>
          <w:fldChar w:fldCharType="begin"/>
        </w:r>
        <w:r w:rsidR="00FA55F1">
          <w:rPr>
            <w:webHidden/>
          </w:rPr>
          <w:instrText xml:space="preserve"> PAGEREF _Toc112942438 \h </w:instrText>
        </w:r>
        <w:r w:rsidR="00FA55F1">
          <w:rPr>
            <w:webHidden/>
          </w:rPr>
        </w:r>
        <w:r w:rsidR="00FA55F1">
          <w:rPr>
            <w:webHidden/>
          </w:rPr>
          <w:fldChar w:fldCharType="separate"/>
        </w:r>
        <w:r w:rsidR="00FA55F1">
          <w:rPr>
            <w:webHidden/>
          </w:rPr>
          <w:t>95</w:t>
        </w:r>
        <w:r w:rsidR="00FA55F1">
          <w:rPr>
            <w:webHidden/>
          </w:rPr>
          <w:fldChar w:fldCharType="end"/>
        </w:r>
      </w:hyperlink>
    </w:p>
    <w:p w14:paraId="5C4F96DD" w14:textId="20FAABE7" w:rsidR="00FA55F1" w:rsidRDefault="00817BC5">
      <w:pPr>
        <w:pStyle w:val="TOC2"/>
        <w:tabs>
          <w:tab w:val="left" w:pos="1080"/>
        </w:tabs>
        <w:rPr>
          <w:rFonts w:asciiTheme="minorHAnsi" w:hAnsiTheme="minorHAnsi" w:cstheme="minorBidi"/>
          <w:bCs w:val="0"/>
        </w:rPr>
      </w:pPr>
      <w:hyperlink w:anchor="_Toc112942439" w:history="1">
        <w:r w:rsidR="00FA55F1" w:rsidRPr="00E23285">
          <w:rPr>
            <w:rStyle w:val="Hyperlink"/>
          </w:rPr>
          <w:t>14</w:t>
        </w:r>
        <w:r w:rsidR="00FA55F1">
          <w:rPr>
            <w:rFonts w:asciiTheme="minorHAnsi" w:hAnsiTheme="minorHAnsi" w:cstheme="minorBidi"/>
            <w:bCs w:val="0"/>
          </w:rPr>
          <w:tab/>
        </w:r>
        <w:r w:rsidR="00FA55F1" w:rsidRPr="00E23285">
          <w:rPr>
            <w:rStyle w:val="Hyperlink"/>
          </w:rPr>
          <w:t>Population and Housing</w:t>
        </w:r>
        <w:r w:rsidR="00FA55F1">
          <w:rPr>
            <w:webHidden/>
          </w:rPr>
          <w:tab/>
        </w:r>
        <w:r w:rsidR="00FA55F1">
          <w:rPr>
            <w:webHidden/>
          </w:rPr>
          <w:fldChar w:fldCharType="begin"/>
        </w:r>
        <w:r w:rsidR="00FA55F1">
          <w:rPr>
            <w:webHidden/>
          </w:rPr>
          <w:instrText xml:space="preserve"> PAGEREF _Toc112942439 \h </w:instrText>
        </w:r>
        <w:r w:rsidR="00FA55F1">
          <w:rPr>
            <w:webHidden/>
          </w:rPr>
        </w:r>
        <w:r w:rsidR="00FA55F1">
          <w:rPr>
            <w:webHidden/>
          </w:rPr>
          <w:fldChar w:fldCharType="separate"/>
        </w:r>
        <w:r w:rsidR="00FA55F1">
          <w:rPr>
            <w:webHidden/>
          </w:rPr>
          <w:t>105</w:t>
        </w:r>
        <w:r w:rsidR="00FA55F1">
          <w:rPr>
            <w:webHidden/>
          </w:rPr>
          <w:fldChar w:fldCharType="end"/>
        </w:r>
      </w:hyperlink>
    </w:p>
    <w:p w14:paraId="745B81BC" w14:textId="0CE892C7" w:rsidR="00FA55F1" w:rsidRDefault="00817BC5">
      <w:pPr>
        <w:pStyle w:val="TOC2"/>
        <w:tabs>
          <w:tab w:val="left" w:pos="1080"/>
        </w:tabs>
        <w:rPr>
          <w:rFonts w:asciiTheme="minorHAnsi" w:hAnsiTheme="minorHAnsi" w:cstheme="minorBidi"/>
          <w:bCs w:val="0"/>
        </w:rPr>
      </w:pPr>
      <w:hyperlink w:anchor="_Toc112942440" w:history="1">
        <w:r w:rsidR="00FA55F1" w:rsidRPr="00E23285">
          <w:rPr>
            <w:rStyle w:val="Hyperlink"/>
          </w:rPr>
          <w:t>15</w:t>
        </w:r>
        <w:r w:rsidR="00FA55F1">
          <w:rPr>
            <w:rFonts w:asciiTheme="minorHAnsi" w:hAnsiTheme="minorHAnsi" w:cstheme="minorBidi"/>
            <w:bCs w:val="0"/>
          </w:rPr>
          <w:tab/>
        </w:r>
        <w:r w:rsidR="00FA55F1" w:rsidRPr="00E23285">
          <w:rPr>
            <w:rStyle w:val="Hyperlink"/>
          </w:rPr>
          <w:t>Public Services</w:t>
        </w:r>
        <w:r w:rsidR="00FA55F1">
          <w:rPr>
            <w:webHidden/>
          </w:rPr>
          <w:tab/>
        </w:r>
        <w:r w:rsidR="00FA55F1">
          <w:rPr>
            <w:webHidden/>
          </w:rPr>
          <w:fldChar w:fldCharType="begin"/>
        </w:r>
        <w:r w:rsidR="00FA55F1">
          <w:rPr>
            <w:webHidden/>
          </w:rPr>
          <w:instrText xml:space="preserve"> PAGEREF _Toc112942440 \h </w:instrText>
        </w:r>
        <w:r w:rsidR="00FA55F1">
          <w:rPr>
            <w:webHidden/>
          </w:rPr>
        </w:r>
        <w:r w:rsidR="00FA55F1">
          <w:rPr>
            <w:webHidden/>
          </w:rPr>
          <w:fldChar w:fldCharType="separate"/>
        </w:r>
        <w:r w:rsidR="00FA55F1">
          <w:rPr>
            <w:webHidden/>
          </w:rPr>
          <w:t>107</w:t>
        </w:r>
        <w:r w:rsidR="00FA55F1">
          <w:rPr>
            <w:webHidden/>
          </w:rPr>
          <w:fldChar w:fldCharType="end"/>
        </w:r>
      </w:hyperlink>
    </w:p>
    <w:p w14:paraId="758D0740" w14:textId="0FECF127" w:rsidR="00FA55F1" w:rsidRDefault="00817BC5">
      <w:pPr>
        <w:pStyle w:val="TOC2"/>
        <w:tabs>
          <w:tab w:val="left" w:pos="1080"/>
        </w:tabs>
        <w:rPr>
          <w:rFonts w:asciiTheme="minorHAnsi" w:hAnsiTheme="minorHAnsi" w:cstheme="minorBidi"/>
          <w:bCs w:val="0"/>
        </w:rPr>
      </w:pPr>
      <w:hyperlink w:anchor="_Toc112942441" w:history="1">
        <w:r w:rsidR="00FA55F1" w:rsidRPr="00E23285">
          <w:rPr>
            <w:rStyle w:val="Hyperlink"/>
          </w:rPr>
          <w:t>16</w:t>
        </w:r>
        <w:r w:rsidR="00FA55F1">
          <w:rPr>
            <w:rFonts w:asciiTheme="minorHAnsi" w:hAnsiTheme="minorHAnsi" w:cstheme="minorBidi"/>
            <w:bCs w:val="0"/>
          </w:rPr>
          <w:tab/>
        </w:r>
        <w:r w:rsidR="00FA55F1" w:rsidRPr="00E23285">
          <w:rPr>
            <w:rStyle w:val="Hyperlink"/>
          </w:rPr>
          <w:t>Recreation</w:t>
        </w:r>
        <w:r w:rsidR="00FA55F1">
          <w:rPr>
            <w:webHidden/>
          </w:rPr>
          <w:tab/>
        </w:r>
        <w:r w:rsidR="00FA55F1">
          <w:rPr>
            <w:webHidden/>
          </w:rPr>
          <w:fldChar w:fldCharType="begin"/>
        </w:r>
        <w:r w:rsidR="00FA55F1">
          <w:rPr>
            <w:webHidden/>
          </w:rPr>
          <w:instrText xml:space="preserve"> PAGEREF _Toc112942441 \h </w:instrText>
        </w:r>
        <w:r w:rsidR="00FA55F1">
          <w:rPr>
            <w:webHidden/>
          </w:rPr>
        </w:r>
        <w:r w:rsidR="00FA55F1">
          <w:rPr>
            <w:webHidden/>
          </w:rPr>
          <w:fldChar w:fldCharType="separate"/>
        </w:r>
        <w:r w:rsidR="00FA55F1">
          <w:rPr>
            <w:webHidden/>
          </w:rPr>
          <w:t>111</w:t>
        </w:r>
        <w:r w:rsidR="00FA55F1">
          <w:rPr>
            <w:webHidden/>
          </w:rPr>
          <w:fldChar w:fldCharType="end"/>
        </w:r>
      </w:hyperlink>
    </w:p>
    <w:p w14:paraId="3E5C0921" w14:textId="7054B9C8" w:rsidR="00FA55F1" w:rsidRDefault="00817BC5">
      <w:pPr>
        <w:pStyle w:val="TOC2"/>
        <w:tabs>
          <w:tab w:val="left" w:pos="1080"/>
        </w:tabs>
        <w:rPr>
          <w:rFonts w:asciiTheme="minorHAnsi" w:hAnsiTheme="minorHAnsi" w:cstheme="minorBidi"/>
          <w:bCs w:val="0"/>
        </w:rPr>
      </w:pPr>
      <w:hyperlink w:anchor="_Toc112942442" w:history="1">
        <w:r w:rsidR="00FA55F1" w:rsidRPr="00E23285">
          <w:rPr>
            <w:rStyle w:val="Hyperlink"/>
          </w:rPr>
          <w:t>17</w:t>
        </w:r>
        <w:r w:rsidR="00FA55F1">
          <w:rPr>
            <w:rFonts w:asciiTheme="minorHAnsi" w:hAnsiTheme="minorHAnsi" w:cstheme="minorBidi"/>
            <w:bCs w:val="0"/>
          </w:rPr>
          <w:tab/>
        </w:r>
        <w:r w:rsidR="00FA55F1" w:rsidRPr="00E23285">
          <w:rPr>
            <w:rStyle w:val="Hyperlink"/>
          </w:rPr>
          <w:t>Transportation</w:t>
        </w:r>
        <w:r w:rsidR="00FA55F1">
          <w:rPr>
            <w:webHidden/>
          </w:rPr>
          <w:tab/>
        </w:r>
        <w:r w:rsidR="00FA55F1">
          <w:rPr>
            <w:webHidden/>
          </w:rPr>
          <w:fldChar w:fldCharType="begin"/>
        </w:r>
        <w:r w:rsidR="00FA55F1">
          <w:rPr>
            <w:webHidden/>
          </w:rPr>
          <w:instrText xml:space="preserve"> PAGEREF _Toc112942442 \h </w:instrText>
        </w:r>
        <w:r w:rsidR="00FA55F1">
          <w:rPr>
            <w:webHidden/>
          </w:rPr>
        </w:r>
        <w:r w:rsidR="00FA55F1">
          <w:rPr>
            <w:webHidden/>
          </w:rPr>
          <w:fldChar w:fldCharType="separate"/>
        </w:r>
        <w:r w:rsidR="00FA55F1">
          <w:rPr>
            <w:webHidden/>
          </w:rPr>
          <w:t>113</w:t>
        </w:r>
        <w:r w:rsidR="00FA55F1">
          <w:rPr>
            <w:webHidden/>
          </w:rPr>
          <w:fldChar w:fldCharType="end"/>
        </w:r>
      </w:hyperlink>
    </w:p>
    <w:p w14:paraId="6BD6F999" w14:textId="1FB16E4F" w:rsidR="00FA55F1" w:rsidRDefault="00817BC5">
      <w:pPr>
        <w:pStyle w:val="TOC2"/>
        <w:tabs>
          <w:tab w:val="left" w:pos="1080"/>
        </w:tabs>
        <w:rPr>
          <w:rFonts w:asciiTheme="minorHAnsi" w:hAnsiTheme="minorHAnsi" w:cstheme="minorBidi"/>
          <w:bCs w:val="0"/>
        </w:rPr>
      </w:pPr>
      <w:hyperlink w:anchor="_Toc112942443" w:history="1">
        <w:r w:rsidR="00FA55F1" w:rsidRPr="00E23285">
          <w:rPr>
            <w:rStyle w:val="Hyperlink"/>
          </w:rPr>
          <w:t>18</w:t>
        </w:r>
        <w:r w:rsidR="00FA55F1">
          <w:rPr>
            <w:rFonts w:asciiTheme="minorHAnsi" w:hAnsiTheme="minorHAnsi" w:cstheme="minorBidi"/>
            <w:bCs w:val="0"/>
          </w:rPr>
          <w:tab/>
        </w:r>
        <w:r w:rsidR="00FA55F1" w:rsidRPr="00E23285">
          <w:rPr>
            <w:rStyle w:val="Hyperlink"/>
          </w:rPr>
          <w:t>Tribal Cultural Resources</w:t>
        </w:r>
        <w:r w:rsidR="00FA55F1">
          <w:rPr>
            <w:webHidden/>
          </w:rPr>
          <w:tab/>
        </w:r>
        <w:r w:rsidR="00FA55F1">
          <w:rPr>
            <w:webHidden/>
          </w:rPr>
          <w:fldChar w:fldCharType="begin"/>
        </w:r>
        <w:r w:rsidR="00FA55F1">
          <w:rPr>
            <w:webHidden/>
          </w:rPr>
          <w:instrText xml:space="preserve"> PAGEREF _Toc112942443 \h </w:instrText>
        </w:r>
        <w:r w:rsidR="00FA55F1">
          <w:rPr>
            <w:webHidden/>
          </w:rPr>
        </w:r>
        <w:r w:rsidR="00FA55F1">
          <w:rPr>
            <w:webHidden/>
          </w:rPr>
          <w:fldChar w:fldCharType="separate"/>
        </w:r>
        <w:r w:rsidR="00FA55F1">
          <w:rPr>
            <w:webHidden/>
          </w:rPr>
          <w:t>125</w:t>
        </w:r>
        <w:r w:rsidR="00FA55F1">
          <w:rPr>
            <w:webHidden/>
          </w:rPr>
          <w:fldChar w:fldCharType="end"/>
        </w:r>
      </w:hyperlink>
    </w:p>
    <w:p w14:paraId="31324EC8" w14:textId="0ED3186A" w:rsidR="00FA55F1" w:rsidRDefault="00817BC5">
      <w:pPr>
        <w:pStyle w:val="TOC2"/>
        <w:tabs>
          <w:tab w:val="left" w:pos="1080"/>
        </w:tabs>
        <w:rPr>
          <w:rFonts w:asciiTheme="minorHAnsi" w:hAnsiTheme="minorHAnsi" w:cstheme="minorBidi"/>
          <w:bCs w:val="0"/>
        </w:rPr>
      </w:pPr>
      <w:hyperlink w:anchor="_Toc112942444" w:history="1">
        <w:r w:rsidR="00FA55F1" w:rsidRPr="00E23285">
          <w:rPr>
            <w:rStyle w:val="Hyperlink"/>
          </w:rPr>
          <w:t>19</w:t>
        </w:r>
        <w:r w:rsidR="00FA55F1">
          <w:rPr>
            <w:rFonts w:asciiTheme="minorHAnsi" w:hAnsiTheme="minorHAnsi" w:cstheme="minorBidi"/>
            <w:bCs w:val="0"/>
          </w:rPr>
          <w:tab/>
        </w:r>
        <w:r w:rsidR="00FA55F1" w:rsidRPr="00E23285">
          <w:rPr>
            <w:rStyle w:val="Hyperlink"/>
          </w:rPr>
          <w:t>Utilities and Service Systems</w:t>
        </w:r>
        <w:r w:rsidR="00FA55F1">
          <w:rPr>
            <w:webHidden/>
          </w:rPr>
          <w:tab/>
        </w:r>
        <w:r w:rsidR="00FA55F1">
          <w:rPr>
            <w:webHidden/>
          </w:rPr>
          <w:fldChar w:fldCharType="begin"/>
        </w:r>
        <w:r w:rsidR="00FA55F1">
          <w:rPr>
            <w:webHidden/>
          </w:rPr>
          <w:instrText xml:space="preserve"> PAGEREF _Toc112942444 \h </w:instrText>
        </w:r>
        <w:r w:rsidR="00FA55F1">
          <w:rPr>
            <w:webHidden/>
          </w:rPr>
        </w:r>
        <w:r w:rsidR="00FA55F1">
          <w:rPr>
            <w:webHidden/>
          </w:rPr>
          <w:fldChar w:fldCharType="separate"/>
        </w:r>
        <w:r w:rsidR="00FA55F1">
          <w:rPr>
            <w:webHidden/>
          </w:rPr>
          <w:t>129</w:t>
        </w:r>
        <w:r w:rsidR="00FA55F1">
          <w:rPr>
            <w:webHidden/>
          </w:rPr>
          <w:fldChar w:fldCharType="end"/>
        </w:r>
      </w:hyperlink>
    </w:p>
    <w:p w14:paraId="72050D38" w14:textId="15FD9BAC" w:rsidR="00FA55F1" w:rsidRDefault="00817BC5">
      <w:pPr>
        <w:pStyle w:val="TOC2"/>
        <w:tabs>
          <w:tab w:val="left" w:pos="1080"/>
        </w:tabs>
        <w:rPr>
          <w:rFonts w:asciiTheme="minorHAnsi" w:hAnsiTheme="minorHAnsi" w:cstheme="minorBidi"/>
          <w:bCs w:val="0"/>
        </w:rPr>
      </w:pPr>
      <w:hyperlink w:anchor="_Toc112942445" w:history="1">
        <w:r w:rsidR="00FA55F1" w:rsidRPr="00E23285">
          <w:rPr>
            <w:rStyle w:val="Hyperlink"/>
          </w:rPr>
          <w:t>20</w:t>
        </w:r>
        <w:r w:rsidR="00FA55F1">
          <w:rPr>
            <w:rFonts w:asciiTheme="minorHAnsi" w:hAnsiTheme="minorHAnsi" w:cstheme="minorBidi"/>
            <w:bCs w:val="0"/>
          </w:rPr>
          <w:tab/>
        </w:r>
        <w:r w:rsidR="00FA55F1" w:rsidRPr="00E23285">
          <w:rPr>
            <w:rStyle w:val="Hyperlink"/>
          </w:rPr>
          <w:t>Wildfire</w:t>
        </w:r>
        <w:r w:rsidR="00FA55F1">
          <w:rPr>
            <w:webHidden/>
          </w:rPr>
          <w:tab/>
        </w:r>
        <w:r w:rsidR="00FA55F1">
          <w:rPr>
            <w:webHidden/>
          </w:rPr>
          <w:fldChar w:fldCharType="begin"/>
        </w:r>
        <w:r w:rsidR="00FA55F1">
          <w:rPr>
            <w:webHidden/>
          </w:rPr>
          <w:instrText xml:space="preserve"> PAGEREF _Toc112942445 \h </w:instrText>
        </w:r>
        <w:r w:rsidR="00FA55F1">
          <w:rPr>
            <w:webHidden/>
          </w:rPr>
        </w:r>
        <w:r w:rsidR="00FA55F1">
          <w:rPr>
            <w:webHidden/>
          </w:rPr>
          <w:fldChar w:fldCharType="separate"/>
        </w:r>
        <w:r w:rsidR="00FA55F1">
          <w:rPr>
            <w:webHidden/>
          </w:rPr>
          <w:t>137</w:t>
        </w:r>
        <w:r w:rsidR="00FA55F1">
          <w:rPr>
            <w:webHidden/>
          </w:rPr>
          <w:fldChar w:fldCharType="end"/>
        </w:r>
      </w:hyperlink>
    </w:p>
    <w:p w14:paraId="46D910E2" w14:textId="539B0C6F" w:rsidR="00FA55F1" w:rsidRDefault="00817BC5">
      <w:pPr>
        <w:pStyle w:val="TOC2"/>
        <w:tabs>
          <w:tab w:val="left" w:pos="1080"/>
        </w:tabs>
        <w:rPr>
          <w:rFonts w:asciiTheme="minorHAnsi" w:hAnsiTheme="minorHAnsi" w:cstheme="minorBidi"/>
          <w:bCs w:val="0"/>
        </w:rPr>
      </w:pPr>
      <w:hyperlink w:anchor="_Toc112942446" w:history="1">
        <w:r w:rsidR="00FA55F1" w:rsidRPr="00E23285">
          <w:rPr>
            <w:rStyle w:val="Hyperlink"/>
          </w:rPr>
          <w:t>21</w:t>
        </w:r>
        <w:r w:rsidR="00FA55F1">
          <w:rPr>
            <w:rFonts w:asciiTheme="minorHAnsi" w:hAnsiTheme="minorHAnsi" w:cstheme="minorBidi"/>
            <w:bCs w:val="0"/>
          </w:rPr>
          <w:tab/>
        </w:r>
        <w:r w:rsidR="00FA55F1" w:rsidRPr="00E23285">
          <w:rPr>
            <w:rStyle w:val="Hyperlink"/>
          </w:rPr>
          <w:t>Mandatory Findings of Significance</w:t>
        </w:r>
        <w:r w:rsidR="00FA55F1">
          <w:rPr>
            <w:webHidden/>
          </w:rPr>
          <w:tab/>
        </w:r>
        <w:r w:rsidR="00FA55F1">
          <w:rPr>
            <w:webHidden/>
          </w:rPr>
          <w:fldChar w:fldCharType="begin"/>
        </w:r>
        <w:r w:rsidR="00FA55F1">
          <w:rPr>
            <w:webHidden/>
          </w:rPr>
          <w:instrText xml:space="preserve"> PAGEREF _Toc112942446 \h </w:instrText>
        </w:r>
        <w:r w:rsidR="00FA55F1">
          <w:rPr>
            <w:webHidden/>
          </w:rPr>
        </w:r>
        <w:r w:rsidR="00FA55F1">
          <w:rPr>
            <w:webHidden/>
          </w:rPr>
          <w:fldChar w:fldCharType="separate"/>
        </w:r>
        <w:r w:rsidR="00FA55F1">
          <w:rPr>
            <w:webHidden/>
          </w:rPr>
          <w:t>139</w:t>
        </w:r>
        <w:r w:rsidR="00FA55F1">
          <w:rPr>
            <w:webHidden/>
          </w:rPr>
          <w:fldChar w:fldCharType="end"/>
        </w:r>
      </w:hyperlink>
    </w:p>
    <w:p w14:paraId="10698B8A" w14:textId="66D20908" w:rsidR="00FA55F1" w:rsidRDefault="00817BC5">
      <w:pPr>
        <w:pStyle w:val="TOC1"/>
        <w:rPr>
          <w:rFonts w:asciiTheme="minorHAnsi" w:eastAsiaTheme="minorEastAsia" w:hAnsiTheme="minorHAnsi" w:cstheme="minorBidi"/>
          <w:bCs w:val="0"/>
          <w:noProof/>
        </w:rPr>
      </w:pPr>
      <w:hyperlink w:anchor="_Toc112942447" w:history="1">
        <w:r w:rsidR="00FA55F1" w:rsidRPr="00E23285">
          <w:rPr>
            <w:rStyle w:val="Hyperlink"/>
            <w:noProof/>
          </w:rPr>
          <w:t>References</w:t>
        </w:r>
        <w:r w:rsidR="00FA55F1">
          <w:rPr>
            <w:noProof/>
            <w:webHidden/>
          </w:rPr>
          <w:tab/>
        </w:r>
        <w:r w:rsidR="00FA55F1">
          <w:rPr>
            <w:noProof/>
            <w:webHidden/>
          </w:rPr>
          <w:fldChar w:fldCharType="begin"/>
        </w:r>
        <w:r w:rsidR="00FA55F1">
          <w:rPr>
            <w:noProof/>
            <w:webHidden/>
          </w:rPr>
          <w:instrText xml:space="preserve"> PAGEREF _Toc112942447 \h </w:instrText>
        </w:r>
        <w:r w:rsidR="00FA55F1">
          <w:rPr>
            <w:noProof/>
            <w:webHidden/>
          </w:rPr>
        </w:r>
        <w:r w:rsidR="00FA55F1">
          <w:rPr>
            <w:noProof/>
            <w:webHidden/>
          </w:rPr>
          <w:fldChar w:fldCharType="separate"/>
        </w:r>
        <w:r w:rsidR="00FA55F1">
          <w:rPr>
            <w:noProof/>
            <w:webHidden/>
          </w:rPr>
          <w:t>141</w:t>
        </w:r>
        <w:r w:rsidR="00FA55F1">
          <w:rPr>
            <w:noProof/>
            <w:webHidden/>
          </w:rPr>
          <w:fldChar w:fldCharType="end"/>
        </w:r>
      </w:hyperlink>
    </w:p>
    <w:p w14:paraId="3C1AF404" w14:textId="083AD6D2" w:rsidR="00FA55F1" w:rsidRDefault="00817BC5">
      <w:pPr>
        <w:pStyle w:val="TOC2"/>
        <w:rPr>
          <w:rFonts w:asciiTheme="minorHAnsi" w:hAnsiTheme="minorHAnsi" w:cstheme="minorBidi"/>
          <w:bCs w:val="0"/>
        </w:rPr>
      </w:pPr>
      <w:hyperlink w:anchor="_Toc112942448" w:history="1">
        <w:r w:rsidR="00FA55F1" w:rsidRPr="00E23285">
          <w:rPr>
            <w:rStyle w:val="Hyperlink"/>
          </w:rPr>
          <w:t>Bibliography</w:t>
        </w:r>
        <w:r w:rsidR="00FA55F1">
          <w:rPr>
            <w:webHidden/>
          </w:rPr>
          <w:tab/>
        </w:r>
        <w:r w:rsidR="00FA55F1">
          <w:rPr>
            <w:webHidden/>
          </w:rPr>
          <w:fldChar w:fldCharType="begin"/>
        </w:r>
        <w:r w:rsidR="00FA55F1">
          <w:rPr>
            <w:webHidden/>
          </w:rPr>
          <w:instrText xml:space="preserve"> PAGEREF _Toc112942448 \h </w:instrText>
        </w:r>
        <w:r w:rsidR="00FA55F1">
          <w:rPr>
            <w:webHidden/>
          </w:rPr>
        </w:r>
        <w:r w:rsidR="00FA55F1">
          <w:rPr>
            <w:webHidden/>
          </w:rPr>
          <w:fldChar w:fldCharType="separate"/>
        </w:r>
        <w:r w:rsidR="00FA55F1">
          <w:rPr>
            <w:webHidden/>
          </w:rPr>
          <w:t>141</w:t>
        </w:r>
        <w:r w:rsidR="00FA55F1">
          <w:rPr>
            <w:webHidden/>
          </w:rPr>
          <w:fldChar w:fldCharType="end"/>
        </w:r>
      </w:hyperlink>
    </w:p>
    <w:p w14:paraId="711010D8" w14:textId="189F97B0" w:rsidR="00FA55F1" w:rsidRDefault="00817BC5">
      <w:pPr>
        <w:pStyle w:val="TOC2"/>
        <w:rPr>
          <w:rFonts w:asciiTheme="minorHAnsi" w:hAnsiTheme="minorHAnsi" w:cstheme="minorBidi"/>
          <w:bCs w:val="0"/>
        </w:rPr>
      </w:pPr>
      <w:hyperlink w:anchor="_Toc112942449" w:history="1">
        <w:r w:rsidR="00FA55F1" w:rsidRPr="00E23285">
          <w:rPr>
            <w:rStyle w:val="Hyperlink"/>
          </w:rPr>
          <w:t>List of Preparers</w:t>
        </w:r>
        <w:r w:rsidR="00FA55F1">
          <w:rPr>
            <w:webHidden/>
          </w:rPr>
          <w:tab/>
        </w:r>
        <w:r w:rsidR="00FA55F1">
          <w:rPr>
            <w:webHidden/>
          </w:rPr>
          <w:fldChar w:fldCharType="begin"/>
        </w:r>
        <w:r w:rsidR="00FA55F1">
          <w:rPr>
            <w:webHidden/>
          </w:rPr>
          <w:instrText xml:space="preserve"> PAGEREF _Toc112942449 \h </w:instrText>
        </w:r>
        <w:r w:rsidR="00FA55F1">
          <w:rPr>
            <w:webHidden/>
          </w:rPr>
        </w:r>
        <w:r w:rsidR="00FA55F1">
          <w:rPr>
            <w:webHidden/>
          </w:rPr>
          <w:fldChar w:fldCharType="separate"/>
        </w:r>
        <w:r w:rsidR="00FA55F1">
          <w:rPr>
            <w:webHidden/>
          </w:rPr>
          <w:t>147</w:t>
        </w:r>
        <w:r w:rsidR="00FA55F1">
          <w:rPr>
            <w:webHidden/>
          </w:rPr>
          <w:fldChar w:fldCharType="end"/>
        </w:r>
      </w:hyperlink>
    </w:p>
    <w:p w14:paraId="75845EC2" w14:textId="1063350B" w:rsidR="00CC150D" w:rsidRPr="00583DE2" w:rsidRDefault="002666BD" w:rsidP="00562ACF">
      <w:pPr>
        <w:pStyle w:val="TOCHeading"/>
        <w:spacing w:before="240" w:after="80"/>
        <w:rPr>
          <w:rFonts w:ascii="Century Gothic" w:hAnsi="Century Gothic"/>
        </w:rPr>
      </w:pPr>
      <w:r w:rsidRPr="00583DE2">
        <w:rPr>
          <w:sz w:val="22"/>
          <w:szCs w:val="22"/>
        </w:rPr>
        <w:fldChar w:fldCharType="end"/>
      </w:r>
      <w:bookmarkEnd w:id="1"/>
      <w:r w:rsidR="00CC150D" w:rsidRPr="00583DE2">
        <w:rPr>
          <w:rFonts w:ascii="Century Gothic" w:hAnsi="Century Gothic"/>
        </w:rPr>
        <w:t>Tables</w:t>
      </w:r>
    </w:p>
    <w:p w14:paraId="3775E199" w14:textId="0D999786" w:rsidR="00FA55F1" w:rsidRDefault="00ED38A9">
      <w:pPr>
        <w:pStyle w:val="TOC1"/>
        <w:tabs>
          <w:tab w:val="left" w:pos="1080"/>
        </w:tabs>
        <w:rPr>
          <w:rFonts w:asciiTheme="minorHAnsi" w:eastAsiaTheme="minorEastAsia" w:hAnsiTheme="minorHAnsi" w:cstheme="minorBidi"/>
          <w:bCs w:val="0"/>
          <w:noProof/>
        </w:rPr>
      </w:pPr>
      <w:r w:rsidRPr="00583DE2">
        <w:fldChar w:fldCharType="begin"/>
      </w:r>
      <w:r w:rsidRPr="00583DE2">
        <w:instrText xml:space="preserve"> TOC \h \z \t "Table Caption,1" </w:instrText>
      </w:r>
      <w:r w:rsidRPr="00583DE2">
        <w:fldChar w:fldCharType="separate"/>
      </w:r>
      <w:hyperlink w:anchor="_Toc112942450" w:history="1">
        <w:r w:rsidR="00FA55F1" w:rsidRPr="00914C94">
          <w:rPr>
            <w:rStyle w:val="Hyperlink"/>
            <w:noProof/>
          </w:rPr>
          <w:t>Table 1</w:t>
        </w:r>
        <w:r w:rsidR="00FA55F1">
          <w:rPr>
            <w:rFonts w:asciiTheme="minorHAnsi" w:eastAsiaTheme="minorEastAsia" w:hAnsiTheme="minorHAnsi" w:cstheme="minorBidi"/>
            <w:bCs w:val="0"/>
            <w:noProof/>
          </w:rPr>
          <w:tab/>
        </w:r>
        <w:r w:rsidR="00FA55F1" w:rsidRPr="00914C94">
          <w:rPr>
            <w:rStyle w:val="Hyperlink"/>
            <w:noProof/>
          </w:rPr>
          <w:t>Parking Summary</w:t>
        </w:r>
        <w:r w:rsidR="00FA55F1">
          <w:rPr>
            <w:noProof/>
            <w:webHidden/>
          </w:rPr>
          <w:tab/>
        </w:r>
        <w:r w:rsidR="00FA55F1">
          <w:rPr>
            <w:noProof/>
            <w:webHidden/>
          </w:rPr>
          <w:fldChar w:fldCharType="begin"/>
        </w:r>
        <w:r w:rsidR="00FA55F1">
          <w:rPr>
            <w:noProof/>
            <w:webHidden/>
          </w:rPr>
          <w:instrText xml:space="preserve"> PAGEREF _Toc112942450 \h </w:instrText>
        </w:r>
        <w:r w:rsidR="00FA55F1">
          <w:rPr>
            <w:noProof/>
            <w:webHidden/>
          </w:rPr>
        </w:r>
        <w:r w:rsidR="00FA55F1">
          <w:rPr>
            <w:noProof/>
            <w:webHidden/>
          </w:rPr>
          <w:fldChar w:fldCharType="separate"/>
        </w:r>
        <w:r w:rsidR="00FA55F1">
          <w:rPr>
            <w:noProof/>
            <w:webHidden/>
          </w:rPr>
          <w:t>9</w:t>
        </w:r>
        <w:r w:rsidR="00FA55F1">
          <w:rPr>
            <w:noProof/>
            <w:webHidden/>
          </w:rPr>
          <w:fldChar w:fldCharType="end"/>
        </w:r>
      </w:hyperlink>
    </w:p>
    <w:p w14:paraId="405C6A7F" w14:textId="0FE05A25" w:rsidR="00FA55F1" w:rsidRDefault="00817BC5">
      <w:pPr>
        <w:pStyle w:val="TOC1"/>
        <w:tabs>
          <w:tab w:val="left" w:pos="1080"/>
        </w:tabs>
        <w:rPr>
          <w:rFonts w:asciiTheme="minorHAnsi" w:eastAsiaTheme="minorEastAsia" w:hAnsiTheme="minorHAnsi" w:cstheme="minorBidi"/>
          <w:bCs w:val="0"/>
          <w:noProof/>
        </w:rPr>
      </w:pPr>
      <w:hyperlink w:anchor="_Toc112942451" w:history="1">
        <w:r w:rsidR="00FA55F1" w:rsidRPr="00914C94">
          <w:rPr>
            <w:rStyle w:val="Hyperlink"/>
            <w:noProof/>
          </w:rPr>
          <w:t>Table 2</w:t>
        </w:r>
        <w:r w:rsidR="00FA55F1">
          <w:rPr>
            <w:rFonts w:asciiTheme="minorHAnsi" w:eastAsiaTheme="minorEastAsia" w:hAnsiTheme="minorHAnsi" w:cstheme="minorBidi"/>
            <w:bCs w:val="0"/>
            <w:noProof/>
          </w:rPr>
          <w:tab/>
        </w:r>
        <w:r w:rsidR="00FA55F1" w:rsidRPr="00914C94">
          <w:rPr>
            <w:rStyle w:val="Hyperlink"/>
            <w:noProof/>
          </w:rPr>
          <w:t>Projected Site Preparation and Construction Timeline</w:t>
        </w:r>
        <w:r w:rsidR="00FA55F1">
          <w:rPr>
            <w:noProof/>
            <w:webHidden/>
          </w:rPr>
          <w:tab/>
        </w:r>
        <w:r w:rsidR="00FA55F1">
          <w:rPr>
            <w:noProof/>
            <w:webHidden/>
          </w:rPr>
          <w:fldChar w:fldCharType="begin"/>
        </w:r>
        <w:r w:rsidR="00FA55F1">
          <w:rPr>
            <w:noProof/>
            <w:webHidden/>
          </w:rPr>
          <w:instrText xml:space="preserve"> PAGEREF _Toc112942451 \h </w:instrText>
        </w:r>
        <w:r w:rsidR="00FA55F1">
          <w:rPr>
            <w:noProof/>
            <w:webHidden/>
          </w:rPr>
        </w:r>
        <w:r w:rsidR="00FA55F1">
          <w:rPr>
            <w:noProof/>
            <w:webHidden/>
          </w:rPr>
          <w:fldChar w:fldCharType="separate"/>
        </w:r>
        <w:r w:rsidR="00FA55F1">
          <w:rPr>
            <w:noProof/>
            <w:webHidden/>
          </w:rPr>
          <w:t>10</w:t>
        </w:r>
        <w:r w:rsidR="00FA55F1">
          <w:rPr>
            <w:noProof/>
            <w:webHidden/>
          </w:rPr>
          <w:fldChar w:fldCharType="end"/>
        </w:r>
      </w:hyperlink>
    </w:p>
    <w:p w14:paraId="346E61A7" w14:textId="66694FDC" w:rsidR="00FA55F1" w:rsidRDefault="00817BC5">
      <w:pPr>
        <w:pStyle w:val="TOC1"/>
        <w:tabs>
          <w:tab w:val="left" w:pos="1080"/>
        </w:tabs>
        <w:rPr>
          <w:rFonts w:asciiTheme="minorHAnsi" w:eastAsiaTheme="minorEastAsia" w:hAnsiTheme="minorHAnsi" w:cstheme="minorBidi"/>
          <w:bCs w:val="0"/>
          <w:noProof/>
        </w:rPr>
      </w:pPr>
      <w:hyperlink w:anchor="_Toc112942452" w:history="1">
        <w:r w:rsidR="00FA55F1" w:rsidRPr="00914C94">
          <w:rPr>
            <w:rStyle w:val="Hyperlink"/>
            <w:noProof/>
          </w:rPr>
          <w:t>Table 3</w:t>
        </w:r>
        <w:r w:rsidR="00FA55F1">
          <w:rPr>
            <w:rFonts w:asciiTheme="minorHAnsi" w:eastAsiaTheme="minorEastAsia" w:hAnsiTheme="minorHAnsi" w:cstheme="minorBidi"/>
            <w:bCs w:val="0"/>
            <w:noProof/>
          </w:rPr>
          <w:tab/>
        </w:r>
        <w:r w:rsidR="00FA55F1" w:rsidRPr="00914C94">
          <w:rPr>
            <w:rStyle w:val="Hyperlink"/>
            <w:noProof/>
          </w:rPr>
          <w:t>Project Consistency with General Plan and Municipal Code</w:t>
        </w:r>
        <w:r w:rsidR="00FA55F1">
          <w:rPr>
            <w:noProof/>
            <w:webHidden/>
          </w:rPr>
          <w:tab/>
        </w:r>
        <w:r w:rsidR="00FA55F1">
          <w:rPr>
            <w:noProof/>
            <w:webHidden/>
          </w:rPr>
          <w:fldChar w:fldCharType="begin"/>
        </w:r>
        <w:r w:rsidR="00FA55F1">
          <w:rPr>
            <w:noProof/>
            <w:webHidden/>
          </w:rPr>
          <w:instrText xml:space="preserve"> PAGEREF _Toc112942452 \h </w:instrText>
        </w:r>
        <w:r w:rsidR="00FA55F1">
          <w:rPr>
            <w:noProof/>
            <w:webHidden/>
          </w:rPr>
        </w:r>
        <w:r w:rsidR="00FA55F1">
          <w:rPr>
            <w:noProof/>
            <w:webHidden/>
          </w:rPr>
          <w:fldChar w:fldCharType="separate"/>
        </w:r>
        <w:r w:rsidR="00FA55F1">
          <w:rPr>
            <w:noProof/>
            <w:webHidden/>
          </w:rPr>
          <w:t>18</w:t>
        </w:r>
        <w:r w:rsidR="00FA55F1">
          <w:rPr>
            <w:noProof/>
            <w:webHidden/>
          </w:rPr>
          <w:fldChar w:fldCharType="end"/>
        </w:r>
      </w:hyperlink>
    </w:p>
    <w:p w14:paraId="09A52381" w14:textId="62EAC696" w:rsidR="00FA55F1" w:rsidRDefault="00817BC5">
      <w:pPr>
        <w:pStyle w:val="TOC1"/>
        <w:tabs>
          <w:tab w:val="left" w:pos="1080"/>
        </w:tabs>
        <w:rPr>
          <w:rFonts w:asciiTheme="minorHAnsi" w:eastAsiaTheme="minorEastAsia" w:hAnsiTheme="minorHAnsi" w:cstheme="minorBidi"/>
          <w:bCs w:val="0"/>
          <w:noProof/>
        </w:rPr>
      </w:pPr>
      <w:hyperlink w:anchor="_Toc112942453" w:history="1">
        <w:r w:rsidR="00FA55F1" w:rsidRPr="00914C94">
          <w:rPr>
            <w:rStyle w:val="Hyperlink"/>
            <w:noProof/>
          </w:rPr>
          <w:t>Table 4</w:t>
        </w:r>
        <w:r w:rsidR="00FA55F1">
          <w:rPr>
            <w:rFonts w:asciiTheme="minorHAnsi" w:eastAsiaTheme="minorEastAsia" w:hAnsiTheme="minorHAnsi" w:cstheme="minorBidi"/>
            <w:bCs w:val="0"/>
            <w:noProof/>
          </w:rPr>
          <w:tab/>
        </w:r>
        <w:r w:rsidR="00FA55F1" w:rsidRPr="00914C94">
          <w:rPr>
            <w:rStyle w:val="Hyperlink"/>
            <w:noProof/>
          </w:rPr>
          <w:t>Project Consistency with City Zoning Requirements</w:t>
        </w:r>
        <w:r w:rsidR="00FA55F1">
          <w:rPr>
            <w:noProof/>
            <w:webHidden/>
          </w:rPr>
          <w:tab/>
        </w:r>
        <w:r w:rsidR="00FA55F1">
          <w:rPr>
            <w:noProof/>
            <w:webHidden/>
          </w:rPr>
          <w:fldChar w:fldCharType="begin"/>
        </w:r>
        <w:r w:rsidR="00FA55F1">
          <w:rPr>
            <w:noProof/>
            <w:webHidden/>
          </w:rPr>
          <w:instrText xml:space="preserve"> PAGEREF _Toc112942453 \h </w:instrText>
        </w:r>
        <w:r w:rsidR="00FA55F1">
          <w:rPr>
            <w:noProof/>
            <w:webHidden/>
          </w:rPr>
        </w:r>
        <w:r w:rsidR="00FA55F1">
          <w:rPr>
            <w:noProof/>
            <w:webHidden/>
          </w:rPr>
          <w:fldChar w:fldCharType="separate"/>
        </w:r>
        <w:r w:rsidR="00FA55F1">
          <w:rPr>
            <w:noProof/>
            <w:webHidden/>
          </w:rPr>
          <w:t>18</w:t>
        </w:r>
        <w:r w:rsidR="00FA55F1">
          <w:rPr>
            <w:noProof/>
            <w:webHidden/>
          </w:rPr>
          <w:fldChar w:fldCharType="end"/>
        </w:r>
      </w:hyperlink>
    </w:p>
    <w:p w14:paraId="1F4FCB8E" w14:textId="6E9700CA" w:rsidR="00FA55F1" w:rsidRDefault="00817BC5">
      <w:pPr>
        <w:pStyle w:val="TOC1"/>
        <w:tabs>
          <w:tab w:val="left" w:pos="1080"/>
        </w:tabs>
        <w:rPr>
          <w:rFonts w:asciiTheme="minorHAnsi" w:eastAsiaTheme="minorEastAsia" w:hAnsiTheme="minorHAnsi" w:cstheme="minorBidi"/>
          <w:bCs w:val="0"/>
          <w:noProof/>
        </w:rPr>
      </w:pPr>
      <w:hyperlink w:anchor="_Toc112942454" w:history="1">
        <w:r w:rsidR="00FA55F1" w:rsidRPr="00914C94">
          <w:rPr>
            <w:rStyle w:val="Hyperlink"/>
            <w:noProof/>
          </w:rPr>
          <w:t>Table 5</w:t>
        </w:r>
        <w:r w:rsidR="00FA55F1">
          <w:rPr>
            <w:rFonts w:asciiTheme="minorHAnsi" w:eastAsiaTheme="minorEastAsia" w:hAnsiTheme="minorHAnsi" w:cstheme="minorBidi"/>
            <w:bCs w:val="0"/>
            <w:noProof/>
          </w:rPr>
          <w:tab/>
        </w:r>
        <w:r w:rsidR="00FA55F1" w:rsidRPr="00914C94">
          <w:rPr>
            <w:rStyle w:val="Hyperlink"/>
            <w:noProof/>
          </w:rPr>
          <w:t>Health Effects Associated with Non-Attainment Criteria Pollutants</w:t>
        </w:r>
        <w:r w:rsidR="00FA55F1">
          <w:rPr>
            <w:noProof/>
            <w:webHidden/>
          </w:rPr>
          <w:tab/>
        </w:r>
        <w:r w:rsidR="00FA55F1">
          <w:rPr>
            <w:noProof/>
            <w:webHidden/>
          </w:rPr>
          <w:fldChar w:fldCharType="begin"/>
        </w:r>
        <w:r w:rsidR="00FA55F1">
          <w:rPr>
            <w:noProof/>
            <w:webHidden/>
          </w:rPr>
          <w:instrText xml:space="preserve"> PAGEREF _Toc112942454 \h </w:instrText>
        </w:r>
        <w:r w:rsidR="00FA55F1">
          <w:rPr>
            <w:noProof/>
            <w:webHidden/>
          </w:rPr>
        </w:r>
        <w:r w:rsidR="00FA55F1">
          <w:rPr>
            <w:noProof/>
            <w:webHidden/>
          </w:rPr>
          <w:fldChar w:fldCharType="separate"/>
        </w:r>
        <w:r w:rsidR="00FA55F1">
          <w:rPr>
            <w:noProof/>
            <w:webHidden/>
          </w:rPr>
          <w:t>26</w:t>
        </w:r>
        <w:r w:rsidR="00FA55F1">
          <w:rPr>
            <w:noProof/>
            <w:webHidden/>
          </w:rPr>
          <w:fldChar w:fldCharType="end"/>
        </w:r>
      </w:hyperlink>
    </w:p>
    <w:p w14:paraId="5340C932" w14:textId="3307BB81" w:rsidR="00FA55F1" w:rsidRDefault="00817BC5">
      <w:pPr>
        <w:pStyle w:val="TOC1"/>
        <w:tabs>
          <w:tab w:val="left" w:pos="1080"/>
        </w:tabs>
        <w:rPr>
          <w:rFonts w:asciiTheme="minorHAnsi" w:eastAsiaTheme="minorEastAsia" w:hAnsiTheme="minorHAnsi" w:cstheme="minorBidi"/>
          <w:bCs w:val="0"/>
          <w:noProof/>
        </w:rPr>
      </w:pPr>
      <w:hyperlink w:anchor="_Toc112942455" w:history="1">
        <w:r w:rsidR="00FA55F1" w:rsidRPr="00914C94">
          <w:rPr>
            <w:rStyle w:val="Hyperlink"/>
            <w:noProof/>
          </w:rPr>
          <w:t>Table 6</w:t>
        </w:r>
        <w:r w:rsidR="00FA55F1">
          <w:rPr>
            <w:rFonts w:asciiTheme="minorHAnsi" w:eastAsiaTheme="minorEastAsia" w:hAnsiTheme="minorHAnsi" w:cstheme="minorBidi"/>
            <w:bCs w:val="0"/>
            <w:noProof/>
          </w:rPr>
          <w:tab/>
        </w:r>
        <w:r w:rsidR="00FA55F1" w:rsidRPr="00914C94">
          <w:rPr>
            <w:rStyle w:val="Hyperlink"/>
            <w:rFonts w:eastAsia="Arial Unicode MS"/>
            <w:noProof/>
          </w:rPr>
          <w:t>Criteria Air Pollutant Significance Thresholds</w:t>
        </w:r>
        <w:r w:rsidR="00FA55F1">
          <w:rPr>
            <w:noProof/>
            <w:webHidden/>
          </w:rPr>
          <w:tab/>
        </w:r>
        <w:r w:rsidR="00FA55F1">
          <w:rPr>
            <w:noProof/>
            <w:webHidden/>
          </w:rPr>
          <w:fldChar w:fldCharType="begin"/>
        </w:r>
        <w:r w:rsidR="00FA55F1">
          <w:rPr>
            <w:noProof/>
            <w:webHidden/>
          </w:rPr>
          <w:instrText xml:space="preserve"> PAGEREF _Toc112942455 \h </w:instrText>
        </w:r>
        <w:r w:rsidR="00FA55F1">
          <w:rPr>
            <w:noProof/>
            <w:webHidden/>
          </w:rPr>
        </w:r>
        <w:r w:rsidR="00FA55F1">
          <w:rPr>
            <w:noProof/>
            <w:webHidden/>
          </w:rPr>
          <w:fldChar w:fldCharType="separate"/>
        </w:r>
        <w:r w:rsidR="00FA55F1">
          <w:rPr>
            <w:noProof/>
            <w:webHidden/>
          </w:rPr>
          <w:t>28</w:t>
        </w:r>
        <w:r w:rsidR="00FA55F1">
          <w:rPr>
            <w:noProof/>
            <w:webHidden/>
          </w:rPr>
          <w:fldChar w:fldCharType="end"/>
        </w:r>
      </w:hyperlink>
    </w:p>
    <w:p w14:paraId="77736F5C" w14:textId="03D0E1FA" w:rsidR="00FA55F1" w:rsidRDefault="00817BC5">
      <w:pPr>
        <w:pStyle w:val="TOC1"/>
        <w:tabs>
          <w:tab w:val="left" w:pos="1080"/>
        </w:tabs>
        <w:rPr>
          <w:rFonts w:asciiTheme="minorHAnsi" w:eastAsiaTheme="minorEastAsia" w:hAnsiTheme="minorHAnsi" w:cstheme="minorBidi"/>
          <w:bCs w:val="0"/>
          <w:noProof/>
        </w:rPr>
      </w:pPr>
      <w:hyperlink w:anchor="_Toc112942456" w:history="1">
        <w:r w:rsidR="00FA55F1" w:rsidRPr="00914C94">
          <w:rPr>
            <w:rStyle w:val="Hyperlink"/>
            <w:noProof/>
          </w:rPr>
          <w:t>Table 7</w:t>
        </w:r>
        <w:r w:rsidR="00FA55F1">
          <w:rPr>
            <w:rFonts w:asciiTheme="minorHAnsi" w:eastAsiaTheme="minorEastAsia" w:hAnsiTheme="minorHAnsi" w:cstheme="minorBidi"/>
            <w:bCs w:val="0"/>
            <w:noProof/>
          </w:rPr>
          <w:tab/>
        </w:r>
        <w:r w:rsidR="00FA55F1" w:rsidRPr="00914C94">
          <w:rPr>
            <w:rStyle w:val="Hyperlink"/>
            <w:noProof/>
          </w:rPr>
          <w:t>Estimated Daily Construction Emissions</w:t>
        </w:r>
        <w:r w:rsidR="00FA55F1">
          <w:rPr>
            <w:noProof/>
            <w:webHidden/>
          </w:rPr>
          <w:tab/>
        </w:r>
        <w:r w:rsidR="00FA55F1">
          <w:rPr>
            <w:noProof/>
            <w:webHidden/>
          </w:rPr>
          <w:fldChar w:fldCharType="begin"/>
        </w:r>
        <w:r w:rsidR="00FA55F1">
          <w:rPr>
            <w:noProof/>
            <w:webHidden/>
          </w:rPr>
          <w:instrText xml:space="preserve"> PAGEREF _Toc112942456 \h </w:instrText>
        </w:r>
        <w:r w:rsidR="00FA55F1">
          <w:rPr>
            <w:noProof/>
            <w:webHidden/>
          </w:rPr>
        </w:r>
        <w:r w:rsidR="00FA55F1">
          <w:rPr>
            <w:noProof/>
            <w:webHidden/>
          </w:rPr>
          <w:fldChar w:fldCharType="separate"/>
        </w:r>
        <w:r w:rsidR="00FA55F1">
          <w:rPr>
            <w:noProof/>
            <w:webHidden/>
          </w:rPr>
          <w:t>32</w:t>
        </w:r>
        <w:r w:rsidR="00FA55F1">
          <w:rPr>
            <w:noProof/>
            <w:webHidden/>
          </w:rPr>
          <w:fldChar w:fldCharType="end"/>
        </w:r>
      </w:hyperlink>
    </w:p>
    <w:p w14:paraId="2284015A" w14:textId="03603823" w:rsidR="00FA55F1" w:rsidRDefault="00817BC5">
      <w:pPr>
        <w:pStyle w:val="TOC1"/>
        <w:tabs>
          <w:tab w:val="left" w:pos="1080"/>
        </w:tabs>
        <w:rPr>
          <w:rFonts w:asciiTheme="minorHAnsi" w:eastAsiaTheme="minorEastAsia" w:hAnsiTheme="minorHAnsi" w:cstheme="minorBidi"/>
          <w:bCs w:val="0"/>
          <w:noProof/>
        </w:rPr>
      </w:pPr>
      <w:hyperlink w:anchor="_Toc112942457" w:history="1">
        <w:r w:rsidR="00FA55F1" w:rsidRPr="00914C94">
          <w:rPr>
            <w:rStyle w:val="Hyperlink"/>
            <w:noProof/>
          </w:rPr>
          <w:t>Table 8</w:t>
        </w:r>
        <w:r w:rsidR="00FA55F1">
          <w:rPr>
            <w:rFonts w:asciiTheme="minorHAnsi" w:eastAsiaTheme="minorEastAsia" w:hAnsiTheme="minorHAnsi" w:cstheme="minorBidi"/>
            <w:bCs w:val="0"/>
            <w:noProof/>
          </w:rPr>
          <w:tab/>
        </w:r>
        <w:r w:rsidR="00FA55F1" w:rsidRPr="00914C94">
          <w:rPr>
            <w:rStyle w:val="Hyperlink"/>
            <w:noProof/>
          </w:rPr>
          <w:t>Estimated Daily Operational Emissions</w:t>
        </w:r>
        <w:r w:rsidR="00FA55F1">
          <w:rPr>
            <w:noProof/>
            <w:webHidden/>
          </w:rPr>
          <w:tab/>
        </w:r>
        <w:r w:rsidR="00FA55F1">
          <w:rPr>
            <w:noProof/>
            <w:webHidden/>
          </w:rPr>
          <w:fldChar w:fldCharType="begin"/>
        </w:r>
        <w:r w:rsidR="00FA55F1">
          <w:rPr>
            <w:noProof/>
            <w:webHidden/>
          </w:rPr>
          <w:instrText xml:space="preserve"> PAGEREF _Toc112942457 \h </w:instrText>
        </w:r>
        <w:r w:rsidR="00FA55F1">
          <w:rPr>
            <w:noProof/>
            <w:webHidden/>
          </w:rPr>
        </w:r>
        <w:r w:rsidR="00FA55F1">
          <w:rPr>
            <w:noProof/>
            <w:webHidden/>
          </w:rPr>
          <w:fldChar w:fldCharType="separate"/>
        </w:r>
        <w:r w:rsidR="00FA55F1">
          <w:rPr>
            <w:noProof/>
            <w:webHidden/>
          </w:rPr>
          <w:t>33</w:t>
        </w:r>
        <w:r w:rsidR="00FA55F1">
          <w:rPr>
            <w:noProof/>
            <w:webHidden/>
          </w:rPr>
          <w:fldChar w:fldCharType="end"/>
        </w:r>
      </w:hyperlink>
    </w:p>
    <w:p w14:paraId="3D34A6F2" w14:textId="13B0BCBC" w:rsidR="00FA55F1" w:rsidRDefault="00817BC5">
      <w:pPr>
        <w:pStyle w:val="TOC1"/>
        <w:tabs>
          <w:tab w:val="left" w:pos="1080"/>
        </w:tabs>
        <w:rPr>
          <w:rFonts w:asciiTheme="minorHAnsi" w:eastAsiaTheme="minorEastAsia" w:hAnsiTheme="minorHAnsi" w:cstheme="minorBidi"/>
          <w:bCs w:val="0"/>
          <w:noProof/>
        </w:rPr>
      </w:pPr>
      <w:hyperlink w:anchor="_Toc112942458" w:history="1">
        <w:r w:rsidR="00FA55F1" w:rsidRPr="00914C94">
          <w:rPr>
            <w:rStyle w:val="Hyperlink"/>
            <w:noProof/>
          </w:rPr>
          <w:t>Table 9</w:t>
        </w:r>
        <w:r w:rsidR="00FA55F1">
          <w:rPr>
            <w:rFonts w:asciiTheme="minorHAnsi" w:eastAsiaTheme="minorEastAsia" w:hAnsiTheme="minorHAnsi" w:cstheme="minorBidi"/>
            <w:bCs w:val="0"/>
            <w:noProof/>
          </w:rPr>
          <w:tab/>
        </w:r>
        <w:r w:rsidR="00FA55F1" w:rsidRPr="00914C94">
          <w:rPr>
            <w:rStyle w:val="Hyperlink"/>
            <w:noProof/>
          </w:rPr>
          <w:t>Estimated Annual Operational Emissions</w:t>
        </w:r>
        <w:r w:rsidR="00FA55F1">
          <w:rPr>
            <w:noProof/>
            <w:webHidden/>
          </w:rPr>
          <w:tab/>
        </w:r>
        <w:r w:rsidR="00FA55F1">
          <w:rPr>
            <w:noProof/>
            <w:webHidden/>
          </w:rPr>
          <w:fldChar w:fldCharType="begin"/>
        </w:r>
        <w:r w:rsidR="00FA55F1">
          <w:rPr>
            <w:noProof/>
            <w:webHidden/>
          </w:rPr>
          <w:instrText xml:space="preserve"> PAGEREF _Toc112942458 \h </w:instrText>
        </w:r>
        <w:r w:rsidR="00FA55F1">
          <w:rPr>
            <w:noProof/>
            <w:webHidden/>
          </w:rPr>
        </w:r>
        <w:r w:rsidR="00FA55F1">
          <w:rPr>
            <w:noProof/>
            <w:webHidden/>
          </w:rPr>
          <w:fldChar w:fldCharType="separate"/>
        </w:r>
        <w:r w:rsidR="00FA55F1">
          <w:rPr>
            <w:noProof/>
            <w:webHidden/>
          </w:rPr>
          <w:t>33</w:t>
        </w:r>
        <w:r w:rsidR="00FA55F1">
          <w:rPr>
            <w:noProof/>
            <w:webHidden/>
          </w:rPr>
          <w:fldChar w:fldCharType="end"/>
        </w:r>
      </w:hyperlink>
    </w:p>
    <w:p w14:paraId="27F5762B" w14:textId="3D31ADAC" w:rsidR="00FA55F1" w:rsidRDefault="00817BC5">
      <w:pPr>
        <w:pStyle w:val="TOC1"/>
        <w:tabs>
          <w:tab w:val="left" w:pos="1080"/>
        </w:tabs>
        <w:rPr>
          <w:rFonts w:asciiTheme="minorHAnsi" w:eastAsiaTheme="minorEastAsia" w:hAnsiTheme="minorHAnsi" w:cstheme="minorBidi"/>
          <w:bCs w:val="0"/>
          <w:noProof/>
        </w:rPr>
      </w:pPr>
      <w:hyperlink w:anchor="_Toc112942459" w:history="1">
        <w:r w:rsidR="00FA55F1" w:rsidRPr="00914C94">
          <w:rPr>
            <w:rStyle w:val="Hyperlink"/>
            <w:noProof/>
          </w:rPr>
          <w:t>Table 10</w:t>
        </w:r>
        <w:r w:rsidR="00FA55F1">
          <w:rPr>
            <w:rFonts w:asciiTheme="minorHAnsi" w:eastAsiaTheme="minorEastAsia" w:hAnsiTheme="minorHAnsi" w:cstheme="minorBidi"/>
            <w:bCs w:val="0"/>
            <w:noProof/>
          </w:rPr>
          <w:tab/>
        </w:r>
        <w:r w:rsidR="00FA55F1" w:rsidRPr="00914C94">
          <w:rPr>
            <w:rStyle w:val="Hyperlink"/>
            <w:noProof/>
          </w:rPr>
          <w:t>2020 Electricity Consumption</w:t>
        </w:r>
        <w:r w:rsidR="00FA55F1">
          <w:rPr>
            <w:noProof/>
            <w:webHidden/>
          </w:rPr>
          <w:tab/>
        </w:r>
        <w:r w:rsidR="00FA55F1">
          <w:rPr>
            <w:noProof/>
            <w:webHidden/>
          </w:rPr>
          <w:fldChar w:fldCharType="begin"/>
        </w:r>
        <w:r w:rsidR="00FA55F1">
          <w:rPr>
            <w:noProof/>
            <w:webHidden/>
          </w:rPr>
          <w:instrText xml:space="preserve"> PAGEREF _Toc112942459 \h </w:instrText>
        </w:r>
        <w:r w:rsidR="00FA55F1">
          <w:rPr>
            <w:noProof/>
            <w:webHidden/>
          </w:rPr>
        </w:r>
        <w:r w:rsidR="00FA55F1">
          <w:rPr>
            <w:noProof/>
            <w:webHidden/>
          </w:rPr>
          <w:fldChar w:fldCharType="separate"/>
        </w:r>
        <w:r w:rsidR="00FA55F1">
          <w:rPr>
            <w:noProof/>
            <w:webHidden/>
          </w:rPr>
          <w:t>47</w:t>
        </w:r>
        <w:r w:rsidR="00FA55F1">
          <w:rPr>
            <w:noProof/>
            <w:webHidden/>
          </w:rPr>
          <w:fldChar w:fldCharType="end"/>
        </w:r>
      </w:hyperlink>
    </w:p>
    <w:p w14:paraId="0EC32AD0" w14:textId="00982B73" w:rsidR="00FA55F1" w:rsidRDefault="00817BC5">
      <w:pPr>
        <w:pStyle w:val="TOC1"/>
        <w:tabs>
          <w:tab w:val="left" w:pos="1080"/>
        </w:tabs>
        <w:rPr>
          <w:rFonts w:asciiTheme="minorHAnsi" w:eastAsiaTheme="minorEastAsia" w:hAnsiTheme="minorHAnsi" w:cstheme="minorBidi"/>
          <w:bCs w:val="0"/>
          <w:noProof/>
        </w:rPr>
      </w:pPr>
      <w:hyperlink w:anchor="_Toc112942460" w:history="1">
        <w:r w:rsidR="00FA55F1" w:rsidRPr="00914C94">
          <w:rPr>
            <w:rStyle w:val="Hyperlink"/>
            <w:noProof/>
          </w:rPr>
          <w:t>Table 11</w:t>
        </w:r>
        <w:r w:rsidR="00FA55F1">
          <w:rPr>
            <w:rFonts w:asciiTheme="minorHAnsi" w:eastAsiaTheme="minorEastAsia" w:hAnsiTheme="minorHAnsi" w:cstheme="minorBidi"/>
            <w:bCs w:val="0"/>
            <w:noProof/>
          </w:rPr>
          <w:tab/>
        </w:r>
        <w:r w:rsidR="00FA55F1" w:rsidRPr="00914C94">
          <w:rPr>
            <w:rStyle w:val="Hyperlink"/>
            <w:noProof/>
          </w:rPr>
          <w:t>2020 Annual Gasoline and Diesel Consumption</w:t>
        </w:r>
        <w:r w:rsidR="00FA55F1">
          <w:rPr>
            <w:noProof/>
            <w:webHidden/>
          </w:rPr>
          <w:tab/>
        </w:r>
        <w:r w:rsidR="00FA55F1">
          <w:rPr>
            <w:noProof/>
            <w:webHidden/>
          </w:rPr>
          <w:fldChar w:fldCharType="begin"/>
        </w:r>
        <w:r w:rsidR="00FA55F1">
          <w:rPr>
            <w:noProof/>
            <w:webHidden/>
          </w:rPr>
          <w:instrText xml:space="preserve"> PAGEREF _Toc112942460 \h </w:instrText>
        </w:r>
        <w:r w:rsidR="00FA55F1">
          <w:rPr>
            <w:noProof/>
            <w:webHidden/>
          </w:rPr>
        </w:r>
        <w:r w:rsidR="00FA55F1">
          <w:rPr>
            <w:noProof/>
            <w:webHidden/>
          </w:rPr>
          <w:fldChar w:fldCharType="separate"/>
        </w:r>
        <w:r w:rsidR="00FA55F1">
          <w:rPr>
            <w:noProof/>
            <w:webHidden/>
          </w:rPr>
          <w:t>48</w:t>
        </w:r>
        <w:r w:rsidR="00FA55F1">
          <w:rPr>
            <w:noProof/>
            <w:webHidden/>
          </w:rPr>
          <w:fldChar w:fldCharType="end"/>
        </w:r>
      </w:hyperlink>
    </w:p>
    <w:p w14:paraId="704E2335" w14:textId="47FD0411" w:rsidR="00FA55F1" w:rsidRDefault="00817BC5">
      <w:pPr>
        <w:pStyle w:val="TOC1"/>
        <w:tabs>
          <w:tab w:val="left" w:pos="1080"/>
        </w:tabs>
        <w:rPr>
          <w:rFonts w:asciiTheme="minorHAnsi" w:eastAsiaTheme="minorEastAsia" w:hAnsiTheme="minorHAnsi" w:cstheme="minorBidi"/>
          <w:bCs w:val="0"/>
          <w:noProof/>
        </w:rPr>
      </w:pPr>
      <w:hyperlink w:anchor="_Toc112942461" w:history="1">
        <w:r w:rsidR="00FA55F1" w:rsidRPr="00914C94">
          <w:rPr>
            <w:rStyle w:val="Hyperlink"/>
            <w:noProof/>
          </w:rPr>
          <w:t>Table 12</w:t>
        </w:r>
        <w:r w:rsidR="00FA55F1">
          <w:rPr>
            <w:rFonts w:asciiTheme="minorHAnsi" w:eastAsiaTheme="minorEastAsia" w:hAnsiTheme="minorHAnsi" w:cstheme="minorBidi"/>
            <w:bCs w:val="0"/>
            <w:noProof/>
          </w:rPr>
          <w:tab/>
        </w:r>
        <w:r w:rsidR="00FA55F1" w:rsidRPr="00914C94">
          <w:rPr>
            <w:rStyle w:val="Hyperlink"/>
            <w:noProof/>
          </w:rPr>
          <w:t>Proposed Project Construction Energy Usage</w:t>
        </w:r>
        <w:r w:rsidR="00FA55F1">
          <w:rPr>
            <w:noProof/>
            <w:webHidden/>
          </w:rPr>
          <w:tab/>
        </w:r>
        <w:r w:rsidR="00FA55F1">
          <w:rPr>
            <w:noProof/>
            <w:webHidden/>
          </w:rPr>
          <w:fldChar w:fldCharType="begin"/>
        </w:r>
        <w:r w:rsidR="00FA55F1">
          <w:rPr>
            <w:noProof/>
            <w:webHidden/>
          </w:rPr>
          <w:instrText xml:space="preserve"> PAGEREF _Toc112942461 \h </w:instrText>
        </w:r>
        <w:r w:rsidR="00FA55F1">
          <w:rPr>
            <w:noProof/>
            <w:webHidden/>
          </w:rPr>
        </w:r>
        <w:r w:rsidR="00FA55F1">
          <w:rPr>
            <w:noProof/>
            <w:webHidden/>
          </w:rPr>
          <w:fldChar w:fldCharType="separate"/>
        </w:r>
        <w:r w:rsidR="00FA55F1">
          <w:rPr>
            <w:noProof/>
            <w:webHidden/>
          </w:rPr>
          <w:t>49</w:t>
        </w:r>
        <w:r w:rsidR="00FA55F1">
          <w:rPr>
            <w:noProof/>
            <w:webHidden/>
          </w:rPr>
          <w:fldChar w:fldCharType="end"/>
        </w:r>
      </w:hyperlink>
    </w:p>
    <w:p w14:paraId="00A9AA8F" w14:textId="058E06D4" w:rsidR="00FA55F1" w:rsidRDefault="00817BC5">
      <w:pPr>
        <w:pStyle w:val="TOC1"/>
        <w:tabs>
          <w:tab w:val="left" w:pos="1080"/>
        </w:tabs>
        <w:rPr>
          <w:rFonts w:asciiTheme="minorHAnsi" w:eastAsiaTheme="minorEastAsia" w:hAnsiTheme="minorHAnsi" w:cstheme="minorBidi"/>
          <w:bCs w:val="0"/>
          <w:noProof/>
        </w:rPr>
      </w:pPr>
      <w:hyperlink w:anchor="_Toc112942462" w:history="1">
        <w:r w:rsidR="00FA55F1" w:rsidRPr="00914C94">
          <w:rPr>
            <w:rStyle w:val="Hyperlink"/>
            <w:noProof/>
          </w:rPr>
          <w:t>Table 13</w:t>
        </w:r>
        <w:r w:rsidR="00FA55F1">
          <w:rPr>
            <w:rFonts w:asciiTheme="minorHAnsi" w:eastAsiaTheme="minorEastAsia" w:hAnsiTheme="minorHAnsi" w:cstheme="minorBidi"/>
            <w:bCs w:val="0"/>
            <w:noProof/>
          </w:rPr>
          <w:tab/>
        </w:r>
        <w:r w:rsidR="00FA55F1" w:rsidRPr="00914C94">
          <w:rPr>
            <w:rStyle w:val="Hyperlink"/>
            <w:noProof/>
          </w:rPr>
          <w:t>Estimated Project Annual Operational Energy Consumption</w:t>
        </w:r>
        <w:r w:rsidR="00FA55F1">
          <w:rPr>
            <w:noProof/>
            <w:webHidden/>
          </w:rPr>
          <w:tab/>
        </w:r>
        <w:r w:rsidR="00FA55F1">
          <w:rPr>
            <w:noProof/>
            <w:webHidden/>
          </w:rPr>
          <w:fldChar w:fldCharType="begin"/>
        </w:r>
        <w:r w:rsidR="00FA55F1">
          <w:rPr>
            <w:noProof/>
            <w:webHidden/>
          </w:rPr>
          <w:instrText xml:space="preserve"> PAGEREF _Toc112942462 \h </w:instrText>
        </w:r>
        <w:r w:rsidR="00FA55F1">
          <w:rPr>
            <w:noProof/>
            <w:webHidden/>
          </w:rPr>
        </w:r>
        <w:r w:rsidR="00FA55F1">
          <w:rPr>
            <w:noProof/>
            <w:webHidden/>
          </w:rPr>
          <w:fldChar w:fldCharType="separate"/>
        </w:r>
        <w:r w:rsidR="00FA55F1">
          <w:rPr>
            <w:noProof/>
            <w:webHidden/>
          </w:rPr>
          <w:t>49</w:t>
        </w:r>
        <w:r w:rsidR="00FA55F1">
          <w:rPr>
            <w:noProof/>
            <w:webHidden/>
          </w:rPr>
          <w:fldChar w:fldCharType="end"/>
        </w:r>
      </w:hyperlink>
    </w:p>
    <w:p w14:paraId="0800DEA2" w14:textId="454A1E79" w:rsidR="00FA55F1" w:rsidRDefault="00817BC5">
      <w:pPr>
        <w:pStyle w:val="TOC1"/>
        <w:tabs>
          <w:tab w:val="left" w:pos="1080"/>
        </w:tabs>
        <w:rPr>
          <w:rFonts w:asciiTheme="minorHAnsi" w:eastAsiaTheme="minorEastAsia" w:hAnsiTheme="minorHAnsi" w:cstheme="minorBidi"/>
          <w:bCs w:val="0"/>
          <w:noProof/>
        </w:rPr>
      </w:pPr>
      <w:hyperlink w:anchor="_Toc112942463" w:history="1">
        <w:r w:rsidR="00FA55F1" w:rsidRPr="00914C94">
          <w:rPr>
            <w:rStyle w:val="Hyperlink"/>
            <w:noProof/>
          </w:rPr>
          <w:t>Table 14</w:t>
        </w:r>
        <w:r w:rsidR="00FA55F1">
          <w:rPr>
            <w:rFonts w:asciiTheme="minorHAnsi" w:eastAsiaTheme="minorEastAsia" w:hAnsiTheme="minorHAnsi" w:cstheme="minorBidi"/>
            <w:bCs w:val="0"/>
            <w:noProof/>
          </w:rPr>
          <w:tab/>
        </w:r>
        <w:r w:rsidR="00FA55F1" w:rsidRPr="00914C94">
          <w:rPr>
            <w:rStyle w:val="Hyperlink"/>
            <w:noProof/>
          </w:rPr>
          <w:t>Project Consistency with the 2030 General Plan</w:t>
        </w:r>
        <w:r w:rsidR="00FA55F1">
          <w:rPr>
            <w:noProof/>
            <w:webHidden/>
          </w:rPr>
          <w:tab/>
        </w:r>
        <w:r w:rsidR="00FA55F1">
          <w:rPr>
            <w:noProof/>
            <w:webHidden/>
          </w:rPr>
          <w:fldChar w:fldCharType="begin"/>
        </w:r>
        <w:r w:rsidR="00FA55F1">
          <w:rPr>
            <w:noProof/>
            <w:webHidden/>
          </w:rPr>
          <w:instrText xml:space="preserve"> PAGEREF _Toc112942463 \h </w:instrText>
        </w:r>
        <w:r w:rsidR="00FA55F1">
          <w:rPr>
            <w:noProof/>
            <w:webHidden/>
          </w:rPr>
        </w:r>
        <w:r w:rsidR="00FA55F1">
          <w:rPr>
            <w:noProof/>
            <w:webHidden/>
          </w:rPr>
          <w:fldChar w:fldCharType="separate"/>
        </w:r>
        <w:r w:rsidR="00FA55F1">
          <w:rPr>
            <w:noProof/>
            <w:webHidden/>
          </w:rPr>
          <w:t>51</w:t>
        </w:r>
        <w:r w:rsidR="00FA55F1">
          <w:rPr>
            <w:noProof/>
            <w:webHidden/>
          </w:rPr>
          <w:fldChar w:fldCharType="end"/>
        </w:r>
      </w:hyperlink>
    </w:p>
    <w:p w14:paraId="2469A68D" w14:textId="0D4020BA" w:rsidR="00FA55F1" w:rsidRDefault="00817BC5">
      <w:pPr>
        <w:pStyle w:val="TOC1"/>
        <w:tabs>
          <w:tab w:val="left" w:pos="1080"/>
        </w:tabs>
        <w:rPr>
          <w:rFonts w:asciiTheme="minorHAnsi" w:eastAsiaTheme="minorEastAsia" w:hAnsiTheme="minorHAnsi" w:cstheme="minorBidi"/>
          <w:bCs w:val="0"/>
          <w:noProof/>
        </w:rPr>
      </w:pPr>
      <w:hyperlink w:anchor="_Toc112942464" w:history="1">
        <w:r w:rsidR="00FA55F1" w:rsidRPr="00914C94">
          <w:rPr>
            <w:rStyle w:val="Hyperlink"/>
            <w:noProof/>
          </w:rPr>
          <w:t>Table 15</w:t>
        </w:r>
        <w:r w:rsidR="00FA55F1">
          <w:rPr>
            <w:rFonts w:asciiTheme="minorHAnsi" w:eastAsiaTheme="minorEastAsia" w:hAnsiTheme="minorHAnsi" w:cstheme="minorBidi"/>
            <w:bCs w:val="0"/>
            <w:noProof/>
          </w:rPr>
          <w:tab/>
        </w:r>
        <w:r w:rsidR="00FA55F1" w:rsidRPr="00914C94">
          <w:rPr>
            <w:rStyle w:val="Hyperlink"/>
            <w:noProof/>
          </w:rPr>
          <w:t>Estimated Construction GHG Emissions</w:t>
        </w:r>
        <w:r w:rsidR="00FA55F1">
          <w:rPr>
            <w:noProof/>
            <w:webHidden/>
          </w:rPr>
          <w:tab/>
        </w:r>
        <w:r w:rsidR="00FA55F1">
          <w:rPr>
            <w:noProof/>
            <w:webHidden/>
          </w:rPr>
          <w:fldChar w:fldCharType="begin"/>
        </w:r>
        <w:r w:rsidR="00FA55F1">
          <w:rPr>
            <w:noProof/>
            <w:webHidden/>
          </w:rPr>
          <w:instrText xml:space="preserve"> PAGEREF _Toc112942464 \h </w:instrText>
        </w:r>
        <w:r w:rsidR="00FA55F1">
          <w:rPr>
            <w:noProof/>
            <w:webHidden/>
          </w:rPr>
        </w:r>
        <w:r w:rsidR="00FA55F1">
          <w:rPr>
            <w:noProof/>
            <w:webHidden/>
          </w:rPr>
          <w:fldChar w:fldCharType="separate"/>
        </w:r>
        <w:r w:rsidR="00FA55F1">
          <w:rPr>
            <w:noProof/>
            <w:webHidden/>
          </w:rPr>
          <w:t>64</w:t>
        </w:r>
        <w:r w:rsidR="00FA55F1">
          <w:rPr>
            <w:noProof/>
            <w:webHidden/>
          </w:rPr>
          <w:fldChar w:fldCharType="end"/>
        </w:r>
      </w:hyperlink>
    </w:p>
    <w:p w14:paraId="042728F5" w14:textId="2096A281" w:rsidR="00FA55F1" w:rsidRDefault="00817BC5">
      <w:pPr>
        <w:pStyle w:val="TOC1"/>
        <w:tabs>
          <w:tab w:val="left" w:pos="1080"/>
        </w:tabs>
        <w:rPr>
          <w:rFonts w:asciiTheme="minorHAnsi" w:eastAsiaTheme="minorEastAsia" w:hAnsiTheme="minorHAnsi" w:cstheme="minorBidi"/>
          <w:bCs w:val="0"/>
          <w:noProof/>
        </w:rPr>
      </w:pPr>
      <w:hyperlink w:anchor="_Toc112942465" w:history="1">
        <w:r w:rsidR="00FA55F1" w:rsidRPr="00914C94">
          <w:rPr>
            <w:rStyle w:val="Hyperlink"/>
            <w:noProof/>
          </w:rPr>
          <w:t>Table 16</w:t>
        </w:r>
        <w:r w:rsidR="00FA55F1">
          <w:rPr>
            <w:rFonts w:asciiTheme="minorHAnsi" w:eastAsiaTheme="minorEastAsia" w:hAnsiTheme="minorHAnsi" w:cstheme="minorBidi"/>
            <w:bCs w:val="0"/>
            <w:noProof/>
          </w:rPr>
          <w:tab/>
        </w:r>
        <w:r w:rsidR="00FA55F1" w:rsidRPr="00914C94">
          <w:rPr>
            <w:rStyle w:val="Hyperlink"/>
            <w:noProof/>
          </w:rPr>
          <w:t>2030 Annual GHG Emissions for Proposed Project</w:t>
        </w:r>
        <w:r w:rsidR="00FA55F1">
          <w:rPr>
            <w:noProof/>
            <w:webHidden/>
          </w:rPr>
          <w:tab/>
        </w:r>
        <w:r w:rsidR="00FA55F1">
          <w:rPr>
            <w:noProof/>
            <w:webHidden/>
          </w:rPr>
          <w:fldChar w:fldCharType="begin"/>
        </w:r>
        <w:r w:rsidR="00FA55F1">
          <w:rPr>
            <w:noProof/>
            <w:webHidden/>
          </w:rPr>
          <w:instrText xml:space="preserve"> PAGEREF _Toc112942465 \h </w:instrText>
        </w:r>
        <w:r w:rsidR="00FA55F1">
          <w:rPr>
            <w:noProof/>
            <w:webHidden/>
          </w:rPr>
        </w:r>
        <w:r w:rsidR="00FA55F1">
          <w:rPr>
            <w:noProof/>
            <w:webHidden/>
          </w:rPr>
          <w:fldChar w:fldCharType="separate"/>
        </w:r>
        <w:r w:rsidR="00FA55F1">
          <w:rPr>
            <w:noProof/>
            <w:webHidden/>
          </w:rPr>
          <w:t>65</w:t>
        </w:r>
        <w:r w:rsidR="00FA55F1">
          <w:rPr>
            <w:noProof/>
            <w:webHidden/>
          </w:rPr>
          <w:fldChar w:fldCharType="end"/>
        </w:r>
      </w:hyperlink>
    </w:p>
    <w:p w14:paraId="6D5B03E6" w14:textId="629220D8" w:rsidR="00FA55F1" w:rsidRDefault="00817BC5">
      <w:pPr>
        <w:pStyle w:val="TOC1"/>
        <w:tabs>
          <w:tab w:val="left" w:pos="1080"/>
        </w:tabs>
        <w:rPr>
          <w:rFonts w:asciiTheme="minorHAnsi" w:eastAsiaTheme="minorEastAsia" w:hAnsiTheme="minorHAnsi" w:cstheme="minorBidi"/>
          <w:bCs w:val="0"/>
          <w:noProof/>
        </w:rPr>
      </w:pPr>
      <w:hyperlink w:anchor="_Toc112942466" w:history="1">
        <w:r w:rsidR="00FA55F1" w:rsidRPr="00914C94">
          <w:rPr>
            <w:rStyle w:val="Hyperlink"/>
            <w:noProof/>
          </w:rPr>
          <w:t>Table 17</w:t>
        </w:r>
        <w:r w:rsidR="00FA55F1">
          <w:rPr>
            <w:rFonts w:asciiTheme="minorHAnsi" w:eastAsiaTheme="minorEastAsia" w:hAnsiTheme="minorHAnsi" w:cstheme="minorBidi"/>
            <w:bCs w:val="0"/>
            <w:noProof/>
          </w:rPr>
          <w:tab/>
        </w:r>
        <w:r w:rsidR="00FA55F1" w:rsidRPr="00914C94">
          <w:rPr>
            <w:rStyle w:val="Hyperlink"/>
            <w:noProof/>
          </w:rPr>
          <w:t>Project Consistency with 2017 Scoping Plan</w:t>
        </w:r>
        <w:r w:rsidR="00FA55F1">
          <w:rPr>
            <w:noProof/>
            <w:webHidden/>
          </w:rPr>
          <w:tab/>
        </w:r>
        <w:r w:rsidR="00FA55F1">
          <w:rPr>
            <w:noProof/>
            <w:webHidden/>
          </w:rPr>
          <w:fldChar w:fldCharType="begin"/>
        </w:r>
        <w:r w:rsidR="00FA55F1">
          <w:rPr>
            <w:noProof/>
            <w:webHidden/>
          </w:rPr>
          <w:instrText xml:space="preserve"> PAGEREF _Toc112942466 \h </w:instrText>
        </w:r>
        <w:r w:rsidR="00FA55F1">
          <w:rPr>
            <w:noProof/>
            <w:webHidden/>
          </w:rPr>
        </w:r>
        <w:r w:rsidR="00FA55F1">
          <w:rPr>
            <w:noProof/>
            <w:webHidden/>
          </w:rPr>
          <w:fldChar w:fldCharType="separate"/>
        </w:r>
        <w:r w:rsidR="00FA55F1">
          <w:rPr>
            <w:noProof/>
            <w:webHidden/>
          </w:rPr>
          <w:t>66</w:t>
        </w:r>
        <w:r w:rsidR="00FA55F1">
          <w:rPr>
            <w:noProof/>
            <w:webHidden/>
          </w:rPr>
          <w:fldChar w:fldCharType="end"/>
        </w:r>
      </w:hyperlink>
    </w:p>
    <w:p w14:paraId="57B17C49" w14:textId="57481F56" w:rsidR="00FA55F1" w:rsidRDefault="00817BC5">
      <w:pPr>
        <w:pStyle w:val="TOC1"/>
        <w:tabs>
          <w:tab w:val="left" w:pos="1080"/>
        </w:tabs>
        <w:rPr>
          <w:rFonts w:asciiTheme="minorHAnsi" w:eastAsiaTheme="minorEastAsia" w:hAnsiTheme="minorHAnsi" w:cstheme="minorBidi"/>
          <w:bCs w:val="0"/>
          <w:noProof/>
        </w:rPr>
      </w:pPr>
      <w:hyperlink w:anchor="_Toc112942467" w:history="1">
        <w:r w:rsidR="00FA55F1" w:rsidRPr="00914C94">
          <w:rPr>
            <w:rStyle w:val="Hyperlink"/>
            <w:noProof/>
          </w:rPr>
          <w:t xml:space="preserve">Table 18 </w:t>
        </w:r>
        <w:r w:rsidR="00FA55F1">
          <w:rPr>
            <w:rFonts w:asciiTheme="minorHAnsi" w:eastAsiaTheme="minorEastAsia" w:hAnsiTheme="minorHAnsi" w:cstheme="minorBidi"/>
            <w:bCs w:val="0"/>
            <w:noProof/>
          </w:rPr>
          <w:tab/>
        </w:r>
        <w:r w:rsidR="00FA55F1" w:rsidRPr="00914C94">
          <w:rPr>
            <w:rStyle w:val="Hyperlink"/>
            <w:noProof/>
          </w:rPr>
          <w:t>Project Consistency with Plan Bay Area 2050</w:t>
        </w:r>
        <w:r w:rsidR="00FA55F1">
          <w:rPr>
            <w:noProof/>
            <w:webHidden/>
          </w:rPr>
          <w:tab/>
        </w:r>
        <w:r w:rsidR="00FA55F1">
          <w:rPr>
            <w:noProof/>
            <w:webHidden/>
          </w:rPr>
          <w:fldChar w:fldCharType="begin"/>
        </w:r>
        <w:r w:rsidR="00FA55F1">
          <w:rPr>
            <w:noProof/>
            <w:webHidden/>
          </w:rPr>
          <w:instrText xml:space="preserve"> PAGEREF _Toc112942467 \h </w:instrText>
        </w:r>
        <w:r w:rsidR="00FA55F1">
          <w:rPr>
            <w:noProof/>
            <w:webHidden/>
          </w:rPr>
        </w:r>
        <w:r w:rsidR="00FA55F1">
          <w:rPr>
            <w:noProof/>
            <w:webHidden/>
          </w:rPr>
          <w:fldChar w:fldCharType="separate"/>
        </w:r>
        <w:r w:rsidR="00FA55F1">
          <w:rPr>
            <w:noProof/>
            <w:webHidden/>
          </w:rPr>
          <w:t>66</w:t>
        </w:r>
        <w:r w:rsidR="00FA55F1">
          <w:rPr>
            <w:noProof/>
            <w:webHidden/>
          </w:rPr>
          <w:fldChar w:fldCharType="end"/>
        </w:r>
      </w:hyperlink>
    </w:p>
    <w:p w14:paraId="4EF9EA24" w14:textId="2DB8AEC4" w:rsidR="00FA55F1" w:rsidRDefault="00817BC5">
      <w:pPr>
        <w:pStyle w:val="TOC1"/>
        <w:tabs>
          <w:tab w:val="left" w:pos="1080"/>
        </w:tabs>
        <w:rPr>
          <w:rFonts w:asciiTheme="minorHAnsi" w:eastAsiaTheme="minorEastAsia" w:hAnsiTheme="minorHAnsi" w:cstheme="minorBidi"/>
          <w:bCs w:val="0"/>
          <w:noProof/>
        </w:rPr>
      </w:pPr>
      <w:hyperlink w:anchor="_Toc112942468" w:history="1">
        <w:r w:rsidR="00FA55F1" w:rsidRPr="00914C94">
          <w:rPr>
            <w:rStyle w:val="Hyperlink"/>
            <w:noProof/>
          </w:rPr>
          <w:t>Table 19</w:t>
        </w:r>
        <w:r w:rsidR="00FA55F1">
          <w:rPr>
            <w:rFonts w:asciiTheme="minorHAnsi" w:eastAsiaTheme="minorEastAsia" w:hAnsiTheme="minorHAnsi" w:cstheme="minorBidi"/>
            <w:bCs w:val="0"/>
            <w:noProof/>
          </w:rPr>
          <w:tab/>
        </w:r>
        <w:r w:rsidR="00FA55F1" w:rsidRPr="00914C94">
          <w:rPr>
            <w:rStyle w:val="Hyperlink"/>
            <w:noProof/>
          </w:rPr>
          <w:t>Project Consistency with the Mountain View Climate Protection Roadmap</w:t>
        </w:r>
        <w:r w:rsidR="00FA55F1">
          <w:rPr>
            <w:noProof/>
            <w:webHidden/>
          </w:rPr>
          <w:tab/>
        </w:r>
        <w:r w:rsidR="00FA55F1">
          <w:rPr>
            <w:noProof/>
            <w:webHidden/>
          </w:rPr>
          <w:fldChar w:fldCharType="begin"/>
        </w:r>
        <w:r w:rsidR="00FA55F1">
          <w:rPr>
            <w:noProof/>
            <w:webHidden/>
          </w:rPr>
          <w:instrText xml:space="preserve"> PAGEREF _Toc112942468 \h </w:instrText>
        </w:r>
        <w:r w:rsidR="00FA55F1">
          <w:rPr>
            <w:noProof/>
            <w:webHidden/>
          </w:rPr>
        </w:r>
        <w:r w:rsidR="00FA55F1">
          <w:rPr>
            <w:noProof/>
            <w:webHidden/>
          </w:rPr>
          <w:fldChar w:fldCharType="separate"/>
        </w:r>
        <w:r w:rsidR="00FA55F1">
          <w:rPr>
            <w:noProof/>
            <w:webHidden/>
          </w:rPr>
          <w:t>67</w:t>
        </w:r>
        <w:r w:rsidR="00FA55F1">
          <w:rPr>
            <w:noProof/>
            <w:webHidden/>
          </w:rPr>
          <w:fldChar w:fldCharType="end"/>
        </w:r>
      </w:hyperlink>
    </w:p>
    <w:p w14:paraId="649836F3" w14:textId="4DBC5164" w:rsidR="00FA55F1" w:rsidRDefault="00817BC5">
      <w:pPr>
        <w:pStyle w:val="TOC1"/>
        <w:tabs>
          <w:tab w:val="left" w:pos="1080"/>
        </w:tabs>
        <w:rPr>
          <w:rFonts w:asciiTheme="minorHAnsi" w:eastAsiaTheme="minorEastAsia" w:hAnsiTheme="minorHAnsi" w:cstheme="minorBidi"/>
          <w:bCs w:val="0"/>
          <w:noProof/>
        </w:rPr>
      </w:pPr>
      <w:hyperlink w:anchor="_Toc112942469" w:history="1">
        <w:r w:rsidR="00FA55F1" w:rsidRPr="00914C94">
          <w:rPr>
            <w:rStyle w:val="Hyperlink"/>
            <w:noProof/>
          </w:rPr>
          <w:t>Table 20</w:t>
        </w:r>
        <w:r w:rsidR="00FA55F1">
          <w:rPr>
            <w:rFonts w:asciiTheme="minorHAnsi" w:eastAsiaTheme="minorEastAsia" w:hAnsiTheme="minorHAnsi" w:cstheme="minorBidi"/>
            <w:bCs w:val="0"/>
            <w:noProof/>
          </w:rPr>
          <w:tab/>
        </w:r>
        <w:r w:rsidR="00FA55F1" w:rsidRPr="00914C94">
          <w:rPr>
            <w:rStyle w:val="Hyperlink"/>
            <w:noProof/>
          </w:rPr>
          <w:t>Project Consistency with the Mountain View Greenhouse Gas Reduction Program</w:t>
        </w:r>
        <w:r w:rsidR="00FA55F1">
          <w:rPr>
            <w:noProof/>
            <w:webHidden/>
          </w:rPr>
          <w:tab/>
        </w:r>
        <w:r w:rsidR="00FA55F1">
          <w:rPr>
            <w:noProof/>
            <w:webHidden/>
          </w:rPr>
          <w:fldChar w:fldCharType="begin"/>
        </w:r>
        <w:r w:rsidR="00FA55F1">
          <w:rPr>
            <w:noProof/>
            <w:webHidden/>
          </w:rPr>
          <w:instrText xml:space="preserve"> PAGEREF _Toc112942469 \h </w:instrText>
        </w:r>
        <w:r w:rsidR="00FA55F1">
          <w:rPr>
            <w:noProof/>
            <w:webHidden/>
          </w:rPr>
        </w:r>
        <w:r w:rsidR="00FA55F1">
          <w:rPr>
            <w:noProof/>
            <w:webHidden/>
          </w:rPr>
          <w:fldChar w:fldCharType="separate"/>
        </w:r>
        <w:r w:rsidR="00FA55F1">
          <w:rPr>
            <w:noProof/>
            <w:webHidden/>
          </w:rPr>
          <w:t>68</w:t>
        </w:r>
        <w:r w:rsidR="00FA55F1">
          <w:rPr>
            <w:noProof/>
            <w:webHidden/>
          </w:rPr>
          <w:fldChar w:fldCharType="end"/>
        </w:r>
      </w:hyperlink>
    </w:p>
    <w:p w14:paraId="3E80FA3E" w14:textId="18E9B446" w:rsidR="00FA55F1" w:rsidRDefault="00817BC5">
      <w:pPr>
        <w:pStyle w:val="TOC1"/>
        <w:tabs>
          <w:tab w:val="left" w:pos="1080"/>
        </w:tabs>
        <w:rPr>
          <w:rFonts w:asciiTheme="minorHAnsi" w:eastAsiaTheme="minorEastAsia" w:hAnsiTheme="minorHAnsi" w:cstheme="minorBidi"/>
          <w:bCs w:val="0"/>
          <w:noProof/>
        </w:rPr>
      </w:pPr>
      <w:hyperlink w:anchor="_Toc112942470" w:history="1">
        <w:r w:rsidR="00FA55F1" w:rsidRPr="00914C94">
          <w:rPr>
            <w:rStyle w:val="Hyperlink"/>
            <w:noProof/>
          </w:rPr>
          <w:t>Table 21</w:t>
        </w:r>
        <w:r w:rsidR="00FA55F1">
          <w:rPr>
            <w:rFonts w:asciiTheme="minorHAnsi" w:eastAsiaTheme="minorEastAsia" w:hAnsiTheme="minorHAnsi" w:cstheme="minorBidi"/>
            <w:bCs w:val="0"/>
            <w:noProof/>
          </w:rPr>
          <w:tab/>
        </w:r>
        <w:r w:rsidR="00FA55F1" w:rsidRPr="00914C94">
          <w:rPr>
            <w:rStyle w:val="Hyperlink"/>
            <w:noProof/>
          </w:rPr>
          <w:t>Project Consistency with the 2030 General Plan</w:t>
        </w:r>
        <w:r w:rsidR="00FA55F1">
          <w:rPr>
            <w:noProof/>
            <w:webHidden/>
          </w:rPr>
          <w:tab/>
        </w:r>
        <w:r w:rsidR="00FA55F1">
          <w:rPr>
            <w:noProof/>
            <w:webHidden/>
          </w:rPr>
          <w:fldChar w:fldCharType="begin"/>
        </w:r>
        <w:r w:rsidR="00FA55F1">
          <w:rPr>
            <w:noProof/>
            <w:webHidden/>
          </w:rPr>
          <w:instrText xml:space="preserve"> PAGEREF _Toc112942470 \h </w:instrText>
        </w:r>
        <w:r w:rsidR="00FA55F1">
          <w:rPr>
            <w:noProof/>
            <w:webHidden/>
          </w:rPr>
        </w:r>
        <w:r w:rsidR="00FA55F1">
          <w:rPr>
            <w:noProof/>
            <w:webHidden/>
          </w:rPr>
          <w:fldChar w:fldCharType="separate"/>
        </w:r>
        <w:r w:rsidR="00FA55F1">
          <w:rPr>
            <w:noProof/>
            <w:webHidden/>
          </w:rPr>
          <w:t>68</w:t>
        </w:r>
        <w:r w:rsidR="00FA55F1">
          <w:rPr>
            <w:noProof/>
            <w:webHidden/>
          </w:rPr>
          <w:fldChar w:fldCharType="end"/>
        </w:r>
      </w:hyperlink>
    </w:p>
    <w:p w14:paraId="750D00ED" w14:textId="4B743F0E" w:rsidR="00FA55F1" w:rsidRDefault="00817BC5">
      <w:pPr>
        <w:pStyle w:val="TOC1"/>
        <w:tabs>
          <w:tab w:val="left" w:pos="1080"/>
        </w:tabs>
        <w:rPr>
          <w:rFonts w:asciiTheme="minorHAnsi" w:eastAsiaTheme="minorEastAsia" w:hAnsiTheme="minorHAnsi" w:cstheme="minorBidi"/>
          <w:bCs w:val="0"/>
          <w:noProof/>
        </w:rPr>
      </w:pPr>
      <w:hyperlink w:anchor="_Toc112942471" w:history="1">
        <w:r w:rsidR="00FA55F1" w:rsidRPr="00914C94">
          <w:rPr>
            <w:rStyle w:val="Hyperlink"/>
            <w:noProof/>
          </w:rPr>
          <w:t>Table 22</w:t>
        </w:r>
        <w:r w:rsidR="00FA55F1">
          <w:rPr>
            <w:rFonts w:asciiTheme="minorHAnsi" w:eastAsiaTheme="minorEastAsia" w:hAnsiTheme="minorHAnsi" w:cstheme="minorBidi"/>
            <w:bCs w:val="0"/>
            <w:noProof/>
          </w:rPr>
          <w:tab/>
        </w:r>
        <w:r w:rsidR="00FA55F1" w:rsidRPr="00914C94">
          <w:rPr>
            <w:rStyle w:val="Hyperlink"/>
            <w:noProof/>
          </w:rPr>
          <w:t>Project Consistency with Mountain View 2030 General Plan Land Use Policies</w:t>
        </w:r>
        <w:r w:rsidR="00FA55F1">
          <w:rPr>
            <w:noProof/>
            <w:webHidden/>
          </w:rPr>
          <w:tab/>
        </w:r>
        <w:r w:rsidR="00FA55F1">
          <w:rPr>
            <w:noProof/>
            <w:webHidden/>
          </w:rPr>
          <w:fldChar w:fldCharType="begin"/>
        </w:r>
        <w:r w:rsidR="00FA55F1">
          <w:rPr>
            <w:noProof/>
            <w:webHidden/>
          </w:rPr>
          <w:instrText xml:space="preserve"> PAGEREF _Toc112942471 \h </w:instrText>
        </w:r>
        <w:r w:rsidR="00FA55F1">
          <w:rPr>
            <w:noProof/>
            <w:webHidden/>
          </w:rPr>
        </w:r>
        <w:r w:rsidR="00FA55F1">
          <w:rPr>
            <w:noProof/>
            <w:webHidden/>
          </w:rPr>
          <w:fldChar w:fldCharType="separate"/>
        </w:r>
        <w:r w:rsidR="00FA55F1">
          <w:rPr>
            <w:noProof/>
            <w:webHidden/>
          </w:rPr>
          <w:t>91</w:t>
        </w:r>
        <w:r w:rsidR="00FA55F1">
          <w:rPr>
            <w:noProof/>
            <w:webHidden/>
          </w:rPr>
          <w:fldChar w:fldCharType="end"/>
        </w:r>
      </w:hyperlink>
    </w:p>
    <w:p w14:paraId="0EE96D3A" w14:textId="37478E4F" w:rsidR="00FA55F1" w:rsidRDefault="00817BC5">
      <w:pPr>
        <w:pStyle w:val="TOC1"/>
        <w:tabs>
          <w:tab w:val="left" w:pos="1080"/>
        </w:tabs>
        <w:rPr>
          <w:rFonts w:asciiTheme="minorHAnsi" w:eastAsiaTheme="minorEastAsia" w:hAnsiTheme="minorHAnsi" w:cstheme="minorBidi"/>
          <w:bCs w:val="0"/>
          <w:noProof/>
        </w:rPr>
      </w:pPr>
      <w:hyperlink w:anchor="_Toc112942472" w:history="1">
        <w:r w:rsidR="00FA55F1" w:rsidRPr="00914C94">
          <w:rPr>
            <w:rStyle w:val="Hyperlink"/>
            <w:noProof/>
          </w:rPr>
          <w:t>Table 23</w:t>
        </w:r>
        <w:r w:rsidR="00FA55F1">
          <w:rPr>
            <w:rFonts w:asciiTheme="minorHAnsi" w:eastAsiaTheme="minorEastAsia" w:hAnsiTheme="minorHAnsi" w:cstheme="minorBidi"/>
            <w:bCs w:val="0"/>
            <w:noProof/>
          </w:rPr>
          <w:tab/>
        </w:r>
        <w:r w:rsidR="00FA55F1" w:rsidRPr="00914C94">
          <w:rPr>
            <w:rStyle w:val="Hyperlink"/>
            <w:noProof/>
          </w:rPr>
          <w:t>Project Consistency with Mountain View Municipal Code Policies</w:t>
        </w:r>
        <w:r w:rsidR="00FA55F1">
          <w:rPr>
            <w:noProof/>
            <w:webHidden/>
          </w:rPr>
          <w:tab/>
        </w:r>
        <w:r w:rsidR="00FA55F1">
          <w:rPr>
            <w:noProof/>
            <w:webHidden/>
          </w:rPr>
          <w:fldChar w:fldCharType="begin"/>
        </w:r>
        <w:r w:rsidR="00FA55F1">
          <w:rPr>
            <w:noProof/>
            <w:webHidden/>
          </w:rPr>
          <w:instrText xml:space="preserve"> PAGEREF _Toc112942472 \h </w:instrText>
        </w:r>
        <w:r w:rsidR="00FA55F1">
          <w:rPr>
            <w:noProof/>
            <w:webHidden/>
          </w:rPr>
        </w:r>
        <w:r w:rsidR="00FA55F1">
          <w:rPr>
            <w:noProof/>
            <w:webHidden/>
          </w:rPr>
          <w:fldChar w:fldCharType="separate"/>
        </w:r>
        <w:r w:rsidR="00FA55F1">
          <w:rPr>
            <w:noProof/>
            <w:webHidden/>
          </w:rPr>
          <w:t>92</w:t>
        </w:r>
        <w:r w:rsidR="00FA55F1">
          <w:rPr>
            <w:noProof/>
            <w:webHidden/>
          </w:rPr>
          <w:fldChar w:fldCharType="end"/>
        </w:r>
      </w:hyperlink>
    </w:p>
    <w:p w14:paraId="2C0FF78E" w14:textId="47978C53" w:rsidR="00FA55F1" w:rsidRDefault="00817BC5">
      <w:pPr>
        <w:pStyle w:val="TOC1"/>
        <w:tabs>
          <w:tab w:val="left" w:pos="1080"/>
        </w:tabs>
        <w:rPr>
          <w:rFonts w:asciiTheme="minorHAnsi" w:eastAsiaTheme="minorEastAsia" w:hAnsiTheme="minorHAnsi" w:cstheme="minorBidi"/>
          <w:bCs w:val="0"/>
          <w:noProof/>
        </w:rPr>
      </w:pPr>
      <w:hyperlink w:anchor="_Toc112942473" w:history="1">
        <w:r w:rsidR="00FA55F1" w:rsidRPr="00914C94">
          <w:rPr>
            <w:rStyle w:val="Hyperlink"/>
            <w:noProof/>
          </w:rPr>
          <w:t>Table 24</w:t>
        </w:r>
        <w:r w:rsidR="00FA55F1">
          <w:rPr>
            <w:rFonts w:asciiTheme="minorHAnsi" w:eastAsiaTheme="minorEastAsia" w:hAnsiTheme="minorHAnsi" w:cstheme="minorBidi"/>
            <w:bCs w:val="0"/>
            <w:noProof/>
          </w:rPr>
          <w:tab/>
        </w:r>
        <w:r w:rsidR="00FA55F1" w:rsidRPr="00914C94">
          <w:rPr>
            <w:rStyle w:val="Hyperlink"/>
            <w:noProof/>
          </w:rPr>
          <w:t>Maximum Vibration Levels for Preventing Damage</w:t>
        </w:r>
        <w:r w:rsidR="00FA55F1">
          <w:rPr>
            <w:noProof/>
            <w:webHidden/>
          </w:rPr>
          <w:tab/>
        </w:r>
        <w:r w:rsidR="00FA55F1">
          <w:rPr>
            <w:noProof/>
            <w:webHidden/>
          </w:rPr>
          <w:fldChar w:fldCharType="begin"/>
        </w:r>
        <w:r w:rsidR="00FA55F1">
          <w:rPr>
            <w:noProof/>
            <w:webHidden/>
          </w:rPr>
          <w:instrText xml:space="preserve"> PAGEREF _Toc112942473 \h </w:instrText>
        </w:r>
        <w:r w:rsidR="00FA55F1">
          <w:rPr>
            <w:noProof/>
            <w:webHidden/>
          </w:rPr>
        </w:r>
        <w:r w:rsidR="00FA55F1">
          <w:rPr>
            <w:noProof/>
            <w:webHidden/>
          </w:rPr>
          <w:fldChar w:fldCharType="separate"/>
        </w:r>
        <w:r w:rsidR="00FA55F1">
          <w:rPr>
            <w:noProof/>
            <w:webHidden/>
          </w:rPr>
          <w:t>97</w:t>
        </w:r>
        <w:r w:rsidR="00FA55F1">
          <w:rPr>
            <w:noProof/>
            <w:webHidden/>
          </w:rPr>
          <w:fldChar w:fldCharType="end"/>
        </w:r>
      </w:hyperlink>
    </w:p>
    <w:p w14:paraId="7B98BFE0" w14:textId="42857C71" w:rsidR="00FA55F1" w:rsidRDefault="00817BC5">
      <w:pPr>
        <w:pStyle w:val="TOC1"/>
        <w:tabs>
          <w:tab w:val="left" w:pos="1080"/>
        </w:tabs>
        <w:rPr>
          <w:rFonts w:asciiTheme="minorHAnsi" w:eastAsiaTheme="minorEastAsia" w:hAnsiTheme="minorHAnsi" w:cstheme="minorBidi"/>
          <w:bCs w:val="0"/>
          <w:noProof/>
        </w:rPr>
      </w:pPr>
      <w:hyperlink w:anchor="_Toc112942474" w:history="1">
        <w:r w:rsidR="00FA55F1" w:rsidRPr="00914C94">
          <w:rPr>
            <w:rStyle w:val="Hyperlink"/>
            <w:noProof/>
          </w:rPr>
          <w:t>Table 25</w:t>
        </w:r>
        <w:r w:rsidR="00FA55F1">
          <w:rPr>
            <w:rFonts w:asciiTheme="minorHAnsi" w:eastAsiaTheme="minorEastAsia" w:hAnsiTheme="minorHAnsi" w:cstheme="minorBidi"/>
            <w:bCs w:val="0"/>
            <w:noProof/>
          </w:rPr>
          <w:tab/>
        </w:r>
        <w:r w:rsidR="00FA55F1" w:rsidRPr="00914C94">
          <w:rPr>
            <w:rStyle w:val="Hyperlink"/>
            <w:noProof/>
          </w:rPr>
          <w:t>City of Mountain View Noise and Land use Compatibility Guidelines</w:t>
        </w:r>
        <w:r w:rsidR="00FA55F1">
          <w:rPr>
            <w:noProof/>
            <w:webHidden/>
          </w:rPr>
          <w:tab/>
        </w:r>
        <w:r w:rsidR="00FA55F1">
          <w:rPr>
            <w:noProof/>
            <w:webHidden/>
          </w:rPr>
          <w:fldChar w:fldCharType="begin"/>
        </w:r>
        <w:r w:rsidR="00FA55F1">
          <w:rPr>
            <w:noProof/>
            <w:webHidden/>
          </w:rPr>
          <w:instrText xml:space="preserve"> PAGEREF _Toc112942474 \h </w:instrText>
        </w:r>
        <w:r w:rsidR="00FA55F1">
          <w:rPr>
            <w:noProof/>
            <w:webHidden/>
          </w:rPr>
        </w:r>
        <w:r w:rsidR="00FA55F1">
          <w:rPr>
            <w:noProof/>
            <w:webHidden/>
          </w:rPr>
          <w:fldChar w:fldCharType="separate"/>
        </w:r>
        <w:r w:rsidR="00FA55F1">
          <w:rPr>
            <w:noProof/>
            <w:webHidden/>
          </w:rPr>
          <w:t>98</w:t>
        </w:r>
        <w:r w:rsidR="00FA55F1">
          <w:rPr>
            <w:noProof/>
            <w:webHidden/>
          </w:rPr>
          <w:fldChar w:fldCharType="end"/>
        </w:r>
      </w:hyperlink>
    </w:p>
    <w:p w14:paraId="2E05E48B" w14:textId="2DBFECD8" w:rsidR="00FA55F1" w:rsidRDefault="00817BC5">
      <w:pPr>
        <w:pStyle w:val="TOC1"/>
        <w:tabs>
          <w:tab w:val="left" w:pos="1080"/>
        </w:tabs>
        <w:rPr>
          <w:rFonts w:asciiTheme="minorHAnsi" w:eastAsiaTheme="minorEastAsia" w:hAnsiTheme="minorHAnsi" w:cstheme="minorBidi"/>
          <w:bCs w:val="0"/>
          <w:noProof/>
        </w:rPr>
      </w:pPr>
      <w:hyperlink w:anchor="_Toc112942475" w:history="1">
        <w:r w:rsidR="00FA55F1" w:rsidRPr="00914C94">
          <w:rPr>
            <w:rStyle w:val="Hyperlink"/>
            <w:noProof/>
          </w:rPr>
          <w:t>Table 26</w:t>
        </w:r>
        <w:r w:rsidR="00FA55F1">
          <w:rPr>
            <w:rFonts w:asciiTheme="minorHAnsi" w:eastAsiaTheme="minorEastAsia" w:hAnsiTheme="minorHAnsi" w:cstheme="minorBidi"/>
            <w:bCs w:val="0"/>
            <w:noProof/>
          </w:rPr>
          <w:tab/>
        </w:r>
        <w:r w:rsidR="00FA55F1" w:rsidRPr="00914C94">
          <w:rPr>
            <w:rStyle w:val="Hyperlink"/>
            <w:noProof/>
          </w:rPr>
          <w:t>Construction Noise Criteria</w:t>
        </w:r>
        <w:r w:rsidR="00FA55F1">
          <w:rPr>
            <w:noProof/>
            <w:webHidden/>
          </w:rPr>
          <w:tab/>
        </w:r>
        <w:r w:rsidR="00FA55F1">
          <w:rPr>
            <w:noProof/>
            <w:webHidden/>
          </w:rPr>
          <w:fldChar w:fldCharType="begin"/>
        </w:r>
        <w:r w:rsidR="00FA55F1">
          <w:rPr>
            <w:noProof/>
            <w:webHidden/>
          </w:rPr>
          <w:instrText xml:space="preserve"> PAGEREF _Toc112942475 \h </w:instrText>
        </w:r>
        <w:r w:rsidR="00FA55F1">
          <w:rPr>
            <w:noProof/>
            <w:webHidden/>
          </w:rPr>
        </w:r>
        <w:r w:rsidR="00FA55F1">
          <w:rPr>
            <w:noProof/>
            <w:webHidden/>
          </w:rPr>
          <w:fldChar w:fldCharType="separate"/>
        </w:r>
        <w:r w:rsidR="00FA55F1">
          <w:rPr>
            <w:noProof/>
            <w:webHidden/>
          </w:rPr>
          <w:t>100</w:t>
        </w:r>
        <w:r w:rsidR="00FA55F1">
          <w:rPr>
            <w:noProof/>
            <w:webHidden/>
          </w:rPr>
          <w:fldChar w:fldCharType="end"/>
        </w:r>
      </w:hyperlink>
    </w:p>
    <w:p w14:paraId="331D7F30" w14:textId="5FCE22DF" w:rsidR="00FA55F1" w:rsidRDefault="00817BC5">
      <w:pPr>
        <w:pStyle w:val="TOC1"/>
        <w:tabs>
          <w:tab w:val="left" w:pos="1080"/>
        </w:tabs>
        <w:rPr>
          <w:rFonts w:asciiTheme="minorHAnsi" w:eastAsiaTheme="minorEastAsia" w:hAnsiTheme="minorHAnsi" w:cstheme="minorBidi"/>
          <w:bCs w:val="0"/>
          <w:noProof/>
        </w:rPr>
      </w:pPr>
      <w:hyperlink w:anchor="_Toc112942476" w:history="1">
        <w:r w:rsidR="00FA55F1" w:rsidRPr="00914C94">
          <w:rPr>
            <w:rStyle w:val="Hyperlink"/>
            <w:noProof/>
          </w:rPr>
          <w:t>Table 27</w:t>
        </w:r>
        <w:r w:rsidR="00FA55F1">
          <w:rPr>
            <w:rFonts w:asciiTheme="minorHAnsi" w:eastAsiaTheme="minorEastAsia" w:hAnsiTheme="minorHAnsi" w:cstheme="minorBidi"/>
            <w:bCs w:val="0"/>
            <w:noProof/>
          </w:rPr>
          <w:tab/>
        </w:r>
        <w:r w:rsidR="00FA55F1" w:rsidRPr="00914C94">
          <w:rPr>
            <w:rStyle w:val="Hyperlink"/>
            <w:noProof/>
          </w:rPr>
          <w:t>Typical Construction Equipment Noise Levels</w:t>
        </w:r>
        <w:r w:rsidR="00FA55F1">
          <w:rPr>
            <w:noProof/>
            <w:webHidden/>
          </w:rPr>
          <w:tab/>
        </w:r>
        <w:r w:rsidR="00FA55F1">
          <w:rPr>
            <w:noProof/>
            <w:webHidden/>
          </w:rPr>
          <w:fldChar w:fldCharType="begin"/>
        </w:r>
        <w:r w:rsidR="00FA55F1">
          <w:rPr>
            <w:noProof/>
            <w:webHidden/>
          </w:rPr>
          <w:instrText xml:space="preserve"> PAGEREF _Toc112942476 \h </w:instrText>
        </w:r>
        <w:r w:rsidR="00FA55F1">
          <w:rPr>
            <w:noProof/>
            <w:webHidden/>
          </w:rPr>
        </w:r>
        <w:r w:rsidR="00FA55F1">
          <w:rPr>
            <w:noProof/>
            <w:webHidden/>
          </w:rPr>
          <w:fldChar w:fldCharType="separate"/>
        </w:r>
        <w:r w:rsidR="00FA55F1">
          <w:rPr>
            <w:noProof/>
            <w:webHidden/>
          </w:rPr>
          <w:t>101</w:t>
        </w:r>
        <w:r w:rsidR="00FA55F1">
          <w:rPr>
            <w:noProof/>
            <w:webHidden/>
          </w:rPr>
          <w:fldChar w:fldCharType="end"/>
        </w:r>
      </w:hyperlink>
    </w:p>
    <w:p w14:paraId="0DA53459" w14:textId="22EF35DD" w:rsidR="00FA55F1" w:rsidRDefault="00817BC5">
      <w:pPr>
        <w:pStyle w:val="TOC1"/>
        <w:tabs>
          <w:tab w:val="left" w:pos="1080"/>
        </w:tabs>
        <w:rPr>
          <w:rFonts w:asciiTheme="minorHAnsi" w:eastAsiaTheme="minorEastAsia" w:hAnsiTheme="minorHAnsi" w:cstheme="minorBidi"/>
          <w:bCs w:val="0"/>
          <w:noProof/>
        </w:rPr>
      </w:pPr>
      <w:hyperlink w:anchor="_Toc112942477" w:history="1">
        <w:r w:rsidR="00FA55F1" w:rsidRPr="00914C94">
          <w:rPr>
            <w:rStyle w:val="Hyperlink"/>
            <w:noProof/>
          </w:rPr>
          <w:t>Table 28</w:t>
        </w:r>
        <w:r w:rsidR="00FA55F1">
          <w:rPr>
            <w:rFonts w:asciiTheme="minorHAnsi" w:eastAsiaTheme="minorEastAsia" w:hAnsiTheme="minorHAnsi" w:cstheme="minorBidi"/>
            <w:bCs w:val="0"/>
            <w:noProof/>
          </w:rPr>
          <w:tab/>
        </w:r>
        <w:r w:rsidR="00FA55F1" w:rsidRPr="00914C94">
          <w:rPr>
            <w:rStyle w:val="Hyperlink"/>
            <w:noProof/>
          </w:rPr>
          <w:t>Vibration Levels Measured during Construction Activities</w:t>
        </w:r>
        <w:r w:rsidR="00FA55F1">
          <w:rPr>
            <w:noProof/>
            <w:webHidden/>
          </w:rPr>
          <w:tab/>
        </w:r>
        <w:r w:rsidR="00FA55F1">
          <w:rPr>
            <w:noProof/>
            <w:webHidden/>
          </w:rPr>
          <w:fldChar w:fldCharType="begin"/>
        </w:r>
        <w:r w:rsidR="00FA55F1">
          <w:rPr>
            <w:noProof/>
            <w:webHidden/>
          </w:rPr>
          <w:instrText xml:space="preserve"> PAGEREF _Toc112942477 \h </w:instrText>
        </w:r>
        <w:r w:rsidR="00FA55F1">
          <w:rPr>
            <w:noProof/>
            <w:webHidden/>
          </w:rPr>
        </w:r>
        <w:r w:rsidR="00FA55F1">
          <w:rPr>
            <w:noProof/>
            <w:webHidden/>
          </w:rPr>
          <w:fldChar w:fldCharType="separate"/>
        </w:r>
        <w:r w:rsidR="00FA55F1">
          <w:rPr>
            <w:noProof/>
            <w:webHidden/>
          </w:rPr>
          <w:t>102</w:t>
        </w:r>
        <w:r w:rsidR="00FA55F1">
          <w:rPr>
            <w:noProof/>
            <w:webHidden/>
          </w:rPr>
          <w:fldChar w:fldCharType="end"/>
        </w:r>
      </w:hyperlink>
    </w:p>
    <w:p w14:paraId="15D600FE" w14:textId="5E41C36C" w:rsidR="00FA55F1" w:rsidRDefault="00817BC5">
      <w:pPr>
        <w:pStyle w:val="TOC1"/>
        <w:tabs>
          <w:tab w:val="left" w:pos="1080"/>
        </w:tabs>
        <w:rPr>
          <w:rFonts w:asciiTheme="minorHAnsi" w:eastAsiaTheme="minorEastAsia" w:hAnsiTheme="minorHAnsi" w:cstheme="minorBidi"/>
          <w:bCs w:val="0"/>
          <w:noProof/>
        </w:rPr>
      </w:pPr>
      <w:hyperlink w:anchor="_Toc112942478" w:history="1">
        <w:r w:rsidR="00FA55F1" w:rsidRPr="00914C94">
          <w:rPr>
            <w:rStyle w:val="Hyperlink"/>
            <w:noProof/>
          </w:rPr>
          <w:t>Table 29</w:t>
        </w:r>
        <w:r w:rsidR="00FA55F1">
          <w:rPr>
            <w:rFonts w:asciiTheme="minorHAnsi" w:eastAsiaTheme="minorEastAsia" w:hAnsiTheme="minorHAnsi" w:cstheme="minorBidi"/>
            <w:bCs w:val="0"/>
            <w:noProof/>
          </w:rPr>
          <w:tab/>
        </w:r>
        <w:r w:rsidR="00FA55F1" w:rsidRPr="00914C94">
          <w:rPr>
            <w:rStyle w:val="Hyperlink"/>
            <w:noProof/>
          </w:rPr>
          <w:t>AASHTO Maximum Vibration Levels for Preventing Damage</w:t>
        </w:r>
        <w:r w:rsidR="00FA55F1">
          <w:rPr>
            <w:noProof/>
            <w:webHidden/>
          </w:rPr>
          <w:tab/>
        </w:r>
        <w:r w:rsidR="00FA55F1">
          <w:rPr>
            <w:noProof/>
            <w:webHidden/>
          </w:rPr>
          <w:fldChar w:fldCharType="begin"/>
        </w:r>
        <w:r w:rsidR="00FA55F1">
          <w:rPr>
            <w:noProof/>
            <w:webHidden/>
          </w:rPr>
          <w:instrText xml:space="preserve"> PAGEREF _Toc112942478 \h </w:instrText>
        </w:r>
        <w:r w:rsidR="00FA55F1">
          <w:rPr>
            <w:noProof/>
            <w:webHidden/>
          </w:rPr>
        </w:r>
        <w:r w:rsidR="00FA55F1">
          <w:rPr>
            <w:noProof/>
            <w:webHidden/>
          </w:rPr>
          <w:fldChar w:fldCharType="separate"/>
        </w:r>
        <w:r w:rsidR="00FA55F1">
          <w:rPr>
            <w:noProof/>
            <w:webHidden/>
          </w:rPr>
          <w:t>103</w:t>
        </w:r>
        <w:r w:rsidR="00FA55F1">
          <w:rPr>
            <w:noProof/>
            <w:webHidden/>
          </w:rPr>
          <w:fldChar w:fldCharType="end"/>
        </w:r>
      </w:hyperlink>
    </w:p>
    <w:p w14:paraId="4DF0CEC3" w14:textId="52230CB3" w:rsidR="00FA55F1" w:rsidRDefault="00817BC5">
      <w:pPr>
        <w:pStyle w:val="TOC1"/>
        <w:tabs>
          <w:tab w:val="left" w:pos="1080"/>
        </w:tabs>
        <w:rPr>
          <w:rFonts w:asciiTheme="minorHAnsi" w:eastAsiaTheme="minorEastAsia" w:hAnsiTheme="minorHAnsi" w:cstheme="minorBidi"/>
          <w:bCs w:val="0"/>
          <w:noProof/>
        </w:rPr>
      </w:pPr>
      <w:hyperlink w:anchor="_Toc112942479" w:history="1">
        <w:r w:rsidR="00FA55F1" w:rsidRPr="00914C94">
          <w:rPr>
            <w:rStyle w:val="Hyperlink"/>
            <w:noProof/>
          </w:rPr>
          <w:t>Table 30</w:t>
        </w:r>
        <w:r w:rsidR="00FA55F1">
          <w:rPr>
            <w:rFonts w:asciiTheme="minorHAnsi" w:eastAsiaTheme="minorEastAsia" w:hAnsiTheme="minorHAnsi" w:cstheme="minorBidi"/>
            <w:bCs w:val="0"/>
            <w:noProof/>
          </w:rPr>
          <w:tab/>
        </w:r>
        <w:r w:rsidR="00FA55F1" w:rsidRPr="00914C94">
          <w:rPr>
            <w:rStyle w:val="Hyperlink"/>
            <w:noProof/>
          </w:rPr>
          <w:t>Vibration Annoyance Potential Criteria</w:t>
        </w:r>
        <w:r w:rsidR="00FA55F1">
          <w:rPr>
            <w:noProof/>
            <w:webHidden/>
          </w:rPr>
          <w:tab/>
        </w:r>
        <w:r w:rsidR="00FA55F1">
          <w:rPr>
            <w:noProof/>
            <w:webHidden/>
          </w:rPr>
          <w:fldChar w:fldCharType="begin"/>
        </w:r>
        <w:r w:rsidR="00FA55F1">
          <w:rPr>
            <w:noProof/>
            <w:webHidden/>
          </w:rPr>
          <w:instrText xml:space="preserve"> PAGEREF _Toc112942479 \h </w:instrText>
        </w:r>
        <w:r w:rsidR="00FA55F1">
          <w:rPr>
            <w:noProof/>
            <w:webHidden/>
          </w:rPr>
        </w:r>
        <w:r w:rsidR="00FA55F1">
          <w:rPr>
            <w:noProof/>
            <w:webHidden/>
          </w:rPr>
          <w:fldChar w:fldCharType="separate"/>
        </w:r>
        <w:r w:rsidR="00FA55F1">
          <w:rPr>
            <w:noProof/>
            <w:webHidden/>
          </w:rPr>
          <w:t>103</w:t>
        </w:r>
        <w:r w:rsidR="00FA55F1">
          <w:rPr>
            <w:noProof/>
            <w:webHidden/>
          </w:rPr>
          <w:fldChar w:fldCharType="end"/>
        </w:r>
      </w:hyperlink>
    </w:p>
    <w:p w14:paraId="2A38FB6A" w14:textId="2E7FD2D0" w:rsidR="00FA55F1" w:rsidRDefault="00817BC5">
      <w:pPr>
        <w:pStyle w:val="TOC1"/>
        <w:tabs>
          <w:tab w:val="left" w:pos="1080"/>
        </w:tabs>
        <w:rPr>
          <w:rFonts w:asciiTheme="minorHAnsi" w:eastAsiaTheme="minorEastAsia" w:hAnsiTheme="minorHAnsi" w:cstheme="minorBidi"/>
          <w:bCs w:val="0"/>
          <w:noProof/>
        </w:rPr>
      </w:pPr>
      <w:hyperlink w:anchor="_Toc112942480" w:history="1">
        <w:r w:rsidR="00FA55F1" w:rsidRPr="00914C94">
          <w:rPr>
            <w:rStyle w:val="Hyperlink"/>
            <w:noProof/>
          </w:rPr>
          <w:t>Table 31</w:t>
        </w:r>
        <w:r w:rsidR="00FA55F1">
          <w:rPr>
            <w:rFonts w:asciiTheme="minorHAnsi" w:eastAsiaTheme="minorEastAsia" w:hAnsiTheme="minorHAnsi" w:cstheme="minorBidi"/>
            <w:bCs w:val="0"/>
            <w:noProof/>
          </w:rPr>
          <w:tab/>
        </w:r>
        <w:r w:rsidR="00FA55F1" w:rsidRPr="00914C94">
          <w:rPr>
            <w:rStyle w:val="Hyperlink"/>
            <w:noProof/>
          </w:rPr>
          <w:t>Existing Bus and Shuttle Services</w:t>
        </w:r>
        <w:r w:rsidR="00FA55F1">
          <w:rPr>
            <w:noProof/>
            <w:webHidden/>
          </w:rPr>
          <w:tab/>
        </w:r>
        <w:r w:rsidR="00FA55F1">
          <w:rPr>
            <w:noProof/>
            <w:webHidden/>
          </w:rPr>
          <w:fldChar w:fldCharType="begin"/>
        </w:r>
        <w:r w:rsidR="00FA55F1">
          <w:rPr>
            <w:noProof/>
            <w:webHidden/>
          </w:rPr>
          <w:instrText xml:space="preserve"> PAGEREF _Toc112942480 \h </w:instrText>
        </w:r>
        <w:r w:rsidR="00FA55F1">
          <w:rPr>
            <w:noProof/>
            <w:webHidden/>
          </w:rPr>
        </w:r>
        <w:r w:rsidR="00FA55F1">
          <w:rPr>
            <w:noProof/>
            <w:webHidden/>
          </w:rPr>
          <w:fldChar w:fldCharType="separate"/>
        </w:r>
        <w:r w:rsidR="00FA55F1">
          <w:rPr>
            <w:noProof/>
            <w:webHidden/>
          </w:rPr>
          <w:t>117</w:t>
        </w:r>
        <w:r w:rsidR="00FA55F1">
          <w:rPr>
            <w:noProof/>
            <w:webHidden/>
          </w:rPr>
          <w:fldChar w:fldCharType="end"/>
        </w:r>
      </w:hyperlink>
    </w:p>
    <w:p w14:paraId="6711CC8D" w14:textId="0DF3B9FC" w:rsidR="00FA55F1" w:rsidRDefault="00817BC5">
      <w:pPr>
        <w:pStyle w:val="TOC1"/>
        <w:tabs>
          <w:tab w:val="left" w:pos="1080"/>
        </w:tabs>
        <w:rPr>
          <w:rFonts w:asciiTheme="minorHAnsi" w:eastAsiaTheme="minorEastAsia" w:hAnsiTheme="minorHAnsi" w:cstheme="minorBidi"/>
          <w:bCs w:val="0"/>
          <w:noProof/>
        </w:rPr>
      </w:pPr>
      <w:hyperlink w:anchor="_Toc112942481" w:history="1">
        <w:r w:rsidR="00FA55F1" w:rsidRPr="00914C94">
          <w:rPr>
            <w:rStyle w:val="Hyperlink"/>
            <w:noProof/>
          </w:rPr>
          <w:t>Table 32</w:t>
        </w:r>
        <w:r w:rsidR="00FA55F1">
          <w:rPr>
            <w:rFonts w:asciiTheme="minorHAnsi" w:eastAsiaTheme="minorEastAsia" w:hAnsiTheme="minorHAnsi" w:cstheme="minorBidi"/>
            <w:bCs w:val="0"/>
            <w:noProof/>
          </w:rPr>
          <w:tab/>
        </w:r>
        <w:r w:rsidR="00FA55F1" w:rsidRPr="00914C94">
          <w:rPr>
            <w:rStyle w:val="Hyperlink"/>
            <w:noProof/>
          </w:rPr>
          <w:t>Project Trip Generation</w:t>
        </w:r>
        <w:r w:rsidR="00FA55F1">
          <w:rPr>
            <w:noProof/>
            <w:webHidden/>
          </w:rPr>
          <w:tab/>
        </w:r>
        <w:r w:rsidR="00FA55F1">
          <w:rPr>
            <w:noProof/>
            <w:webHidden/>
          </w:rPr>
          <w:fldChar w:fldCharType="begin"/>
        </w:r>
        <w:r w:rsidR="00FA55F1">
          <w:rPr>
            <w:noProof/>
            <w:webHidden/>
          </w:rPr>
          <w:instrText xml:space="preserve"> PAGEREF _Toc112942481 \h </w:instrText>
        </w:r>
        <w:r w:rsidR="00FA55F1">
          <w:rPr>
            <w:noProof/>
            <w:webHidden/>
          </w:rPr>
        </w:r>
        <w:r w:rsidR="00FA55F1">
          <w:rPr>
            <w:noProof/>
            <w:webHidden/>
          </w:rPr>
          <w:fldChar w:fldCharType="separate"/>
        </w:r>
        <w:r w:rsidR="00FA55F1">
          <w:rPr>
            <w:noProof/>
            <w:webHidden/>
          </w:rPr>
          <w:t>120</w:t>
        </w:r>
        <w:r w:rsidR="00FA55F1">
          <w:rPr>
            <w:noProof/>
            <w:webHidden/>
          </w:rPr>
          <w:fldChar w:fldCharType="end"/>
        </w:r>
      </w:hyperlink>
    </w:p>
    <w:p w14:paraId="30E11C28" w14:textId="67AA5512" w:rsidR="00FA55F1" w:rsidRDefault="00817BC5">
      <w:pPr>
        <w:pStyle w:val="TOC1"/>
        <w:tabs>
          <w:tab w:val="left" w:pos="1080"/>
        </w:tabs>
        <w:rPr>
          <w:rFonts w:asciiTheme="minorHAnsi" w:eastAsiaTheme="minorEastAsia" w:hAnsiTheme="minorHAnsi" w:cstheme="minorBidi"/>
          <w:bCs w:val="0"/>
          <w:noProof/>
        </w:rPr>
      </w:pPr>
      <w:hyperlink w:anchor="_Toc112942482" w:history="1">
        <w:r w:rsidR="00FA55F1" w:rsidRPr="00914C94">
          <w:rPr>
            <w:rStyle w:val="Hyperlink"/>
            <w:noProof/>
          </w:rPr>
          <w:t xml:space="preserve">Table 33 </w:t>
        </w:r>
        <w:r w:rsidR="00FA55F1">
          <w:rPr>
            <w:rFonts w:asciiTheme="minorHAnsi" w:eastAsiaTheme="minorEastAsia" w:hAnsiTheme="minorHAnsi" w:cstheme="minorBidi"/>
            <w:bCs w:val="0"/>
            <w:noProof/>
          </w:rPr>
          <w:tab/>
        </w:r>
        <w:r w:rsidR="00FA55F1" w:rsidRPr="00914C94">
          <w:rPr>
            <w:rStyle w:val="Hyperlink"/>
            <w:noProof/>
          </w:rPr>
          <w:t>Project Consistency with General Plan Mobility Element</w:t>
        </w:r>
        <w:r w:rsidR="00FA55F1">
          <w:rPr>
            <w:noProof/>
            <w:webHidden/>
          </w:rPr>
          <w:tab/>
        </w:r>
        <w:r w:rsidR="00FA55F1">
          <w:rPr>
            <w:noProof/>
            <w:webHidden/>
          </w:rPr>
          <w:fldChar w:fldCharType="begin"/>
        </w:r>
        <w:r w:rsidR="00FA55F1">
          <w:rPr>
            <w:noProof/>
            <w:webHidden/>
          </w:rPr>
          <w:instrText xml:space="preserve"> PAGEREF _Toc112942482 \h </w:instrText>
        </w:r>
        <w:r w:rsidR="00FA55F1">
          <w:rPr>
            <w:noProof/>
            <w:webHidden/>
          </w:rPr>
        </w:r>
        <w:r w:rsidR="00FA55F1">
          <w:rPr>
            <w:noProof/>
            <w:webHidden/>
          </w:rPr>
          <w:fldChar w:fldCharType="separate"/>
        </w:r>
        <w:r w:rsidR="00FA55F1">
          <w:rPr>
            <w:noProof/>
            <w:webHidden/>
          </w:rPr>
          <w:t>122</w:t>
        </w:r>
        <w:r w:rsidR="00FA55F1">
          <w:rPr>
            <w:noProof/>
            <w:webHidden/>
          </w:rPr>
          <w:fldChar w:fldCharType="end"/>
        </w:r>
      </w:hyperlink>
    </w:p>
    <w:p w14:paraId="470209B1" w14:textId="5173D7FA" w:rsidR="00FA55F1" w:rsidRDefault="00817BC5">
      <w:pPr>
        <w:pStyle w:val="TOC1"/>
        <w:tabs>
          <w:tab w:val="left" w:pos="1080"/>
        </w:tabs>
        <w:rPr>
          <w:rFonts w:asciiTheme="minorHAnsi" w:eastAsiaTheme="minorEastAsia" w:hAnsiTheme="minorHAnsi" w:cstheme="minorBidi"/>
          <w:bCs w:val="0"/>
          <w:noProof/>
        </w:rPr>
      </w:pPr>
      <w:hyperlink w:anchor="_Toc112942483" w:history="1">
        <w:r w:rsidR="00FA55F1" w:rsidRPr="00914C94">
          <w:rPr>
            <w:rStyle w:val="Hyperlink"/>
            <w:noProof/>
          </w:rPr>
          <w:t>Table 34</w:t>
        </w:r>
        <w:r w:rsidR="00FA55F1">
          <w:rPr>
            <w:rFonts w:asciiTheme="minorHAnsi" w:eastAsiaTheme="minorEastAsia" w:hAnsiTheme="minorHAnsi" w:cstheme="minorBidi"/>
            <w:bCs w:val="0"/>
            <w:noProof/>
          </w:rPr>
          <w:tab/>
        </w:r>
        <w:r w:rsidR="00FA55F1" w:rsidRPr="00914C94">
          <w:rPr>
            <w:rStyle w:val="Hyperlink"/>
            <w:noProof/>
          </w:rPr>
          <w:t>2045 Projected Water Supply and Demand Comparison</w:t>
        </w:r>
        <w:r w:rsidR="00FA55F1">
          <w:rPr>
            <w:noProof/>
            <w:webHidden/>
          </w:rPr>
          <w:tab/>
        </w:r>
        <w:r w:rsidR="00FA55F1">
          <w:rPr>
            <w:noProof/>
            <w:webHidden/>
          </w:rPr>
          <w:fldChar w:fldCharType="begin"/>
        </w:r>
        <w:r w:rsidR="00FA55F1">
          <w:rPr>
            <w:noProof/>
            <w:webHidden/>
          </w:rPr>
          <w:instrText xml:space="preserve"> PAGEREF _Toc112942483 \h </w:instrText>
        </w:r>
        <w:r w:rsidR="00FA55F1">
          <w:rPr>
            <w:noProof/>
            <w:webHidden/>
          </w:rPr>
        </w:r>
        <w:r w:rsidR="00FA55F1">
          <w:rPr>
            <w:noProof/>
            <w:webHidden/>
          </w:rPr>
          <w:fldChar w:fldCharType="separate"/>
        </w:r>
        <w:r w:rsidR="00FA55F1">
          <w:rPr>
            <w:noProof/>
            <w:webHidden/>
          </w:rPr>
          <w:t>130</w:t>
        </w:r>
        <w:r w:rsidR="00FA55F1">
          <w:rPr>
            <w:noProof/>
            <w:webHidden/>
          </w:rPr>
          <w:fldChar w:fldCharType="end"/>
        </w:r>
      </w:hyperlink>
    </w:p>
    <w:p w14:paraId="343A9901" w14:textId="55BFD24B" w:rsidR="00FA55F1" w:rsidRDefault="00817BC5">
      <w:pPr>
        <w:pStyle w:val="TOC1"/>
        <w:tabs>
          <w:tab w:val="left" w:pos="1080"/>
        </w:tabs>
        <w:rPr>
          <w:rFonts w:asciiTheme="minorHAnsi" w:eastAsiaTheme="minorEastAsia" w:hAnsiTheme="minorHAnsi" w:cstheme="minorBidi"/>
          <w:bCs w:val="0"/>
          <w:noProof/>
        </w:rPr>
      </w:pPr>
      <w:hyperlink w:anchor="_Toc112942484" w:history="1">
        <w:r w:rsidR="00FA55F1" w:rsidRPr="00914C94">
          <w:rPr>
            <w:rStyle w:val="Hyperlink"/>
            <w:noProof/>
          </w:rPr>
          <w:t>Table 35</w:t>
        </w:r>
        <w:r w:rsidR="00FA55F1">
          <w:rPr>
            <w:rFonts w:asciiTheme="minorHAnsi" w:eastAsiaTheme="minorEastAsia" w:hAnsiTheme="minorHAnsi" w:cstheme="minorBidi"/>
            <w:bCs w:val="0"/>
            <w:noProof/>
          </w:rPr>
          <w:tab/>
        </w:r>
        <w:r w:rsidR="00FA55F1" w:rsidRPr="00914C94">
          <w:rPr>
            <w:rStyle w:val="Hyperlink"/>
            <w:noProof/>
          </w:rPr>
          <w:t>Generated Solid Waste and Estimated Landfill Capacity</w:t>
        </w:r>
        <w:r w:rsidR="00FA55F1">
          <w:rPr>
            <w:noProof/>
            <w:webHidden/>
          </w:rPr>
          <w:tab/>
        </w:r>
        <w:r w:rsidR="00FA55F1">
          <w:rPr>
            <w:noProof/>
            <w:webHidden/>
          </w:rPr>
          <w:fldChar w:fldCharType="begin"/>
        </w:r>
        <w:r w:rsidR="00FA55F1">
          <w:rPr>
            <w:noProof/>
            <w:webHidden/>
          </w:rPr>
          <w:instrText xml:space="preserve"> PAGEREF _Toc112942484 \h </w:instrText>
        </w:r>
        <w:r w:rsidR="00FA55F1">
          <w:rPr>
            <w:noProof/>
            <w:webHidden/>
          </w:rPr>
        </w:r>
        <w:r w:rsidR="00FA55F1">
          <w:rPr>
            <w:noProof/>
            <w:webHidden/>
          </w:rPr>
          <w:fldChar w:fldCharType="separate"/>
        </w:r>
        <w:r w:rsidR="00FA55F1">
          <w:rPr>
            <w:noProof/>
            <w:webHidden/>
          </w:rPr>
          <w:t>135</w:t>
        </w:r>
        <w:r w:rsidR="00FA55F1">
          <w:rPr>
            <w:noProof/>
            <w:webHidden/>
          </w:rPr>
          <w:fldChar w:fldCharType="end"/>
        </w:r>
      </w:hyperlink>
    </w:p>
    <w:p w14:paraId="4FE89E33" w14:textId="470C7CB3" w:rsidR="00CC150D" w:rsidRPr="00583DE2" w:rsidRDefault="00ED38A9" w:rsidP="00275B75">
      <w:pPr>
        <w:pStyle w:val="TOCHeading"/>
        <w:spacing w:before="240" w:after="60"/>
        <w:rPr>
          <w:rFonts w:ascii="Century Gothic" w:hAnsi="Century Gothic"/>
        </w:rPr>
      </w:pPr>
      <w:r w:rsidRPr="00583DE2">
        <w:rPr>
          <w:sz w:val="22"/>
          <w:szCs w:val="22"/>
        </w:rPr>
        <w:fldChar w:fldCharType="end"/>
      </w:r>
      <w:bookmarkStart w:id="8" w:name="_Hlk83968521"/>
      <w:r w:rsidR="00CC150D" w:rsidRPr="00583DE2">
        <w:rPr>
          <w:rFonts w:ascii="Century Gothic" w:hAnsi="Century Gothic"/>
        </w:rPr>
        <w:t>Figure</w:t>
      </w:r>
      <w:r w:rsidR="00E0361B" w:rsidRPr="00583DE2">
        <w:rPr>
          <w:rFonts w:ascii="Century Gothic" w:hAnsi="Century Gothic"/>
        </w:rPr>
        <w:t>s</w:t>
      </w:r>
    </w:p>
    <w:p w14:paraId="3CB09013" w14:textId="24C0E799" w:rsidR="00FA55F1" w:rsidRDefault="00A63B58">
      <w:pPr>
        <w:pStyle w:val="TOC1"/>
        <w:tabs>
          <w:tab w:val="left" w:pos="1080"/>
        </w:tabs>
        <w:rPr>
          <w:rFonts w:asciiTheme="minorHAnsi" w:eastAsiaTheme="minorEastAsia" w:hAnsiTheme="minorHAnsi" w:cstheme="minorBidi"/>
          <w:bCs w:val="0"/>
          <w:noProof/>
        </w:rPr>
      </w:pPr>
      <w:r w:rsidRPr="00583DE2">
        <w:rPr>
          <w:rFonts w:asciiTheme="minorHAnsi" w:hAnsiTheme="minorHAnsi"/>
        </w:rPr>
        <w:fldChar w:fldCharType="begin"/>
      </w:r>
      <w:r w:rsidRPr="00583DE2">
        <w:rPr>
          <w:rFonts w:asciiTheme="minorHAnsi" w:hAnsiTheme="minorHAnsi"/>
        </w:rPr>
        <w:instrText xml:space="preserve"> TOC \h \z \t "Figure Caption,1" </w:instrText>
      </w:r>
      <w:r w:rsidRPr="00583DE2">
        <w:rPr>
          <w:rFonts w:asciiTheme="minorHAnsi" w:hAnsiTheme="minorHAnsi"/>
        </w:rPr>
        <w:fldChar w:fldCharType="separate"/>
      </w:r>
      <w:hyperlink w:anchor="_Toc112942485" w:history="1">
        <w:r w:rsidR="00FA55F1" w:rsidRPr="00545AC7">
          <w:rPr>
            <w:rStyle w:val="Hyperlink"/>
            <w:noProof/>
          </w:rPr>
          <w:t>Figure 1</w:t>
        </w:r>
        <w:r w:rsidR="00FA55F1">
          <w:rPr>
            <w:rFonts w:asciiTheme="minorHAnsi" w:eastAsiaTheme="minorEastAsia" w:hAnsiTheme="minorHAnsi" w:cstheme="minorBidi"/>
            <w:bCs w:val="0"/>
            <w:noProof/>
          </w:rPr>
          <w:tab/>
        </w:r>
        <w:r w:rsidR="00FA55F1" w:rsidRPr="00545AC7">
          <w:rPr>
            <w:rStyle w:val="Hyperlink"/>
            <w:noProof/>
          </w:rPr>
          <w:t>Regional Location</w:t>
        </w:r>
        <w:r w:rsidR="00FA55F1">
          <w:rPr>
            <w:noProof/>
            <w:webHidden/>
          </w:rPr>
          <w:tab/>
        </w:r>
        <w:r w:rsidR="00FA55F1">
          <w:rPr>
            <w:noProof/>
            <w:webHidden/>
          </w:rPr>
          <w:fldChar w:fldCharType="begin"/>
        </w:r>
        <w:r w:rsidR="00FA55F1">
          <w:rPr>
            <w:noProof/>
            <w:webHidden/>
          </w:rPr>
          <w:instrText xml:space="preserve"> PAGEREF _Toc112942485 \h </w:instrText>
        </w:r>
        <w:r w:rsidR="00FA55F1">
          <w:rPr>
            <w:noProof/>
            <w:webHidden/>
          </w:rPr>
        </w:r>
        <w:r w:rsidR="00FA55F1">
          <w:rPr>
            <w:noProof/>
            <w:webHidden/>
          </w:rPr>
          <w:fldChar w:fldCharType="separate"/>
        </w:r>
        <w:r w:rsidR="00FA55F1">
          <w:rPr>
            <w:noProof/>
            <w:webHidden/>
          </w:rPr>
          <w:t>2</w:t>
        </w:r>
        <w:r w:rsidR="00FA55F1">
          <w:rPr>
            <w:noProof/>
            <w:webHidden/>
          </w:rPr>
          <w:fldChar w:fldCharType="end"/>
        </w:r>
      </w:hyperlink>
    </w:p>
    <w:p w14:paraId="5C940E81" w14:textId="6419FCC0" w:rsidR="00FA55F1" w:rsidRDefault="00817BC5">
      <w:pPr>
        <w:pStyle w:val="TOC1"/>
        <w:tabs>
          <w:tab w:val="left" w:pos="1080"/>
        </w:tabs>
        <w:rPr>
          <w:rFonts w:asciiTheme="minorHAnsi" w:eastAsiaTheme="minorEastAsia" w:hAnsiTheme="minorHAnsi" w:cstheme="minorBidi"/>
          <w:bCs w:val="0"/>
          <w:noProof/>
        </w:rPr>
      </w:pPr>
      <w:hyperlink w:anchor="_Toc112942486" w:history="1">
        <w:r w:rsidR="00FA55F1" w:rsidRPr="00545AC7">
          <w:rPr>
            <w:rStyle w:val="Hyperlink"/>
            <w:noProof/>
          </w:rPr>
          <w:t>Figure 2</w:t>
        </w:r>
        <w:r w:rsidR="00FA55F1">
          <w:rPr>
            <w:rFonts w:asciiTheme="minorHAnsi" w:eastAsiaTheme="minorEastAsia" w:hAnsiTheme="minorHAnsi" w:cstheme="minorBidi"/>
            <w:bCs w:val="0"/>
            <w:noProof/>
          </w:rPr>
          <w:tab/>
        </w:r>
        <w:r w:rsidR="00FA55F1" w:rsidRPr="00545AC7">
          <w:rPr>
            <w:rStyle w:val="Hyperlink"/>
            <w:noProof/>
          </w:rPr>
          <w:t>Project Site</w:t>
        </w:r>
        <w:r w:rsidR="00FA55F1">
          <w:rPr>
            <w:noProof/>
            <w:webHidden/>
          </w:rPr>
          <w:tab/>
        </w:r>
        <w:r w:rsidR="00FA55F1">
          <w:rPr>
            <w:noProof/>
            <w:webHidden/>
          </w:rPr>
          <w:fldChar w:fldCharType="begin"/>
        </w:r>
        <w:r w:rsidR="00FA55F1">
          <w:rPr>
            <w:noProof/>
            <w:webHidden/>
          </w:rPr>
          <w:instrText xml:space="preserve"> PAGEREF _Toc112942486 \h </w:instrText>
        </w:r>
        <w:r w:rsidR="00FA55F1">
          <w:rPr>
            <w:noProof/>
            <w:webHidden/>
          </w:rPr>
        </w:r>
        <w:r w:rsidR="00FA55F1">
          <w:rPr>
            <w:noProof/>
            <w:webHidden/>
          </w:rPr>
          <w:fldChar w:fldCharType="separate"/>
        </w:r>
        <w:r w:rsidR="00FA55F1">
          <w:rPr>
            <w:noProof/>
            <w:webHidden/>
          </w:rPr>
          <w:t>3</w:t>
        </w:r>
        <w:r w:rsidR="00FA55F1">
          <w:rPr>
            <w:noProof/>
            <w:webHidden/>
          </w:rPr>
          <w:fldChar w:fldCharType="end"/>
        </w:r>
      </w:hyperlink>
    </w:p>
    <w:p w14:paraId="36FD5064" w14:textId="76FADBBA" w:rsidR="00FA55F1" w:rsidRDefault="00817BC5">
      <w:pPr>
        <w:pStyle w:val="TOC1"/>
        <w:tabs>
          <w:tab w:val="left" w:pos="1080"/>
        </w:tabs>
        <w:rPr>
          <w:rFonts w:asciiTheme="minorHAnsi" w:eastAsiaTheme="minorEastAsia" w:hAnsiTheme="minorHAnsi" w:cstheme="minorBidi"/>
          <w:bCs w:val="0"/>
          <w:noProof/>
        </w:rPr>
      </w:pPr>
      <w:hyperlink w:anchor="_Toc112942487" w:history="1">
        <w:r w:rsidR="00FA55F1" w:rsidRPr="00545AC7">
          <w:rPr>
            <w:rStyle w:val="Hyperlink"/>
            <w:noProof/>
          </w:rPr>
          <w:t>Figure 3</w:t>
        </w:r>
        <w:r w:rsidR="00FA55F1">
          <w:rPr>
            <w:rFonts w:asciiTheme="minorHAnsi" w:eastAsiaTheme="minorEastAsia" w:hAnsiTheme="minorHAnsi" w:cstheme="minorBidi"/>
            <w:bCs w:val="0"/>
            <w:noProof/>
          </w:rPr>
          <w:tab/>
        </w:r>
        <w:r w:rsidR="00FA55F1" w:rsidRPr="00545AC7">
          <w:rPr>
            <w:rStyle w:val="Hyperlink"/>
            <w:noProof/>
          </w:rPr>
          <w:t>Proposed Site Plan</w:t>
        </w:r>
        <w:r w:rsidR="00FA55F1">
          <w:rPr>
            <w:noProof/>
            <w:webHidden/>
          </w:rPr>
          <w:tab/>
        </w:r>
        <w:r w:rsidR="00FA55F1">
          <w:rPr>
            <w:noProof/>
            <w:webHidden/>
          </w:rPr>
          <w:fldChar w:fldCharType="begin"/>
        </w:r>
        <w:r w:rsidR="00FA55F1">
          <w:rPr>
            <w:noProof/>
            <w:webHidden/>
          </w:rPr>
          <w:instrText xml:space="preserve"> PAGEREF _Toc112942487 \h </w:instrText>
        </w:r>
        <w:r w:rsidR="00FA55F1">
          <w:rPr>
            <w:noProof/>
            <w:webHidden/>
          </w:rPr>
        </w:r>
        <w:r w:rsidR="00FA55F1">
          <w:rPr>
            <w:noProof/>
            <w:webHidden/>
          </w:rPr>
          <w:fldChar w:fldCharType="separate"/>
        </w:r>
        <w:r w:rsidR="00FA55F1">
          <w:rPr>
            <w:noProof/>
            <w:webHidden/>
          </w:rPr>
          <w:t>5</w:t>
        </w:r>
        <w:r w:rsidR="00FA55F1">
          <w:rPr>
            <w:noProof/>
            <w:webHidden/>
          </w:rPr>
          <w:fldChar w:fldCharType="end"/>
        </w:r>
      </w:hyperlink>
    </w:p>
    <w:p w14:paraId="2F01EAE4" w14:textId="09BD61FB" w:rsidR="00FA55F1" w:rsidRDefault="00817BC5">
      <w:pPr>
        <w:pStyle w:val="TOC1"/>
        <w:tabs>
          <w:tab w:val="left" w:pos="1080"/>
        </w:tabs>
        <w:rPr>
          <w:rFonts w:asciiTheme="minorHAnsi" w:eastAsiaTheme="minorEastAsia" w:hAnsiTheme="minorHAnsi" w:cstheme="minorBidi"/>
          <w:bCs w:val="0"/>
          <w:noProof/>
        </w:rPr>
      </w:pPr>
      <w:hyperlink w:anchor="_Toc112942488" w:history="1">
        <w:r w:rsidR="00FA55F1" w:rsidRPr="00545AC7">
          <w:rPr>
            <w:rStyle w:val="Hyperlink"/>
            <w:noProof/>
          </w:rPr>
          <w:t>Figure 4</w:t>
        </w:r>
        <w:r w:rsidR="00FA55F1">
          <w:rPr>
            <w:rFonts w:asciiTheme="minorHAnsi" w:eastAsiaTheme="minorEastAsia" w:hAnsiTheme="minorHAnsi" w:cstheme="minorBidi"/>
            <w:bCs w:val="0"/>
            <w:noProof/>
          </w:rPr>
          <w:tab/>
        </w:r>
        <w:r w:rsidR="00FA55F1" w:rsidRPr="00545AC7">
          <w:rPr>
            <w:rStyle w:val="Hyperlink"/>
            <w:noProof/>
          </w:rPr>
          <w:t>Proposed Building Concept – Simulated View from Terra Bella Avenue Looking East</w:t>
        </w:r>
        <w:r w:rsidR="00FA55F1">
          <w:rPr>
            <w:noProof/>
            <w:webHidden/>
          </w:rPr>
          <w:tab/>
        </w:r>
        <w:r w:rsidR="00FA55F1">
          <w:rPr>
            <w:noProof/>
            <w:webHidden/>
          </w:rPr>
          <w:fldChar w:fldCharType="begin"/>
        </w:r>
        <w:r w:rsidR="00FA55F1">
          <w:rPr>
            <w:noProof/>
            <w:webHidden/>
          </w:rPr>
          <w:instrText xml:space="preserve"> PAGEREF _Toc112942488 \h </w:instrText>
        </w:r>
        <w:r w:rsidR="00FA55F1">
          <w:rPr>
            <w:noProof/>
            <w:webHidden/>
          </w:rPr>
        </w:r>
        <w:r w:rsidR="00FA55F1">
          <w:rPr>
            <w:noProof/>
            <w:webHidden/>
          </w:rPr>
          <w:fldChar w:fldCharType="separate"/>
        </w:r>
        <w:r w:rsidR="00FA55F1">
          <w:rPr>
            <w:noProof/>
            <w:webHidden/>
          </w:rPr>
          <w:t>6</w:t>
        </w:r>
        <w:r w:rsidR="00FA55F1">
          <w:rPr>
            <w:noProof/>
            <w:webHidden/>
          </w:rPr>
          <w:fldChar w:fldCharType="end"/>
        </w:r>
      </w:hyperlink>
    </w:p>
    <w:p w14:paraId="779CE924" w14:textId="477656C4" w:rsidR="00FA55F1" w:rsidRDefault="00817BC5">
      <w:pPr>
        <w:pStyle w:val="TOC1"/>
        <w:tabs>
          <w:tab w:val="left" w:pos="1080"/>
        </w:tabs>
        <w:rPr>
          <w:rFonts w:asciiTheme="minorHAnsi" w:eastAsiaTheme="minorEastAsia" w:hAnsiTheme="minorHAnsi" w:cstheme="minorBidi"/>
          <w:bCs w:val="0"/>
          <w:noProof/>
        </w:rPr>
      </w:pPr>
      <w:hyperlink w:anchor="_Toc112942489" w:history="1">
        <w:r w:rsidR="00FA55F1" w:rsidRPr="00545AC7">
          <w:rPr>
            <w:rStyle w:val="Hyperlink"/>
            <w:noProof/>
          </w:rPr>
          <w:t>Figure 5</w:t>
        </w:r>
        <w:r w:rsidR="00FA55F1">
          <w:rPr>
            <w:rFonts w:asciiTheme="minorHAnsi" w:eastAsiaTheme="minorEastAsia" w:hAnsiTheme="minorHAnsi" w:cstheme="minorBidi"/>
            <w:bCs w:val="0"/>
            <w:noProof/>
          </w:rPr>
          <w:tab/>
        </w:r>
        <w:r w:rsidR="00FA55F1" w:rsidRPr="00545AC7">
          <w:rPr>
            <w:rStyle w:val="Hyperlink"/>
            <w:noProof/>
          </w:rPr>
          <w:t>Proposed Building Concept – Simulated View from Terra Bella Avenue Looking West</w:t>
        </w:r>
        <w:r w:rsidR="00FA55F1">
          <w:rPr>
            <w:noProof/>
            <w:webHidden/>
          </w:rPr>
          <w:tab/>
        </w:r>
        <w:r w:rsidR="00FA55F1">
          <w:rPr>
            <w:noProof/>
            <w:webHidden/>
          </w:rPr>
          <w:fldChar w:fldCharType="begin"/>
        </w:r>
        <w:r w:rsidR="00FA55F1">
          <w:rPr>
            <w:noProof/>
            <w:webHidden/>
          </w:rPr>
          <w:instrText xml:space="preserve"> PAGEREF _Toc112942489 \h </w:instrText>
        </w:r>
        <w:r w:rsidR="00FA55F1">
          <w:rPr>
            <w:noProof/>
            <w:webHidden/>
          </w:rPr>
        </w:r>
        <w:r w:rsidR="00FA55F1">
          <w:rPr>
            <w:noProof/>
            <w:webHidden/>
          </w:rPr>
          <w:fldChar w:fldCharType="separate"/>
        </w:r>
        <w:r w:rsidR="00FA55F1">
          <w:rPr>
            <w:noProof/>
            <w:webHidden/>
          </w:rPr>
          <w:t>7</w:t>
        </w:r>
        <w:r w:rsidR="00FA55F1">
          <w:rPr>
            <w:noProof/>
            <w:webHidden/>
          </w:rPr>
          <w:fldChar w:fldCharType="end"/>
        </w:r>
      </w:hyperlink>
    </w:p>
    <w:p w14:paraId="59A912BF" w14:textId="642B312C" w:rsidR="00FA55F1" w:rsidRDefault="00817BC5">
      <w:pPr>
        <w:pStyle w:val="TOC1"/>
        <w:tabs>
          <w:tab w:val="left" w:pos="1080"/>
        </w:tabs>
        <w:rPr>
          <w:rFonts w:asciiTheme="minorHAnsi" w:eastAsiaTheme="minorEastAsia" w:hAnsiTheme="minorHAnsi" w:cstheme="minorBidi"/>
          <w:bCs w:val="0"/>
          <w:noProof/>
        </w:rPr>
      </w:pPr>
      <w:hyperlink w:anchor="_Toc112942490" w:history="1">
        <w:r w:rsidR="00FA55F1" w:rsidRPr="00545AC7">
          <w:rPr>
            <w:rStyle w:val="Hyperlink"/>
            <w:noProof/>
          </w:rPr>
          <w:t>Figure 6</w:t>
        </w:r>
        <w:r w:rsidR="00FA55F1">
          <w:rPr>
            <w:rFonts w:asciiTheme="minorHAnsi" w:eastAsiaTheme="minorEastAsia" w:hAnsiTheme="minorHAnsi" w:cstheme="minorBidi"/>
            <w:bCs w:val="0"/>
            <w:noProof/>
          </w:rPr>
          <w:tab/>
        </w:r>
        <w:r w:rsidR="00FA55F1" w:rsidRPr="00545AC7">
          <w:rPr>
            <w:rStyle w:val="Hyperlink"/>
            <w:noProof/>
          </w:rPr>
          <w:t>Proposed Building Concept – Simulated View from Site Interior</w:t>
        </w:r>
        <w:r w:rsidR="00FA55F1">
          <w:rPr>
            <w:noProof/>
            <w:webHidden/>
          </w:rPr>
          <w:tab/>
        </w:r>
        <w:r w:rsidR="00FA55F1">
          <w:rPr>
            <w:noProof/>
            <w:webHidden/>
          </w:rPr>
          <w:fldChar w:fldCharType="begin"/>
        </w:r>
        <w:r w:rsidR="00FA55F1">
          <w:rPr>
            <w:noProof/>
            <w:webHidden/>
          </w:rPr>
          <w:instrText xml:space="preserve"> PAGEREF _Toc112942490 \h </w:instrText>
        </w:r>
        <w:r w:rsidR="00FA55F1">
          <w:rPr>
            <w:noProof/>
            <w:webHidden/>
          </w:rPr>
        </w:r>
        <w:r w:rsidR="00FA55F1">
          <w:rPr>
            <w:noProof/>
            <w:webHidden/>
          </w:rPr>
          <w:fldChar w:fldCharType="separate"/>
        </w:r>
        <w:r w:rsidR="00FA55F1">
          <w:rPr>
            <w:noProof/>
            <w:webHidden/>
          </w:rPr>
          <w:t>8</w:t>
        </w:r>
        <w:r w:rsidR="00FA55F1">
          <w:rPr>
            <w:noProof/>
            <w:webHidden/>
          </w:rPr>
          <w:fldChar w:fldCharType="end"/>
        </w:r>
      </w:hyperlink>
    </w:p>
    <w:p w14:paraId="57852796" w14:textId="46410F37" w:rsidR="00157310" w:rsidRPr="00583DE2" w:rsidRDefault="00A63B58" w:rsidP="00A63B58">
      <w:pPr>
        <w:pStyle w:val="TOCHeading"/>
        <w:spacing w:before="240" w:after="60"/>
        <w:rPr>
          <w:rFonts w:ascii="Century Gothic" w:hAnsi="Century Gothic"/>
        </w:rPr>
      </w:pPr>
      <w:r w:rsidRPr="00583DE2">
        <w:rPr>
          <w:sz w:val="22"/>
          <w:szCs w:val="22"/>
        </w:rPr>
        <w:fldChar w:fldCharType="end"/>
      </w:r>
      <w:bookmarkEnd w:id="8"/>
      <w:r w:rsidR="00B35ECC" w:rsidRPr="00583DE2">
        <w:rPr>
          <w:rFonts w:ascii="Century Gothic" w:hAnsi="Century Gothic"/>
        </w:rPr>
        <w:t>Appendices</w:t>
      </w:r>
    </w:p>
    <w:p w14:paraId="2A4C9CA1" w14:textId="4CFD9B82" w:rsidR="00B90E01" w:rsidRPr="00583DE2" w:rsidRDefault="004A01EF" w:rsidP="00EB4901">
      <w:pPr>
        <w:pStyle w:val="BodyText"/>
        <w:tabs>
          <w:tab w:val="left" w:pos="1710"/>
        </w:tabs>
        <w:spacing w:before="60" w:after="60"/>
      </w:pPr>
      <w:r w:rsidRPr="00583DE2">
        <w:t>Appendix A</w:t>
      </w:r>
      <w:r w:rsidR="005E6A5B" w:rsidRPr="00583DE2">
        <w:t>Q</w:t>
      </w:r>
      <w:r w:rsidRPr="00583DE2">
        <w:tab/>
      </w:r>
      <w:bookmarkStart w:id="9" w:name="_Hlk48748565"/>
      <w:r w:rsidR="005E6A5B" w:rsidRPr="00583DE2">
        <w:t>CalEEMod Output</w:t>
      </w:r>
      <w:r w:rsidR="00330F18" w:rsidRPr="00583DE2">
        <w:t>s</w:t>
      </w:r>
      <w:bookmarkEnd w:id="9"/>
    </w:p>
    <w:p w14:paraId="58219EFC" w14:textId="25E173F5" w:rsidR="002666BD" w:rsidRPr="00583DE2" w:rsidRDefault="002666BD" w:rsidP="00EB4901">
      <w:pPr>
        <w:pStyle w:val="BodyText"/>
        <w:tabs>
          <w:tab w:val="left" w:pos="1710"/>
        </w:tabs>
        <w:spacing w:before="60" w:after="60"/>
      </w:pPr>
      <w:r w:rsidRPr="00583DE2">
        <w:t xml:space="preserve">Appendix </w:t>
      </w:r>
      <w:r w:rsidR="005E6A5B" w:rsidRPr="00583DE2">
        <w:t>ARB</w:t>
      </w:r>
      <w:r w:rsidR="005E6A5B" w:rsidRPr="00583DE2">
        <w:tab/>
        <w:t>Arborist Report</w:t>
      </w:r>
    </w:p>
    <w:p w14:paraId="10B05FA2" w14:textId="21535FF3" w:rsidR="005E6A5B" w:rsidRPr="00583DE2" w:rsidRDefault="005E6A5B" w:rsidP="00EB4901">
      <w:pPr>
        <w:pStyle w:val="BodyText"/>
        <w:tabs>
          <w:tab w:val="left" w:pos="1710"/>
        </w:tabs>
        <w:spacing w:before="60" w:after="60"/>
      </w:pPr>
      <w:r w:rsidRPr="00583DE2">
        <w:t>Appendix CUL</w:t>
      </w:r>
      <w:r w:rsidRPr="00583DE2">
        <w:tab/>
        <w:t>Cultural Resources Study</w:t>
      </w:r>
    </w:p>
    <w:p w14:paraId="4D5F6D35" w14:textId="69DB4A33" w:rsidR="00D571A9" w:rsidRPr="00583DE2" w:rsidRDefault="009E44C2" w:rsidP="00EB4901">
      <w:pPr>
        <w:pStyle w:val="BodyText"/>
        <w:tabs>
          <w:tab w:val="left" w:pos="1710"/>
        </w:tabs>
        <w:spacing w:before="60" w:after="60"/>
      </w:pPr>
      <w:r w:rsidRPr="00583DE2">
        <w:t>Appendix EN</w:t>
      </w:r>
      <w:r w:rsidRPr="00583DE2">
        <w:tab/>
        <w:t xml:space="preserve">Construction and Operational Fuel Estimations </w:t>
      </w:r>
    </w:p>
    <w:p w14:paraId="2430C280" w14:textId="1687F8F4" w:rsidR="005E6A5B" w:rsidRPr="00583DE2" w:rsidRDefault="005E6A5B" w:rsidP="00EB4901">
      <w:pPr>
        <w:pStyle w:val="BodyText"/>
        <w:tabs>
          <w:tab w:val="left" w:pos="1710"/>
        </w:tabs>
        <w:spacing w:before="60" w:after="60"/>
      </w:pPr>
      <w:r w:rsidRPr="00583DE2">
        <w:t>Appendix HAZ</w:t>
      </w:r>
      <w:r w:rsidRPr="00583DE2">
        <w:tab/>
        <w:t>Phase I</w:t>
      </w:r>
      <w:r w:rsidR="00C3365F">
        <w:t>/II</w:t>
      </w:r>
      <w:r w:rsidRPr="00583DE2">
        <w:t xml:space="preserve"> E</w:t>
      </w:r>
      <w:r w:rsidR="00FB4EEF">
        <w:t>nvironmental Site Assessment</w:t>
      </w:r>
    </w:p>
    <w:p w14:paraId="5FA86029" w14:textId="3EFE6A85" w:rsidR="005E6A5B" w:rsidRPr="00583DE2" w:rsidRDefault="005E6A5B" w:rsidP="00EB4901">
      <w:pPr>
        <w:pStyle w:val="BodyText"/>
        <w:tabs>
          <w:tab w:val="left" w:pos="1710"/>
        </w:tabs>
        <w:spacing w:before="60" w:after="60"/>
      </w:pPr>
      <w:r w:rsidRPr="00583DE2">
        <w:t>Appendix NOI</w:t>
      </w:r>
      <w:r w:rsidRPr="00583DE2">
        <w:tab/>
        <w:t>Groundborne Noise and Vibration Modeling</w:t>
      </w:r>
    </w:p>
    <w:p w14:paraId="3B4737C9" w14:textId="4118F7A5" w:rsidR="005E6A5B" w:rsidRDefault="0053638B" w:rsidP="00EB4901">
      <w:pPr>
        <w:pStyle w:val="BodyText"/>
        <w:tabs>
          <w:tab w:val="left" w:pos="1710"/>
        </w:tabs>
        <w:spacing w:before="60" w:after="60"/>
      </w:pPr>
      <w:r>
        <w:t>Appendix PPS</w:t>
      </w:r>
      <w:r w:rsidR="005E6A5B" w:rsidRPr="00583DE2">
        <w:tab/>
      </w:r>
      <w:r w:rsidR="007B2066">
        <w:t>Project Plan</w:t>
      </w:r>
      <w:r w:rsidR="004C2B9C">
        <w:t>s</w:t>
      </w:r>
      <w:r w:rsidR="007B2066">
        <w:t xml:space="preserve"> </w:t>
      </w:r>
    </w:p>
    <w:p w14:paraId="48DD79A1" w14:textId="6E2411AB" w:rsidR="00C3365F" w:rsidRPr="00583DE2" w:rsidRDefault="00C3365F" w:rsidP="00EB4901">
      <w:pPr>
        <w:pStyle w:val="BodyText"/>
        <w:tabs>
          <w:tab w:val="left" w:pos="1710"/>
        </w:tabs>
        <w:spacing w:before="60" w:after="60"/>
      </w:pPr>
      <w:r>
        <w:t>Appendix TDM</w:t>
      </w:r>
      <w:r w:rsidR="001E41B5">
        <w:tab/>
        <w:t>Project Transportation Demand</w:t>
      </w:r>
      <w:r w:rsidR="009D431F">
        <w:t xml:space="preserve"> Management</w:t>
      </w:r>
      <w:r w:rsidR="001E41B5">
        <w:t xml:space="preserve"> Strategy </w:t>
      </w:r>
    </w:p>
    <w:p w14:paraId="4DC2EEF9" w14:textId="08F256BC" w:rsidR="009E44C2" w:rsidRPr="00583DE2" w:rsidRDefault="009E44C2" w:rsidP="00EB4901">
      <w:pPr>
        <w:pStyle w:val="BodyText"/>
        <w:tabs>
          <w:tab w:val="left" w:pos="1710"/>
        </w:tabs>
        <w:spacing w:before="60" w:after="60"/>
      </w:pPr>
      <w:r w:rsidRPr="00583DE2">
        <w:t xml:space="preserve">Appendix </w:t>
      </w:r>
      <w:r w:rsidR="00C3365F">
        <w:t>TRA</w:t>
      </w:r>
      <w:r w:rsidRPr="00583DE2">
        <w:tab/>
      </w:r>
      <w:r w:rsidR="006E5FB9" w:rsidRPr="006E5FB9">
        <w:t>Multi-Modal Transportation Analysis</w:t>
      </w:r>
      <w:r w:rsidRPr="00583DE2">
        <w:t xml:space="preserve"> </w:t>
      </w:r>
    </w:p>
    <w:p w14:paraId="7C99ECF5" w14:textId="347A524D" w:rsidR="009E44C2" w:rsidRPr="009E44C2" w:rsidRDefault="00D571A9" w:rsidP="00EB4901">
      <w:pPr>
        <w:pStyle w:val="BodyText"/>
        <w:tabs>
          <w:tab w:val="left" w:pos="1710"/>
        </w:tabs>
        <w:spacing w:before="60" w:after="60"/>
      </w:pPr>
      <w:r w:rsidRPr="00583DE2">
        <w:t>Appendix UIS</w:t>
      </w:r>
      <w:r w:rsidRPr="00583DE2">
        <w:tab/>
      </w:r>
      <w:r w:rsidR="00FB4EEF">
        <w:t xml:space="preserve">Project </w:t>
      </w:r>
      <w:r w:rsidRPr="00583DE2">
        <w:t>Utilities Impact Study</w:t>
      </w:r>
    </w:p>
    <w:p w14:paraId="4F555321" w14:textId="77777777" w:rsidR="00DD41EC" w:rsidRPr="000E45CD" w:rsidRDefault="00DD41EC" w:rsidP="001F0449">
      <w:pPr>
        <w:pStyle w:val="BlankIntentionally"/>
        <w:rPr>
          <w:highlight w:val="lightGray"/>
        </w:rPr>
      </w:pPr>
    </w:p>
    <w:p w14:paraId="2FE04AE7" w14:textId="42512873" w:rsidR="004408ED" w:rsidRPr="00971D0C" w:rsidRDefault="00DD41EC" w:rsidP="004408ED">
      <w:pPr>
        <w:pStyle w:val="BlankIntentionally"/>
      </w:pPr>
      <w:r w:rsidRPr="00971D0C">
        <w:t>This page intentionally left blank.</w:t>
      </w:r>
    </w:p>
    <w:p w14:paraId="3E89AC74" w14:textId="77777777" w:rsidR="004408ED" w:rsidRPr="000E45CD" w:rsidRDefault="004408ED" w:rsidP="004408ED">
      <w:pPr>
        <w:pStyle w:val="BlankIntentionally"/>
        <w:spacing w:before="0"/>
        <w:jc w:val="left"/>
        <w:rPr>
          <w:highlight w:val="lightGray"/>
        </w:rPr>
      </w:pPr>
    </w:p>
    <w:p w14:paraId="2FB23CCD" w14:textId="6CB67CD8" w:rsidR="004408ED" w:rsidRPr="000E45CD" w:rsidRDefault="004408ED" w:rsidP="004408ED">
      <w:pPr>
        <w:pStyle w:val="BlankIntentionally"/>
        <w:rPr>
          <w:highlight w:val="lightGray"/>
        </w:rPr>
        <w:sectPr w:rsidR="004408ED" w:rsidRPr="000E45CD" w:rsidSect="006A05D0">
          <w:headerReference w:type="even" r:id="rId12"/>
          <w:headerReference w:type="default" r:id="rId13"/>
          <w:footerReference w:type="even" r:id="rId14"/>
          <w:footerReference w:type="default" r:id="rId15"/>
          <w:pgSz w:w="12240" w:h="15840" w:code="1"/>
          <w:pgMar w:top="1440" w:right="1627" w:bottom="1440" w:left="1627" w:header="720" w:footer="720" w:gutter="0"/>
          <w:pgNumType w:fmt="lowerRoman" w:start="1"/>
          <w:cols w:space="720"/>
          <w:docGrid w:linePitch="360"/>
        </w:sectPr>
      </w:pPr>
    </w:p>
    <w:p w14:paraId="29B3174C" w14:textId="77777777" w:rsidR="00A922E5" w:rsidRPr="00127EC4" w:rsidRDefault="00A922E5" w:rsidP="00DD41EC">
      <w:pPr>
        <w:pStyle w:val="Heading1"/>
        <w:numPr>
          <w:ilvl w:val="0"/>
          <w:numId w:val="0"/>
        </w:numPr>
        <w:spacing w:before="0"/>
        <w:ind w:left="576" w:hanging="576"/>
      </w:pPr>
      <w:bookmarkStart w:id="10" w:name="_Toc17432056"/>
      <w:bookmarkStart w:id="11" w:name="_Toc30080416"/>
      <w:bookmarkStart w:id="12" w:name="_Toc112942408"/>
      <w:bookmarkStart w:id="13" w:name="_Hlk93476325"/>
      <w:r w:rsidRPr="00127EC4">
        <w:lastRenderedPageBreak/>
        <w:t>Abbreviations and Acronyms</w:t>
      </w:r>
      <w:bookmarkEnd w:id="10"/>
      <w:bookmarkEnd w:id="11"/>
      <w:bookmarkEnd w:id="12"/>
    </w:p>
    <w:p w14:paraId="7B94A3FF" w14:textId="77777777" w:rsidR="00C379B5" w:rsidRPr="00971D0C" w:rsidRDefault="00C379B5" w:rsidP="00C379B5">
      <w:pPr>
        <w:pStyle w:val="BodyText"/>
        <w:tabs>
          <w:tab w:val="left" w:pos="1350"/>
        </w:tabs>
      </w:pPr>
      <w:bookmarkStart w:id="14" w:name="_Hlk93653754"/>
      <w:r w:rsidRPr="00971D0C">
        <w:t>AB</w:t>
      </w:r>
      <w:r w:rsidRPr="00971D0C">
        <w:tab/>
        <w:t>Assembly Bill</w:t>
      </w:r>
    </w:p>
    <w:p w14:paraId="106457F7" w14:textId="77777777" w:rsidR="00C379B5" w:rsidRPr="00971D0C" w:rsidRDefault="00C379B5" w:rsidP="00C379B5">
      <w:pPr>
        <w:pStyle w:val="BodyText"/>
        <w:tabs>
          <w:tab w:val="left" w:pos="1350"/>
        </w:tabs>
      </w:pPr>
      <w:r w:rsidRPr="00971D0C">
        <w:t>ABAG</w:t>
      </w:r>
      <w:r w:rsidRPr="00971D0C">
        <w:tab/>
        <w:t>Association of Bay Area Governments</w:t>
      </w:r>
    </w:p>
    <w:p w14:paraId="748F489D" w14:textId="77777777" w:rsidR="00C379B5" w:rsidRPr="00971D0C" w:rsidRDefault="00C379B5" w:rsidP="00C379B5">
      <w:pPr>
        <w:pStyle w:val="BodyText"/>
        <w:tabs>
          <w:tab w:val="left" w:pos="1350"/>
        </w:tabs>
      </w:pPr>
      <w:r w:rsidRPr="00971D0C">
        <w:t>ACM</w:t>
      </w:r>
      <w:r w:rsidRPr="00971D0C">
        <w:tab/>
        <w:t xml:space="preserve">Asbestos Containing Materials </w:t>
      </w:r>
    </w:p>
    <w:p w14:paraId="37E19D7B" w14:textId="77777777" w:rsidR="00C379B5" w:rsidRPr="00971D0C" w:rsidRDefault="00C379B5" w:rsidP="00C379B5">
      <w:pPr>
        <w:pStyle w:val="BodyText"/>
        <w:tabs>
          <w:tab w:val="left" w:pos="1350"/>
        </w:tabs>
      </w:pPr>
      <w:r w:rsidRPr="00971D0C">
        <w:t>AF</w:t>
      </w:r>
      <w:r w:rsidRPr="00971D0C">
        <w:tab/>
        <w:t>acre feet</w:t>
      </w:r>
    </w:p>
    <w:p w14:paraId="656347A1" w14:textId="77777777" w:rsidR="00C379B5" w:rsidRPr="00971D0C" w:rsidRDefault="00C379B5" w:rsidP="00C379B5">
      <w:pPr>
        <w:pStyle w:val="BodyText"/>
        <w:tabs>
          <w:tab w:val="left" w:pos="1350"/>
        </w:tabs>
      </w:pPr>
      <w:r w:rsidRPr="00971D0C">
        <w:t>AFY</w:t>
      </w:r>
      <w:r w:rsidRPr="00971D0C">
        <w:tab/>
        <w:t>acre feet per year</w:t>
      </w:r>
    </w:p>
    <w:p w14:paraId="2CBFE46D" w14:textId="77777777" w:rsidR="00C379B5" w:rsidRPr="00971D0C" w:rsidRDefault="00C379B5" w:rsidP="00C379B5">
      <w:pPr>
        <w:pStyle w:val="BodyText"/>
        <w:tabs>
          <w:tab w:val="left" w:pos="1350"/>
        </w:tabs>
      </w:pPr>
      <w:r w:rsidRPr="00971D0C">
        <w:t>MFALUC</w:t>
      </w:r>
      <w:r w:rsidRPr="00971D0C">
        <w:tab/>
        <w:t>Moffett Federal Airfield Land Use Commission</w:t>
      </w:r>
    </w:p>
    <w:p w14:paraId="58AAE384" w14:textId="77777777" w:rsidR="00C379B5" w:rsidRPr="00971D0C" w:rsidRDefault="00C379B5" w:rsidP="00C379B5">
      <w:pPr>
        <w:pStyle w:val="BodyText"/>
        <w:tabs>
          <w:tab w:val="left" w:pos="1350"/>
        </w:tabs>
      </w:pPr>
      <w:r w:rsidRPr="00971D0C">
        <w:t>ALUCP</w:t>
      </w:r>
      <w:r w:rsidRPr="00971D0C">
        <w:tab/>
        <w:t>Airport Land Use Compatibility Plan</w:t>
      </w:r>
    </w:p>
    <w:p w14:paraId="2EE72874" w14:textId="77777777" w:rsidR="00C379B5" w:rsidRPr="00971D0C" w:rsidRDefault="00C379B5" w:rsidP="00C379B5">
      <w:pPr>
        <w:pStyle w:val="BodyText"/>
        <w:tabs>
          <w:tab w:val="left" w:pos="1350"/>
        </w:tabs>
      </w:pPr>
      <w:r w:rsidRPr="00971D0C">
        <w:t>BAAQMD</w:t>
      </w:r>
      <w:r w:rsidRPr="00971D0C">
        <w:tab/>
        <w:t>Bay Area Air Quality Management District</w:t>
      </w:r>
    </w:p>
    <w:p w14:paraId="7507BA63" w14:textId="77777777" w:rsidR="00C379B5" w:rsidRPr="00971D0C" w:rsidRDefault="00C379B5" w:rsidP="00C379B5">
      <w:pPr>
        <w:pStyle w:val="BodyText"/>
        <w:tabs>
          <w:tab w:val="left" w:pos="1350"/>
        </w:tabs>
      </w:pPr>
      <w:r w:rsidRPr="00971D0C">
        <w:t>BART</w:t>
      </w:r>
      <w:r w:rsidRPr="00971D0C">
        <w:tab/>
        <w:t>Bay Area Rapid Transit</w:t>
      </w:r>
    </w:p>
    <w:p w14:paraId="44865669" w14:textId="77777777" w:rsidR="00C379B5" w:rsidRPr="00971D0C" w:rsidRDefault="00C379B5" w:rsidP="00C379B5">
      <w:pPr>
        <w:pStyle w:val="BodyText"/>
        <w:tabs>
          <w:tab w:val="left" w:pos="1350"/>
        </w:tabs>
      </w:pPr>
      <w:r w:rsidRPr="00971D0C">
        <w:t>BIOS</w:t>
      </w:r>
      <w:r w:rsidRPr="00971D0C">
        <w:tab/>
        <w:t>Biogeographic Information and Observation System</w:t>
      </w:r>
    </w:p>
    <w:p w14:paraId="70ADCA17" w14:textId="77777777" w:rsidR="00C379B5" w:rsidRDefault="00C379B5" w:rsidP="00C379B5">
      <w:pPr>
        <w:pStyle w:val="BodyText"/>
        <w:tabs>
          <w:tab w:val="left" w:pos="1350"/>
        </w:tabs>
      </w:pPr>
      <w:r w:rsidRPr="00971D0C">
        <w:t>BMP</w:t>
      </w:r>
      <w:r w:rsidRPr="00971D0C">
        <w:tab/>
        <w:t>best management practices</w:t>
      </w:r>
    </w:p>
    <w:p w14:paraId="562ECD4A" w14:textId="77777777" w:rsidR="00C379B5" w:rsidRDefault="00C379B5" w:rsidP="00C379B5">
      <w:pPr>
        <w:pStyle w:val="BodyText"/>
        <w:tabs>
          <w:tab w:val="left" w:pos="1350"/>
        </w:tabs>
      </w:pPr>
      <w:r>
        <w:t>CAA</w:t>
      </w:r>
      <w:r>
        <w:tab/>
        <w:t xml:space="preserve">Clean Air Act </w:t>
      </w:r>
    </w:p>
    <w:p w14:paraId="5C867050" w14:textId="77777777" w:rsidR="00C379B5" w:rsidRDefault="00C379B5" w:rsidP="00C379B5">
      <w:pPr>
        <w:pStyle w:val="BodyText"/>
        <w:tabs>
          <w:tab w:val="left" w:pos="1350"/>
        </w:tabs>
      </w:pPr>
      <w:r>
        <w:t>CAAQS</w:t>
      </w:r>
      <w:r>
        <w:tab/>
        <w:t xml:space="preserve">California Ambient Air Quality Standards </w:t>
      </w:r>
    </w:p>
    <w:p w14:paraId="2C8FA480" w14:textId="77777777" w:rsidR="00C379B5" w:rsidRPr="00971D0C" w:rsidRDefault="00C379B5" w:rsidP="00C379B5">
      <w:pPr>
        <w:pStyle w:val="BodyText"/>
        <w:tabs>
          <w:tab w:val="left" w:pos="1350"/>
        </w:tabs>
      </w:pPr>
      <w:r>
        <w:t>CalARP</w:t>
      </w:r>
      <w:r>
        <w:tab/>
        <w:t>California Accidental Release Prevention</w:t>
      </w:r>
    </w:p>
    <w:p w14:paraId="1DA68A82" w14:textId="77777777" w:rsidR="00C379B5" w:rsidRPr="00971D0C" w:rsidRDefault="00C379B5" w:rsidP="00C379B5">
      <w:pPr>
        <w:pStyle w:val="BodyText"/>
        <w:tabs>
          <w:tab w:val="left" w:pos="1350"/>
        </w:tabs>
      </w:pPr>
      <w:r w:rsidRPr="00971D0C">
        <w:t>CALFIRE</w:t>
      </w:r>
      <w:r w:rsidRPr="00971D0C">
        <w:tab/>
        <w:t>California Department of Forestry and Fire Protection</w:t>
      </w:r>
    </w:p>
    <w:p w14:paraId="191C660F" w14:textId="77777777" w:rsidR="00C379B5" w:rsidRPr="00971D0C" w:rsidRDefault="00C379B5" w:rsidP="00C379B5">
      <w:pPr>
        <w:pStyle w:val="BodyText"/>
        <w:tabs>
          <w:tab w:val="left" w:pos="1350"/>
        </w:tabs>
      </w:pPr>
      <w:r w:rsidRPr="00971D0C">
        <w:t>CalEEMod</w:t>
      </w:r>
      <w:r w:rsidRPr="00971D0C">
        <w:tab/>
        <w:t>California Emissions Estimator Model</w:t>
      </w:r>
    </w:p>
    <w:p w14:paraId="71841634" w14:textId="77777777" w:rsidR="00C379B5" w:rsidRPr="00971D0C" w:rsidRDefault="00C379B5" w:rsidP="00C379B5">
      <w:pPr>
        <w:pStyle w:val="BodyText"/>
        <w:tabs>
          <w:tab w:val="left" w:pos="1350"/>
        </w:tabs>
      </w:pPr>
      <w:r w:rsidRPr="00971D0C">
        <w:t>CalGreen</w:t>
      </w:r>
      <w:r w:rsidRPr="00971D0C">
        <w:tab/>
        <w:t>California Green Building Standards Code</w:t>
      </w:r>
    </w:p>
    <w:p w14:paraId="7354B10A" w14:textId="77777777" w:rsidR="00C379B5" w:rsidRPr="00971D0C" w:rsidRDefault="00C379B5" w:rsidP="00C379B5">
      <w:pPr>
        <w:pStyle w:val="BodyText"/>
        <w:tabs>
          <w:tab w:val="left" w:pos="1350"/>
        </w:tabs>
      </w:pPr>
      <w:r w:rsidRPr="00971D0C">
        <w:t>CalOES</w:t>
      </w:r>
      <w:r w:rsidRPr="00971D0C">
        <w:tab/>
        <w:t xml:space="preserve">California Office of Emergency Services </w:t>
      </w:r>
    </w:p>
    <w:p w14:paraId="1318B90F" w14:textId="77777777" w:rsidR="00C379B5" w:rsidRPr="00971D0C" w:rsidRDefault="00C379B5" w:rsidP="00C379B5">
      <w:pPr>
        <w:pStyle w:val="BodyText"/>
        <w:tabs>
          <w:tab w:val="left" w:pos="1350"/>
        </w:tabs>
      </w:pPr>
      <w:r w:rsidRPr="00971D0C">
        <w:t>CalOSHA</w:t>
      </w:r>
      <w:r w:rsidRPr="00971D0C">
        <w:tab/>
        <w:t>California Occupational Safety and Health Administration.</w:t>
      </w:r>
    </w:p>
    <w:p w14:paraId="368021A2" w14:textId="77777777" w:rsidR="00C379B5" w:rsidRPr="00971D0C" w:rsidRDefault="00C379B5" w:rsidP="00C379B5">
      <w:pPr>
        <w:pStyle w:val="BodyText"/>
        <w:tabs>
          <w:tab w:val="left" w:pos="1350"/>
        </w:tabs>
      </w:pPr>
      <w:r w:rsidRPr="00971D0C">
        <w:t>CalRecycle</w:t>
      </w:r>
      <w:r w:rsidRPr="00971D0C">
        <w:tab/>
        <w:t>California Department of Resources, Recycling, and Recovery</w:t>
      </w:r>
    </w:p>
    <w:p w14:paraId="6C970BA1" w14:textId="77777777" w:rsidR="00C379B5" w:rsidRPr="00971D0C" w:rsidRDefault="00C379B5" w:rsidP="00C379B5">
      <w:pPr>
        <w:pStyle w:val="BodyText"/>
        <w:tabs>
          <w:tab w:val="left" w:pos="1350"/>
        </w:tabs>
      </w:pPr>
      <w:r w:rsidRPr="00971D0C">
        <w:t>CAPCOA</w:t>
      </w:r>
      <w:r w:rsidRPr="00971D0C">
        <w:tab/>
        <w:t>California Air Pollution Control Officers Association</w:t>
      </w:r>
    </w:p>
    <w:p w14:paraId="79A62023" w14:textId="77777777" w:rsidR="00C379B5" w:rsidRPr="00971D0C" w:rsidRDefault="00C379B5" w:rsidP="00C379B5">
      <w:pPr>
        <w:pStyle w:val="BodyText"/>
        <w:tabs>
          <w:tab w:val="left" w:pos="1350"/>
        </w:tabs>
      </w:pPr>
      <w:r w:rsidRPr="00971D0C">
        <w:t>Caltrans</w:t>
      </w:r>
      <w:r w:rsidRPr="00971D0C">
        <w:tab/>
        <w:t>California Department of Transportation</w:t>
      </w:r>
    </w:p>
    <w:p w14:paraId="752BDA45" w14:textId="77777777" w:rsidR="00C379B5" w:rsidRPr="00971D0C" w:rsidRDefault="00C379B5" w:rsidP="00C379B5">
      <w:pPr>
        <w:pStyle w:val="BodyText"/>
        <w:tabs>
          <w:tab w:val="left" w:pos="1350"/>
        </w:tabs>
      </w:pPr>
      <w:r w:rsidRPr="00971D0C">
        <w:t>CARB</w:t>
      </w:r>
      <w:r w:rsidRPr="00971D0C">
        <w:tab/>
        <w:t>California Air Resources Board</w:t>
      </w:r>
    </w:p>
    <w:p w14:paraId="2E617723" w14:textId="77777777" w:rsidR="00C379B5" w:rsidRPr="00971D0C" w:rsidRDefault="00C379B5" w:rsidP="00C379B5">
      <w:pPr>
        <w:pStyle w:val="BodyText"/>
        <w:tabs>
          <w:tab w:val="left" w:pos="1350"/>
        </w:tabs>
      </w:pPr>
      <w:r w:rsidRPr="00971D0C">
        <w:t>CBC</w:t>
      </w:r>
      <w:r w:rsidRPr="00971D0C">
        <w:tab/>
        <w:t xml:space="preserve">California Building Code </w:t>
      </w:r>
    </w:p>
    <w:p w14:paraId="6C244D1C" w14:textId="77777777" w:rsidR="00C379B5" w:rsidRPr="00971D0C" w:rsidRDefault="00C379B5" w:rsidP="00C379B5">
      <w:pPr>
        <w:pStyle w:val="BodyText"/>
        <w:tabs>
          <w:tab w:val="left" w:pos="1350"/>
        </w:tabs>
      </w:pPr>
      <w:r w:rsidRPr="00971D0C">
        <w:rPr>
          <w:rFonts w:cstheme="minorHAnsi"/>
        </w:rPr>
        <w:t xml:space="preserve">CCR </w:t>
      </w:r>
      <w:r w:rsidRPr="00971D0C">
        <w:rPr>
          <w:rFonts w:cstheme="minorHAnsi"/>
        </w:rPr>
        <w:tab/>
        <w:t>California Code of Regulations</w:t>
      </w:r>
    </w:p>
    <w:p w14:paraId="47AF0B61" w14:textId="687ABD3C" w:rsidR="00C379B5" w:rsidRDefault="00C379B5" w:rsidP="00C379B5">
      <w:pPr>
        <w:pStyle w:val="BodyText"/>
        <w:tabs>
          <w:tab w:val="left" w:pos="1350"/>
        </w:tabs>
      </w:pPr>
      <w:r w:rsidRPr="00971D0C">
        <w:t>CDFW</w:t>
      </w:r>
      <w:r w:rsidRPr="00971D0C">
        <w:tab/>
        <w:t>California Department of Fish and Wildlife</w:t>
      </w:r>
    </w:p>
    <w:p w14:paraId="47BA9730" w14:textId="68307E2C" w:rsidR="00BC68C0" w:rsidRPr="00971D0C" w:rsidRDefault="00BC68C0" w:rsidP="00C379B5">
      <w:pPr>
        <w:pStyle w:val="BodyText"/>
        <w:tabs>
          <w:tab w:val="left" w:pos="1350"/>
        </w:tabs>
      </w:pPr>
      <w:r>
        <w:t>C</w:t>
      </w:r>
      <w:r w:rsidRPr="00E17017">
        <w:t>DOC</w:t>
      </w:r>
      <w:r w:rsidRPr="00E17017">
        <w:tab/>
      </w:r>
      <w:r>
        <w:t xml:space="preserve">California </w:t>
      </w:r>
      <w:r w:rsidRPr="00E17017">
        <w:t>Department of Conservation</w:t>
      </w:r>
    </w:p>
    <w:p w14:paraId="21546AC5" w14:textId="77777777" w:rsidR="00C379B5" w:rsidRPr="00971D0C" w:rsidRDefault="00C379B5" w:rsidP="00C379B5">
      <w:pPr>
        <w:pStyle w:val="BodyText"/>
        <w:tabs>
          <w:tab w:val="left" w:pos="1350"/>
        </w:tabs>
      </w:pPr>
      <w:r w:rsidRPr="00971D0C">
        <w:t>CEC</w:t>
      </w:r>
      <w:r w:rsidRPr="00971D0C">
        <w:tab/>
        <w:t>California Energy Commission</w:t>
      </w:r>
    </w:p>
    <w:p w14:paraId="3E90DBF0" w14:textId="77777777" w:rsidR="00C379B5" w:rsidRPr="00971D0C" w:rsidRDefault="00C379B5" w:rsidP="00C379B5">
      <w:pPr>
        <w:pStyle w:val="BodyText"/>
        <w:tabs>
          <w:tab w:val="left" w:pos="1350"/>
        </w:tabs>
      </w:pPr>
      <w:r w:rsidRPr="00971D0C">
        <w:t>CEQA</w:t>
      </w:r>
      <w:r w:rsidRPr="00971D0C">
        <w:tab/>
        <w:t>California Environmental Quality Act</w:t>
      </w:r>
    </w:p>
    <w:p w14:paraId="56524DE5" w14:textId="77777777" w:rsidR="00C379B5" w:rsidRPr="00971D0C" w:rsidRDefault="00C379B5" w:rsidP="00C379B5">
      <w:pPr>
        <w:pStyle w:val="BodyText"/>
        <w:tabs>
          <w:tab w:val="left" w:pos="1350"/>
        </w:tabs>
      </w:pPr>
      <w:r w:rsidRPr="00971D0C">
        <w:t>CFGC</w:t>
      </w:r>
      <w:r w:rsidRPr="00971D0C">
        <w:tab/>
        <w:t>California Fish and Game Code</w:t>
      </w:r>
    </w:p>
    <w:p w14:paraId="2E831D83" w14:textId="77777777" w:rsidR="00C379B5" w:rsidRDefault="00C379B5" w:rsidP="00C379B5">
      <w:pPr>
        <w:pStyle w:val="BodyText"/>
        <w:tabs>
          <w:tab w:val="left" w:pos="1350"/>
        </w:tabs>
      </w:pPr>
      <w:r w:rsidRPr="00971D0C">
        <w:t>CFP</w:t>
      </w:r>
      <w:r w:rsidRPr="00971D0C">
        <w:tab/>
        <w:t>California Fully Protected</w:t>
      </w:r>
    </w:p>
    <w:p w14:paraId="771003D4" w14:textId="77777777" w:rsidR="00C379B5" w:rsidRPr="00971D0C" w:rsidRDefault="00C379B5" w:rsidP="00C379B5">
      <w:pPr>
        <w:pStyle w:val="BodyText"/>
        <w:tabs>
          <w:tab w:val="left" w:pos="1350"/>
        </w:tabs>
      </w:pPr>
      <w:r>
        <w:lastRenderedPageBreak/>
        <w:t>CGS</w:t>
      </w:r>
      <w:r>
        <w:tab/>
        <w:t xml:space="preserve">California Geological Survey </w:t>
      </w:r>
    </w:p>
    <w:p w14:paraId="3C6FC2AB" w14:textId="77777777" w:rsidR="00C379B5" w:rsidRPr="00E17017" w:rsidRDefault="00C379B5" w:rsidP="00C379B5">
      <w:pPr>
        <w:pStyle w:val="BodyText"/>
        <w:tabs>
          <w:tab w:val="left" w:pos="1350"/>
        </w:tabs>
      </w:pPr>
      <w:r w:rsidRPr="00E17017">
        <w:t>CMP</w:t>
      </w:r>
      <w:r w:rsidRPr="00E17017">
        <w:tab/>
        <w:t>Congestion Management Program</w:t>
      </w:r>
    </w:p>
    <w:p w14:paraId="268BEE44" w14:textId="77777777" w:rsidR="00C379B5" w:rsidRPr="00E17017" w:rsidRDefault="00C379B5" w:rsidP="00C379B5">
      <w:pPr>
        <w:pStyle w:val="BodyText"/>
        <w:tabs>
          <w:tab w:val="left" w:pos="1350"/>
        </w:tabs>
      </w:pPr>
      <w:r w:rsidRPr="00E17017">
        <w:t>CNDDB</w:t>
      </w:r>
      <w:r w:rsidRPr="00E17017">
        <w:tab/>
        <w:t>California Natural Diversity Database</w:t>
      </w:r>
    </w:p>
    <w:p w14:paraId="61407FDE" w14:textId="77777777" w:rsidR="00C379B5" w:rsidRPr="00E17017" w:rsidRDefault="00C379B5" w:rsidP="00C379B5">
      <w:pPr>
        <w:pStyle w:val="BodyText"/>
        <w:tabs>
          <w:tab w:val="left" w:pos="1350"/>
        </w:tabs>
      </w:pPr>
      <w:r w:rsidRPr="00E17017">
        <w:t>CNEL</w:t>
      </w:r>
      <w:r w:rsidRPr="00E17017">
        <w:tab/>
        <w:t>Community Noise Equivalent Level</w:t>
      </w:r>
    </w:p>
    <w:p w14:paraId="02764756" w14:textId="77777777" w:rsidR="00C379B5" w:rsidRPr="00E17017" w:rsidRDefault="00C379B5" w:rsidP="00C379B5">
      <w:pPr>
        <w:pStyle w:val="BodyText"/>
        <w:tabs>
          <w:tab w:val="left" w:pos="1350"/>
        </w:tabs>
      </w:pPr>
      <w:r w:rsidRPr="00E17017">
        <w:t>CNPS</w:t>
      </w:r>
      <w:r w:rsidRPr="00E17017">
        <w:tab/>
        <w:t>California Native Plant Society</w:t>
      </w:r>
    </w:p>
    <w:p w14:paraId="0E9B5FFF" w14:textId="77777777" w:rsidR="00C379B5" w:rsidRPr="00E17017" w:rsidRDefault="00C379B5" w:rsidP="00C379B5">
      <w:pPr>
        <w:pStyle w:val="BodyText"/>
        <w:tabs>
          <w:tab w:val="left" w:pos="1350"/>
        </w:tabs>
      </w:pPr>
      <w:r w:rsidRPr="00E17017">
        <w:t>CO</w:t>
      </w:r>
      <w:r w:rsidRPr="00E17017">
        <w:tab/>
        <w:t>carbon monoxide</w:t>
      </w:r>
    </w:p>
    <w:p w14:paraId="79BE847D" w14:textId="77777777" w:rsidR="00C379B5" w:rsidRDefault="00C379B5" w:rsidP="00C379B5">
      <w:pPr>
        <w:pStyle w:val="BodyText"/>
        <w:tabs>
          <w:tab w:val="left" w:pos="1350"/>
        </w:tabs>
      </w:pPr>
      <w:r w:rsidRPr="00E17017">
        <w:t>CO</w:t>
      </w:r>
      <w:r w:rsidRPr="00E17017">
        <w:rPr>
          <w:vertAlign w:val="subscript"/>
        </w:rPr>
        <w:t>2</w:t>
      </w:r>
      <w:r w:rsidRPr="00E17017">
        <w:t>e</w:t>
      </w:r>
      <w:r w:rsidRPr="00E17017">
        <w:tab/>
        <w:t>carbon dioxide equivalent</w:t>
      </w:r>
    </w:p>
    <w:p w14:paraId="1CEDB1DD" w14:textId="77777777" w:rsidR="00C379B5" w:rsidRPr="00E17017" w:rsidRDefault="00C379B5" w:rsidP="00C379B5">
      <w:pPr>
        <w:pStyle w:val="BodyText"/>
        <w:tabs>
          <w:tab w:val="left" w:pos="1350"/>
        </w:tabs>
      </w:pPr>
      <w:r>
        <w:t>CPR</w:t>
      </w:r>
      <w:r>
        <w:tab/>
        <w:t xml:space="preserve">Climate Protection Roadmap </w:t>
      </w:r>
    </w:p>
    <w:p w14:paraId="0A80A0BD" w14:textId="77777777" w:rsidR="00C379B5" w:rsidRPr="00E17017" w:rsidRDefault="00C379B5" w:rsidP="00C379B5">
      <w:pPr>
        <w:pStyle w:val="BodyText"/>
        <w:tabs>
          <w:tab w:val="left" w:pos="1350"/>
        </w:tabs>
      </w:pPr>
      <w:r w:rsidRPr="00E17017">
        <w:t>CRHR</w:t>
      </w:r>
      <w:r w:rsidRPr="00E17017">
        <w:tab/>
        <w:t>California Register of Historical Resources</w:t>
      </w:r>
    </w:p>
    <w:p w14:paraId="03A321A5" w14:textId="77777777" w:rsidR="00C379B5" w:rsidRPr="00E17017" w:rsidRDefault="00C379B5" w:rsidP="00C379B5">
      <w:pPr>
        <w:pStyle w:val="BodyText"/>
        <w:tabs>
          <w:tab w:val="left" w:pos="1350"/>
        </w:tabs>
      </w:pPr>
      <w:r w:rsidRPr="00E17017">
        <w:t>CRPR</w:t>
      </w:r>
      <w:r w:rsidRPr="00E17017">
        <w:tab/>
        <w:t>California Rare Plant Rank</w:t>
      </w:r>
    </w:p>
    <w:p w14:paraId="244E6626" w14:textId="77777777" w:rsidR="00C379B5" w:rsidRDefault="00C379B5" w:rsidP="00C379B5">
      <w:pPr>
        <w:pStyle w:val="BodyText"/>
        <w:tabs>
          <w:tab w:val="left" w:pos="1350"/>
        </w:tabs>
      </w:pPr>
      <w:r w:rsidRPr="00E17017">
        <w:t>CTP</w:t>
      </w:r>
      <w:r w:rsidRPr="00E17017">
        <w:tab/>
        <w:t>Countywide Transportation Plan</w:t>
      </w:r>
    </w:p>
    <w:p w14:paraId="6EB183E9" w14:textId="77777777" w:rsidR="00C379B5" w:rsidRPr="00E17017" w:rsidRDefault="00C379B5" w:rsidP="00C379B5">
      <w:pPr>
        <w:pStyle w:val="BodyText"/>
        <w:tabs>
          <w:tab w:val="left" w:pos="1350"/>
        </w:tabs>
      </w:pPr>
      <w:r>
        <w:t xml:space="preserve">CUPA </w:t>
      </w:r>
      <w:r>
        <w:tab/>
        <w:t xml:space="preserve">Certified Unified Program Agency </w:t>
      </w:r>
    </w:p>
    <w:p w14:paraId="2B1E861F" w14:textId="77777777" w:rsidR="00C379B5" w:rsidRDefault="00C379B5" w:rsidP="00C379B5">
      <w:pPr>
        <w:pStyle w:val="BodyText"/>
        <w:tabs>
          <w:tab w:val="left" w:pos="1350"/>
        </w:tabs>
      </w:pPr>
      <w:r w:rsidRPr="00E17017">
        <w:t>CWA</w:t>
      </w:r>
      <w:r w:rsidRPr="00E17017">
        <w:tab/>
        <w:t>Clean Water Act</w:t>
      </w:r>
    </w:p>
    <w:p w14:paraId="4D0C0C22" w14:textId="77777777" w:rsidR="00C379B5" w:rsidRPr="00E17017" w:rsidRDefault="00C379B5" w:rsidP="00C379B5">
      <w:pPr>
        <w:pStyle w:val="BodyText"/>
        <w:tabs>
          <w:tab w:val="left" w:pos="1350"/>
        </w:tabs>
      </w:pPr>
      <w:r>
        <w:t>CY</w:t>
      </w:r>
      <w:r>
        <w:tab/>
        <w:t xml:space="preserve">cubic yards </w:t>
      </w:r>
    </w:p>
    <w:p w14:paraId="623A4905" w14:textId="77777777" w:rsidR="00C379B5" w:rsidRPr="00E17017" w:rsidRDefault="00C379B5" w:rsidP="00C379B5">
      <w:pPr>
        <w:pStyle w:val="BodyText"/>
        <w:tabs>
          <w:tab w:val="left" w:pos="1350"/>
        </w:tabs>
      </w:pPr>
      <w:r w:rsidRPr="00E17017">
        <w:t xml:space="preserve">dB </w:t>
      </w:r>
      <w:r w:rsidRPr="00E17017">
        <w:tab/>
        <w:t>decibels</w:t>
      </w:r>
    </w:p>
    <w:p w14:paraId="71102865" w14:textId="77777777" w:rsidR="00C379B5" w:rsidRPr="00E17017" w:rsidRDefault="00C379B5" w:rsidP="00C379B5">
      <w:pPr>
        <w:pStyle w:val="BodyText"/>
        <w:tabs>
          <w:tab w:val="left" w:pos="1350"/>
        </w:tabs>
      </w:pPr>
      <w:r w:rsidRPr="00E17017">
        <w:t>dBA</w:t>
      </w:r>
      <w:r w:rsidRPr="00E17017">
        <w:tab/>
        <w:t>A-weighted sound pressure level</w:t>
      </w:r>
    </w:p>
    <w:p w14:paraId="29386C91" w14:textId="77777777" w:rsidR="00C379B5" w:rsidRPr="00E17017" w:rsidRDefault="00C379B5" w:rsidP="00C379B5">
      <w:pPr>
        <w:pStyle w:val="BodyText"/>
        <w:tabs>
          <w:tab w:val="left" w:pos="1350"/>
        </w:tabs>
      </w:pPr>
      <w:r w:rsidRPr="00E17017">
        <w:t>DOF</w:t>
      </w:r>
      <w:r w:rsidRPr="00E17017">
        <w:tab/>
        <w:t>Department of Finance</w:t>
      </w:r>
    </w:p>
    <w:p w14:paraId="74A9CF3D" w14:textId="77777777" w:rsidR="00C379B5" w:rsidRPr="00E17017" w:rsidRDefault="00C379B5" w:rsidP="00C379B5">
      <w:pPr>
        <w:pStyle w:val="BodyText"/>
        <w:tabs>
          <w:tab w:val="left" w:pos="1350"/>
        </w:tabs>
      </w:pPr>
      <w:r w:rsidRPr="00E17017">
        <w:t>DPM</w:t>
      </w:r>
      <w:r w:rsidRPr="00E17017">
        <w:tab/>
        <w:t>diesel particulate matter</w:t>
      </w:r>
    </w:p>
    <w:p w14:paraId="31804BD3" w14:textId="77777777" w:rsidR="00C379B5" w:rsidRDefault="00C379B5" w:rsidP="00C379B5">
      <w:pPr>
        <w:pStyle w:val="BodyText"/>
        <w:tabs>
          <w:tab w:val="left" w:pos="1350"/>
        </w:tabs>
      </w:pPr>
      <w:r w:rsidRPr="00E17017">
        <w:t>DTSC</w:t>
      </w:r>
      <w:r w:rsidRPr="00E17017">
        <w:tab/>
        <w:t>Department of Toxic Substances Control</w:t>
      </w:r>
    </w:p>
    <w:p w14:paraId="21E9B073" w14:textId="77777777" w:rsidR="00C379B5" w:rsidRPr="00E17017" w:rsidRDefault="00C379B5" w:rsidP="00C379B5">
      <w:pPr>
        <w:pStyle w:val="BodyText"/>
        <w:tabs>
          <w:tab w:val="left" w:pos="1350"/>
        </w:tabs>
      </w:pPr>
      <w:r>
        <w:t>EIR</w:t>
      </w:r>
      <w:r>
        <w:tab/>
        <w:t xml:space="preserve">Environmental Impact Report </w:t>
      </w:r>
    </w:p>
    <w:p w14:paraId="1D22FA9B" w14:textId="77777777" w:rsidR="00C379B5" w:rsidRDefault="00C379B5" w:rsidP="00C379B5">
      <w:pPr>
        <w:pStyle w:val="BodyText"/>
        <w:tabs>
          <w:tab w:val="left" w:pos="1350"/>
        </w:tabs>
      </w:pPr>
      <w:r w:rsidRPr="00E17017">
        <w:t>EMFAC</w:t>
      </w:r>
      <w:r w:rsidRPr="00E17017">
        <w:tab/>
        <w:t>Emissions Factor Model</w:t>
      </w:r>
    </w:p>
    <w:p w14:paraId="61F4C314" w14:textId="77777777" w:rsidR="00C379B5" w:rsidRDefault="00C379B5" w:rsidP="00C379B5">
      <w:pPr>
        <w:pStyle w:val="BodyText"/>
        <w:tabs>
          <w:tab w:val="left" w:pos="1350"/>
        </w:tabs>
      </w:pPr>
      <w:r>
        <w:t>ESA</w:t>
      </w:r>
      <w:r>
        <w:tab/>
        <w:t xml:space="preserve">Environmental Site Assessment </w:t>
      </w:r>
    </w:p>
    <w:p w14:paraId="05ECCE01" w14:textId="77777777" w:rsidR="00C379B5" w:rsidRDefault="00C379B5" w:rsidP="00C379B5">
      <w:pPr>
        <w:pStyle w:val="BodyText"/>
        <w:tabs>
          <w:tab w:val="left" w:pos="1350"/>
        </w:tabs>
      </w:pPr>
      <w:r>
        <w:t>EV</w:t>
      </w:r>
      <w:r>
        <w:tab/>
        <w:t xml:space="preserve">electric vehicle </w:t>
      </w:r>
    </w:p>
    <w:p w14:paraId="68A7B9E1" w14:textId="77777777" w:rsidR="00C379B5" w:rsidRPr="00E17017" w:rsidRDefault="00C379B5" w:rsidP="00C379B5">
      <w:pPr>
        <w:pStyle w:val="BodyText"/>
        <w:tabs>
          <w:tab w:val="left" w:pos="1350"/>
        </w:tabs>
      </w:pPr>
      <w:r>
        <w:t>FAR</w:t>
      </w:r>
      <w:r>
        <w:tab/>
        <w:t xml:space="preserve">Floor Area Ratio </w:t>
      </w:r>
    </w:p>
    <w:p w14:paraId="0592CB74" w14:textId="77777777" w:rsidR="00C379B5" w:rsidRPr="00E17017" w:rsidRDefault="00C379B5" w:rsidP="00C379B5">
      <w:pPr>
        <w:pStyle w:val="BodyText"/>
        <w:tabs>
          <w:tab w:val="left" w:pos="1350"/>
        </w:tabs>
      </w:pPr>
      <w:r w:rsidRPr="00E17017">
        <w:t>FEMA</w:t>
      </w:r>
      <w:r w:rsidRPr="00E17017">
        <w:tab/>
        <w:t>Federal Emergency Management Agency</w:t>
      </w:r>
    </w:p>
    <w:p w14:paraId="6B93C507" w14:textId="77777777" w:rsidR="00C379B5" w:rsidRPr="00E17017" w:rsidRDefault="00C379B5" w:rsidP="00C379B5">
      <w:pPr>
        <w:pStyle w:val="BodyText"/>
        <w:tabs>
          <w:tab w:val="left" w:pos="1350"/>
        </w:tabs>
      </w:pPr>
      <w:r w:rsidRPr="00E17017">
        <w:t>FHC</w:t>
      </w:r>
      <w:r w:rsidRPr="00E17017">
        <w:tab/>
        <w:t>fuel hydrocarbon</w:t>
      </w:r>
    </w:p>
    <w:p w14:paraId="1EFA9DF9" w14:textId="77777777" w:rsidR="00C379B5" w:rsidRDefault="00C379B5" w:rsidP="00C379B5">
      <w:pPr>
        <w:pStyle w:val="BodyText"/>
        <w:tabs>
          <w:tab w:val="left" w:pos="1350"/>
        </w:tabs>
      </w:pPr>
      <w:r w:rsidRPr="00E17017">
        <w:t>FTA</w:t>
      </w:r>
      <w:r w:rsidRPr="00E17017">
        <w:tab/>
        <w:t>Federal Transit Administration</w:t>
      </w:r>
    </w:p>
    <w:p w14:paraId="0F8B19D3" w14:textId="77777777" w:rsidR="00C379B5" w:rsidRPr="00E17017" w:rsidRDefault="00C379B5" w:rsidP="00C379B5">
      <w:pPr>
        <w:pStyle w:val="BodyText"/>
        <w:tabs>
          <w:tab w:val="left" w:pos="1350"/>
        </w:tabs>
      </w:pPr>
      <w:r>
        <w:t>GGRP</w:t>
      </w:r>
      <w:r>
        <w:tab/>
        <w:t xml:space="preserve">Greenhouse Gas Reduction Plan </w:t>
      </w:r>
    </w:p>
    <w:p w14:paraId="666A6840" w14:textId="77777777" w:rsidR="00C379B5" w:rsidRPr="00E17017" w:rsidRDefault="00C379B5" w:rsidP="00C379B5">
      <w:pPr>
        <w:pStyle w:val="BodyText"/>
        <w:tabs>
          <w:tab w:val="left" w:pos="1350"/>
        </w:tabs>
      </w:pPr>
      <w:r w:rsidRPr="00E17017">
        <w:t xml:space="preserve">GHG </w:t>
      </w:r>
      <w:r w:rsidRPr="00E17017">
        <w:tab/>
        <w:t>greenhouse gases</w:t>
      </w:r>
    </w:p>
    <w:p w14:paraId="1B2E4CB9" w14:textId="77777777" w:rsidR="00C379B5" w:rsidRDefault="00C379B5" w:rsidP="00C379B5">
      <w:pPr>
        <w:pStyle w:val="BodyText"/>
        <w:tabs>
          <w:tab w:val="left" w:pos="1350"/>
        </w:tabs>
      </w:pPr>
      <w:r w:rsidRPr="00E17017">
        <w:t>Hz</w:t>
      </w:r>
      <w:r w:rsidRPr="00E17017">
        <w:tab/>
        <w:t>hertz</w:t>
      </w:r>
    </w:p>
    <w:p w14:paraId="5A421725" w14:textId="77777777" w:rsidR="00C379B5" w:rsidRDefault="00C379B5" w:rsidP="00C379B5">
      <w:pPr>
        <w:pStyle w:val="BodyText"/>
        <w:tabs>
          <w:tab w:val="left" w:pos="1350"/>
        </w:tabs>
      </w:pPr>
      <w:r>
        <w:t>HWCL</w:t>
      </w:r>
      <w:r>
        <w:tab/>
        <w:t xml:space="preserve">Hazardous Waste Law </w:t>
      </w:r>
    </w:p>
    <w:p w14:paraId="347EBA4A" w14:textId="77777777" w:rsidR="00C379B5" w:rsidRPr="00E17017" w:rsidRDefault="00C379B5" w:rsidP="00C379B5">
      <w:pPr>
        <w:pStyle w:val="BodyText"/>
        <w:tabs>
          <w:tab w:val="left" w:pos="1350"/>
        </w:tabs>
      </w:pPr>
      <w:r>
        <w:t xml:space="preserve">IPCC </w:t>
      </w:r>
      <w:r>
        <w:tab/>
        <w:t xml:space="preserve">Intergovernmental Panel on Climate Change </w:t>
      </w:r>
    </w:p>
    <w:p w14:paraId="7CBD662C" w14:textId="77777777" w:rsidR="00C379B5" w:rsidRPr="00E17017" w:rsidRDefault="00C379B5" w:rsidP="00C379B5">
      <w:pPr>
        <w:pStyle w:val="BodyText"/>
        <w:tabs>
          <w:tab w:val="left" w:pos="1350"/>
        </w:tabs>
      </w:pPr>
      <w:r w:rsidRPr="00E17017">
        <w:t>ITE</w:t>
      </w:r>
      <w:r w:rsidRPr="00E17017">
        <w:tab/>
        <w:t>Institute of Transportation Engineers</w:t>
      </w:r>
    </w:p>
    <w:p w14:paraId="09059628" w14:textId="77777777" w:rsidR="00C379B5" w:rsidRPr="00E17017" w:rsidRDefault="00C379B5" w:rsidP="00C379B5">
      <w:pPr>
        <w:pStyle w:val="BodyText"/>
        <w:tabs>
          <w:tab w:val="left" w:pos="1350"/>
        </w:tabs>
      </w:pPr>
      <w:r w:rsidRPr="00E17017">
        <w:lastRenderedPageBreak/>
        <w:t>kBtu</w:t>
      </w:r>
      <w:r w:rsidRPr="00E17017">
        <w:tab/>
        <w:t>thousand British thermal units</w:t>
      </w:r>
    </w:p>
    <w:p w14:paraId="365E2CDC" w14:textId="77777777" w:rsidR="00C379B5" w:rsidRPr="00E17017" w:rsidRDefault="00C379B5" w:rsidP="00C379B5">
      <w:pPr>
        <w:pStyle w:val="BodyText"/>
        <w:tabs>
          <w:tab w:val="left" w:pos="1350"/>
        </w:tabs>
      </w:pPr>
      <w:r w:rsidRPr="00E17017">
        <w:t xml:space="preserve">kWh </w:t>
      </w:r>
      <w:r w:rsidRPr="00E17017">
        <w:tab/>
        <w:t>kilowatt-hours</w:t>
      </w:r>
    </w:p>
    <w:p w14:paraId="55EBD3D4" w14:textId="77777777" w:rsidR="00C379B5" w:rsidRPr="00E17017" w:rsidRDefault="00C379B5" w:rsidP="00C379B5">
      <w:pPr>
        <w:pStyle w:val="BodyText"/>
        <w:tabs>
          <w:tab w:val="left" w:pos="1350"/>
        </w:tabs>
      </w:pPr>
      <w:r w:rsidRPr="00E17017">
        <w:t xml:space="preserve">Ldn </w:t>
      </w:r>
      <w:r w:rsidRPr="00E17017">
        <w:tab/>
        <w:t xml:space="preserve">Day-Night Average (noise) level </w:t>
      </w:r>
    </w:p>
    <w:p w14:paraId="532A5909" w14:textId="68D23750" w:rsidR="00C379B5" w:rsidRDefault="00C379B5" w:rsidP="00C379B5">
      <w:pPr>
        <w:pStyle w:val="BodyText"/>
        <w:tabs>
          <w:tab w:val="left" w:pos="1350"/>
        </w:tabs>
      </w:pPr>
      <w:r w:rsidRPr="00E17017">
        <w:t>Leq</w:t>
      </w:r>
      <w:r w:rsidRPr="00E17017">
        <w:tab/>
        <w:t xml:space="preserve">single steady A-weighted (noise) level </w:t>
      </w:r>
    </w:p>
    <w:p w14:paraId="63A0F1F8" w14:textId="0D2E6066" w:rsidR="00B151EF" w:rsidRPr="00E17017" w:rsidRDefault="00B151EF" w:rsidP="00C379B5">
      <w:pPr>
        <w:pStyle w:val="BodyText"/>
        <w:tabs>
          <w:tab w:val="left" w:pos="1350"/>
        </w:tabs>
      </w:pPr>
      <w:r>
        <w:t>LID</w:t>
      </w:r>
      <w:r>
        <w:tab/>
        <w:t>Low Impact Development</w:t>
      </w:r>
    </w:p>
    <w:p w14:paraId="1AA69320" w14:textId="77777777" w:rsidR="00C379B5" w:rsidRPr="00E17017" w:rsidRDefault="00C379B5" w:rsidP="00C379B5">
      <w:pPr>
        <w:pStyle w:val="BodyText"/>
        <w:tabs>
          <w:tab w:val="left" w:pos="1350"/>
        </w:tabs>
      </w:pPr>
      <w:r w:rsidRPr="00E17017">
        <w:t xml:space="preserve">Lmax </w:t>
      </w:r>
      <w:r w:rsidRPr="00E17017">
        <w:tab/>
        <w:t xml:space="preserve">highest root mean squared sound pressure level </w:t>
      </w:r>
    </w:p>
    <w:p w14:paraId="0366F8D6" w14:textId="77777777" w:rsidR="00C379B5" w:rsidRPr="00E17017" w:rsidRDefault="00C379B5" w:rsidP="00C379B5">
      <w:pPr>
        <w:pStyle w:val="BodyText"/>
        <w:tabs>
          <w:tab w:val="left" w:pos="1350"/>
        </w:tabs>
      </w:pPr>
      <w:r w:rsidRPr="00E17017">
        <w:t>Lmin</w:t>
      </w:r>
      <w:r w:rsidRPr="00E17017">
        <w:tab/>
        <w:t xml:space="preserve">lowest root mean squared sound pressure level </w:t>
      </w:r>
    </w:p>
    <w:p w14:paraId="2064E4CA" w14:textId="77777777" w:rsidR="00C379B5" w:rsidRDefault="00C379B5" w:rsidP="00C379B5">
      <w:pPr>
        <w:pStyle w:val="BodyText"/>
        <w:tabs>
          <w:tab w:val="left" w:pos="1350"/>
        </w:tabs>
      </w:pPr>
      <w:r w:rsidRPr="00E17017">
        <w:t>LUST</w:t>
      </w:r>
      <w:r w:rsidRPr="00E17017">
        <w:tab/>
        <w:t>Leaking Underground Storage Tank</w:t>
      </w:r>
    </w:p>
    <w:p w14:paraId="59A9D1F4" w14:textId="77777777" w:rsidR="00C379B5" w:rsidRDefault="00C379B5" w:rsidP="00C379B5">
      <w:pPr>
        <w:pStyle w:val="BodyText"/>
        <w:tabs>
          <w:tab w:val="left" w:pos="1350"/>
        </w:tabs>
      </w:pPr>
      <w:r>
        <w:t xml:space="preserve">MM </w:t>
      </w:r>
      <w:r>
        <w:tab/>
        <w:t xml:space="preserve">General Industrial Zone </w:t>
      </w:r>
    </w:p>
    <w:p w14:paraId="62E85CCC" w14:textId="77777777" w:rsidR="00C379B5" w:rsidRDefault="00C379B5" w:rsidP="00C379B5">
      <w:pPr>
        <w:pStyle w:val="BodyText"/>
        <w:tabs>
          <w:tab w:val="left" w:pos="1350"/>
        </w:tabs>
      </w:pPr>
      <w:r>
        <w:t xml:space="preserve">ML </w:t>
      </w:r>
      <w:r>
        <w:tab/>
        <w:t xml:space="preserve">Limited Industrial Zone </w:t>
      </w:r>
    </w:p>
    <w:p w14:paraId="073CF22D" w14:textId="77777777" w:rsidR="00C379B5" w:rsidRPr="00E17017" w:rsidRDefault="00C379B5" w:rsidP="00C379B5">
      <w:pPr>
        <w:pStyle w:val="BodyText"/>
        <w:tabs>
          <w:tab w:val="left" w:pos="1350"/>
        </w:tabs>
      </w:pPr>
      <w:r>
        <w:t>MLD</w:t>
      </w:r>
      <w:r>
        <w:tab/>
        <w:t xml:space="preserve">Most Likely Descendant </w:t>
      </w:r>
    </w:p>
    <w:p w14:paraId="482369AF" w14:textId="514CD9B3" w:rsidR="00C379B5" w:rsidRDefault="00C379B5" w:rsidP="00C379B5">
      <w:pPr>
        <w:pStyle w:val="BodyText"/>
        <w:tabs>
          <w:tab w:val="left" w:pos="1350"/>
        </w:tabs>
      </w:pPr>
      <w:r w:rsidRPr="00E17017">
        <w:t>mph</w:t>
      </w:r>
      <w:r w:rsidRPr="00E17017">
        <w:tab/>
        <w:t>miles per hour</w:t>
      </w:r>
    </w:p>
    <w:p w14:paraId="0C4897F9" w14:textId="14C24234" w:rsidR="00B151EF" w:rsidRPr="00E17017" w:rsidRDefault="00B151EF" w:rsidP="00C379B5">
      <w:pPr>
        <w:pStyle w:val="BodyText"/>
        <w:tabs>
          <w:tab w:val="left" w:pos="1350"/>
        </w:tabs>
      </w:pPr>
      <w:r>
        <w:t>MRP</w:t>
      </w:r>
      <w:r>
        <w:tab/>
        <w:t xml:space="preserve">Municipal Regional (National Pollutant Discharge Elimination System) Permit </w:t>
      </w:r>
    </w:p>
    <w:p w14:paraId="47692D7C" w14:textId="1811B1B6" w:rsidR="00651D61" w:rsidRDefault="00C379B5" w:rsidP="00C379B5">
      <w:pPr>
        <w:pStyle w:val="BodyText"/>
        <w:tabs>
          <w:tab w:val="left" w:pos="1350"/>
        </w:tabs>
      </w:pPr>
      <w:r w:rsidRPr="00E17017">
        <w:t>MT</w:t>
      </w:r>
      <w:r w:rsidRPr="00E17017">
        <w:tab/>
        <w:t>metric tons</w:t>
      </w:r>
    </w:p>
    <w:p w14:paraId="66B1F250" w14:textId="77777777" w:rsidR="00C379B5" w:rsidRDefault="00C379B5" w:rsidP="00C379B5">
      <w:pPr>
        <w:pStyle w:val="BodyText"/>
        <w:tabs>
          <w:tab w:val="left" w:pos="1350"/>
          <w:tab w:val="left" w:pos="4860"/>
        </w:tabs>
      </w:pPr>
      <w:r>
        <w:t>MVFD</w:t>
      </w:r>
      <w:r>
        <w:tab/>
        <w:t xml:space="preserve">Mountain View Fire Department </w:t>
      </w:r>
      <w:r>
        <w:tab/>
      </w:r>
    </w:p>
    <w:p w14:paraId="53A9D43B" w14:textId="77777777" w:rsidR="00C379B5" w:rsidRDefault="00C379B5" w:rsidP="00C379B5">
      <w:pPr>
        <w:pStyle w:val="BodyText"/>
        <w:tabs>
          <w:tab w:val="left" w:pos="1350"/>
          <w:tab w:val="left" w:pos="4860"/>
        </w:tabs>
      </w:pPr>
      <w:r>
        <w:t>MVLA</w:t>
      </w:r>
      <w:r>
        <w:tab/>
        <w:t xml:space="preserve">Mountain View Los Altos High School District </w:t>
      </w:r>
    </w:p>
    <w:p w14:paraId="353FCE3A" w14:textId="77777777" w:rsidR="00C379B5" w:rsidRDefault="00C379B5" w:rsidP="00C379B5">
      <w:pPr>
        <w:pStyle w:val="BodyText"/>
        <w:tabs>
          <w:tab w:val="left" w:pos="1350"/>
        </w:tabs>
      </w:pPr>
      <w:r>
        <w:t>MVMC</w:t>
      </w:r>
      <w:r>
        <w:tab/>
        <w:t xml:space="preserve">Mountain View Municipal Code </w:t>
      </w:r>
    </w:p>
    <w:p w14:paraId="6BD74509" w14:textId="77777777" w:rsidR="00C379B5" w:rsidRDefault="00C379B5" w:rsidP="00C379B5">
      <w:pPr>
        <w:pStyle w:val="BodyText"/>
        <w:tabs>
          <w:tab w:val="left" w:pos="1350"/>
        </w:tabs>
      </w:pPr>
      <w:r>
        <w:t>MVPD</w:t>
      </w:r>
      <w:r>
        <w:tab/>
        <w:t xml:space="preserve">Mountain View Police Department </w:t>
      </w:r>
    </w:p>
    <w:p w14:paraId="3C804C6D" w14:textId="77777777" w:rsidR="00C379B5" w:rsidRPr="00E17017" w:rsidRDefault="00C379B5" w:rsidP="00C379B5">
      <w:pPr>
        <w:pStyle w:val="BodyText"/>
        <w:tabs>
          <w:tab w:val="left" w:pos="1350"/>
        </w:tabs>
      </w:pPr>
      <w:r>
        <w:t>MVWSD</w:t>
      </w:r>
      <w:r>
        <w:tab/>
        <w:t xml:space="preserve">Mountain View Whisman School District </w:t>
      </w:r>
    </w:p>
    <w:p w14:paraId="2100C9A4" w14:textId="77777777" w:rsidR="00C379B5" w:rsidRDefault="00C379B5" w:rsidP="00C379B5">
      <w:pPr>
        <w:pStyle w:val="BodyText"/>
        <w:tabs>
          <w:tab w:val="left" w:pos="1350"/>
        </w:tabs>
      </w:pPr>
      <w:r w:rsidRPr="00E17017">
        <w:t>MWH</w:t>
      </w:r>
      <w:r w:rsidRPr="00E17017">
        <w:tab/>
        <w:t>megawatt hours</w:t>
      </w:r>
    </w:p>
    <w:p w14:paraId="36445C77" w14:textId="77777777" w:rsidR="00C379B5" w:rsidRDefault="00C379B5" w:rsidP="00C379B5">
      <w:pPr>
        <w:pStyle w:val="BodyText"/>
        <w:tabs>
          <w:tab w:val="left" w:pos="1350"/>
        </w:tabs>
      </w:pPr>
      <w:r>
        <w:t>NAAQS</w:t>
      </w:r>
      <w:r>
        <w:tab/>
        <w:t xml:space="preserve">national Ambient Air Quality Standards </w:t>
      </w:r>
    </w:p>
    <w:p w14:paraId="779C0A6F" w14:textId="77777777" w:rsidR="00C379B5" w:rsidRDefault="00C379B5" w:rsidP="00C379B5">
      <w:pPr>
        <w:pStyle w:val="BodyText"/>
        <w:tabs>
          <w:tab w:val="left" w:pos="1350"/>
        </w:tabs>
      </w:pPr>
      <w:r w:rsidRPr="00E17017">
        <w:t>NAHC</w:t>
      </w:r>
      <w:r w:rsidRPr="00E17017">
        <w:tab/>
        <w:t>Native American Heritage Commission</w:t>
      </w:r>
    </w:p>
    <w:p w14:paraId="38492FEC" w14:textId="77777777" w:rsidR="00C379B5" w:rsidRPr="00E17017" w:rsidRDefault="00C379B5" w:rsidP="00C379B5">
      <w:pPr>
        <w:pStyle w:val="BodyText"/>
        <w:tabs>
          <w:tab w:val="left" w:pos="1350"/>
        </w:tabs>
      </w:pPr>
      <w:r>
        <w:t>NMFS</w:t>
      </w:r>
      <w:r>
        <w:tab/>
        <w:t xml:space="preserve">National Marine Fisheries Service </w:t>
      </w:r>
    </w:p>
    <w:p w14:paraId="6AC04447" w14:textId="77777777" w:rsidR="00C379B5" w:rsidRPr="00E17017" w:rsidRDefault="00C379B5" w:rsidP="00C379B5">
      <w:pPr>
        <w:pStyle w:val="BodyText"/>
        <w:tabs>
          <w:tab w:val="left" w:pos="1350"/>
        </w:tabs>
        <w:rPr>
          <w:lang w:val="es-ES"/>
        </w:rPr>
      </w:pPr>
      <w:r w:rsidRPr="00E17017">
        <w:rPr>
          <w:lang w:val="es-ES"/>
        </w:rPr>
        <w:t>N</w:t>
      </w:r>
      <w:r w:rsidRPr="00E17017">
        <w:rPr>
          <w:vertAlign w:val="subscript"/>
          <w:lang w:val="es-ES"/>
        </w:rPr>
        <w:t>2</w:t>
      </w:r>
      <w:r w:rsidRPr="00E17017">
        <w:rPr>
          <w:lang w:val="es-ES"/>
        </w:rPr>
        <w:t>O</w:t>
      </w:r>
      <w:r w:rsidRPr="00E17017">
        <w:rPr>
          <w:lang w:val="es-ES"/>
        </w:rPr>
        <w:tab/>
        <w:t>nitrous oxides</w:t>
      </w:r>
    </w:p>
    <w:p w14:paraId="6D0845EF" w14:textId="77777777" w:rsidR="00C379B5" w:rsidRPr="00E17017" w:rsidRDefault="00C379B5" w:rsidP="00C379B5">
      <w:pPr>
        <w:pStyle w:val="BodyText"/>
        <w:tabs>
          <w:tab w:val="left" w:pos="1350"/>
        </w:tabs>
        <w:rPr>
          <w:lang w:val="es-ES"/>
        </w:rPr>
      </w:pPr>
      <w:r w:rsidRPr="00E17017">
        <w:rPr>
          <w:lang w:val="es-ES"/>
        </w:rPr>
        <w:t>NO</w:t>
      </w:r>
      <w:r w:rsidRPr="00E17017">
        <w:rPr>
          <w:vertAlign w:val="subscript"/>
          <w:lang w:val="es-ES"/>
        </w:rPr>
        <w:t>2</w:t>
      </w:r>
      <w:r w:rsidRPr="00E17017">
        <w:rPr>
          <w:vertAlign w:val="subscript"/>
          <w:lang w:val="es-ES"/>
        </w:rPr>
        <w:tab/>
      </w:r>
      <w:r w:rsidRPr="00E17017">
        <w:rPr>
          <w:lang w:val="es-ES"/>
        </w:rPr>
        <w:t xml:space="preserve">nitrogen dioxide </w:t>
      </w:r>
    </w:p>
    <w:p w14:paraId="716FE279" w14:textId="77777777" w:rsidR="00C379B5" w:rsidRPr="00E17017" w:rsidRDefault="00C379B5" w:rsidP="00C379B5">
      <w:pPr>
        <w:pStyle w:val="BodyText"/>
        <w:tabs>
          <w:tab w:val="left" w:pos="1350"/>
        </w:tabs>
      </w:pPr>
      <w:r w:rsidRPr="00E17017">
        <w:t>NO</w:t>
      </w:r>
      <w:r w:rsidRPr="00E17017">
        <w:rPr>
          <w:vertAlign w:val="subscript"/>
        </w:rPr>
        <w:t>X</w:t>
      </w:r>
      <w:r w:rsidRPr="00E17017">
        <w:t xml:space="preserve"> </w:t>
      </w:r>
      <w:r w:rsidRPr="00E17017">
        <w:tab/>
        <w:t>nitrogen oxides</w:t>
      </w:r>
    </w:p>
    <w:p w14:paraId="6C503783" w14:textId="77777777" w:rsidR="00C379B5" w:rsidRPr="00583DE2" w:rsidRDefault="00C379B5" w:rsidP="00C379B5">
      <w:pPr>
        <w:pStyle w:val="BodyText"/>
        <w:tabs>
          <w:tab w:val="left" w:pos="1350"/>
        </w:tabs>
      </w:pPr>
      <w:r w:rsidRPr="00583DE2">
        <w:t>NPDES</w:t>
      </w:r>
      <w:r w:rsidRPr="00583DE2">
        <w:tab/>
        <w:t>National Pollutant Discharge Elimination System</w:t>
      </w:r>
    </w:p>
    <w:p w14:paraId="5C6E8AA8" w14:textId="77777777" w:rsidR="00C379B5" w:rsidRDefault="00C379B5" w:rsidP="00C379B5">
      <w:pPr>
        <w:pStyle w:val="BodyText"/>
        <w:tabs>
          <w:tab w:val="left" w:pos="1350"/>
        </w:tabs>
      </w:pPr>
      <w:r w:rsidRPr="00E17017">
        <w:t>NRCS</w:t>
      </w:r>
      <w:r w:rsidRPr="00E17017">
        <w:tab/>
        <w:t>National Resources Conservation Service</w:t>
      </w:r>
    </w:p>
    <w:p w14:paraId="17CA48CB" w14:textId="77777777" w:rsidR="00C379B5" w:rsidRPr="00E17017" w:rsidRDefault="00C379B5" w:rsidP="00C379B5">
      <w:pPr>
        <w:pStyle w:val="BodyText"/>
        <w:tabs>
          <w:tab w:val="left" w:pos="1350"/>
        </w:tabs>
      </w:pPr>
      <w:r>
        <w:t>NRHP</w:t>
      </w:r>
      <w:r>
        <w:tab/>
        <w:t xml:space="preserve">National Record of Historic Places </w:t>
      </w:r>
    </w:p>
    <w:p w14:paraId="46574D97" w14:textId="77777777" w:rsidR="00C379B5" w:rsidRDefault="00C379B5" w:rsidP="00C379B5">
      <w:pPr>
        <w:pStyle w:val="BodyText"/>
        <w:tabs>
          <w:tab w:val="left" w:pos="1350"/>
        </w:tabs>
      </w:pPr>
      <w:r w:rsidRPr="00E17017">
        <w:t>NWI</w:t>
      </w:r>
      <w:r w:rsidRPr="00E17017">
        <w:tab/>
        <w:t>National Wetlands Inventory</w:t>
      </w:r>
    </w:p>
    <w:p w14:paraId="1E487C63" w14:textId="77777777" w:rsidR="00C379B5" w:rsidRPr="00E17017" w:rsidRDefault="00C379B5" w:rsidP="00C379B5">
      <w:pPr>
        <w:pStyle w:val="BodyText"/>
        <w:tabs>
          <w:tab w:val="left" w:pos="1350"/>
        </w:tabs>
      </w:pPr>
      <w:r>
        <w:t xml:space="preserve">NWIC </w:t>
      </w:r>
      <w:r>
        <w:tab/>
        <w:t xml:space="preserve">Northwest Information Center </w:t>
      </w:r>
    </w:p>
    <w:p w14:paraId="5DD8B655" w14:textId="77777777" w:rsidR="00C379B5" w:rsidRPr="00E17017" w:rsidRDefault="00C379B5" w:rsidP="00C379B5">
      <w:pPr>
        <w:pStyle w:val="BodyText"/>
        <w:tabs>
          <w:tab w:val="left" w:pos="1350"/>
        </w:tabs>
      </w:pPr>
      <w:r w:rsidRPr="00E17017">
        <w:t>O</w:t>
      </w:r>
      <w:r w:rsidRPr="00E17017">
        <w:rPr>
          <w:vertAlign w:val="subscript"/>
        </w:rPr>
        <w:t>3</w:t>
      </w:r>
      <w:r w:rsidRPr="00E17017">
        <w:rPr>
          <w:vertAlign w:val="subscript"/>
        </w:rPr>
        <w:tab/>
      </w:r>
      <w:r w:rsidRPr="00E17017">
        <w:t>ozone</w:t>
      </w:r>
    </w:p>
    <w:p w14:paraId="5DD7C8F2" w14:textId="77777777" w:rsidR="00C379B5" w:rsidRPr="00E17017" w:rsidRDefault="00C379B5" w:rsidP="00C379B5">
      <w:pPr>
        <w:pStyle w:val="BodyText"/>
        <w:tabs>
          <w:tab w:val="left" w:pos="1350"/>
        </w:tabs>
      </w:pPr>
      <w:r w:rsidRPr="00E17017">
        <w:t>OEHHA</w:t>
      </w:r>
      <w:r w:rsidRPr="00E17017">
        <w:tab/>
        <w:t>Office of Environmental Health Hazard Assessment</w:t>
      </w:r>
    </w:p>
    <w:p w14:paraId="3A44E599" w14:textId="77777777" w:rsidR="00C379B5" w:rsidRPr="00E17017" w:rsidRDefault="00C379B5" w:rsidP="00C379B5">
      <w:pPr>
        <w:pStyle w:val="BodyText"/>
        <w:tabs>
          <w:tab w:val="left" w:pos="1350"/>
        </w:tabs>
      </w:pPr>
      <w:r w:rsidRPr="00E17017">
        <w:lastRenderedPageBreak/>
        <w:t>OPR</w:t>
      </w:r>
      <w:r w:rsidRPr="00E17017">
        <w:tab/>
        <w:t>Office of Planning and Research</w:t>
      </w:r>
    </w:p>
    <w:p w14:paraId="0028F7D3" w14:textId="77777777" w:rsidR="00C379B5" w:rsidRDefault="00C379B5" w:rsidP="00C379B5">
      <w:pPr>
        <w:pStyle w:val="BodyText"/>
        <w:tabs>
          <w:tab w:val="left" w:pos="1350"/>
        </w:tabs>
      </w:pPr>
      <w:r w:rsidRPr="00E17017">
        <w:t>Pb</w:t>
      </w:r>
      <w:r w:rsidRPr="00E17017">
        <w:tab/>
        <w:t xml:space="preserve">Lead </w:t>
      </w:r>
    </w:p>
    <w:p w14:paraId="3EB819F1" w14:textId="77777777" w:rsidR="00C379B5" w:rsidRDefault="00C379B5" w:rsidP="00C379B5">
      <w:pPr>
        <w:pStyle w:val="BodyText"/>
        <w:tabs>
          <w:tab w:val="left" w:pos="1350"/>
        </w:tabs>
      </w:pPr>
      <w:r>
        <w:t>PFAS</w:t>
      </w:r>
      <w:r>
        <w:tab/>
        <w:t xml:space="preserve">per- and polyfluoroalkyl substances </w:t>
      </w:r>
    </w:p>
    <w:p w14:paraId="37C8068C" w14:textId="77777777" w:rsidR="00C379B5" w:rsidRDefault="00C379B5" w:rsidP="00C379B5">
      <w:pPr>
        <w:pStyle w:val="BodyText"/>
        <w:tabs>
          <w:tab w:val="left" w:pos="1350"/>
        </w:tabs>
      </w:pPr>
      <w:r>
        <w:t>PFOA</w:t>
      </w:r>
      <w:r>
        <w:tab/>
        <w:t xml:space="preserve">perfluorooctanoic acid </w:t>
      </w:r>
    </w:p>
    <w:p w14:paraId="0FB0027A" w14:textId="77777777" w:rsidR="00C379B5" w:rsidRPr="00E17017" w:rsidRDefault="00C379B5" w:rsidP="00C379B5">
      <w:pPr>
        <w:pStyle w:val="BodyText"/>
        <w:tabs>
          <w:tab w:val="left" w:pos="1350"/>
        </w:tabs>
      </w:pPr>
      <w:r>
        <w:t>PFOS</w:t>
      </w:r>
      <w:r>
        <w:tab/>
        <w:t xml:space="preserve">Perfluorooctane sulfonic acid </w:t>
      </w:r>
    </w:p>
    <w:p w14:paraId="6E5BBF16" w14:textId="77777777" w:rsidR="00C379B5" w:rsidRPr="00E17017" w:rsidRDefault="00C379B5" w:rsidP="00C379B5">
      <w:pPr>
        <w:pStyle w:val="BodyText"/>
        <w:tabs>
          <w:tab w:val="left" w:pos="1350"/>
        </w:tabs>
      </w:pPr>
      <w:r w:rsidRPr="00E17017">
        <w:t>PG&amp;E</w:t>
      </w:r>
      <w:r w:rsidRPr="00E17017">
        <w:tab/>
        <w:t>Pacific Gas and Electric</w:t>
      </w:r>
      <w:r>
        <w:t xml:space="preserve"> Company </w:t>
      </w:r>
    </w:p>
    <w:p w14:paraId="50BE94BE" w14:textId="77777777" w:rsidR="00C379B5" w:rsidRPr="00E17017" w:rsidRDefault="00C379B5" w:rsidP="00C379B5">
      <w:pPr>
        <w:pStyle w:val="BodyText"/>
        <w:tabs>
          <w:tab w:val="left" w:pos="1350"/>
        </w:tabs>
        <w:rPr>
          <w:vertAlign w:val="subscript"/>
        </w:rPr>
      </w:pPr>
      <w:r w:rsidRPr="00E17017">
        <w:t>PM</w:t>
      </w:r>
      <w:r w:rsidRPr="00E17017">
        <w:rPr>
          <w:vertAlign w:val="subscript"/>
        </w:rPr>
        <w:t>2.5</w:t>
      </w:r>
      <w:r w:rsidRPr="00E17017">
        <w:rPr>
          <w:vertAlign w:val="subscript"/>
        </w:rPr>
        <w:tab/>
      </w:r>
      <w:r w:rsidRPr="00E17017">
        <w:t>particulate matter with a diameter of up to 2.5 microns</w:t>
      </w:r>
    </w:p>
    <w:p w14:paraId="3A5D30A3" w14:textId="77777777" w:rsidR="00C379B5" w:rsidRPr="00E17017" w:rsidRDefault="00C379B5" w:rsidP="00C379B5">
      <w:pPr>
        <w:pStyle w:val="BodyText"/>
        <w:tabs>
          <w:tab w:val="left" w:pos="1350"/>
        </w:tabs>
      </w:pPr>
      <w:r w:rsidRPr="00E17017">
        <w:t>PM</w:t>
      </w:r>
      <w:r w:rsidRPr="00E17017">
        <w:rPr>
          <w:vertAlign w:val="subscript"/>
        </w:rPr>
        <w:t>10</w:t>
      </w:r>
      <w:r w:rsidRPr="00E17017">
        <w:rPr>
          <w:vertAlign w:val="subscript"/>
        </w:rPr>
        <w:tab/>
      </w:r>
      <w:r w:rsidRPr="00E17017">
        <w:t>particulate matter with a diameter of up to 10 microns</w:t>
      </w:r>
    </w:p>
    <w:p w14:paraId="241FC179" w14:textId="77777777" w:rsidR="00C379B5" w:rsidRPr="00E17017" w:rsidRDefault="00C379B5" w:rsidP="00C379B5">
      <w:pPr>
        <w:pStyle w:val="BodyText"/>
        <w:tabs>
          <w:tab w:val="left" w:pos="1350"/>
        </w:tabs>
      </w:pPr>
      <w:r w:rsidRPr="00E17017">
        <w:t>PPV</w:t>
      </w:r>
      <w:r w:rsidRPr="00E17017">
        <w:tab/>
        <w:t xml:space="preserve">Peak Particle Velocity </w:t>
      </w:r>
    </w:p>
    <w:p w14:paraId="714DF3C7" w14:textId="77777777" w:rsidR="00C379B5" w:rsidRPr="00E17017" w:rsidRDefault="00C379B5" w:rsidP="00C379B5">
      <w:pPr>
        <w:pStyle w:val="BodyText"/>
        <w:tabs>
          <w:tab w:val="left" w:pos="1350"/>
        </w:tabs>
      </w:pPr>
      <w:r w:rsidRPr="00E17017">
        <w:t>PRC</w:t>
      </w:r>
      <w:r w:rsidRPr="00E17017">
        <w:tab/>
        <w:t>Public Resources Code</w:t>
      </w:r>
    </w:p>
    <w:p w14:paraId="568E1BAB" w14:textId="77777777" w:rsidR="00C379B5" w:rsidRPr="00E17017" w:rsidRDefault="00C379B5" w:rsidP="00C379B5">
      <w:pPr>
        <w:pStyle w:val="BodyText"/>
        <w:tabs>
          <w:tab w:val="left" w:pos="1350"/>
        </w:tabs>
      </w:pPr>
      <w:r w:rsidRPr="00E17017">
        <w:t>RCRA</w:t>
      </w:r>
      <w:r w:rsidRPr="00E17017">
        <w:tab/>
        <w:t>Resource Conservation and Recovery Act</w:t>
      </w:r>
    </w:p>
    <w:p w14:paraId="24C84B0F" w14:textId="77777777" w:rsidR="00C379B5" w:rsidRPr="00E17017" w:rsidRDefault="00C379B5" w:rsidP="00C379B5">
      <w:pPr>
        <w:pStyle w:val="BodyText"/>
        <w:tabs>
          <w:tab w:val="left" w:pos="1350"/>
        </w:tabs>
      </w:pPr>
      <w:r w:rsidRPr="00E17017">
        <w:t>REC</w:t>
      </w:r>
      <w:r w:rsidRPr="00E17017">
        <w:tab/>
        <w:t xml:space="preserve">Recognized Environmental Conditions </w:t>
      </w:r>
    </w:p>
    <w:p w14:paraId="32F4536B" w14:textId="77777777" w:rsidR="00C379B5" w:rsidRPr="00E17017" w:rsidRDefault="00C379B5" w:rsidP="00C379B5">
      <w:pPr>
        <w:pStyle w:val="BodyText"/>
        <w:tabs>
          <w:tab w:val="left" w:pos="1350"/>
        </w:tabs>
      </w:pPr>
      <w:r w:rsidRPr="00E17017">
        <w:t>ROG</w:t>
      </w:r>
      <w:r w:rsidRPr="00E17017">
        <w:tab/>
        <w:t>reactive organic gases</w:t>
      </w:r>
    </w:p>
    <w:p w14:paraId="623108F6" w14:textId="77777777" w:rsidR="00C379B5" w:rsidRPr="00E17017" w:rsidRDefault="00C379B5" w:rsidP="00C379B5">
      <w:pPr>
        <w:pStyle w:val="BodyText"/>
        <w:tabs>
          <w:tab w:val="left" w:pos="1350"/>
        </w:tabs>
      </w:pPr>
      <w:r w:rsidRPr="00E17017">
        <w:t>RWQCB</w:t>
      </w:r>
      <w:r w:rsidRPr="00E17017">
        <w:tab/>
        <w:t>Regional Water Quality Control Board</w:t>
      </w:r>
    </w:p>
    <w:p w14:paraId="0E319E16" w14:textId="77777777" w:rsidR="00C379B5" w:rsidRDefault="00C379B5" w:rsidP="00C379B5">
      <w:pPr>
        <w:pStyle w:val="BodyText"/>
        <w:tabs>
          <w:tab w:val="left" w:pos="1350"/>
        </w:tabs>
      </w:pPr>
      <w:r w:rsidRPr="00E17017">
        <w:t>SB</w:t>
      </w:r>
      <w:r w:rsidRPr="00E17017">
        <w:tab/>
        <w:t>Senate Bill</w:t>
      </w:r>
    </w:p>
    <w:p w14:paraId="208A67DE" w14:textId="77777777" w:rsidR="00C379B5" w:rsidRDefault="00C379B5" w:rsidP="00C379B5">
      <w:pPr>
        <w:pStyle w:val="BodyText"/>
        <w:tabs>
          <w:tab w:val="left" w:pos="1350"/>
        </w:tabs>
      </w:pPr>
      <w:r>
        <w:t>SCCDEH</w:t>
      </w:r>
      <w:r>
        <w:tab/>
        <w:t xml:space="preserve">Santa Clara County Department of Environmental Health </w:t>
      </w:r>
    </w:p>
    <w:p w14:paraId="78BF7A20" w14:textId="77777777" w:rsidR="00C379B5" w:rsidRDefault="00C379B5" w:rsidP="00C379B5">
      <w:pPr>
        <w:pStyle w:val="BodyText"/>
        <w:tabs>
          <w:tab w:val="left" w:pos="1350"/>
        </w:tabs>
      </w:pPr>
      <w:r>
        <w:t xml:space="preserve">SCVURPPP </w:t>
      </w:r>
      <w:r>
        <w:tab/>
        <w:t>Santa Clara Valley Urban Runoff Pollution Prevention Program</w:t>
      </w:r>
    </w:p>
    <w:p w14:paraId="64BD0C98" w14:textId="77777777" w:rsidR="00C379B5" w:rsidRPr="00E17017" w:rsidRDefault="00C379B5" w:rsidP="00C379B5">
      <w:pPr>
        <w:pStyle w:val="BodyText"/>
        <w:tabs>
          <w:tab w:val="left" w:pos="1350"/>
        </w:tabs>
      </w:pPr>
      <w:r>
        <w:t>SCVWD</w:t>
      </w:r>
      <w:r>
        <w:tab/>
        <w:t xml:space="preserve">Santa Clara Valley Water District </w:t>
      </w:r>
    </w:p>
    <w:p w14:paraId="4398FD82" w14:textId="77777777" w:rsidR="00C379B5" w:rsidRDefault="00C379B5" w:rsidP="00C379B5">
      <w:pPr>
        <w:pStyle w:val="BodyText"/>
        <w:tabs>
          <w:tab w:val="left" w:pos="1350"/>
        </w:tabs>
      </w:pPr>
      <w:r w:rsidRPr="00E17017">
        <w:t>SFBAAB</w:t>
      </w:r>
      <w:r w:rsidRPr="00E17017">
        <w:tab/>
        <w:t xml:space="preserve">San Francisco Bay Area Air Basin </w:t>
      </w:r>
    </w:p>
    <w:p w14:paraId="5F423958" w14:textId="77777777" w:rsidR="00C379B5" w:rsidRPr="00E17017" w:rsidRDefault="00C379B5" w:rsidP="00C379B5">
      <w:pPr>
        <w:pStyle w:val="BodyText"/>
        <w:tabs>
          <w:tab w:val="left" w:pos="1350"/>
        </w:tabs>
      </w:pPr>
      <w:r>
        <w:t>SFPUC</w:t>
      </w:r>
      <w:r>
        <w:tab/>
        <w:t xml:space="preserve">San Francisco Public Utilities Commission </w:t>
      </w:r>
    </w:p>
    <w:p w14:paraId="0A9ECC00" w14:textId="77777777" w:rsidR="00C379B5" w:rsidRPr="00E17017" w:rsidRDefault="00C379B5" w:rsidP="00C379B5">
      <w:pPr>
        <w:pStyle w:val="BodyText"/>
        <w:tabs>
          <w:tab w:val="left" w:pos="1350"/>
        </w:tabs>
      </w:pPr>
      <w:r w:rsidRPr="00E17017">
        <w:t>SLF</w:t>
      </w:r>
      <w:r w:rsidRPr="00E17017">
        <w:tab/>
        <w:t>Sacred Lands File</w:t>
      </w:r>
    </w:p>
    <w:p w14:paraId="0904C61D" w14:textId="4AE53007" w:rsidR="00C379B5" w:rsidRDefault="00C379B5" w:rsidP="00C379B5">
      <w:pPr>
        <w:pStyle w:val="BodyText"/>
        <w:tabs>
          <w:tab w:val="left" w:pos="1350"/>
        </w:tabs>
      </w:pPr>
      <w:r w:rsidRPr="00E17017">
        <w:t>SO</w:t>
      </w:r>
      <w:r w:rsidRPr="00E17017">
        <w:rPr>
          <w:vertAlign w:val="subscript"/>
        </w:rPr>
        <w:t>2</w:t>
      </w:r>
      <w:r w:rsidRPr="00E17017">
        <w:rPr>
          <w:vertAlign w:val="subscript"/>
        </w:rPr>
        <w:tab/>
      </w:r>
      <w:r w:rsidRPr="00E17017">
        <w:t>sulfur dioxide</w:t>
      </w:r>
    </w:p>
    <w:p w14:paraId="5570467F" w14:textId="549D2631" w:rsidR="005E06EF" w:rsidRDefault="005E06EF" w:rsidP="00C379B5">
      <w:pPr>
        <w:pStyle w:val="BodyText"/>
        <w:tabs>
          <w:tab w:val="left" w:pos="1350"/>
        </w:tabs>
      </w:pPr>
      <w:r>
        <w:t>SR</w:t>
      </w:r>
      <w:r>
        <w:tab/>
        <w:t xml:space="preserve">State route </w:t>
      </w:r>
    </w:p>
    <w:p w14:paraId="1730FD29" w14:textId="77777777" w:rsidR="00C379B5" w:rsidRPr="00E17017" w:rsidRDefault="00C379B5" w:rsidP="00C379B5">
      <w:pPr>
        <w:pStyle w:val="BodyText"/>
        <w:tabs>
          <w:tab w:val="left" w:pos="1350"/>
        </w:tabs>
      </w:pPr>
      <w:r>
        <w:t>SVCE</w:t>
      </w:r>
      <w:r>
        <w:tab/>
        <w:t>Silicon Valley Clean Energy</w:t>
      </w:r>
    </w:p>
    <w:p w14:paraId="4D6CD154" w14:textId="77777777" w:rsidR="00C379B5" w:rsidRPr="00E17017" w:rsidRDefault="00C379B5" w:rsidP="00C379B5">
      <w:pPr>
        <w:pStyle w:val="BodyText"/>
        <w:tabs>
          <w:tab w:val="left" w:pos="1350"/>
        </w:tabs>
      </w:pPr>
      <w:r w:rsidRPr="00E17017">
        <w:t>SWRCB</w:t>
      </w:r>
      <w:r w:rsidRPr="00E17017">
        <w:tab/>
        <w:t>State Water Resources Control Board (California)</w:t>
      </w:r>
    </w:p>
    <w:p w14:paraId="62A76FA3" w14:textId="140CBE64" w:rsidR="00C379B5" w:rsidRDefault="00C379B5" w:rsidP="00C379B5">
      <w:pPr>
        <w:pStyle w:val="BodyText"/>
        <w:tabs>
          <w:tab w:val="left" w:pos="1350"/>
        </w:tabs>
      </w:pPr>
      <w:r w:rsidRPr="00E17017">
        <w:t>TAC</w:t>
      </w:r>
      <w:r w:rsidRPr="00E17017">
        <w:tab/>
        <w:t xml:space="preserve">toxic air contaminant </w:t>
      </w:r>
    </w:p>
    <w:p w14:paraId="47F0C8D6" w14:textId="6BB032AA" w:rsidR="00404CB1" w:rsidRPr="00E17017" w:rsidRDefault="00404CB1" w:rsidP="00C379B5">
      <w:pPr>
        <w:pStyle w:val="BodyText"/>
        <w:tabs>
          <w:tab w:val="left" w:pos="1350"/>
        </w:tabs>
      </w:pPr>
      <w:r>
        <w:t>TAZ</w:t>
      </w:r>
      <w:r>
        <w:tab/>
        <w:t xml:space="preserve">Transportation Analysis Zone </w:t>
      </w:r>
    </w:p>
    <w:p w14:paraId="4C729E2D" w14:textId="04F2010E" w:rsidR="00C379B5" w:rsidRDefault="00C379B5" w:rsidP="00C379B5">
      <w:pPr>
        <w:pStyle w:val="BodyText"/>
        <w:tabs>
          <w:tab w:val="left" w:pos="1350"/>
        </w:tabs>
      </w:pPr>
      <w:r w:rsidRPr="00E17017">
        <w:t>TCR</w:t>
      </w:r>
      <w:r w:rsidRPr="00E17017">
        <w:tab/>
        <w:t xml:space="preserve">Tribal Cultural Resources </w:t>
      </w:r>
    </w:p>
    <w:p w14:paraId="642AF5A5" w14:textId="77777777" w:rsidR="00C379B5" w:rsidRPr="00E17017" w:rsidRDefault="00C379B5" w:rsidP="00C379B5">
      <w:pPr>
        <w:pStyle w:val="BodyText"/>
        <w:tabs>
          <w:tab w:val="left" w:pos="1350"/>
        </w:tabs>
      </w:pPr>
      <w:r w:rsidRPr="00E17017">
        <w:t>USACE</w:t>
      </w:r>
      <w:r w:rsidRPr="00E17017">
        <w:tab/>
        <w:t>U.S. Army Corps of Engineers</w:t>
      </w:r>
    </w:p>
    <w:p w14:paraId="5F1E97DA" w14:textId="77777777" w:rsidR="00C379B5" w:rsidRPr="00E17017" w:rsidRDefault="00C379B5" w:rsidP="00C379B5">
      <w:pPr>
        <w:pStyle w:val="BodyText"/>
        <w:tabs>
          <w:tab w:val="left" w:pos="1350"/>
        </w:tabs>
      </w:pPr>
      <w:r w:rsidRPr="00E17017">
        <w:t>USEPA</w:t>
      </w:r>
      <w:r w:rsidRPr="00E17017">
        <w:tab/>
      </w:r>
      <w:r>
        <w:t xml:space="preserve">U.S. </w:t>
      </w:r>
      <w:r w:rsidRPr="00E17017">
        <w:t xml:space="preserve">Environmental Protection Agency </w:t>
      </w:r>
    </w:p>
    <w:p w14:paraId="33B46907" w14:textId="77777777" w:rsidR="00C379B5" w:rsidRPr="00E17017" w:rsidRDefault="00C379B5" w:rsidP="00C379B5">
      <w:pPr>
        <w:pStyle w:val="BodyText"/>
        <w:tabs>
          <w:tab w:val="left" w:pos="1350"/>
        </w:tabs>
      </w:pPr>
      <w:r w:rsidRPr="00E17017">
        <w:t>USFWS</w:t>
      </w:r>
      <w:r w:rsidRPr="00E17017">
        <w:tab/>
        <w:t>U.S. Fish and Wildlife Service</w:t>
      </w:r>
    </w:p>
    <w:p w14:paraId="2B2DFB6D" w14:textId="77777777" w:rsidR="00C379B5" w:rsidRDefault="00C379B5" w:rsidP="00C379B5">
      <w:pPr>
        <w:pStyle w:val="BodyText"/>
        <w:tabs>
          <w:tab w:val="left" w:pos="1350"/>
        </w:tabs>
      </w:pPr>
      <w:r w:rsidRPr="00E17017">
        <w:t>USGS</w:t>
      </w:r>
      <w:r w:rsidRPr="00E17017">
        <w:tab/>
        <w:t>U.S. Geological Survey</w:t>
      </w:r>
    </w:p>
    <w:p w14:paraId="1E133BD2" w14:textId="77777777" w:rsidR="00C379B5" w:rsidRPr="00E17017" w:rsidRDefault="00C379B5" w:rsidP="00C379B5">
      <w:pPr>
        <w:pStyle w:val="BodyText"/>
        <w:tabs>
          <w:tab w:val="left" w:pos="1350"/>
        </w:tabs>
      </w:pPr>
      <w:r>
        <w:t>UST</w:t>
      </w:r>
      <w:r>
        <w:tab/>
        <w:t xml:space="preserve">underground storage tank </w:t>
      </w:r>
    </w:p>
    <w:p w14:paraId="62EABC1B" w14:textId="77777777" w:rsidR="00C379B5" w:rsidRPr="00E17017" w:rsidRDefault="00C379B5" w:rsidP="00C379B5">
      <w:pPr>
        <w:pStyle w:val="BodyText"/>
        <w:tabs>
          <w:tab w:val="left" w:pos="1350"/>
        </w:tabs>
      </w:pPr>
      <w:r w:rsidRPr="00E17017">
        <w:lastRenderedPageBreak/>
        <w:t>UWMP</w:t>
      </w:r>
      <w:r w:rsidRPr="00E17017">
        <w:tab/>
        <w:t>Urban Water Management Plan</w:t>
      </w:r>
    </w:p>
    <w:p w14:paraId="623F4953" w14:textId="77777777" w:rsidR="00C379B5" w:rsidRPr="00E17017" w:rsidRDefault="00C379B5" w:rsidP="00C379B5">
      <w:pPr>
        <w:pStyle w:val="BodyText"/>
        <w:tabs>
          <w:tab w:val="left" w:pos="1350"/>
        </w:tabs>
      </w:pPr>
      <w:r w:rsidRPr="00E17017">
        <w:t>VdB</w:t>
      </w:r>
      <w:r w:rsidRPr="00E17017">
        <w:tab/>
        <w:t>vibration decibels</w:t>
      </w:r>
    </w:p>
    <w:p w14:paraId="30ECD61C" w14:textId="77777777" w:rsidR="00C379B5" w:rsidRPr="00E17017" w:rsidRDefault="00C379B5" w:rsidP="00C379B5">
      <w:pPr>
        <w:pStyle w:val="BodyText"/>
        <w:tabs>
          <w:tab w:val="left" w:pos="1350"/>
        </w:tabs>
      </w:pPr>
      <w:r w:rsidRPr="00E17017">
        <w:t>VHFHSZ</w:t>
      </w:r>
      <w:r w:rsidRPr="00E17017">
        <w:tab/>
        <w:t>Very High Fire Hazard Severity Zone</w:t>
      </w:r>
    </w:p>
    <w:p w14:paraId="268DCE66" w14:textId="25D0F778" w:rsidR="00404CB1" w:rsidRPr="00E17017" w:rsidRDefault="00C379B5" w:rsidP="00C379B5">
      <w:pPr>
        <w:pStyle w:val="BodyText"/>
        <w:tabs>
          <w:tab w:val="left" w:pos="1350"/>
        </w:tabs>
      </w:pPr>
      <w:r w:rsidRPr="00E17017">
        <w:t>VMT</w:t>
      </w:r>
      <w:r w:rsidRPr="00E17017">
        <w:tab/>
        <w:t>vehicle miles traveled</w:t>
      </w:r>
    </w:p>
    <w:p w14:paraId="6637E3EA" w14:textId="77777777" w:rsidR="00C379B5" w:rsidRPr="00E17017" w:rsidRDefault="00C379B5" w:rsidP="00C379B5">
      <w:pPr>
        <w:pStyle w:val="BodyText"/>
        <w:tabs>
          <w:tab w:val="left" w:pos="1350"/>
        </w:tabs>
      </w:pPr>
      <w:r w:rsidRPr="00E17017">
        <w:t>VOC</w:t>
      </w:r>
      <w:r w:rsidRPr="00E17017">
        <w:tab/>
        <w:t>volatile organic compounds</w:t>
      </w:r>
    </w:p>
    <w:bookmarkEnd w:id="14"/>
    <w:p w14:paraId="7A595307" w14:textId="77777777" w:rsidR="00275B75" w:rsidRPr="00275351" w:rsidRDefault="00275B75" w:rsidP="00B95202">
      <w:pPr>
        <w:pStyle w:val="blank0"/>
      </w:pPr>
    </w:p>
    <w:p w14:paraId="30B095FD" w14:textId="77777777" w:rsidR="00275B75" w:rsidRDefault="00275B75" w:rsidP="00B95202">
      <w:pPr>
        <w:pStyle w:val="blank0"/>
      </w:pPr>
    </w:p>
    <w:p w14:paraId="4FD32E93" w14:textId="38EB29D5" w:rsidR="00275B75" w:rsidRPr="00275351" w:rsidRDefault="00275B75" w:rsidP="00B95202">
      <w:pPr>
        <w:pStyle w:val="blank0"/>
      </w:pPr>
      <w:r w:rsidRPr="00275351">
        <w:t>This page intentionally left blank.</w:t>
      </w:r>
    </w:p>
    <w:p w14:paraId="4B1AED6E" w14:textId="1E6DEE3D" w:rsidR="00EB1898" w:rsidRPr="000E45CD" w:rsidRDefault="00EB1898" w:rsidP="00A922E5">
      <w:pPr>
        <w:pStyle w:val="BodyText"/>
        <w:tabs>
          <w:tab w:val="left" w:pos="1350"/>
        </w:tabs>
        <w:rPr>
          <w:highlight w:val="lightGray"/>
        </w:rPr>
      </w:pPr>
    </w:p>
    <w:bookmarkEnd w:id="13"/>
    <w:p w14:paraId="65C39F8A" w14:textId="77777777" w:rsidR="00517F1B" w:rsidRPr="000E45CD" w:rsidRDefault="00517F1B" w:rsidP="000F667F">
      <w:pPr>
        <w:pStyle w:val="BodyText"/>
        <w:rPr>
          <w:noProof/>
          <w:highlight w:val="lightGray"/>
        </w:rPr>
        <w:sectPr w:rsidR="00517F1B" w:rsidRPr="000E45CD" w:rsidSect="004408ED">
          <w:headerReference w:type="default" r:id="rId16"/>
          <w:footerReference w:type="default" r:id="rId17"/>
          <w:pgSz w:w="12240" w:h="15840" w:code="1"/>
          <w:pgMar w:top="1440" w:right="1627" w:bottom="1440" w:left="1627" w:header="720" w:footer="720" w:gutter="0"/>
          <w:pgNumType w:fmt="lowerRoman"/>
          <w:cols w:space="720"/>
          <w:docGrid w:linePitch="360"/>
        </w:sectPr>
      </w:pPr>
    </w:p>
    <w:p w14:paraId="1CCC675F" w14:textId="77777777" w:rsidR="003A41DF" w:rsidRPr="00213BDE" w:rsidRDefault="00303E4A" w:rsidP="00D316EF">
      <w:pPr>
        <w:pStyle w:val="Heading1"/>
        <w:numPr>
          <w:ilvl w:val="0"/>
          <w:numId w:val="0"/>
        </w:numPr>
        <w:spacing w:before="0"/>
        <w:ind w:left="576" w:hanging="576"/>
      </w:pPr>
      <w:bookmarkStart w:id="15" w:name="_Toc475630602"/>
      <w:bookmarkStart w:id="16" w:name="_Toc475630691"/>
      <w:bookmarkStart w:id="17" w:name="_Toc112942409"/>
      <w:bookmarkStart w:id="18" w:name="_Hlk83970662"/>
      <w:bookmarkStart w:id="19" w:name="_Hlk83969308"/>
      <w:r w:rsidRPr="00213BDE">
        <w:lastRenderedPageBreak/>
        <w:t>Initial Study</w:t>
      </w:r>
      <w:bookmarkEnd w:id="15"/>
      <w:bookmarkEnd w:id="16"/>
      <w:bookmarkEnd w:id="17"/>
    </w:p>
    <w:p w14:paraId="02388FAC" w14:textId="77777777" w:rsidR="0074419F" w:rsidRPr="003847FA" w:rsidRDefault="0074419F" w:rsidP="0074419F">
      <w:pPr>
        <w:pStyle w:val="Body"/>
      </w:pPr>
      <w:bookmarkStart w:id="20" w:name="_Hlk83974492"/>
      <w:bookmarkStart w:id="21" w:name="_Toc475630603"/>
      <w:bookmarkStart w:id="22" w:name="_Toc475630692"/>
      <w:bookmarkStart w:id="23" w:name="_Toc443916499"/>
      <w:bookmarkStart w:id="24" w:name="_Toc414632882"/>
      <w:bookmarkStart w:id="25" w:name="_Toc410106733"/>
      <w:bookmarkStart w:id="26" w:name="_Toc410046569"/>
      <w:bookmarkStart w:id="27" w:name="_Toc453855351"/>
      <w:bookmarkStart w:id="28" w:name="_Toc453855760"/>
      <w:bookmarkStart w:id="29" w:name="_Toc475630618"/>
      <w:bookmarkStart w:id="30" w:name="_Toc475630707"/>
      <w:bookmarkEnd w:id="18"/>
      <w:bookmarkEnd w:id="19"/>
      <w:r w:rsidRPr="003847FA">
        <w:t xml:space="preserve">The City of Mountain View, as the Lead Agency, prepared this Initial Study for the 1155 and 1185 Terra Bella Avenue </w:t>
      </w:r>
      <w:r>
        <w:t xml:space="preserve">Office </w:t>
      </w:r>
      <w:r w:rsidRPr="003847FA">
        <w:t>project</w:t>
      </w:r>
      <w:r w:rsidRPr="006E3C26">
        <w:t xml:space="preserve"> </w:t>
      </w:r>
      <w:r w:rsidRPr="003847FA">
        <w:t>in compliance with the California Environmental Quality Act (CEQA), the CEQA Guidelines (California Code of Regulations [CCR] Section 15000 et. seq.), and the regulations and policies of the City of Mountain View, California.</w:t>
      </w:r>
      <w:r>
        <w:t xml:space="preserve"> The project would involve construction</w:t>
      </w:r>
      <w:r w:rsidRPr="003847FA">
        <w:t xml:space="preserve"> of a three-story, approximately 20,000 square foot office building, an associated surface parking lot, and full access driveway (“proposed project” or “project”)</w:t>
      </w:r>
      <w:r>
        <w:t>.</w:t>
      </w:r>
      <w:r w:rsidRPr="003847FA">
        <w:t xml:space="preserve"> </w:t>
      </w:r>
    </w:p>
    <w:p w14:paraId="4EEC5E46" w14:textId="77777777" w:rsidR="0074419F" w:rsidRPr="003847FA" w:rsidRDefault="0074419F" w:rsidP="0074419F">
      <w:pPr>
        <w:pStyle w:val="Heading2"/>
        <w:numPr>
          <w:ilvl w:val="1"/>
          <w:numId w:val="90"/>
        </w:numPr>
      </w:pPr>
      <w:bookmarkStart w:id="31" w:name="_Toc84951014"/>
      <w:bookmarkStart w:id="32" w:name="_Toc112942410"/>
      <w:bookmarkEnd w:id="20"/>
      <w:r w:rsidRPr="003847FA">
        <w:t>Project Titl</w:t>
      </w:r>
      <w:bookmarkEnd w:id="21"/>
      <w:bookmarkEnd w:id="22"/>
      <w:r w:rsidRPr="003847FA">
        <w:t>e</w:t>
      </w:r>
      <w:bookmarkEnd w:id="31"/>
      <w:bookmarkEnd w:id="32"/>
    </w:p>
    <w:p w14:paraId="5CE98463" w14:textId="77777777" w:rsidR="0074419F" w:rsidRPr="003847FA" w:rsidRDefault="0074419F" w:rsidP="0074419F">
      <w:pPr>
        <w:pStyle w:val="BodyText"/>
      </w:pPr>
      <w:r w:rsidRPr="007C1EF8">
        <w:t>1155 and 1185 Terra Bella Avenue</w:t>
      </w:r>
      <w:r>
        <w:t xml:space="preserve"> Office</w:t>
      </w:r>
      <w:r w:rsidRPr="007C1EF8">
        <w:t xml:space="preserve"> Project</w:t>
      </w:r>
      <w:r w:rsidRPr="003847FA">
        <w:t xml:space="preserve"> </w:t>
      </w:r>
    </w:p>
    <w:p w14:paraId="0588BC76" w14:textId="77777777" w:rsidR="0074419F" w:rsidRPr="003847FA" w:rsidRDefault="0074419F" w:rsidP="0074419F">
      <w:pPr>
        <w:pStyle w:val="Heading2"/>
        <w:numPr>
          <w:ilvl w:val="1"/>
          <w:numId w:val="90"/>
        </w:numPr>
      </w:pPr>
      <w:bookmarkStart w:id="33" w:name="_Toc475630604"/>
      <w:bookmarkStart w:id="34" w:name="_Toc475630693"/>
      <w:bookmarkStart w:id="35" w:name="_Toc84951015"/>
      <w:bookmarkStart w:id="36" w:name="_Toc112942411"/>
      <w:r w:rsidRPr="003847FA">
        <w:t>Lead Agency Name and Address</w:t>
      </w:r>
      <w:bookmarkEnd w:id="33"/>
      <w:bookmarkEnd w:id="34"/>
      <w:bookmarkEnd w:id="35"/>
      <w:bookmarkEnd w:id="36"/>
    </w:p>
    <w:p w14:paraId="69B29CF5" w14:textId="77777777" w:rsidR="0074419F" w:rsidRPr="003847FA" w:rsidRDefault="0074419F" w:rsidP="0074419F">
      <w:pPr>
        <w:pStyle w:val="Body"/>
      </w:pPr>
      <w:bookmarkStart w:id="37" w:name="_Hlk83974582"/>
      <w:r w:rsidRPr="003847FA">
        <w:t>City of Mountain View</w:t>
      </w:r>
      <w:r>
        <w:br/>
      </w:r>
      <w:r w:rsidRPr="003847FA">
        <w:t xml:space="preserve">Planning Division </w:t>
      </w:r>
      <w:r>
        <w:br/>
      </w:r>
      <w:r w:rsidRPr="003847FA">
        <w:t xml:space="preserve">500 Castro Street, P.O. Box 7540 </w:t>
      </w:r>
      <w:r>
        <w:br/>
      </w:r>
      <w:r w:rsidRPr="003847FA">
        <w:t>Mountain View, C</w:t>
      </w:r>
      <w:r>
        <w:t>alifornia</w:t>
      </w:r>
      <w:r w:rsidRPr="003847FA">
        <w:t xml:space="preserve"> 94039-7540</w:t>
      </w:r>
    </w:p>
    <w:p w14:paraId="043C55A6" w14:textId="77777777" w:rsidR="0074419F" w:rsidRPr="003847FA" w:rsidRDefault="0074419F" w:rsidP="0074419F">
      <w:pPr>
        <w:pStyle w:val="Heading2"/>
        <w:numPr>
          <w:ilvl w:val="1"/>
          <w:numId w:val="90"/>
        </w:numPr>
      </w:pPr>
      <w:bookmarkStart w:id="38" w:name="_Toc475630605"/>
      <w:bookmarkStart w:id="39" w:name="_Toc475630694"/>
      <w:bookmarkStart w:id="40" w:name="_Toc84951016"/>
      <w:bookmarkStart w:id="41" w:name="_Toc112942412"/>
      <w:bookmarkEnd w:id="37"/>
      <w:r w:rsidRPr="003847FA">
        <w:t>Contact Person and Phone Number</w:t>
      </w:r>
      <w:bookmarkEnd w:id="38"/>
      <w:bookmarkEnd w:id="39"/>
      <w:bookmarkEnd w:id="40"/>
      <w:bookmarkEnd w:id="41"/>
    </w:p>
    <w:p w14:paraId="19AE7156" w14:textId="212FCA92" w:rsidR="0074419F" w:rsidRPr="00652FD6" w:rsidRDefault="0074419F" w:rsidP="0074419F">
      <w:pPr>
        <w:pStyle w:val="Body"/>
      </w:pPr>
      <w:bookmarkStart w:id="42" w:name="_Hlk83974607"/>
      <w:r>
        <w:t>Brittany Whitehill,</w:t>
      </w:r>
      <w:r w:rsidRPr="003847FA">
        <w:t xml:space="preserve"> Associate Planner</w:t>
      </w:r>
      <w:r>
        <w:br/>
      </w:r>
      <w:r w:rsidRPr="003847FA">
        <w:t>Office: 650-903-6306</w:t>
      </w:r>
      <w:r>
        <w:br/>
      </w:r>
      <w:r w:rsidRPr="00652FD6">
        <w:t xml:space="preserve">Email: </w:t>
      </w:r>
      <w:hyperlink r:id="rId18" w:history="1">
        <w:r w:rsidRPr="00652FD6">
          <w:rPr>
            <w:rStyle w:val="Hyperlink"/>
            <w:color w:val="auto"/>
            <w:u w:val="none"/>
          </w:rPr>
          <w:t xml:space="preserve">brittany.whitehill@mountainview.gov </w:t>
        </w:r>
      </w:hyperlink>
    </w:p>
    <w:p w14:paraId="543EB447" w14:textId="77777777" w:rsidR="0074419F" w:rsidRPr="007C1EF8" w:rsidRDefault="0074419F" w:rsidP="0074419F">
      <w:pPr>
        <w:pStyle w:val="Heading2"/>
        <w:numPr>
          <w:ilvl w:val="1"/>
          <w:numId w:val="90"/>
        </w:numPr>
      </w:pPr>
      <w:bookmarkStart w:id="43" w:name="_Toc449600103"/>
      <w:bookmarkStart w:id="44" w:name="_Toc453855752"/>
      <w:bookmarkStart w:id="45" w:name="_Toc475630607"/>
      <w:bookmarkStart w:id="46" w:name="_Toc475630696"/>
      <w:bookmarkStart w:id="47" w:name="_Toc84951017"/>
      <w:bookmarkStart w:id="48" w:name="_Toc112942413"/>
      <w:bookmarkEnd w:id="42"/>
      <w:r w:rsidRPr="007C1EF8">
        <w:t>Project Sponsor’s Name and Address</w:t>
      </w:r>
      <w:bookmarkEnd w:id="43"/>
      <w:bookmarkEnd w:id="44"/>
      <w:bookmarkEnd w:id="45"/>
      <w:bookmarkEnd w:id="46"/>
      <w:bookmarkEnd w:id="47"/>
      <w:bookmarkEnd w:id="48"/>
    </w:p>
    <w:p w14:paraId="0496DEF0" w14:textId="77777777" w:rsidR="0074419F" w:rsidRPr="007C1EF8" w:rsidRDefault="0074419F" w:rsidP="0074419F">
      <w:pPr>
        <w:pStyle w:val="Body"/>
      </w:pPr>
      <w:r w:rsidRPr="007C1EF8">
        <w:t xml:space="preserve">Devcor Partners II, LLC </w:t>
      </w:r>
      <w:r w:rsidRPr="007C1EF8">
        <w:br/>
        <w:t xml:space="preserve">171 Main Street, #232 </w:t>
      </w:r>
      <w:r w:rsidRPr="007C1EF8">
        <w:br/>
        <w:t>Los Altos, California 94022</w:t>
      </w:r>
    </w:p>
    <w:p w14:paraId="2AF35A2E" w14:textId="77777777" w:rsidR="0074419F" w:rsidRPr="003847FA" w:rsidRDefault="0074419F" w:rsidP="0074419F">
      <w:pPr>
        <w:pStyle w:val="Heading2"/>
        <w:numPr>
          <w:ilvl w:val="1"/>
          <w:numId w:val="90"/>
        </w:numPr>
      </w:pPr>
      <w:bookmarkStart w:id="49" w:name="_Toc475630606"/>
      <w:bookmarkStart w:id="50" w:name="_Toc475630695"/>
      <w:bookmarkStart w:id="51" w:name="_Toc84951018"/>
      <w:bookmarkStart w:id="52" w:name="_Toc112942414"/>
      <w:r w:rsidRPr="003847FA">
        <w:t>Project Location</w:t>
      </w:r>
      <w:bookmarkEnd w:id="49"/>
      <w:bookmarkEnd w:id="50"/>
      <w:bookmarkEnd w:id="51"/>
      <w:bookmarkEnd w:id="52"/>
    </w:p>
    <w:p w14:paraId="54D76B01" w14:textId="49A153B2" w:rsidR="0074419F" w:rsidRPr="003847FA" w:rsidRDefault="0074419F" w:rsidP="0074419F">
      <w:pPr>
        <w:pStyle w:val="BodyText"/>
      </w:pPr>
      <w:bookmarkStart w:id="53" w:name="_Hlk83974731"/>
      <w:r w:rsidRPr="003847FA">
        <w:t xml:space="preserve">The project site is located on the south side of Terra Bella Avenue, </w:t>
      </w:r>
      <w:r>
        <w:t>just east of its intersection with North</w:t>
      </w:r>
      <w:r w:rsidRPr="003847FA">
        <w:t xml:space="preserve"> Shoreline Boulevard, in Mountain View</w:t>
      </w:r>
      <w:r>
        <w:t>, California</w:t>
      </w:r>
      <w:r w:rsidRPr="003847FA">
        <w:t xml:space="preserve">. The </w:t>
      </w:r>
      <w:r>
        <w:t xml:space="preserve">L-shaped </w:t>
      </w:r>
      <w:r w:rsidRPr="003847FA">
        <w:t>site, which totals 1.3 acres, consists of two adjacent assessor’s parcels (Assessor’s Parcel Numbers 153-16-011</w:t>
      </w:r>
      <w:r>
        <w:t xml:space="preserve"> and</w:t>
      </w:r>
      <w:r w:rsidRPr="003847FA">
        <w:t xml:space="preserve"> 156-16-012). Regional access is available to the site from </w:t>
      </w:r>
      <w:r w:rsidR="005E06EF">
        <w:t>US</w:t>
      </w:r>
      <w:r>
        <w:t xml:space="preserve"> </w:t>
      </w:r>
      <w:r w:rsidRPr="003847FA">
        <w:t xml:space="preserve">Highway 101, which is approximately 0.3 mile north of the site. </w:t>
      </w:r>
      <w:r>
        <w:t xml:space="preserve">Local access is available to the site from Terra Bella Avenue via Shoreline Boulevard. </w:t>
      </w:r>
      <w:r>
        <w:fldChar w:fldCharType="begin"/>
      </w:r>
      <w:r>
        <w:instrText xml:space="preserve"> REF _Ref482687763 \h </w:instrText>
      </w:r>
      <w:r>
        <w:fldChar w:fldCharType="separate"/>
      </w:r>
      <w:r w:rsidR="00FA55F1" w:rsidRPr="00602D23">
        <w:t>Figure </w:t>
      </w:r>
      <w:r w:rsidR="00FA55F1">
        <w:rPr>
          <w:noProof/>
        </w:rPr>
        <w:t>1</w:t>
      </w:r>
      <w:r>
        <w:fldChar w:fldCharType="end"/>
      </w:r>
      <w:r w:rsidRPr="003847FA">
        <w:t xml:space="preserve"> shows the regional location of the project site, and </w:t>
      </w:r>
      <w:r>
        <w:fldChar w:fldCharType="begin"/>
      </w:r>
      <w:r>
        <w:instrText xml:space="preserve"> REF _Ref40267056 \h </w:instrText>
      </w:r>
      <w:r>
        <w:fldChar w:fldCharType="separate"/>
      </w:r>
      <w:r w:rsidR="00FA55F1" w:rsidRPr="00602D23">
        <w:t>Figure </w:t>
      </w:r>
      <w:r w:rsidR="00FA55F1">
        <w:rPr>
          <w:noProof/>
        </w:rPr>
        <w:t>2</w:t>
      </w:r>
      <w:r>
        <w:fldChar w:fldCharType="end"/>
      </w:r>
      <w:r w:rsidRPr="003847FA">
        <w:t xml:space="preserve"> provides an aerial image of the project site in its neighborhood context. </w:t>
      </w:r>
    </w:p>
    <w:p w14:paraId="6730EC76" w14:textId="6E671EE5" w:rsidR="0074419F" w:rsidRPr="00602D23" w:rsidRDefault="0074419F" w:rsidP="00D571A9">
      <w:pPr>
        <w:pStyle w:val="FigureCaption"/>
      </w:pPr>
      <w:bookmarkStart w:id="54" w:name="_Ref482687763"/>
      <w:bookmarkStart w:id="55" w:name="_Toc527220268"/>
      <w:bookmarkStart w:id="56" w:name="_Toc84951030"/>
      <w:bookmarkStart w:id="57" w:name="_Toc112942485"/>
      <w:bookmarkStart w:id="58" w:name="_Toc449600105"/>
      <w:bookmarkStart w:id="59" w:name="_Toc453855754"/>
      <w:bookmarkStart w:id="60" w:name="_Toc475630609"/>
      <w:bookmarkStart w:id="61" w:name="_Toc475630698"/>
      <w:bookmarkStart w:id="62" w:name="_Toc449600106"/>
      <w:bookmarkStart w:id="63" w:name="_Toc453855755"/>
      <w:bookmarkStart w:id="64" w:name="_Toc475630610"/>
      <w:bookmarkStart w:id="65" w:name="_Toc475630699"/>
      <w:bookmarkEnd w:id="53"/>
      <w:r w:rsidRPr="00602D23">
        <w:lastRenderedPageBreak/>
        <w:t>Figure </w:t>
      </w:r>
      <w:fldSimple w:instr=" SEQ Figure \* ARABIC ">
        <w:r w:rsidR="00FA55F1">
          <w:rPr>
            <w:noProof/>
          </w:rPr>
          <w:t>1</w:t>
        </w:r>
      </w:fldSimple>
      <w:bookmarkEnd w:id="54"/>
      <w:r w:rsidRPr="00602D23">
        <w:tab/>
      </w:r>
      <w:bookmarkEnd w:id="55"/>
      <w:r w:rsidRPr="00602D23">
        <w:t>Regional Location</w:t>
      </w:r>
      <w:bookmarkEnd w:id="56"/>
      <w:bookmarkEnd w:id="57"/>
    </w:p>
    <w:p w14:paraId="5AEC68AC" w14:textId="77777777" w:rsidR="0074419F" w:rsidRPr="0074419F" w:rsidRDefault="0074419F" w:rsidP="0074419F">
      <w:pPr>
        <w:pStyle w:val="Figureparagraph"/>
        <w:rPr>
          <w:highlight w:val="lightGray"/>
        </w:rPr>
      </w:pPr>
      <w:r w:rsidRPr="0074419F">
        <w:rPr>
          <w:highlight w:val="lightGray"/>
        </w:rPr>
        <w:drawing>
          <wp:inline distT="0" distB="0" distL="0" distR="0" wp14:anchorId="1F55F68F" wp14:editId="3FE093E1">
            <wp:extent cx="5701030" cy="79197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01030" cy="7919720"/>
                    </a:xfrm>
                    <a:prstGeom prst="rect">
                      <a:avLst/>
                    </a:prstGeom>
                    <a:noFill/>
                    <a:ln>
                      <a:noFill/>
                    </a:ln>
                  </pic:spPr>
                </pic:pic>
              </a:graphicData>
            </a:graphic>
          </wp:inline>
        </w:drawing>
      </w:r>
    </w:p>
    <w:p w14:paraId="3A78675A" w14:textId="1616F814" w:rsidR="0074419F" w:rsidRPr="00602D23" w:rsidRDefault="0074419F" w:rsidP="00D571A9">
      <w:pPr>
        <w:pStyle w:val="FigureCaption"/>
      </w:pPr>
      <w:bookmarkStart w:id="66" w:name="_Ref40267056"/>
      <w:bookmarkStart w:id="67" w:name="_Toc84951031"/>
      <w:bookmarkStart w:id="68" w:name="_Toc112942486"/>
      <w:r w:rsidRPr="00602D23">
        <w:lastRenderedPageBreak/>
        <w:t>Figure </w:t>
      </w:r>
      <w:fldSimple w:instr=" SEQ Figure \* ARABIC ">
        <w:r w:rsidR="00FA55F1">
          <w:rPr>
            <w:noProof/>
          </w:rPr>
          <w:t>2</w:t>
        </w:r>
      </w:fldSimple>
      <w:bookmarkEnd w:id="66"/>
      <w:r w:rsidRPr="00602D23">
        <w:tab/>
        <w:t>Project Site</w:t>
      </w:r>
      <w:bookmarkEnd w:id="67"/>
      <w:bookmarkEnd w:id="68"/>
    </w:p>
    <w:p w14:paraId="3821AB82" w14:textId="020CEA08" w:rsidR="0074419F" w:rsidRPr="0074419F" w:rsidRDefault="0056730E" w:rsidP="0074419F">
      <w:pPr>
        <w:pStyle w:val="Figureparagraph"/>
        <w:rPr>
          <w:highlight w:val="lightGray"/>
        </w:rPr>
      </w:pPr>
      <w:r>
        <w:rPr>
          <w:highlight w:val="lightGray"/>
        </w:rPr>
        <w:drawing>
          <wp:inline distT="0" distB="0" distL="0" distR="0" wp14:anchorId="1AB9A915" wp14:editId="2BAC0A1E">
            <wp:extent cx="5705475" cy="7924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05475" cy="7924800"/>
                    </a:xfrm>
                    <a:prstGeom prst="rect">
                      <a:avLst/>
                    </a:prstGeom>
                    <a:noFill/>
                    <a:ln>
                      <a:noFill/>
                    </a:ln>
                  </pic:spPr>
                </pic:pic>
              </a:graphicData>
            </a:graphic>
          </wp:inline>
        </w:drawing>
      </w:r>
    </w:p>
    <w:p w14:paraId="7EBD5C76" w14:textId="77777777" w:rsidR="0074419F" w:rsidRPr="003847FA" w:rsidRDefault="0074419F" w:rsidP="0074419F">
      <w:pPr>
        <w:pStyle w:val="Heading2"/>
        <w:numPr>
          <w:ilvl w:val="1"/>
          <w:numId w:val="90"/>
        </w:numPr>
      </w:pPr>
      <w:bookmarkStart w:id="69" w:name="_Toc84951019"/>
      <w:bookmarkStart w:id="70" w:name="_Toc112942415"/>
      <w:bookmarkStart w:id="71" w:name="_Hlk83974836"/>
      <w:r w:rsidRPr="003847FA">
        <w:lastRenderedPageBreak/>
        <w:t>General Plan Designation</w:t>
      </w:r>
      <w:bookmarkEnd w:id="58"/>
      <w:bookmarkEnd w:id="59"/>
      <w:bookmarkEnd w:id="60"/>
      <w:bookmarkEnd w:id="61"/>
      <w:bookmarkEnd w:id="69"/>
      <w:bookmarkEnd w:id="70"/>
    </w:p>
    <w:p w14:paraId="41910A96" w14:textId="77777777" w:rsidR="0074419F" w:rsidRPr="003847FA" w:rsidRDefault="0074419F" w:rsidP="0074419F">
      <w:pPr>
        <w:pStyle w:val="BodyText"/>
      </w:pPr>
      <w:r w:rsidRPr="003847FA">
        <w:t xml:space="preserve">The City of Mountain View </w:t>
      </w:r>
      <w:r>
        <w:t xml:space="preserve">General Plan </w:t>
      </w:r>
      <w:r w:rsidRPr="003847FA">
        <w:t xml:space="preserve">designates the project site as General Industrial for both 1155 and 1185 Terra Bella Avenue. According to the City’s General Plan, General Industrial zones are “intended for the production, storage and wholesale of goods and services to create a broad industrial base,” with “administrative offices and ancillary commercial” listed as an allowed land use. </w:t>
      </w:r>
    </w:p>
    <w:p w14:paraId="744FEFBC" w14:textId="77777777" w:rsidR="0074419F" w:rsidRPr="003847FA" w:rsidRDefault="0074419F" w:rsidP="0074419F">
      <w:pPr>
        <w:pStyle w:val="Heading2"/>
        <w:numPr>
          <w:ilvl w:val="1"/>
          <w:numId w:val="90"/>
        </w:numPr>
      </w:pPr>
      <w:bookmarkStart w:id="72" w:name="_Toc84951020"/>
      <w:bookmarkStart w:id="73" w:name="_Toc112942416"/>
      <w:r w:rsidRPr="003847FA">
        <w:t>Zoning</w:t>
      </w:r>
      <w:bookmarkEnd w:id="62"/>
      <w:bookmarkEnd w:id="63"/>
      <w:bookmarkEnd w:id="64"/>
      <w:bookmarkEnd w:id="65"/>
      <w:bookmarkEnd w:id="72"/>
      <w:bookmarkEnd w:id="73"/>
    </w:p>
    <w:p w14:paraId="39ACF7EF" w14:textId="514458F6" w:rsidR="0074419F" w:rsidRPr="003847FA" w:rsidRDefault="0074419F" w:rsidP="0074419F">
      <w:pPr>
        <w:pStyle w:val="BodyText"/>
      </w:pPr>
      <w:r w:rsidRPr="003847FA">
        <w:t>The 1155 Terra Bella Avenue portion of the project site is zoned for Limited Industrial (ML), and the 1185 Terra Bella Avenue portion is zoned for General Industrial (MM).</w:t>
      </w:r>
      <w:r>
        <w:t xml:space="preserve"> Pursuant to Mountain View Municipal Code </w:t>
      </w:r>
      <w:r w:rsidR="00BC68C0">
        <w:t xml:space="preserve">(MVMC) </w:t>
      </w:r>
      <w:r>
        <w:t>Section 36.20.25, Limited Industrial zones require a 40,000 square foot minimum lot si</w:t>
      </w:r>
      <w:r w:rsidR="001E2872">
        <w:t>z</w:t>
      </w:r>
      <w:r>
        <w:t xml:space="preserve">e, a 0.35 maximum </w:t>
      </w:r>
      <w:r w:rsidR="001E41B5">
        <w:t>Floor Area Ratio (FAR)</w:t>
      </w:r>
      <w:r w:rsidR="007C2DEB">
        <w:t xml:space="preserve"> </w:t>
      </w:r>
      <w:r>
        <w:t>for office buildings, and a minimum landscaped area of 15 percent of the lot area, among other requirements. Pursuant to</w:t>
      </w:r>
      <w:r w:rsidR="00BC68C0">
        <w:t xml:space="preserve"> MVMC</w:t>
      </w:r>
      <w:r>
        <w:t xml:space="preserve"> Section 36.20.35, General Industrial zones require a 20,000 square foot minimum lot area unless 40,000 square feet is required, a 0.35 maximum </w:t>
      </w:r>
      <w:r w:rsidR="007C2DEB">
        <w:t>FAR</w:t>
      </w:r>
      <w:r>
        <w:t xml:space="preserve"> for office buildings, and a minimum landscaped area of 10 percent of the lot area, among other requirements</w:t>
      </w:r>
      <w:r w:rsidR="00275B75">
        <w:t xml:space="preserve">. </w:t>
      </w:r>
    </w:p>
    <w:p w14:paraId="3BB05062" w14:textId="77777777" w:rsidR="0074419F" w:rsidRPr="003847FA" w:rsidRDefault="0074419F" w:rsidP="0074419F">
      <w:pPr>
        <w:pStyle w:val="Heading2"/>
        <w:numPr>
          <w:ilvl w:val="1"/>
          <w:numId w:val="90"/>
        </w:numPr>
      </w:pPr>
      <w:bookmarkStart w:id="74" w:name="_Toc84951021"/>
      <w:bookmarkStart w:id="75" w:name="_Toc112942417"/>
      <w:r w:rsidRPr="003847FA">
        <w:t>Surrounding Land Uses and Setting</w:t>
      </w:r>
      <w:bookmarkEnd w:id="74"/>
      <w:bookmarkEnd w:id="75"/>
    </w:p>
    <w:p w14:paraId="7608A128" w14:textId="2377B6EA" w:rsidR="0074419F" w:rsidRPr="003847FA" w:rsidRDefault="0074419F" w:rsidP="0074419F">
      <w:pPr>
        <w:pStyle w:val="BodyText"/>
      </w:pPr>
      <w:r w:rsidRPr="003847FA">
        <w:t xml:space="preserve">The project site is </w:t>
      </w:r>
      <w:r>
        <w:t>located with</w:t>
      </w:r>
      <w:r w:rsidRPr="003847FA">
        <w:t xml:space="preserve">in a developed, </w:t>
      </w:r>
      <w:r>
        <w:t xml:space="preserve">primarily </w:t>
      </w:r>
      <w:r w:rsidR="00580A87">
        <w:t>commercial office</w:t>
      </w:r>
      <w:r w:rsidR="00580A87" w:rsidRPr="003847FA">
        <w:t xml:space="preserve"> </w:t>
      </w:r>
      <w:r w:rsidRPr="003847FA">
        <w:t>area</w:t>
      </w:r>
      <w:r>
        <w:t>.</w:t>
      </w:r>
      <w:r w:rsidRPr="003847FA">
        <w:t xml:space="preserve"> The surrounding </w:t>
      </w:r>
      <w:r>
        <w:t>land uses</w:t>
      </w:r>
      <w:r w:rsidRPr="003847FA">
        <w:t xml:space="preserve"> include a Google campus on the north side of Terra Bella Avenue, single-family</w:t>
      </w:r>
      <w:r w:rsidR="00564C49">
        <w:t xml:space="preserve"> and multi-family</w:t>
      </w:r>
      <w:r w:rsidRPr="003847FA">
        <w:t xml:space="preserve"> residen</w:t>
      </w:r>
      <w:r>
        <w:t xml:space="preserve">ces </w:t>
      </w:r>
      <w:r w:rsidRPr="003847FA">
        <w:t>approximately 500 feet south of the site, and other offices and manufacturing facilities to th</w:t>
      </w:r>
      <w:r>
        <w:t xml:space="preserve">e </w:t>
      </w:r>
      <w:r w:rsidRPr="003847FA">
        <w:t xml:space="preserve">west. Corporate offices and associated parking lots are immediately adjacent to the project site to the south and the east. Moffett Federal Airfield is approximately 1 mile </w:t>
      </w:r>
      <w:r>
        <w:t xml:space="preserve">to the </w:t>
      </w:r>
      <w:r w:rsidRPr="003847FA">
        <w:t xml:space="preserve">northeast. </w:t>
      </w:r>
    </w:p>
    <w:p w14:paraId="441B6867" w14:textId="5332CF50" w:rsidR="0074419F" w:rsidRPr="003847FA" w:rsidRDefault="0074419F" w:rsidP="0074419F">
      <w:pPr>
        <w:pStyle w:val="BodyText"/>
      </w:pPr>
      <w:r w:rsidRPr="003847FA">
        <w:t>The 1185 Terra Bella Avenue portion of the site</w:t>
      </w:r>
      <w:r w:rsidR="00580A87">
        <w:t xml:space="preserve"> was previously developed with a commercial structure and is now vacant.</w:t>
      </w:r>
      <w:r w:rsidRPr="003847FA">
        <w:t xml:space="preserve"> The 1155 Terra Bella Avenue portion is currently undeveloped. There are </w:t>
      </w:r>
      <w:r w:rsidR="00C6054F">
        <w:t>31</w:t>
      </w:r>
      <w:r w:rsidR="00C6054F" w:rsidRPr="003847FA">
        <w:t xml:space="preserve"> </w:t>
      </w:r>
      <w:r w:rsidRPr="003847FA">
        <w:t xml:space="preserve">trees on the site, </w:t>
      </w:r>
      <w:r>
        <w:t>4</w:t>
      </w:r>
      <w:r w:rsidRPr="003847FA">
        <w:t xml:space="preserve"> of which are Heritage trees</w:t>
      </w:r>
      <w:r>
        <w:t xml:space="preserve"> pursuant to </w:t>
      </w:r>
      <w:r w:rsidR="00BC68C0">
        <w:t>MVMC S</w:t>
      </w:r>
      <w:r>
        <w:t>ection 32.23</w:t>
      </w:r>
      <w:r w:rsidR="00BC68C0">
        <w:t>.</w:t>
      </w:r>
      <w:r>
        <w:t xml:space="preserve"> </w:t>
      </w:r>
      <w:r w:rsidRPr="003847FA">
        <w:t>The site is relatively flat with an elevation of approximately 43 feet (United States Geological Survey 2018)</w:t>
      </w:r>
      <w:r>
        <w:t>.</w:t>
      </w:r>
    </w:p>
    <w:p w14:paraId="6A810E68" w14:textId="77777777" w:rsidR="0074419F" w:rsidRPr="003847FA" w:rsidRDefault="0074419F" w:rsidP="0074419F">
      <w:pPr>
        <w:pStyle w:val="Heading2"/>
        <w:numPr>
          <w:ilvl w:val="1"/>
          <w:numId w:val="90"/>
        </w:numPr>
      </w:pPr>
      <w:bookmarkStart w:id="76" w:name="_Toc84951022"/>
      <w:bookmarkStart w:id="77" w:name="_Toc112942418"/>
      <w:r w:rsidRPr="003847FA">
        <w:t>Project Description</w:t>
      </w:r>
      <w:bookmarkEnd w:id="76"/>
      <w:bookmarkEnd w:id="77"/>
    </w:p>
    <w:p w14:paraId="7412A78F" w14:textId="04D0356E" w:rsidR="0074419F" w:rsidRPr="003847FA" w:rsidRDefault="0074419F" w:rsidP="0074419F">
      <w:pPr>
        <w:pStyle w:val="BodyText"/>
      </w:pPr>
      <w:r w:rsidRPr="003847FA">
        <w:t xml:space="preserve">The project </w:t>
      </w:r>
      <w:r>
        <w:t>would involve</w:t>
      </w:r>
      <w:r w:rsidRPr="003847FA">
        <w:t xml:space="preserve"> a lot line adjustment to merge the two existing parcels</w:t>
      </w:r>
      <w:r>
        <w:t xml:space="preserve"> and subsequent construction of </w:t>
      </w:r>
      <w:r w:rsidRPr="003847FA">
        <w:t>a</w:t>
      </w:r>
      <w:r>
        <w:t xml:space="preserve">n approximately 20,000 </w:t>
      </w:r>
      <w:r w:rsidRPr="003847FA">
        <w:t>square f</w:t>
      </w:r>
      <w:r>
        <w:t>oo</w:t>
      </w:r>
      <w:r w:rsidRPr="003847FA">
        <w:t>t</w:t>
      </w:r>
      <w:r>
        <w:t>,</w:t>
      </w:r>
      <w:r w:rsidRPr="003847FA">
        <w:t xml:space="preserve"> three-story office building</w:t>
      </w:r>
      <w:r>
        <w:t xml:space="preserve">, </w:t>
      </w:r>
      <w:r w:rsidRPr="003847FA">
        <w:t xml:space="preserve">44 feet in height, with an associated surface parking lot with </w:t>
      </w:r>
      <w:r w:rsidR="00D3492D">
        <w:t>75</w:t>
      </w:r>
      <w:r w:rsidR="00D3492D" w:rsidRPr="003847FA">
        <w:t xml:space="preserve"> </w:t>
      </w:r>
      <w:r w:rsidRPr="003847FA">
        <w:t xml:space="preserve">spaces and </w:t>
      </w:r>
      <w:r>
        <w:t xml:space="preserve">a </w:t>
      </w:r>
      <w:r w:rsidRPr="003847FA">
        <w:t>full access driveway on Terra Bella Avenue. The office space would primarily occupy the</w:t>
      </w:r>
      <w:r>
        <w:t xml:space="preserve"> current</w:t>
      </w:r>
      <w:r w:rsidRPr="003847FA">
        <w:t xml:space="preserve"> 1155 Terra Bella Avenue lot, and the parking lot would primarily occupy the adjacent 1185</w:t>
      </w:r>
      <w:r>
        <w:t xml:space="preserve"> Terra Bella Avenue</w:t>
      </w:r>
      <w:r w:rsidRPr="003847FA">
        <w:t xml:space="preserve"> lot. </w:t>
      </w:r>
      <w:r>
        <w:fldChar w:fldCharType="begin"/>
      </w:r>
      <w:r>
        <w:instrText xml:space="preserve"> REF _Ref42780956 \h </w:instrText>
      </w:r>
      <w:r>
        <w:fldChar w:fldCharType="separate"/>
      </w:r>
      <w:r w:rsidR="00FA55F1" w:rsidRPr="00D571A9">
        <w:t>Figure </w:t>
      </w:r>
      <w:r w:rsidR="00FA55F1">
        <w:rPr>
          <w:noProof/>
        </w:rPr>
        <w:t>3</w:t>
      </w:r>
      <w:r>
        <w:fldChar w:fldCharType="end"/>
      </w:r>
      <w:r w:rsidRPr="003847FA">
        <w:t xml:space="preserve"> shows the proposed site plan. </w:t>
      </w:r>
      <w:r w:rsidRPr="00D64E17">
        <w:fldChar w:fldCharType="begin"/>
      </w:r>
      <w:r w:rsidRPr="0026661F">
        <w:instrText xml:space="preserve"> REF _Ref43214702 \h </w:instrText>
      </w:r>
      <w:r>
        <w:instrText xml:space="preserve"> \* MERGEFORMAT </w:instrText>
      </w:r>
      <w:r w:rsidRPr="00D64E17">
        <w:fldChar w:fldCharType="separate"/>
      </w:r>
      <w:r w:rsidR="00FA55F1" w:rsidRPr="003847FA">
        <w:t>Figure </w:t>
      </w:r>
      <w:r w:rsidR="00FA55F1">
        <w:t>4</w:t>
      </w:r>
      <w:r w:rsidRPr="00D64E17">
        <w:fldChar w:fldCharType="end"/>
      </w:r>
      <w:r w:rsidRPr="00D64E17">
        <w:t xml:space="preserve">, </w:t>
      </w:r>
      <w:r w:rsidRPr="00D64E17">
        <w:fldChar w:fldCharType="begin"/>
      </w:r>
      <w:r w:rsidRPr="00D64E17">
        <w:instrText xml:space="preserve"> REF _Ref43214708 \h </w:instrText>
      </w:r>
      <w:r>
        <w:instrText xml:space="preserve"> \* MERGEFORMAT </w:instrText>
      </w:r>
      <w:r w:rsidRPr="00D64E17">
        <w:fldChar w:fldCharType="separate"/>
      </w:r>
      <w:r w:rsidR="00FA55F1" w:rsidRPr="003847FA">
        <w:t>Figure </w:t>
      </w:r>
      <w:r w:rsidR="00FA55F1">
        <w:t>5</w:t>
      </w:r>
      <w:r w:rsidRPr="00D64E17">
        <w:fldChar w:fldCharType="end"/>
      </w:r>
      <w:r w:rsidRPr="00D64E17">
        <w:t xml:space="preserve">, and </w:t>
      </w:r>
      <w:r w:rsidRPr="00D64E17">
        <w:fldChar w:fldCharType="begin"/>
      </w:r>
      <w:r w:rsidRPr="00D64E17">
        <w:instrText xml:space="preserve"> REF _Ref43214710 \h </w:instrText>
      </w:r>
      <w:r>
        <w:instrText xml:space="preserve"> \* MERGEFORMAT </w:instrText>
      </w:r>
      <w:r w:rsidRPr="00D64E17">
        <w:fldChar w:fldCharType="separate"/>
      </w:r>
      <w:r w:rsidR="00FA55F1" w:rsidRPr="003847FA">
        <w:t xml:space="preserve">Figure </w:t>
      </w:r>
      <w:r w:rsidR="00FA55F1">
        <w:rPr>
          <w:noProof/>
        </w:rPr>
        <w:t>6</w:t>
      </w:r>
      <w:r w:rsidRPr="00D64E17">
        <w:fldChar w:fldCharType="end"/>
      </w:r>
      <w:r>
        <w:t xml:space="preserve"> </w:t>
      </w:r>
      <w:r w:rsidRPr="003847FA">
        <w:t xml:space="preserve">provide conceptual illustrations of the proposed structure. </w:t>
      </w:r>
    </w:p>
    <w:p w14:paraId="0AB31BDA" w14:textId="77777777" w:rsidR="0074419F" w:rsidRPr="0074419F" w:rsidRDefault="0074419F" w:rsidP="0074419F">
      <w:pPr>
        <w:pStyle w:val="TableText"/>
        <w:rPr>
          <w:highlight w:val="lightGray"/>
        </w:rPr>
        <w:sectPr w:rsidR="0074419F" w:rsidRPr="0074419F" w:rsidSect="0074419F">
          <w:footerReference w:type="default" r:id="rId21"/>
          <w:pgSz w:w="12240" w:h="15840"/>
          <w:pgMar w:top="1440" w:right="1627" w:bottom="1440" w:left="1627" w:header="720" w:footer="720" w:gutter="0"/>
          <w:pgNumType w:start="1"/>
          <w:cols w:space="720"/>
          <w:docGrid w:linePitch="360"/>
        </w:sectPr>
      </w:pPr>
      <w:bookmarkStart w:id="78" w:name="_Hlk83975324"/>
      <w:bookmarkEnd w:id="71"/>
    </w:p>
    <w:p w14:paraId="14403A43" w14:textId="16F98FA4" w:rsidR="0074419F" w:rsidRPr="00D571A9" w:rsidRDefault="0074419F" w:rsidP="00D571A9">
      <w:pPr>
        <w:pStyle w:val="FigureCaption"/>
      </w:pPr>
      <w:bookmarkStart w:id="79" w:name="_Ref42780956"/>
      <w:bookmarkStart w:id="80" w:name="_Toc112942487"/>
      <w:r w:rsidRPr="00D571A9">
        <w:lastRenderedPageBreak/>
        <w:t>Figure </w:t>
      </w:r>
      <w:fldSimple w:instr=" SEQ Figure \* ARABIC ">
        <w:r w:rsidR="00FA55F1">
          <w:rPr>
            <w:noProof/>
          </w:rPr>
          <w:t>3</w:t>
        </w:r>
      </w:fldSimple>
      <w:bookmarkEnd w:id="79"/>
      <w:r w:rsidRPr="00D571A9">
        <w:tab/>
        <w:t>Proposed Site Plan</w:t>
      </w:r>
      <w:bookmarkEnd w:id="80"/>
    </w:p>
    <w:p w14:paraId="7F07DB6D" w14:textId="77777777" w:rsidR="0074419F" w:rsidRPr="0074419F" w:rsidRDefault="0074419F" w:rsidP="0074419F">
      <w:pPr>
        <w:pStyle w:val="Figureparagraph"/>
        <w:rPr>
          <w:highlight w:val="lightGray"/>
        </w:rPr>
      </w:pPr>
      <w:r w:rsidRPr="0074419F">
        <w:rPr>
          <w:highlight w:val="lightGray"/>
        </w:rPr>
        <w:drawing>
          <wp:inline distT="0" distB="0" distL="0" distR="0" wp14:anchorId="20556816" wp14:editId="0786DD6D">
            <wp:extent cx="8229600" cy="4568327"/>
            <wp:effectExtent l="0" t="0" r="0" b="3810"/>
            <wp:docPr id="10" name="Picture 10" descr="A map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map of a city&#10;&#10;Description automatically generated with low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29600" cy="4568327"/>
                    </a:xfrm>
                    <a:prstGeom prst="rect">
                      <a:avLst/>
                    </a:prstGeom>
                    <a:noFill/>
                    <a:ln>
                      <a:noFill/>
                    </a:ln>
                  </pic:spPr>
                </pic:pic>
              </a:graphicData>
            </a:graphic>
          </wp:inline>
        </w:drawing>
      </w:r>
    </w:p>
    <w:p w14:paraId="6B79E28D" w14:textId="77777777" w:rsidR="0074419F" w:rsidRPr="00602D23" w:rsidRDefault="0074419F" w:rsidP="0074419F">
      <w:pPr>
        <w:pStyle w:val="source"/>
      </w:pPr>
      <w:r w:rsidRPr="00602D23">
        <w:t xml:space="preserve">Source: Devcor Partners II, LLC </w:t>
      </w:r>
    </w:p>
    <w:p w14:paraId="3DF5221A" w14:textId="41E8AF78" w:rsidR="0074419F" w:rsidRDefault="0074419F" w:rsidP="00D571A9">
      <w:pPr>
        <w:pStyle w:val="FigureCaption"/>
      </w:pPr>
      <w:bookmarkStart w:id="81" w:name="_Ref43214702"/>
      <w:bookmarkStart w:id="82" w:name="_Toc84951032"/>
      <w:bookmarkStart w:id="83" w:name="_Toc112942488"/>
      <w:r w:rsidRPr="003847FA">
        <w:lastRenderedPageBreak/>
        <w:t>Figure </w:t>
      </w:r>
      <w:fldSimple w:instr=" SEQ Figure \* ARABIC ">
        <w:r w:rsidR="00FA55F1">
          <w:rPr>
            <w:noProof/>
          </w:rPr>
          <w:t>4</w:t>
        </w:r>
      </w:fldSimple>
      <w:bookmarkEnd w:id="81"/>
      <w:r w:rsidRPr="003847FA">
        <w:tab/>
        <w:t xml:space="preserve">Proposed Building Concept – </w:t>
      </w:r>
      <w:r w:rsidRPr="00A14CB7">
        <w:t>Simulated View from Terra Bella Avenue Looking East</w:t>
      </w:r>
      <w:bookmarkEnd w:id="82"/>
      <w:bookmarkEnd w:id="83"/>
    </w:p>
    <w:p w14:paraId="002A0210" w14:textId="77777777" w:rsidR="0074419F" w:rsidRPr="0074419F" w:rsidRDefault="0074419F" w:rsidP="0074419F">
      <w:pPr>
        <w:pStyle w:val="Figureparagraph"/>
        <w:rPr>
          <w:highlight w:val="lightGray"/>
        </w:rPr>
      </w:pPr>
      <w:r w:rsidRPr="0074419F">
        <w:rPr>
          <w:highlight w:val="lightGray"/>
        </w:rPr>
        <w:drawing>
          <wp:inline distT="0" distB="0" distL="0" distR="0" wp14:anchorId="5BE9525F" wp14:editId="2109F40F">
            <wp:extent cx="8150087" cy="5339063"/>
            <wp:effectExtent l="0" t="0" r="3810" b="0"/>
            <wp:docPr id="11" name="Picture 11" descr="A picture containing text, sky, outdoor,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sky, outdoor, road&#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51034" cy="5339683"/>
                    </a:xfrm>
                    <a:prstGeom prst="rect">
                      <a:avLst/>
                    </a:prstGeom>
                    <a:noFill/>
                    <a:ln>
                      <a:noFill/>
                    </a:ln>
                  </pic:spPr>
                </pic:pic>
              </a:graphicData>
            </a:graphic>
          </wp:inline>
        </w:drawing>
      </w:r>
    </w:p>
    <w:p w14:paraId="669DBF48" w14:textId="77777777" w:rsidR="0074419F" w:rsidRPr="003847FA" w:rsidRDefault="0074419F" w:rsidP="00275B75">
      <w:pPr>
        <w:pStyle w:val="source"/>
        <w:spacing w:before="60"/>
        <w:ind w:left="207"/>
      </w:pPr>
      <w:r w:rsidRPr="003847FA">
        <w:t>Source: Devcor Partners II, LLC</w:t>
      </w:r>
    </w:p>
    <w:p w14:paraId="4CC01216" w14:textId="67731F48" w:rsidR="0074419F" w:rsidRDefault="0074419F" w:rsidP="00D571A9">
      <w:pPr>
        <w:pStyle w:val="FigureCaption"/>
        <w:rPr>
          <w:noProof/>
        </w:rPr>
      </w:pPr>
      <w:bookmarkStart w:id="84" w:name="_Ref43214708"/>
      <w:bookmarkStart w:id="85" w:name="_Toc84951033"/>
      <w:bookmarkStart w:id="86" w:name="_Toc112942489"/>
      <w:r w:rsidRPr="003847FA">
        <w:lastRenderedPageBreak/>
        <w:t>Figure </w:t>
      </w:r>
      <w:fldSimple w:instr=" SEQ Figure \* ARABIC ">
        <w:r w:rsidR="00FA55F1">
          <w:rPr>
            <w:noProof/>
          </w:rPr>
          <w:t>5</w:t>
        </w:r>
      </w:fldSimple>
      <w:bookmarkEnd w:id="84"/>
      <w:r w:rsidRPr="003847FA">
        <w:tab/>
        <w:t xml:space="preserve">Proposed Building Concept – </w:t>
      </w:r>
      <w:r w:rsidRPr="00A14CB7">
        <w:t xml:space="preserve">Simulated View from Terra Bella Avenue Looking </w:t>
      </w:r>
      <w:r w:rsidRPr="003847FA">
        <w:t>West</w:t>
      </w:r>
      <w:bookmarkEnd w:id="85"/>
      <w:bookmarkEnd w:id="86"/>
    </w:p>
    <w:p w14:paraId="7F82B18D" w14:textId="77777777" w:rsidR="0074419F" w:rsidRPr="00602D23" w:rsidRDefault="0074419F" w:rsidP="0074419F">
      <w:pPr>
        <w:pStyle w:val="Figureparagraph"/>
      </w:pPr>
      <w:r w:rsidRPr="0074419F">
        <w:rPr>
          <w:highlight w:val="lightGray"/>
        </w:rPr>
        <w:drawing>
          <wp:inline distT="0" distB="0" distL="0" distR="0" wp14:anchorId="15E4AC5B" wp14:editId="02E06982">
            <wp:extent cx="8046720" cy="5333436"/>
            <wp:effectExtent l="0" t="0" r="0" b="635"/>
            <wp:docPr id="12" name="Picture 12" descr="A picture containing text, sky,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sky, tree, outdoor&#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46720" cy="5333436"/>
                    </a:xfrm>
                    <a:prstGeom prst="rect">
                      <a:avLst/>
                    </a:prstGeom>
                    <a:noFill/>
                    <a:ln>
                      <a:noFill/>
                    </a:ln>
                  </pic:spPr>
                </pic:pic>
              </a:graphicData>
            </a:graphic>
          </wp:inline>
        </w:drawing>
      </w:r>
    </w:p>
    <w:p w14:paraId="53E26D13" w14:textId="77777777" w:rsidR="0074419F" w:rsidRPr="003847FA" w:rsidRDefault="0074419F" w:rsidP="00275B75">
      <w:pPr>
        <w:pStyle w:val="source"/>
        <w:ind w:left="315"/>
      </w:pPr>
      <w:r w:rsidRPr="003847FA">
        <w:t xml:space="preserve">Source: Devcor Partners II, LLC </w:t>
      </w:r>
    </w:p>
    <w:p w14:paraId="307F5FAC" w14:textId="7C726F1C" w:rsidR="0074419F" w:rsidRDefault="0074419F" w:rsidP="00D571A9">
      <w:pPr>
        <w:pStyle w:val="FigureCaption"/>
      </w:pPr>
      <w:bookmarkStart w:id="87" w:name="_Ref43214710"/>
      <w:bookmarkStart w:id="88" w:name="_Toc84951034"/>
      <w:bookmarkStart w:id="89" w:name="_Toc112942490"/>
      <w:r w:rsidRPr="003847FA">
        <w:lastRenderedPageBreak/>
        <w:t xml:space="preserve">Figure </w:t>
      </w:r>
      <w:fldSimple w:instr=" SEQ Figure \* ARABIC ">
        <w:r w:rsidR="00FA55F1">
          <w:rPr>
            <w:noProof/>
          </w:rPr>
          <w:t>6</w:t>
        </w:r>
      </w:fldSimple>
      <w:bookmarkEnd w:id="87"/>
      <w:r w:rsidRPr="003847FA">
        <w:tab/>
        <w:t xml:space="preserve">Proposed Building Concept – </w:t>
      </w:r>
      <w:r>
        <w:t xml:space="preserve">Simulated View from </w:t>
      </w:r>
      <w:r w:rsidRPr="003847FA">
        <w:t>Site</w:t>
      </w:r>
      <w:r>
        <w:t xml:space="preserve"> Interior</w:t>
      </w:r>
      <w:bookmarkEnd w:id="88"/>
      <w:bookmarkEnd w:id="89"/>
    </w:p>
    <w:p w14:paraId="2186274C" w14:textId="77777777" w:rsidR="0074419F" w:rsidRPr="00602D23" w:rsidRDefault="0074419F" w:rsidP="0074419F">
      <w:pPr>
        <w:pStyle w:val="Figureparagraph"/>
      </w:pPr>
      <w:r w:rsidRPr="0074419F">
        <w:rPr>
          <w:highlight w:val="lightGray"/>
        </w:rPr>
        <w:drawing>
          <wp:inline distT="0" distB="0" distL="0" distR="0" wp14:anchorId="383952B0" wp14:editId="0A25F03A">
            <wp:extent cx="8088609" cy="5321880"/>
            <wp:effectExtent l="0" t="0" r="8255" b="0"/>
            <wp:docPr id="15" name="Picture 15" descr="A white car parked in front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white car parked in front of a building&#10;&#10;Description automatically generated with low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90117" cy="5322872"/>
                    </a:xfrm>
                    <a:prstGeom prst="rect">
                      <a:avLst/>
                    </a:prstGeom>
                    <a:noFill/>
                    <a:ln>
                      <a:noFill/>
                    </a:ln>
                  </pic:spPr>
                </pic:pic>
              </a:graphicData>
            </a:graphic>
          </wp:inline>
        </w:drawing>
      </w:r>
    </w:p>
    <w:p w14:paraId="329E51F9" w14:textId="77777777" w:rsidR="0074419F" w:rsidRDefault="0074419F" w:rsidP="00275B75">
      <w:pPr>
        <w:pStyle w:val="source"/>
        <w:ind w:left="243"/>
      </w:pPr>
      <w:r w:rsidRPr="003847FA">
        <w:t xml:space="preserve">Source: Devcor Partners II, LLC. </w:t>
      </w:r>
    </w:p>
    <w:p w14:paraId="7EBB7C3E" w14:textId="77777777" w:rsidR="0074419F" w:rsidRPr="003847FA" w:rsidRDefault="0074419F" w:rsidP="0074419F">
      <w:pPr>
        <w:pStyle w:val="source"/>
        <w:sectPr w:rsidR="0074419F" w:rsidRPr="003847FA" w:rsidSect="0074419F">
          <w:footerReference w:type="default" r:id="rId26"/>
          <w:pgSz w:w="15840" w:h="12240" w:orient="landscape"/>
          <w:pgMar w:top="1627" w:right="1440" w:bottom="1627" w:left="1440" w:header="720" w:footer="720" w:gutter="0"/>
          <w:cols w:space="720"/>
          <w:docGrid w:linePitch="360"/>
        </w:sectPr>
      </w:pPr>
    </w:p>
    <w:p w14:paraId="3568BD55" w14:textId="1D6226C8" w:rsidR="00BD2050" w:rsidRDefault="0074419F" w:rsidP="0074419F">
      <w:pPr>
        <w:pStyle w:val="BodyText"/>
      </w:pPr>
      <w:bookmarkStart w:id="90" w:name="_Hlk83975426"/>
      <w:bookmarkEnd w:id="78"/>
      <w:r w:rsidRPr="003847FA">
        <w:lastRenderedPageBreak/>
        <w:t xml:space="preserve">The first floor of the building would include approximately 8,500 </w:t>
      </w:r>
      <w:r>
        <w:t>square feet</w:t>
      </w:r>
      <w:r w:rsidRPr="003847FA">
        <w:t xml:space="preserve"> of open office space with stair</w:t>
      </w:r>
      <w:r>
        <w:t>way</w:t>
      </w:r>
      <w:r w:rsidRPr="003847FA">
        <w:t xml:space="preserve">, elevator, and exterior access. </w:t>
      </w:r>
      <w:r>
        <w:t>The proposed project would include</w:t>
      </w:r>
      <w:r w:rsidRPr="003847FA">
        <w:t xml:space="preserve"> </w:t>
      </w:r>
      <w:r>
        <w:t>five</w:t>
      </w:r>
      <w:r w:rsidRPr="003847FA">
        <w:t xml:space="preserve"> outdoor </w:t>
      </w:r>
      <w:r>
        <w:t xml:space="preserve">ground floor </w:t>
      </w:r>
      <w:r w:rsidRPr="003847FA">
        <w:t>patios</w:t>
      </w:r>
      <w:r>
        <w:t xml:space="preserve">, one to the north, one to the west, and three to the south. The western patio would have interior and exterior access, while the northern and southern patios would be accessible from the interior of the building. </w:t>
      </w:r>
      <w:r w:rsidRPr="003847FA">
        <w:t>The second floor</w:t>
      </w:r>
      <w:r>
        <w:t xml:space="preserve"> of the building</w:t>
      </w:r>
      <w:r w:rsidRPr="003847FA">
        <w:t xml:space="preserve"> would include approximately 8,400 </w:t>
      </w:r>
      <w:r>
        <w:t>square feet</w:t>
      </w:r>
      <w:r w:rsidRPr="003847FA">
        <w:t xml:space="preserve"> of open office space as well as closed offices and conference areas. </w:t>
      </w:r>
      <w:r>
        <w:t>O</w:t>
      </w:r>
      <w:r w:rsidRPr="003847FA">
        <w:t>utdoor balcon</w:t>
      </w:r>
      <w:r>
        <w:t>ies</w:t>
      </w:r>
      <w:r w:rsidRPr="003847FA">
        <w:t xml:space="preserve"> would be accessible on the south</w:t>
      </w:r>
      <w:r>
        <w:t>ern</w:t>
      </w:r>
      <w:r w:rsidRPr="003847FA">
        <w:t xml:space="preserve"> side</w:t>
      </w:r>
      <w:r>
        <w:t xml:space="preserve"> and northwestern corner of the building</w:t>
      </w:r>
      <w:r w:rsidRPr="003847FA">
        <w:t xml:space="preserve">. The third floor would </w:t>
      </w:r>
      <w:r>
        <w:t>consist of</w:t>
      </w:r>
      <w:r w:rsidRPr="003847FA">
        <w:t xml:space="preserve"> approximately 2,985 square feet of office space, as well as a </w:t>
      </w:r>
      <w:r>
        <w:t xml:space="preserve">1,553 square-foot </w:t>
      </w:r>
      <w:r w:rsidRPr="003847FA">
        <w:t xml:space="preserve">common roof deck and a </w:t>
      </w:r>
      <w:r>
        <w:t xml:space="preserve">1,215 square-foot </w:t>
      </w:r>
      <w:r w:rsidRPr="003847FA">
        <w:t>private roof deck. Excluding the patio and balcony space, the office spaces could accommodate</w:t>
      </w:r>
      <w:r>
        <w:t xml:space="preserve"> approximately</w:t>
      </w:r>
      <w:r w:rsidRPr="003847FA">
        <w:t xml:space="preserve"> 109 occupants</w:t>
      </w:r>
      <w:r w:rsidR="00BD2050" w:rsidRPr="003847FA">
        <w:t>.</w:t>
      </w:r>
    </w:p>
    <w:p w14:paraId="799A5EF7" w14:textId="3F99982F" w:rsidR="0074419F" w:rsidRDefault="0074419F" w:rsidP="0074419F">
      <w:pPr>
        <w:pStyle w:val="BodyText"/>
      </w:pPr>
      <w:r>
        <w:t xml:space="preserve">Materials for the exterior of the building </w:t>
      </w:r>
      <w:r w:rsidR="00BD2050">
        <w:t xml:space="preserve">would </w:t>
      </w:r>
      <w:r>
        <w:t>include precast concrete, corten steel panels, and aluminum frames around entryways and windows. Glass exteriors would involve a butt joint system with aluminum trim, and some windows will be set on tracks and hinges to allow access to exterior spaces. Other materials include wood finish treads and fritted glass railings for stairwells and upper floor patios.</w:t>
      </w:r>
      <w:r w:rsidRPr="003847FA">
        <w:t xml:space="preserve"> Additional site improvements include landscaping</w:t>
      </w:r>
      <w:r w:rsidR="00787AB4">
        <w:t xml:space="preserve"> throughout the project site</w:t>
      </w:r>
      <w:r w:rsidRPr="003847FA">
        <w:t xml:space="preserve"> and utilities to serve the building. </w:t>
      </w:r>
    </w:p>
    <w:p w14:paraId="323A2118" w14:textId="77777777" w:rsidR="0074419F" w:rsidRPr="00E84DA6" w:rsidRDefault="0074419F" w:rsidP="00E84DA6">
      <w:pPr>
        <w:pStyle w:val="Heading5"/>
      </w:pPr>
      <w:r w:rsidRPr="00E84DA6">
        <w:t>Landscaping and Open Space</w:t>
      </w:r>
    </w:p>
    <w:p w14:paraId="7B1456D4" w14:textId="28B66BED" w:rsidR="0074419F" w:rsidRPr="00FD3448" w:rsidRDefault="0074419F" w:rsidP="0074419F">
      <w:pPr>
        <w:pStyle w:val="BodyText"/>
        <w:rPr>
          <w:rFonts w:ascii="Century Gothic" w:hAnsi="Century Gothic"/>
          <w:b/>
          <w:bCs/>
        </w:rPr>
      </w:pPr>
      <w:r w:rsidRPr="003847FA">
        <w:t xml:space="preserve">There are </w:t>
      </w:r>
      <w:r w:rsidR="004F3E5E">
        <w:t>31</w:t>
      </w:r>
      <w:r w:rsidR="004F3E5E" w:rsidRPr="003847FA">
        <w:t xml:space="preserve"> </w:t>
      </w:r>
      <w:r w:rsidRPr="003847FA">
        <w:t xml:space="preserve">trees on the site. Demolition and site preparation would include the removal of </w:t>
      </w:r>
      <w:r>
        <w:t xml:space="preserve">three Heritage trees and three non-heritage </w:t>
      </w:r>
      <w:r w:rsidRPr="003847FA">
        <w:t xml:space="preserve">trees to accommodate development or because of poor tree condition. A </w:t>
      </w:r>
      <w:r w:rsidR="000633CA">
        <w:t>Heritage</w:t>
      </w:r>
      <w:r w:rsidRPr="003847FA">
        <w:t xml:space="preserve"> Tree Removal Permit </w:t>
      </w:r>
      <w:r>
        <w:t>must</w:t>
      </w:r>
      <w:r w:rsidRPr="003847FA">
        <w:t xml:space="preserve"> be obtained </w:t>
      </w:r>
      <w:r>
        <w:t xml:space="preserve">by the project applicant </w:t>
      </w:r>
      <w:r w:rsidRPr="003847FA">
        <w:t xml:space="preserve">pursuant to </w:t>
      </w:r>
      <w:r w:rsidR="00BC68C0">
        <w:t>MVMC</w:t>
      </w:r>
      <w:r w:rsidRPr="003847FA">
        <w:t xml:space="preserve"> Section 32.35</w:t>
      </w:r>
      <w:r>
        <w:t xml:space="preserve"> for the removal of </w:t>
      </w:r>
      <w:r w:rsidR="000633CA">
        <w:t>heritage</w:t>
      </w:r>
      <w:r>
        <w:t xml:space="preserve"> trees on site</w:t>
      </w:r>
      <w:r w:rsidRPr="003847FA">
        <w:t xml:space="preserve">. As part of the </w:t>
      </w:r>
      <w:r>
        <w:t xml:space="preserve">proposed </w:t>
      </w:r>
      <w:r w:rsidRPr="003847FA">
        <w:t>site landscaping</w:t>
      </w:r>
      <w:r w:rsidR="00BD2050" w:rsidRPr="00BD2050">
        <w:t xml:space="preserve"> </w:t>
      </w:r>
      <w:r w:rsidR="00BD2050">
        <w:t xml:space="preserve">and </w:t>
      </w:r>
      <w:r w:rsidR="00BD2050" w:rsidRPr="003847FA">
        <w:t xml:space="preserve">pursuant to </w:t>
      </w:r>
      <w:r w:rsidR="00BD2050">
        <w:t>MVMC</w:t>
      </w:r>
      <w:r w:rsidR="00BD2050" w:rsidRPr="003847FA">
        <w:t xml:space="preserve"> Section 32.35</w:t>
      </w:r>
      <w:r w:rsidRPr="003847FA">
        <w:t xml:space="preserve">, two trees would be planted for each </w:t>
      </w:r>
      <w:r w:rsidR="000633CA">
        <w:t>heritage</w:t>
      </w:r>
      <w:r w:rsidRPr="003847FA">
        <w:t xml:space="preserve"> tree removed and one tree would be planted for each non-</w:t>
      </w:r>
      <w:r w:rsidR="000633CA">
        <w:t>heritage</w:t>
      </w:r>
      <w:r w:rsidRPr="003847FA">
        <w:t xml:space="preserve"> tree removed. </w:t>
      </w:r>
    </w:p>
    <w:p w14:paraId="5653FD4C" w14:textId="77777777" w:rsidR="0074419F" w:rsidRDefault="0074419F" w:rsidP="0074419F">
      <w:pPr>
        <w:pStyle w:val="BodyText"/>
      </w:pPr>
      <w:r w:rsidRPr="003847FA">
        <w:t xml:space="preserve">Landscaping for the project would consist </w:t>
      </w:r>
      <w:r>
        <w:t xml:space="preserve">of trees, shrubs, grasses, and groundcover plants </w:t>
      </w:r>
      <w:r w:rsidRPr="003847FA">
        <w:t>along the perimeter</w:t>
      </w:r>
      <w:r>
        <w:t xml:space="preserve">, </w:t>
      </w:r>
      <w:r w:rsidRPr="003847FA">
        <w:t>throughout the site</w:t>
      </w:r>
      <w:r>
        <w:t>, and in a maintained area in the northeast corner of the site</w:t>
      </w:r>
      <w:r w:rsidRPr="003847FA">
        <w:t xml:space="preserve">. Water usage of the plants </w:t>
      </w:r>
      <w:r>
        <w:t xml:space="preserve">would </w:t>
      </w:r>
      <w:r w:rsidRPr="003847FA">
        <w:t>var</w:t>
      </w:r>
      <w:r>
        <w:t>y</w:t>
      </w:r>
      <w:r w:rsidRPr="003847FA">
        <w:t xml:space="preserve"> from very low to medium</w:t>
      </w:r>
      <w:r>
        <w:t xml:space="preserve">. Amenities that would be available in the project’s open spaces include outdoor seating areas and tables, pedestrian plazas, and bicycle racks. </w:t>
      </w:r>
    </w:p>
    <w:p w14:paraId="6F29373B" w14:textId="77777777" w:rsidR="0074419F" w:rsidRPr="00E84DA6" w:rsidRDefault="0074419F" w:rsidP="00E84DA6">
      <w:pPr>
        <w:pStyle w:val="Heading5"/>
      </w:pPr>
      <w:r w:rsidRPr="00E84DA6">
        <w:t>Vehicle Access, Circulation, and Parking</w:t>
      </w:r>
    </w:p>
    <w:p w14:paraId="1B38BE7C" w14:textId="34250D51" w:rsidR="0074419F" w:rsidRDefault="0074419F" w:rsidP="0074419F">
      <w:pPr>
        <w:pStyle w:val="BodyText"/>
      </w:pPr>
      <w:r w:rsidRPr="003847FA">
        <w:t>Vehicle access would be via the northeast</w:t>
      </w:r>
      <w:r>
        <w:t>ern</w:t>
      </w:r>
      <w:r w:rsidRPr="003847FA">
        <w:t xml:space="preserve"> corner of the site, where a driveway </w:t>
      </w:r>
      <w:r>
        <w:t xml:space="preserve">on Terra Bella Avenue </w:t>
      </w:r>
      <w:r w:rsidRPr="003847FA">
        <w:t xml:space="preserve">would lead directly to the surface parking lot. The lot would provide 75 vehicle spaces, including 12 electric vehicle spaces and </w:t>
      </w:r>
      <w:r>
        <w:t>six</w:t>
      </w:r>
      <w:r w:rsidRPr="003847FA">
        <w:t xml:space="preserve"> clean air vehicle spaces. </w:t>
      </w:r>
      <w:r w:rsidR="00B74D7D">
        <w:fldChar w:fldCharType="begin"/>
      </w:r>
      <w:r w:rsidR="00B74D7D">
        <w:instrText xml:space="preserve"> REF _Ref83977418 \h </w:instrText>
      </w:r>
      <w:r w:rsidR="00B74D7D">
        <w:fldChar w:fldCharType="separate"/>
      </w:r>
      <w:r w:rsidR="00FA55F1" w:rsidRPr="00894853">
        <w:t xml:space="preserve">Table </w:t>
      </w:r>
      <w:r w:rsidR="00FA55F1">
        <w:rPr>
          <w:noProof/>
        </w:rPr>
        <w:t>1</w:t>
      </w:r>
      <w:r w:rsidR="00B74D7D">
        <w:fldChar w:fldCharType="end"/>
      </w:r>
      <w:r w:rsidR="00B74D7D">
        <w:t xml:space="preserve"> </w:t>
      </w:r>
      <w:r w:rsidRPr="003847FA">
        <w:t xml:space="preserve">provides a summary of parking to be provided on the project site. Pedestrian access would be available via two pathways from Terra Bella Avenue </w:t>
      </w:r>
      <w:r>
        <w:t>and</w:t>
      </w:r>
      <w:r w:rsidRPr="003847FA">
        <w:t xml:space="preserve"> three pathways from the parking lot. These paths</w:t>
      </w:r>
      <w:r w:rsidR="00BD2050">
        <w:t xml:space="preserve"> would</w:t>
      </w:r>
      <w:r w:rsidRPr="003847FA">
        <w:t xml:space="preserve"> lead to ground floor entrances or to stairwells. </w:t>
      </w:r>
    </w:p>
    <w:p w14:paraId="6AF04BD3" w14:textId="2734AA90" w:rsidR="0074419F" w:rsidRPr="00894853" w:rsidRDefault="0074419F" w:rsidP="00EB4901">
      <w:pPr>
        <w:pStyle w:val="TableCaption"/>
        <w:rPr>
          <w:highlight w:val="yellow"/>
        </w:rPr>
      </w:pPr>
      <w:bookmarkStart w:id="91" w:name="_Ref83977418"/>
      <w:bookmarkStart w:id="92" w:name="_Toc459360280"/>
      <w:bookmarkStart w:id="93" w:name="_Toc482694696"/>
      <w:bookmarkStart w:id="94" w:name="_Toc84951028"/>
      <w:bookmarkStart w:id="95" w:name="_Toc112942450"/>
      <w:r w:rsidRPr="00894853">
        <w:t xml:space="preserve">Table </w:t>
      </w:r>
      <w:fldSimple w:instr=" SEQ Table \* ARABIC ">
        <w:r w:rsidR="00FA55F1">
          <w:rPr>
            <w:noProof/>
          </w:rPr>
          <w:t>1</w:t>
        </w:r>
      </w:fldSimple>
      <w:bookmarkEnd w:id="91"/>
      <w:r w:rsidRPr="00894853">
        <w:tab/>
      </w:r>
      <w:bookmarkEnd w:id="92"/>
      <w:bookmarkEnd w:id="93"/>
      <w:r w:rsidRPr="00894853">
        <w:t>Parking Summary</w:t>
      </w:r>
      <w:bookmarkEnd w:id="94"/>
      <w:bookmarkEnd w:id="95"/>
    </w:p>
    <w:tbl>
      <w:tblPr>
        <w:tblW w:w="9029" w:type="dxa"/>
        <w:tblLook w:val="04A0" w:firstRow="1" w:lastRow="0" w:firstColumn="1" w:lastColumn="0" w:noHBand="0" w:noVBand="1"/>
      </w:tblPr>
      <w:tblGrid>
        <w:gridCol w:w="2628"/>
        <w:gridCol w:w="162"/>
        <w:gridCol w:w="6239"/>
      </w:tblGrid>
      <w:tr w:rsidR="0074419F" w:rsidRPr="00602D23" w14:paraId="33F3ECA9" w14:textId="77777777" w:rsidTr="00EB4901">
        <w:trPr>
          <w:tblHeader/>
        </w:trPr>
        <w:tc>
          <w:tcPr>
            <w:tcW w:w="2790" w:type="dxa"/>
            <w:gridSpan w:val="2"/>
            <w:shd w:val="clear" w:color="auto" w:fill="000000"/>
            <w:tcMar>
              <w:top w:w="29" w:type="dxa"/>
              <w:left w:w="115" w:type="dxa"/>
              <w:bottom w:w="29" w:type="dxa"/>
              <w:right w:w="115" w:type="dxa"/>
            </w:tcMar>
            <w:vAlign w:val="center"/>
            <w:hideMark/>
          </w:tcPr>
          <w:p w14:paraId="1F99C102" w14:textId="77777777" w:rsidR="0074419F" w:rsidRPr="00602D23" w:rsidRDefault="0074419F" w:rsidP="00EB4901">
            <w:pPr>
              <w:pStyle w:val="TableHeadings"/>
              <w:rPr>
                <w:rFonts w:cstheme="minorHAnsi"/>
              </w:rPr>
            </w:pPr>
            <w:r w:rsidRPr="00602D23">
              <w:rPr>
                <w:rFonts w:cstheme="minorHAnsi"/>
              </w:rPr>
              <w:t xml:space="preserve">Parking </w:t>
            </w:r>
          </w:p>
        </w:tc>
        <w:tc>
          <w:tcPr>
            <w:tcW w:w="6239" w:type="dxa"/>
            <w:shd w:val="clear" w:color="auto" w:fill="000000"/>
            <w:vAlign w:val="center"/>
          </w:tcPr>
          <w:p w14:paraId="688E3E2B" w14:textId="77777777" w:rsidR="0074419F" w:rsidRPr="00602D23" w:rsidRDefault="0074419F" w:rsidP="00EB4901">
            <w:pPr>
              <w:pStyle w:val="TableHeadings"/>
              <w:ind w:left="273"/>
              <w:rPr>
                <w:rFonts w:cstheme="minorHAnsi"/>
              </w:rPr>
            </w:pPr>
            <w:r>
              <w:rPr>
                <w:rFonts w:cstheme="minorHAnsi"/>
              </w:rPr>
              <w:t>Number of Stalls</w:t>
            </w:r>
          </w:p>
        </w:tc>
      </w:tr>
      <w:tr w:rsidR="0074419F" w:rsidRPr="00602D23" w14:paraId="2F0C3C83" w14:textId="77777777" w:rsidTr="0074419F">
        <w:tc>
          <w:tcPr>
            <w:tcW w:w="2628" w:type="dxa"/>
            <w:tcBorders>
              <w:bottom w:val="single" w:sz="4" w:space="0" w:color="BFBFBF" w:themeColor="background1" w:themeShade="BF"/>
            </w:tcBorders>
            <w:shd w:val="clear" w:color="auto" w:fill="auto"/>
            <w:tcMar>
              <w:top w:w="29" w:type="dxa"/>
              <w:left w:w="115" w:type="dxa"/>
              <w:bottom w:w="29" w:type="dxa"/>
              <w:right w:w="115" w:type="dxa"/>
            </w:tcMar>
            <w:hideMark/>
          </w:tcPr>
          <w:p w14:paraId="2FCADE98" w14:textId="77777777" w:rsidR="0074419F" w:rsidRPr="00602D23" w:rsidRDefault="0074419F" w:rsidP="00EB4901">
            <w:pPr>
              <w:pStyle w:val="TableText"/>
              <w:spacing w:before="0" w:after="0"/>
              <w:rPr>
                <w:rFonts w:cstheme="minorHAnsi"/>
                <w:szCs w:val="18"/>
              </w:rPr>
            </w:pPr>
            <w:r w:rsidRPr="00602D23">
              <w:rPr>
                <w:rFonts w:cstheme="minorHAnsi"/>
                <w:szCs w:val="18"/>
              </w:rPr>
              <w:t>Standard</w:t>
            </w:r>
          </w:p>
        </w:tc>
        <w:tc>
          <w:tcPr>
            <w:tcW w:w="6401" w:type="dxa"/>
            <w:gridSpan w:val="2"/>
            <w:tcBorders>
              <w:bottom w:val="single" w:sz="4" w:space="0" w:color="BFBFBF" w:themeColor="background1" w:themeShade="BF"/>
            </w:tcBorders>
            <w:shd w:val="clear" w:color="auto" w:fill="auto"/>
            <w:tcMar>
              <w:top w:w="29" w:type="dxa"/>
              <w:left w:w="115" w:type="dxa"/>
              <w:bottom w:w="29" w:type="dxa"/>
              <w:right w:w="115" w:type="dxa"/>
            </w:tcMar>
            <w:hideMark/>
          </w:tcPr>
          <w:p w14:paraId="14CA46D6" w14:textId="77777777" w:rsidR="0074419F" w:rsidRPr="00602D23" w:rsidRDefault="0074419F" w:rsidP="00EB4901">
            <w:pPr>
              <w:pStyle w:val="TableText"/>
              <w:spacing w:before="0" w:after="0"/>
              <w:ind w:right="5224"/>
              <w:jc w:val="right"/>
              <w:rPr>
                <w:rFonts w:cstheme="minorHAnsi"/>
                <w:szCs w:val="18"/>
              </w:rPr>
            </w:pPr>
            <w:r>
              <w:rPr>
                <w:rFonts w:cstheme="minorHAnsi"/>
                <w:szCs w:val="18"/>
              </w:rPr>
              <w:t>53</w:t>
            </w:r>
          </w:p>
        </w:tc>
      </w:tr>
      <w:tr w:rsidR="0074419F" w:rsidRPr="00602D23" w14:paraId="398CD4D6" w14:textId="77777777" w:rsidTr="0074419F">
        <w:tc>
          <w:tcPr>
            <w:tcW w:w="2628" w:type="dxa"/>
            <w:tcBorders>
              <w:top w:val="single" w:sz="4" w:space="0" w:color="BFBFBF" w:themeColor="background1" w:themeShade="BF"/>
              <w:bottom w:val="single" w:sz="4" w:space="0" w:color="BFBFBF" w:themeColor="background1" w:themeShade="BF"/>
            </w:tcBorders>
            <w:shd w:val="clear" w:color="auto" w:fill="auto"/>
            <w:tcMar>
              <w:top w:w="29" w:type="dxa"/>
              <w:left w:w="115" w:type="dxa"/>
              <w:bottom w:w="29" w:type="dxa"/>
              <w:right w:w="115" w:type="dxa"/>
            </w:tcMar>
            <w:hideMark/>
          </w:tcPr>
          <w:p w14:paraId="037A2CFC" w14:textId="77777777" w:rsidR="0074419F" w:rsidRPr="00602D23" w:rsidRDefault="0074419F" w:rsidP="00EB4901">
            <w:pPr>
              <w:pStyle w:val="TableText"/>
              <w:spacing w:before="0" w:after="0"/>
              <w:rPr>
                <w:rFonts w:cstheme="minorHAnsi"/>
                <w:szCs w:val="18"/>
              </w:rPr>
            </w:pPr>
            <w:r w:rsidRPr="00602D23">
              <w:rPr>
                <w:rFonts w:cstheme="minorHAnsi"/>
                <w:szCs w:val="18"/>
              </w:rPr>
              <w:t>Accessible</w:t>
            </w:r>
          </w:p>
        </w:tc>
        <w:tc>
          <w:tcPr>
            <w:tcW w:w="6401" w:type="dxa"/>
            <w:gridSpan w:val="2"/>
            <w:tcBorders>
              <w:top w:val="single" w:sz="4" w:space="0" w:color="BFBFBF" w:themeColor="background1" w:themeShade="BF"/>
              <w:bottom w:val="single" w:sz="4" w:space="0" w:color="BFBFBF" w:themeColor="background1" w:themeShade="BF"/>
            </w:tcBorders>
            <w:shd w:val="clear" w:color="auto" w:fill="auto"/>
            <w:tcMar>
              <w:top w:w="29" w:type="dxa"/>
              <w:left w:w="115" w:type="dxa"/>
              <w:bottom w:w="29" w:type="dxa"/>
              <w:right w:w="115" w:type="dxa"/>
            </w:tcMar>
            <w:hideMark/>
          </w:tcPr>
          <w:p w14:paraId="011C664A" w14:textId="77777777" w:rsidR="0074419F" w:rsidRPr="00602D23" w:rsidRDefault="0074419F" w:rsidP="00EB4901">
            <w:pPr>
              <w:pStyle w:val="TableText"/>
              <w:spacing w:before="0" w:after="0"/>
              <w:ind w:right="5224"/>
              <w:jc w:val="right"/>
              <w:rPr>
                <w:rFonts w:cstheme="minorHAnsi"/>
                <w:szCs w:val="18"/>
              </w:rPr>
            </w:pPr>
            <w:r>
              <w:rPr>
                <w:rFonts w:cstheme="minorHAnsi"/>
                <w:szCs w:val="18"/>
              </w:rPr>
              <w:t>3</w:t>
            </w:r>
          </w:p>
        </w:tc>
      </w:tr>
      <w:tr w:rsidR="0074419F" w:rsidRPr="00602D23" w14:paraId="097E6829" w14:textId="77777777" w:rsidTr="0074419F">
        <w:tc>
          <w:tcPr>
            <w:tcW w:w="2628" w:type="dxa"/>
            <w:tcBorders>
              <w:top w:val="single" w:sz="4" w:space="0" w:color="BFBFBF" w:themeColor="background1" w:themeShade="BF"/>
              <w:bottom w:val="single" w:sz="4" w:space="0" w:color="BFBFBF" w:themeColor="background1" w:themeShade="BF"/>
            </w:tcBorders>
            <w:shd w:val="clear" w:color="auto" w:fill="auto"/>
            <w:tcMar>
              <w:top w:w="29" w:type="dxa"/>
              <w:left w:w="115" w:type="dxa"/>
              <w:bottom w:w="29" w:type="dxa"/>
              <w:right w:w="115" w:type="dxa"/>
            </w:tcMar>
            <w:hideMark/>
          </w:tcPr>
          <w:p w14:paraId="6ACDF92C" w14:textId="77777777" w:rsidR="0074419F" w:rsidRPr="00602D23" w:rsidRDefault="0074419F" w:rsidP="00EB4901">
            <w:pPr>
              <w:pStyle w:val="TableText"/>
              <w:spacing w:before="0" w:after="0"/>
              <w:rPr>
                <w:rFonts w:cstheme="minorHAnsi"/>
                <w:szCs w:val="18"/>
              </w:rPr>
            </w:pPr>
            <w:r w:rsidRPr="00602D23">
              <w:rPr>
                <w:rFonts w:cstheme="minorHAnsi"/>
                <w:szCs w:val="18"/>
              </w:rPr>
              <w:t xml:space="preserve">Electric Vehicle – regular </w:t>
            </w:r>
          </w:p>
        </w:tc>
        <w:tc>
          <w:tcPr>
            <w:tcW w:w="6401" w:type="dxa"/>
            <w:gridSpan w:val="2"/>
            <w:tcBorders>
              <w:top w:val="single" w:sz="4" w:space="0" w:color="BFBFBF" w:themeColor="background1" w:themeShade="BF"/>
              <w:bottom w:val="single" w:sz="4" w:space="0" w:color="BFBFBF" w:themeColor="background1" w:themeShade="BF"/>
            </w:tcBorders>
            <w:shd w:val="clear" w:color="auto" w:fill="auto"/>
            <w:tcMar>
              <w:top w:w="29" w:type="dxa"/>
              <w:left w:w="115" w:type="dxa"/>
              <w:bottom w:w="29" w:type="dxa"/>
              <w:right w:w="115" w:type="dxa"/>
            </w:tcMar>
            <w:hideMark/>
          </w:tcPr>
          <w:p w14:paraId="7ADCF3B5" w14:textId="77777777" w:rsidR="0074419F" w:rsidRPr="00602D23" w:rsidRDefault="0074419F" w:rsidP="00EB4901">
            <w:pPr>
              <w:pStyle w:val="TableText"/>
              <w:spacing w:before="0" w:after="0"/>
              <w:ind w:right="5224"/>
              <w:jc w:val="right"/>
              <w:rPr>
                <w:rFonts w:cstheme="minorHAnsi"/>
                <w:szCs w:val="18"/>
              </w:rPr>
            </w:pPr>
            <w:r w:rsidRPr="00602D23">
              <w:rPr>
                <w:rFonts w:cstheme="minorHAnsi"/>
                <w:szCs w:val="18"/>
              </w:rPr>
              <w:t xml:space="preserve">10 </w:t>
            </w:r>
          </w:p>
        </w:tc>
      </w:tr>
      <w:tr w:rsidR="0074419F" w:rsidRPr="00602D23" w14:paraId="410F1385" w14:textId="77777777" w:rsidTr="0074419F">
        <w:tc>
          <w:tcPr>
            <w:tcW w:w="2628" w:type="dxa"/>
            <w:tcBorders>
              <w:top w:val="single" w:sz="4" w:space="0" w:color="BFBFBF" w:themeColor="background1" w:themeShade="BF"/>
              <w:bottom w:val="single" w:sz="4" w:space="0" w:color="BFBFBF" w:themeColor="background1" w:themeShade="BF"/>
            </w:tcBorders>
            <w:shd w:val="clear" w:color="auto" w:fill="auto"/>
            <w:tcMar>
              <w:top w:w="29" w:type="dxa"/>
              <w:left w:w="115" w:type="dxa"/>
              <w:bottom w:w="29" w:type="dxa"/>
              <w:right w:w="115" w:type="dxa"/>
            </w:tcMar>
          </w:tcPr>
          <w:p w14:paraId="516E94AE" w14:textId="77777777" w:rsidR="0074419F" w:rsidRPr="00602D23" w:rsidRDefault="0074419F" w:rsidP="00EB4901">
            <w:pPr>
              <w:pStyle w:val="TableText"/>
              <w:spacing w:before="0" w:after="0"/>
              <w:rPr>
                <w:rFonts w:cstheme="minorHAnsi"/>
                <w:szCs w:val="18"/>
              </w:rPr>
            </w:pPr>
            <w:r w:rsidRPr="00602D23">
              <w:rPr>
                <w:rFonts w:cstheme="minorHAnsi"/>
                <w:szCs w:val="18"/>
              </w:rPr>
              <w:t>Electric Vehicle – accessible</w:t>
            </w:r>
          </w:p>
        </w:tc>
        <w:tc>
          <w:tcPr>
            <w:tcW w:w="6401" w:type="dxa"/>
            <w:gridSpan w:val="2"/>
            <w:tcBorders>
              <w:top w:val="single" w:sz="4" w:space="0" w:color="BFBFBF" w:themeColor="background1" w:themeShade="BF"/>
              <w:bottom w:val="single" w:sz="4" w:space="0" w:color="BFBFBF" w:themeColor="background1" w:themeShade="BF"/>
            </w:tcBorders>
            <w:shd w:val="clear" w:color="auto" w:fill="auto"/>
            <w:tcMar>
              <w:top w:w="29" w:type="dxa"/>
              <w:left w:w="115" w:type="dxa"/>
              <w:bottom w:w="29" w:type="dxa"/>
              <w:right w:w="115" w:type="dxa"/>
            </w:tcMar>
          </w:tcPr>
          <w:p w14:paraId="1A4AC25C" w14:textId="77777777" w:rsidR="0074419F" w:rsidRPr="00602D23" w:rsidRDefault="0074419F" w:rsidP="00EB4901">
            <w:pPr>
              <w:pStyle w:val="TableText"/>
              <w:spacing w:before="0" w:after="0"/>
              <w:ind w:right="5224"/>
              <w:jc w:val="right"/>
              <w:rPr>
                <w:rFonts w:cstheme="minorHAnsi"/>
                <w:szCs w:val="18"/>
              </w:rPr>
            </w:pPr>
            <w:r w:rsidRPr="00602D23">
              <w:rPr>
                <w:rFonts w:cstheme="minorHAnsi"/>
                <w:szCs w:val="18"/>
              </w:rPr>
              <w:t xml:space="preserve">2 </w:t>
            </w:r>
          </w:p>
        </w:tc>
      </w:tr>
      <w:tr w:rsidR="0074419F" w:rsidRPr="00602D23" w14:paraId="7FCD6B9F" w14:textId="77777777" w:rsidTr="0074419F">
        <w:tc>
          <w:tcPr>
            <w:tcW w:w="2628" w:type="dxa"/>
            <w:tcBorders>
              <w:top w:val="single" w:sz="4" w:space="0" w:color="BFBFBF" w:themeColor="background1" w:themeShade="BF"/>
              <w:bottom w:val="single" w:sz="4" w:space="0" w:color="BFBFBF" w:themeColor="background1" w:themeShade="BF"/>
            </w:tcBorders>
            <w:shd w:val="clear" w:color="auto" w:fill="auto"/>
            <w:tcMar>
              <w:top w:w="29" w:type="dxa"/>
              <w:left w:w="115" w:type="dxa"/>
              <w:bottom w:w="29" w:type="dxa"/>
              <w:right w:w="115" w:type="dxa"/>
            </w:tcMar>
          </w:tcPr>
          <w:p w14:paraId="7A6CB5D2" w14:textId="1531DA41" w:rsidR="0074419F" w:rsidRPr="00602D23" w:rsidRDefault="0074419F" w:rsidP="00EB4901">
            <w:pPr>
              <w:pStyle w:val="TableText"/>
              <w:spacing w:before="0" w:after="0"/>
              <w:rPr>
                <w:rFonts w:cstheme="minorHAnsi"/>
                <w:szCs w:val="18"/>
              </w:rPr>
            </w:pPr>
            <w:r w:rsidRPr="00602D23">
              <w:rPr>
                <w:rFonts w:cstheme="minorHAnsi"/>
                <w:szCs w:val="18"/>
              </w:rPr>
              <w:t>Clean Air Vehicle</w:t>
            </w:r>
            <w:r w:rsidR="00275B75">
              <w:rPr>
                <w:rFonts w:cstheme="minorHAnsi"/>
                <w:szCs w:val="18"/>
              </w:rPr>
              <w:t xml:space="preserve"> </w:t>
            </w:r>
          </w:p>
        </w:tc>
        <w:tc>
          <w:tcPr>
            <w:tcW w:w="6401" w:type="dxa"/>
            <w:gridSpan w:val="2"/>
            <w:tcBorders>
              <w:top w:val="single" w:sz="4" w:space="0" w:color="BFBFBF" w:themeColor="background1" w:themeShade="BF"/>
              <w:bottom w:val="single" w:sz="4" w:space="0" w:color="BFBFBF" w:themeColor="background1" w:themeShade="BF"/>
            </w:tcBorders>
            <w:shd w:val="clear" w:color="auto" w:fill="auto"/>
            <w:tcMar>
              <w:top w:w="29" w:type="dxa"/>
              <w:left w:w="115" w:type="dxa"/>
              <w:bottom w:w="29" w:type="dxa"/>
              <w:right w:w="115" w:type="dxa"/>
            </w:tcMar>
          </w:tcPr>
          <w:p w14:paraId="378837B2" w14:textId="77777777" w:rsidR="0074419F" w:rsidRPr="00602D23" w:rsidRDefault="0074419F" w:rsidP="00EB4901">
            <w:pPr>
              <w:pStyle w:val="TableText"/>
              <w:spacing w:before="0" w:after="0"/>
              <w:ind w:right="5224"/>
              <w:jc w:val="right"/>
              <w:rPr>
                <w:rFonts w:cstheme="minorHAnsi"/>
                <w:szCs w:val="18"/>
              </w:rPr>
            </w:pPr>
            <w:r w:rsidRPr="00602D23">
              <w:rPr>
                <w:rFonts w:cstheme="minorHAnsi"/>
                <w:szCs w:val="18"/>
              </w:rPr>
              <w:t xml:space="preserve">6 </w:t>
            </w:r>
          </w:p>
        </w:tc>
      </w:tr>
      <w:tr w:rsidR="0074419F" w:rsidRPr="00602D23" w14:paraId="68AACFA7" w14:textId="77777777" w:rsidTr="0074419F">
        <w:tc>
          <w:tcPr>
            <w:tcW w:w="2628" w:type="dxa"/>
            <w:tcBorders>
              <w:top w:val="single" w:sz="4" w:space="0" w:color="BFBFBF" w:themeColor="background1" w:themeShade="BF"/>
              <w:bottom w:val="single" w:sz="4" w:space="0" w:color="BFBFBF" w:themeColor="background1" w:themeShade="BF"/>
            </w:tcBorders>
            <w:shd w:val="clear" w:color="auto" w:fill="auto"/>
            <w:tcMar>
              <w:top w:w="29" w:type="dxa"/>
              <w:left w:w="115" w:type="dxa"/>
              <w:bottom w:w="29" w:type="dxa"/>
              <w:right w:w="115" w:type="dxa"/>
            </w:tcMar>
          </w:tcPr>
          <w:p w14:paraId="06A6A94D" w14:textId="77777777" w:rsidR="0074419F" w:rsidRPr="00602D23" w:rsidRDefault="0074419F" w:rsidP="00EB4901">
            <w:pPr>
              <w:pStyle w:val="TableText"/>
              <w:spacing w:before="0" w:after="0"/>
              <w:rPr>
                <w:rFonts w:cstheme="minorHAnsi"/>
                <w:szCs w:val="18"/>
              </w:rPr>
            </w:pPr>
            <w:r w:rsidRPr="00602D23">
              <w:rPr>
                <w:rFonts w:cstheme="minorHAnsi"/>
                <w:szCs w:val="18"/>
              </w:rPr>
              <w:lastRenderedPageBreak/>
              <w:t>Bicycle</w:t>
            </w:r>
          </w:p>
        </w:tc>
        <w:tc>
          <w:tcPr>
            <w:tcW w:w="6401" w:type="dxa"/>
            <w:gridSpan w:val="2"/>
            <w:tcBorders>
              <w:top w:val="single" w:sz="4" w:space="0" w:color="BFBFBF" w:themeColor="background1" w:themeShade="BF"/>
              <w:bottom w:val="single" w:sz="4" w:space="0" w:color="BFBFBF" w:themeColor="background1" w:themeShade="BF"/>
            </w:tcBorders>
            <w:shd w:val="clear" w:color="auto" w:fill="auto"/>
            <w:tcMar>
              <w:top w:w="29" w:type="dxa"/>
              <w:left w:w="115" w:type="dxa"/>
              <w:bottom w:w="29" w:type="dxa"/>
              <w:right w:w="115" w:type="dxa"/>
            </w:tcMar>
          </w:tcPr>
          <w:p w14:paraId="42B9B03C" w14:textId="77777777" w:rsidR="0074419F" w:rsidRPr="00602D23" w:rsidRDefault="0074419F" w:rsidP="00EB4901">
            <w:pPr>
              <w:pStyle w:val="TableText"/>
              <w:spacing w:before="0" w:after="0"/>
              <w:ind w:right="5224"/>
              <w:jc w:val="right"/>
              <w:rPr>
                <w:rFonts w:cstheme="minorHAnsi"/>
                <w:szCs w:val="18"/>
              </w:rPr>
            </w:pPr>
            <w:r w:rsidRPr="00602D23">
              <w:rPr>
                <w:rFonts w:cstheme="minorHAnsi"/>
                <w:szCs w:val="18"/>
              </w:rPr>
              <w:t xml:space="preserve">5 </w:t>
            </w:r>
          </w:p>
        </w:tc>
      </w:tr>
      <w:tr w:rsidR="0074419F" w:rsidRPr="00602D23" w14:paraId="5DB8FF7A" w14:textId="77777777" w:rsidTr="0074419F">
        <w:tc>
          <w:tcPr>
            <w:tcW w:w="2628" w:type="dxa"/>
            <w:tcBorders>
              <w:top w:val="single" w:sz="4" w:space="0" w:color="BFBFBF" w:themeColor="background1" w:themeShade="BF"/>
              <w:bottom w:val="single" w:sz="4" w:space="0" w:color="BFBFBF" w:themeColor="background1" w:themeShade="BF"/>
            </w:tcBorders>
            <w:shd w:val="clear" w:color="auto" w:fill="auto"/>
            <w:tcMar>
              <w:top w:w="29" w:type="dxa"/>
              <w:left w:w="115" w:type="dxa"/>
              <w:bottom w:w="29" w:type="dxa"/>
              <w:right w:w="115" w:type="dxa"/>
            </w:tcMar>
          </w:tcPr>
          <w:p w14:paraId="7BED1C0C" w14:textId="77777777" w:rsidR="0074419F" w:rsidRPr="00602D23" w:rsidRDefault="0074419F" w:rsidP="00EB4901">
            <w:pPr>
              <w:pStyle w:val="TableText"/>
              <w:spacing w:before="0" w:after="0"/>
              <w:rPr>
                <w:rFonts w:cstheme="minorHAnsi"/>
                <w:szCs w:val="18"/>
              </w:rPr>
            </w:pPr>
            <w:r w:rsidRPr="00602D23">
              <w:rPr>
                <w:rFonts w:cstheme="minorHAnsi"/>
                <w:szCs w:val="18"/>
              </w:rPr>
              <w:t>Loading space</w:t>
            </w:r>
          </w:p>
        </w:tc>
        <w:tc>
          <w:tcPr>
            <w:tcW w:w="6401" w:type="dxa"/>
            <w:gridSpan w:val="2"/>
            <w:tcBorders>
              <w:top w:val="single" w:sz="4" w:space="0" w:color="BFBFBF" w:themeColor="background1" w:themeShade="BF"/>
              <w:bottom w:val="single" w:sz="4" w:space="0" w:color="BFBFBF" w:themeColor="background1" w:themeShade="BF"/>
            </w:tcBorders>
            <w:shd w:val="clear" w:color="auto" w:fill="auto"/>
            <w:tcMar>
              <w:top w:w="29" w:type="dxa"/>
              <w:left w:w="115" w:type="dxa"/>
              <w:bottom w:w="29" w:type="dxa"/>
              <w:right w:w="115" w:type="dxa"/>
            </w:tcMar>
          </w:tcPr>
          <w:p w14:paraId="5259E528" w14:textId="77777777" w:rsidR="0074419F" w:rsidRPr="00602D23" w:rsidRDefault="0074419F" w:rsidP="00EB4901">
            <w:pPr>
              <w:pStyle w:val="TableText"/>
              <w:spacing w:before="0" w:after="0"/>
              <w:ind w:right="5224"/>
              <w:jc w:val="right"/>
              <w:rPr>
                <w:rFonts w:cstheme="minorHAnsi"/>
                <w:szCs w:val="18"/>
              </w:rPr>
            </w:pPr>
            <w:r w:rsidRPr="00602D23">
              <w:rPr>
                <w:rFonts w:cstheme="minorHAnsi"/>
                <w:szCs w:val="18"/>
              </w:rPr>
              <w:t xml:space="preserve">1 </w:t>
            </w:r>
          </w:p>
        </w:tc>
      </w:tr>
      <w:tr w:rsidR="0074419F" w:rsidRPr="00894853" w14:paraId="341047B1" w14:textId="77777777" w:rsidTr="0074419F">
        <w:tc>
          <w:tcPr>
            <w:tcW w:w="2628" w:type="dxa"/>
            <w:tcBorders>
              <w:top w:val="single" w:sz="4" w:space="0" w:color="BFBFBF" w:themeColor="background1" w:themeShade="BF"/>
              <w:bottom w:val="single" w:sz="4" w:space="0" w:color="auto"/>
            </w:tcBorders>
            <w:shd w:val="clear" w:color="auto" w:fill="auto"/>
            <w:tcMar>
              <w:top w:w="29" w:type="dxa"/>
              <w:left w:w="115" w:type="dxa"/>
              <w:bottom w:w="29" w:type="dxa"/>
              <w:right w:w="115" w:type="dxa"/>
            </w:tcMar>
            <w:hideMark/>
          </w:tcPr>
          <w:p w14:paraId="1D2DE442" w14:textId="77777777" w:rsidR="0074419F" w:rsidRPr="00894853" w:rsidRDefault="0074419F" w:rsidP="00EB4901">
            <w:pPr>
              <w:pStyle w:val="TableText"/>
              <w:spacing w:before="0" w:after="0"/>
              <w:rPr>
                <w:rFonts w:cstheme="minorHAnsi"/>
                <w:b/>
                <w:bCs w:val="0"/>
                <w:szCs w:val="18"/>
              </w:rPr>
            </w:pPr>
            <w:r w:rsidRPr="00894853">
              <w:rPr>
                <w:rFonts w:cstheme="minorHAnsi"/>
                <w:b/>
                <w:bCs w:val="0"/>
                <w:szCs w:val="18"/>
              </w:rPr>
              <w:t>Total</w:t>
            </w:r>
          </w:p>
        </w:tc>
        <w:tc>
          <w:tcPr>
            <w:tcW w:w="6401" w:type="dxa"/>
            <w:gridSpan w:val="2"/>
            <w:tcBorders>
              <w:top w:val="single" w:sz="4" w:space="0" w:color="BFBFBF" w:themeColor="background1" w:themeShade="BF"/>
              <w:bottom w:val="single" w:sz="4" w:space="0" w:color="auto"/>
            </w:tcBorders>
            <w:shd w:val="clear" w:color="auto" w:fill="auto"/>
            <w:tcMar>
              <w:top w:w="29" w:type="dxa"/>
              <w:left w:w="115" w:type="dxa"/>
              <w:bottom w:w="29" w:type="dxa"/>
              <w:right w:w="115" w:type="dxa"/>
            </w:tcMar>
            <w:hideMark/>
          </w:tcPr>
          <w:p w14:paraId="049A71E6" w14:textId="77777777" w:rsidR="0074419F" w:rsidRPr="00894853" w:rsidRDefault="0074419F" w:rsidP="00EB4901">
            <w:pPr>
              <w:pStyle w:val="TableText"/>
              <w:spacing w:before="0" w:after="0"/>
              <w:ind w:right="5224"/>
              <w:jc w:val="right"/>
              <w:rPr>
                <w:rFonts w:cstheme="minorHAnsi"/>
                <w:b/>
                <w:bCs w:val="0"/>
                <w:szCs w:val="18"/>
              </w:rPr>
            </w:pPr>
            <w:r w:rsidRPr="00894853">
              <w:rPr>
                <w:rFonts w:cstheme="minorHAnsi"/>
                <w:b/>
                <w:bCs w:val="0"/>
                <w:szCs w:val="18"/>
              </w:rPr>
              <w:t xml:space="preserve">75 </w:t>
            </w:r>
          </w:p>
        </w:tc>
      </w:tr>
    </w:tbl>
    <w:p w14:paraId="6F9B218C" w14:textId="148A35B1" w:rsidR="0074419F" w:rsidRPr="00561412" w:rsidRDefault="0074419F" w:rsidP="00EB4901">
      <w:pPr>
        <w:pStyle w:val="Heading5"/>
      </w:pPr>
      <w:r w:rsidRPr="00561412">
        <w:t>Green Building Features</w:t>
      </w:r>
    </w:p>
    <w:p w14:paraId="2D62E64E" w14:textId="5EAEDF8D" w:rsidR="0074419F" w:rsidRDefault="0074419F" w:rsidP="00EB4901">
      <w:pPr>
        <w:pStyle w:val="BodyText"/>
      </w:pPr>
      <w:r>
        <w:t xml:space="preserve">Construction of the project would incorporate several green building features. The project would utilize energy efficient LED lighting and controls that exceed the requirements of Title 24 of the California Energy Commission’s Building Energy Efficiency Standards, as well as City energy efficiency requirements. </w:t>
      </w:r>
      <w:r w:rsidR="00F26D40">
        <w:t>P</w:t>
      </w:r>
      <w:r w:rsidR="00F26D40" w:rsidRPr="002125D8">
        <w:t>lumbing fixtures used for the proposed project would be high-efficiency fixtures, which would minimize the potential inefficient or wasteful consumption of energy related to water and wastewater.</w:t>
      </w:r>
      <w:r w:rsidR="00F26D40">
        <w:t xml:space="preserve"> </w:t>
      </w:r>
      <w:r>
        <w:t>Building features would include an automatic interior climate system that would control lighting, temperature, and window shading, and some windows and patio doors would be able to open and close for improved air ventilation. Although reclaimed water service is</w:t>
      </w:r>
      <w:r w:rsidR="00312649">
        <w:t xml:space="preserve"> not</w:t>
      </w:r>
      <w:r w:rsidR="00275B75">
        <w:t xml:space="preserve"> </w:t>
      </w:r>
      <w:r>
        <w:t>currently available at the project site, the project’s irrigation system would be designed to be connected to a future reclaimed water source. Plantings would be irrigated by drip irrigation and would comply with the City’s Water Efficient Landscape Ordinance. In addition, approximately</w:t>
      </w:r>
      <w:r w:rsidR="006A0431">
        <w:t xml:space="preserve"> </w:t>
      </w:r>
      <w:r w:rsidR="001E22F6">
        <w:t>4,265</w:t>
      </w:r>
      <w:r>
        <w:t xml:space="preserve"> square feet of photovoltaic solar panels would be installed in the parking lot</w:t>
      </w:r>
      <w:r w:rsidR="001C32EE" w:rsidRPr="00162D3D">
        <w:rPr>
          <w:rStyle w:val="FootnoteReference"/>
          <w:vertAlign w:val="superscript"/>
        </w:rPr>
        <w:footnoteReference w:id="2"/>
      </w:r>
      <w:r w:rsidR="006C24B3" w:rsidRPr="00162D3D">
        <w:rPr>
          <w:vertAlign w:val="superscript"/>
        </w:rPr>
        <w:t xml:space="preserve"> </w:t>
      </w:r>
      <w:r w:rsidR="006C24B3">
        <w:t>and on the roof of the office struc</w:t>
      </w:r>
      <w:r w:rsidR="00EC2E40">
        <w:t>t</w:t>
      </w:r>
      <w:r w:rsidR="006C24B3">
        <w:t>ure</w:t>
      </w:r>
      <w:r>
        <w:t xml:space="preserve">, which could generate approximately 78 to 95 kilowatts of solar energy. </w:t>
      </w:r>
    </w:p>
    <w:p w14:paraId="462A0E49" w14:textId="77777777" w:rsidR="0074419F" w:rsidRPr="003847FA" w:rsidRDefault="0074419F" w:rsidP="0074419F">
      <w:pPr>
        <w:pStyle w:val="Heading2"/>
        <w:numPr>
          <w:ilvl w:val="1"/>
          <w:numId w:val="90"/>
        </w:numPr>
      </w:pPr>
      <w:bookmarkStart w:id="96" w:name="_Toc84951023"/>
      <w:bookmarkStart w:id="97" w:name="_Toc112942419"/>
      <w:r w:rsidRPr="003847FA">
        <w:t>Site Preparation and Construction</w:t>
      </w:r>
      <w:bookmarkEnd w:id="96"/>
      <w:bookmarkEnd w:id="97"/>
    </w:p>
    <w:p w14:paraId="5672D917" w14:textId="74904EEC" w:rsidR="0074419F" w:rsidRPr="003847FA" w:rsidRDefault="0074419F" w:rsidP="0074419F">
      <w:pPr>
        <w:pStyle w:val="BodyText"/>
      </w:pPr>
      <w:r w:rsidRPr="003847FA">
        <w:t xml:space="preserve">Site preparation activities would involve site preparation, grading, building construction, paving, and architectural coating. The project would </w:t>
      </w:r>
      <w:r>
        <w:t>require</w:t>
      </w:r>
      <w:r w:rsidRPr="003847FA">
        <w:t xml:space="preserve"> 3,750 cubic yards (CY) of excavated soil and 500 CY of fill soil. </w:t>
      </w:r>
      <w:r>
        <w:t>Construction</w:t>
      </w:r>
      <w:r w:rsidRPr="003847FA">
        <w:t xml:space="preserve"> is anticipated to begin in </w:t>
      </w:r>
      <w:r w:rsidR="00817BC5">
        <w:t>October</w:t>
      </w:r>
      <w:r w:rsidRPr="003847FA">
        <w:t xml:space="preserve"> 2023 and</w:t>
      </w:r>
      <w:r w:rsidR="008E34E5">
        <w:t xml:space="preserve"> would</w:t>
      </w:r>
      <w:r w:rsidRPr="003847FA">
        <w:t xml:space="preserve"> be completed in </w:t>
      </w:r>
      <w:r w:rsidR="00817BC5">
        <w:t>October</w:t>
      </w:r>
      <w:r w:rsidRPr="003847FA">
        <w:t xml:space="preserve"> 2025.</w:t>
      </w:r>
      <w:r>
        <w:t xml:space="preserve"> Pursuant to </w:t>
      </w:r>
      <w:r w:rsidR="00BD2050">
        <w:t xml:space="preserve">the </w:t>
      </w:r>
      <w:r w:rsidR="00BC68C0">
        <w:t>MVMC,</w:t>
      </w:r>
      <w:r>
        <w:t xml:space="preserve"> construction would occur between the hours of 7:00 a.m. and 6:00 p.m., Monday through Friday (Section 8.70).</w:t>
      </w:r>
      <w:r w:rsidRPr="003847FA">
        <w:t xml:space="preserve"> </w:t>
      </w:r>
      <w:r>
        <w:fldChar w:fldCharType="begin"/>
      </w:r>
      <w:r>
        <w:instrText xml:space="preserve"> REF _Ref83977426 \h </w:instrText>
      </w:r>
      <w:r>
        <w:fldChar w:fldCharType="separate"/>
      </w:r>
      <w:r w:rsidR="00FA55F1" w:rsidRPr="00AF2EA5">
        <w:t xml:space="preserve">Table </w:t>
      </w:r>
      <w:r w:rsidR="00FA55F1">
        <w:rPr>
          <w:noProof/>
        </w:rPr>
        <w:t>2</w:t>
      </w:r>
      <w:r>
        <w:fldChar w:fldCharType="end"/>
      </w:r>
      <w:r>
        <w:t xml:space="preserve"> </w:t>
      </w:r>
      <w:r w:rsidRPr="003847FA">
        <w:t xml:space="preserve">below describes the estimated </w:t>
      </w:r>
      <w:r>
        <w:t xml:space="preserve">site </w:t>
      </w:r>
      <w:r w:rsidRPr="003847FA">
        <w:t xml:space="preserve">preparation and construction schedule. </w:t>
      </w:r>
    </w:p>
    <w:p w14:paraId="0EFF27A4" w14:textId="201D7F1D" w:rsidR="0074419F" w:rsidRPr="003847FA" w:rsidRDefault="0074419F" w:rsidP="00E84DA6">
      <w:pPr>
        <w:pStyle w:val="TableCaption"/>
      </w:pPr>
      <w:bookmarkStart w:id="98" w:name="_Ref83977426"/>
      <w:bookmarkStart w:id="99" w:name="_Toc84951029"/>
      <w:bookmarkStart w:id="100" w:name="_Toc112942451"/>
      <w:r w:rsidRPr="00AF2EA5">
        <w:t xml:space="preserve">Table </w:t>
      </w:r>
      <w:fldSimple w:instr=" SEQ Table \* ARABIC ">
        <w:r w:rsidR="00FA55F1">
          <w:rPr>
            <w:noProof/>
          </w:rPr>
          <w:t>2</w:t>
        </w:r>
      </w:fldSimple>
      <w:bookmarkEnd w:id="98"/>
      <w:r w:rsidRPr="00AF2EA5">
        <w:tab/>
      </w:r>
      <w:r>
        <w:t xml:space="preserve">Projected Site </w:t>
      </w:r>
      <w:r w:rsidRPr="003847FA">
        <w:t xml:space="preserve">Preparation and Construction </w:t>
      </w:r>
      <w:r>
        <w:t>Timeline</w:t>
      </w:r>
      <w:bookmarkEnd w:id="99"/>
      <w:bookmarkEnd w:id="100"/>
    </w:p>
    <w:tbl>
      <w:tblPr>
        <w:tblW w:w="9029" w:type="dxa"/>
        <w:tblLook w:val="04A0" w:firstRow="1" w:lastRow="0" w:firstColumn="1" w:lastColumn="0" w:noHBand="0" w:noVBand="1"/>
      </w:tblPr>
      <w:tblGrid>
        <w:gridCol w:w="2421"/>
        <w:gridCol w:w="1701"/>
        <w:gridCol w:w="4907"/>
      </w:tblGrid>
      <w:tr w:rsidR="0074419F" w:rsidRPr="003847FA" w14:paraId="2E44C020" w14:textId="77777777" w:rsidTr="0074419F">
        <w:tc>
          <w:tcPr>
            <w:tcW w:w="2421" w:type="dxa"/>
            <w:shd w:val="clear" w:color="auto" w:fill="000000" w:themeFill="text1"/>
            <w:tcMar>
              <w:top w:w="29" w:type="dxa"/>
              <w:left w:w="115" w:type="dxa"/>
              <w:bottom w:w="29" w:type="dxa"/>
              <w:right w:w="115" w:type="dxa"/>
            </w:tcMar>
            <w:vAlign w:val="center"/>
            <w:hideMark/>
          </w:tcPr>
          <w:p w14:paraId="6DA081B6" w14:textId="77777777" w:rsidR="0074419F" w:rsidRPr="003847FA" w:rsidRDefault="0074419F" w:rsidP="00E84DA6">
            <w:pPr>
              <w:pStyle w:val="TableHeadings"/>
            </w:pPr>
            <w:r w:rsidRPr="003847FA">
              <w:t>Stage</w:t>
            </w:r>
          </w:p>
        </w:tc>
        <w:tc>
          <w:tcPr>
            <w:tcW w:w="1701" w:type="dxa"/>
            <w:shd w:val="clear" w:color="auto" w:fill="000000" w:themeFill="text1"/>
            <w:vAlign w:val="center"/>
          </w:tcPr>
          <w:p w14:paraId="419D19BB" w14:textId="77777777" w:rsidR="0074419F" w:rsidRPr="003847FA" w:rsidRDefault="0074419F" w:rsidP="00E84DA6">
            <w:pPr>
              <w:pStyle w:val="TableHeadings"/>
            </w:pPr>
            <w:r w:rsidRPr="003847FA">
              <w:t>Start Date</w:t>
            </w:r>
          </w:p>
        </w:tc>
        <w:tc>
          <w:tcPr>
            <w:tcW w:w="4907" w:type="dxa"/>
            <w:shd w:val="clear" w:color="auto" w:fill="000000" w:themeFill="text1"/>
            <w:vAlign w:val="center"/>
          </w:tcPr>
          <w:p w14:paraId="42F0E317" w14:textId="77777777" w:rsidR="0074419F" w:rsidRPr="003847FA" w:rsidRDefault="0074419F" w:rsidP="00E84DA6">
            <w:pPr>
              <w:pStyle w:val="TableHeadings"/>
            </w:pPr>
            <w:r w:rsidRPr="003847FA">
              <w:t xml:space="preserve">End Date </w:t>
            </w:r>
          </w:p>
        </w:tc>
      </w:tr>
      <w:tr w:rsidR="0074419F" w:rsidRPr="003847FA" w14:paraId="307E4A64" w14:textId="77777777" w:rsidTr="0074419F">
        <w:tc>
          <w:tcPr>
            <w:tcW w:w="2421" w:type="dxa"/>
            <w:tcBorders>
              <w:bottom w:val="single" w:sz="4" w:space="0" w:color="BFBFBF" w:themeColor="background1" w:themeShade="BF"/>
            </w:tcBorders>
            <w:shd w:val="clear" w:color="auto" w:fill="auto"/>
            <w:tcMar>
              <w:top w:w="29" w:type="dxa"/>
              <w:left w:w="115" w:type="dxa"/>
              <w:bottom w:w="29" w:type="dxa"/>
              <w:right w:w="115" w:type="dxa"/>
            </w:tcMar>
            <w:hideMark/>
          </w:tcPr>
          <w:p w14:paraId="1E8B4C24" w14:textId="77777777" w:rsidR="0074419F" w:rsidRPr="003847FA" w:rsidRDefault="0074419F" w:rsidP="00E84DA6">
            <w:pPr>
              <w:pStyle w:val="TableText"/>
              <w:spacing w:before="0" w:after="0"/>
            </w:pPr>
            <w:r w:rsidRPr="003847FA">
              <w:t>Demolition</w:t>
            </w:r>
          </w:p>
        </w:tc>
        <w:tc>
          <w:tcPr>
            <w:tcW w:w="1701" w:type="dxa"/>
            <w:tcBorders>
              <w:bottom w:val="single" w:sz="4" w:space="0" w:color="BFBFBF" w:themeColor="background1" w:themeShade="BF"/>
            </w:tcBorders>
            <w:shd w:val="clear" w:color="auto" w:fill="auto"/>
            <w:tcMar>
              <w:top w:w="29" w:type="dxa"/>
              <w:left w:w="115" w:type="dxa"/>
              <w:bottom w:w="29" w:type="dxa"/>
              <w:right w:w="115" w:type="dxa"/>
            </w:tcMar>
            <w:hideMark/>
          </w:tcPr>
          <w:p w14:paraId="60F4C39D" w14:textId="77777777" w:rsidR="0074419F" w:rsidRPr="003847FA" w:rsidRDefault="0074419F" w:rsidP="00E84DA6">
            <w:pPr>
              <w:pStyle w:val="TableText"/>
              <w:tabs>
                <w:tab w:val="right" w:pos="826"/>
                <w:tab w:val="left" w:pos="1024"/>
              </w:tabs>
              <w:spacing w:before="0" w:after="0"/>
            </w:pPr>
            <w:r w:rsidRPr="003847FA">
              <w:t>January 2023</w:t>
            </w:r>
          </w:p>
        </w:tc>
        <w:tc>
          <w:tcPr>
            <w:tcW w:w="4907" w:type="dxa"/>
            <w:tcBorders>
              <w:bottom w:val="single" w:sz="4" w:space="0" w:color="BFBFBF" w:themeColor="background1" w:themeShade="BF"/>
            </w:tcBorders>
            <w:shd w:val="clear" w:color="auto" w:fill="auto"/>
          </w:tcPr>
          <w:p w14:paraId="29014344" w14:textId="77777777" w:rsidR="0074419F" w:rsidRPr="003847FA" w:rsidRDefault="0074419F" w:rsidP="00E84DA6">
            <w:pPr>
              <w:pStyle w:val="TableText"/>
              <w:tabs>
                <w:tab w:val="right" w:pos="826"/>
                <w:tab w:val="left" w:pos="1024"/>
              </w:tabs>
              <w:spacing w:before="0" w:after="0"/>
            </w:pPr>
            <w:r w:rsidRPr="003847FA">
              <w:t xml:space="preserve">February 2023 </w:t>
            </w:r>
          </w:p>
        </w:tc>
      </w:tr>
      <w:tr w:rsidR="0074419F" w:rsidRPr="003847FA" w14:paraId="0F7CE929" w14:textId="77777777" w:rsidTr="0074419F">
        <w:tc>
          <w:tcPr>
            <w:tcW w:w="2421" w:type="dxa"/>
            <w:tcBorders>
              <w:top w:val="single" w:sz="4" w:space="0" w:color="BFBFBF" w:themeColor="background1" w:themeShade="BF"/>
              <w:bottom w:val="single" w:sz="4" w:space="0" w:color="BFBFBF" w:themeColor="background1" w:themeShade="BF"/>
            </w:tcBorders>
            <w:shd w:val="clear" w:color="auto" w:fill="auto"/>
            <w:tcMar>
              <w:top w:w="29" w:type="dxa"/>
              <w:left w:w="115" w:type="dxa"/>
              <w:bottom w:w="29" w:type="dxa"/>
              <w:right w:w="115" w:type="dxa"/>
            </w:tcMar>
            <w:hideMark/>
          </w:tcPr>
          <w:p w14:paraId="77F8AB20" w14:textId="77777777" w:rsidR="0074419F" w:rsidRPr="003847FA" w:rsidRDefault="0074419F" w:rsidP="00E84DA6">
            <w:pPr>
              <w:pStyle w:val="TableText"/>
              <w:spacing w:before="0" w:after="0"/>
            </w:pPr>
            <w:r w:rsidRPr="003847FA">
              <w:t xml:space="preserve">Site Preparation </w:t>
            </w:r>
          </w:p>
        </w:tc>
        <w:tc>
          <w:tcPr>
            <w:tcW w:w="1701" w:type="dxa"/>
            <w:tcBorders>
              <w:top w:val="single" w:sz="4" w:space="0" w:color="BFBFBF" w:themeColor="background1" w:themeShade="BF"/>
              <w:bottom w:val="single" w:sz="4" w:space="0" w:color="BFBFBF" w:themeColor="background1" w:themeShade="BF"/>
            </w:tcBorders>
            <w:shd w:val="clear" w:color="auto" w:fill="auto"/>
            <w:tcMar>
              <w:top w:w="29" w:type="dxa"/>
              <w:left w:w="115" w:type="dxa"/>
              <w:bottom w:w="29" w:type="dxa"/>
              <w:right w:w="115" w:type="dxa"/>
            </w:tcMar>
            <w:hideMark/>
          </w:tcPr>
          <w:p w14:paraId="19C9F1CC" w14:textId="77777777" w:rsidR="0074419F" w:rsidRPr="003847FA" w:rsidRDefault="0074419F" w:rsidP="00E84DA6">
            <w:pPr>
              <w:pStyle w:val="TableText"/>
              <w:tabs>
                <w:tab w:val="right" w:pos="826"/>
                <w:tab w:val="left" w:pos="1024"/>
              </w:tabs>
              <w:spacing w:before="0" w:after="0"/>
            </w:pPr>
            <w:r w:rsidRPr="003847FA">
              <w:t>February 2023</w:t>
            </w:r>
          </w:p>
        </w:tc>
        <w:tc>
          <w:tcPr>
            <w:tcW w:w="4907" w:type="dxa"/>
            <w:tcBorders>
              <w:top w:val="single" w:sz="4" w:space="0" w:color="BFBFBF" w:themeColor="background1" w:themeShade="BF"/>
              <w:bottom w:val="single" w:sz="4" w:space="0" w:color="BFBFBF" w:themeColor="background1" w:themeShade="BF"/>
            </w:tcBorders>
            <w:shd w:val="clear" w:color="auto" w:fill="auto"/>
          </w:tcPr>
          <w:p w14:paraId="734DECA8" w14:textId="77777777" w:rsidR="0074419F" w:rsidRPr="003847FA" w:rsidRDefault="0074419F" w:rsidP="00E84DA6">
            <w:pPr>
              <w:pStyle w:val="TableText"/>
              <w:tabs>
                <w:tab w:val="right" w:pos="826"/>
                <w:tab w:val="left" w:pos="1024"/>
              </w:tabs>
              <w:spacing w:before="0" w:after="0"/>
            </w:pPr>
            <w:r w:rsidRPr="003847FA">
              <w:t>March 2023</w:t>
            </w:r>
          </w:p>
        </w:tc>
      </w:tr>
      <w:tr w:rsidR="0074419F" w:rsidRPr="003847FA" w14:paraId="6C9DA5CB" w14:textId="77777777" w:rsidTr="0074419F">
        <w:tc>
          <w:tcPr>
            <w:tcW w:w="2421" w:type="dxa"/>
            <w:tcBorders>
              <w:top w:val="single" w:sz="4" w:space="0" w:color="BFBFBF" w:themeColor="background1" w:themeShade="BF"/>
              <w:bottom w:val="single" w:sz="4" w:space="0" w:color="BFBFBF" w:themeColor="background1" w:themeShade="BF"/>
            </w:tcBorders>
            <w:shd w:val="clear" w:color="auto" w:fill="auto"/>
            <w:tcMar>
              <w:top w:w="29" w:type="dxa"/>
              <w:left w:w="115" w:type="dxa"/>
              <w:bottom w:w="29" w:type="dxa"/>
              <w:right w:w="115" w:type="dxa"/>
            </w:tcMar>
            <w:hideMark/>
          </w:tcPr>
          <w:p w14:paraId="460994BF" w14:textId="77777777" w:rsidR="0074419F" w:rsidRPr="003847FA" w:rsidRDefault="0074419F" w:rsidP="00E84DA6">
            <w:pPr>
              <w:pStyle w:val="TableText"/>
              <w:spacing w:before="0" w:after="0"/>
            </w:pPr>
            <w:r w:rsidRPr="003847FA">
              <w:t xml:space="preserve">Grading </w:t>
            </w:r>
          </w:p>
        </w:tc>
        <w:tc>
          <w:tcPr>
            <w:tcW w:w="1701" w:type="dxa"/>
            <w:tcBorders>
              <w:top w:val="single" w:sz="4" w:space="0" w:color="BFBFBF" w:themeColor="background1" w:themeShade="BF"/>
              <w:bottom w:val="single" w:sz="4" w:space="0" w:color="BFBFBF" w:themeColor="background1" w:themeShade="BF"/>
            </w:tcBorders>
            <w:shd w:val="clear" w:color="auto" w:fill="auto"/>
            <w:tcMar>
              <w:top w:w="29" w:type="dxa"/>
              <w:left w:w="115" w:type="dxa"/>
              <w:bottom w:w="29" w:type="dxa"/>
              <w:right w:w="115" w:type="dxa"/>
            </w:tcMar>
            <w:hideMark/>
          </w:tcPr>
          <w:p w14:paraId="789C4ED5" w14:textId="77777777" w:rsidR="0074419F" w:rsidRPr="003847FA" w:rsidRDefault="0074419F" w:rsidP="00E84DA6">
            <w:pPr>
              <w:pStyle w:val="TableText"/>
              <w:tabs>
                <w:tab w:val="right" w:pos="826"/>
                <w:tab w:val="left" w:pos="1024"/>
              </w:tabs>
              <w:spacing w:before="0" w:after="0"/>
            </w:pPr>
            <w:r w:rsidRPr="003847FA">
              <w:t>March 2023</w:t>
            </w:r>
          </w:p>
        </w:tc>
        <w:tc>
          <w:tcPr>
            <w:tcW w:w="4907" w:type="dxa"/>
            <w:tcBorders>
              <w:top w:val="single" w:sz="4" w:space="0" w:color="BFBFBF" w:themeColor="background1" w:themeShade="BF"/>
              <w:bottom w:val="single" w:sz="4" w:space="0" w:color="BFBFBF" w:themeColor="background1" w:themeShade="BF"/>
            </w:tcBorders>
            <w:shd w:val="clear" w:color="auto" w:fill="auto"/>
          </w:tcPr>
          <w:p w14:paraId="1F892D5A" w14:textId="77777777" w:rsidR="0074419F" w:rsidRPr="003847FA" w:rsidRDefault="0074419F" w:rsidP="00E84DA6">
            <w:pPr>
              <w:pStyle w:val="TableText"/>
              <w:tabs>
                <w:tab w:val="right" w:pos="826"/>
                <w:tab w:val="left" w:pos="1024"/>
              </w:tabs>
              <w:spacing w:before="0" w:after="0"/>
            </w:pPr>
            <w:r w:rsidRPr="003847FA">
              <w:t>March 2023</w:t>
            </w:r>
          </w:p>
        </w:tc>
      </w:tr>
      <w:tr w:rsidR="0074419F" w:rsidRPr="003847FA" w14:paraId="6EA63E72" w14:textId="77777777" w:rsidTr="0074419F">
        <w:tc>
          <w:tcPr>
            <w:tcW w:w="2421" w:type="dxa"/>
            <w:tcBorders>
              <w:top w:val="single" w:sz="4" w:space="0" w:color="BFBFBF" w:themeColor="background1" w:themeShade="BF"/>
              <w:bottom w:val="single" w:sz="4" w:space="0" w:color="BFBFBF" w:themeColor="background1" w:themeShade="BF"/>
            </w:tcBorders>
            <w:shd w:val="clear" w:color="auto" w:fill="auto"/>
            <w:tcMar>
              <w:top w:w="29" w:type="dxa"/>
              <w:left w:w="115" w:type="dxa"/>
              <w:bottom w:w="29" w:type="dxa"/>
              <w:right w:w="115" w:type="dxa"/>
            </w:tcMar>
          </w:tcPr>
          <w:p w14:paraId="76EE3D40" w14:textId="77777777" w:rsidR="0074419F" w:rsidRPr="003847FA" w:rsidRDefault="0074419F" w:rsidP="00E84DA6">
            <w:pPr>
              <w:pStyle w:val="TableText"/>
              <w:spacing w:before="0" w:after="0"/>
            </w:pPr>
            <w:r w:rsidRPr="003847FA">
              <w:t>Building Construction</w:t>
            </w:r>
          </w:p>
        </w:tc>
        <w:tc>
          <w:tcPr>
            <w:tcW w:w="1701" w:type="dxa"/>
            <w:tcBorders>
              <w:top w:val="single" w:sz="4" w:space="0" w:color="BFBFBF" w:themeColor="background1" w:themeShade="BF"/>
              <w:bottom w:val="single" w:sz="4" w:space="0" w:color="BFBFBF" w:themeColor="background1" w:themeShade="BF"/>
            </w:tcBorders>
            <w:shd w:val="clear" w:color="auto" w:fill="auto"/>
            <w:tcMar>
              <w:top w:w="29" w:type="dxa"/>
              <w:left w:w="115" w:type="dxa"/>
              <w:bottom w:w="29" w:type="dxa"/>
              <w:right w:w="115" w:type="dxa"/>
            </w:tcMar>
          </w:tcPr>
          <w:p w14:paraId="2CB0BEA8" w14:textId="77777777" w:rsidR="0074419F" w:rsidRPr="003847FA" w:rsidRDefault="0074419F" w:rsidP="00E84DA6">
            <w:pPr>
              <w:pStyle w:val="TableText"/>
              <w:tabs>
                <w:tab w:val="right" w:pos="826"/>
                <w:tab w:val="left" w:pos="1024"/>
              </w:tabs>
              <w:spacing w:before="0" w:after="0"/>
            </w:pPr>
            <w:r w:rsidRPr="003847FA">
              <w:t>April 2023</w:t>
            </w:r>
          </w:p>
        </w:tc>
        <w:tc>
          <w:tcPr>
            <w:tcW w:w="4907" w:type="dxa"/>
            <w:tcBorders>
              <w:top w:val="single" w:sz="4" w:space="0" w:color="BFBFBF" w:themeColor="background1" w:themeShade="BF"/>
              <w:bottom w:val="single" w:sz="4" w:space="0" w:color="BFBFBF" w:themeColor="background1" w:themeShade="BF"/>
            </w:tcBorders>
            <w:shd w:val="clear" w:color="auto" w:fill="auto"/>
          </w:tcPr>
          <w:p w14:paraId="138EF6FF" w14:textId="77777777" w:rsidR="0074419F" w:rsidRPr="003847FA" w:rsidRDefault="0074419F" w:rsidP="00E84DA6">
            <w:pPr>
              <w:pStyle w:val="TableText"/>
              <w:tabs>
                <w:tab w:val="right" w:pos="826"/>
                <w:tab w:val="left" w:pos="1024"/>
              </w:tabs>
              <w:spacing w:before="0" w:after="0"/>
            </w:pPr>
            <w:r w:rsidRPr="003847FA">
              <w:t>April 2024</w:t>
            </w:r>
          </w:p>
        </w:tc>
      </w:tr>
      <w:tr w:rsidR="0074419F" w:rsidRPr="003847FA" w14:paraId="3E759C89" w14:textId="77777777" w:rsidTr="0074419F">
        <w:tc>
          <w:tcPr>
            <w:tcW w:w="2421" w:type="dxa"/>
            <w:tcBorders>
              <w:top w:val="single" w:sz="4" w:space="0" w:color="BFBFBF" w:themeColor="background1" w:themeShade="BF"/>
              <w:bottom w:val="single" w:sz="4" w:space="0" w:color="BFBFBF" w:themeColor="background1" w:themeShade="BF"/>
            </w:tcBorders>
            <w:shd w:val="clear" w:color="auto" w:fill="auto"/>
            <w:tcMar>
              <w:top w:w="29" w:type="dxa"/>
              <w:left w:w="115" w:type="dxa"/>
              <w:bottom w:w="29" w:type="dxa"/>
              <w:right w:w="115" w:type="dxa"/>
            </w:tcMar>
          </w:tcPr>
          <w:p w14:paraId="7AB682E3" w14:textId="4362522E" w:rsidR="0074419F" w:rsidRPr="003847FA" w:rsidRDefault="0074419F" w:rsidP="00E84DA6">
            <w:pPr>
              <w:pStyle w:val="TableText"/>
              <w:spacing w:before="0" w:after="0"/>
            </w:pPr>
            <w:r w:rsidRPr="003847FA">
              <w:t>Paving</w:t>
            </w:r>
            <w:r w:rsidR="00275B75">
              <w:t xml:space="preserve"> </w:t>
            </w:r>
          </w:p>
        </w:tc>
        <w:tc>
          <w:tcPr>
            <w:tcW w:w="1701" w:type="dxa"/>
            <w:tcBorders>
              <w:top w:val="single" w:sz="4" w:space="0" w:color="BFBFBF" w:themeColor="background1" w:themeShade="BF"/>
              <w:bottom w:val="single" w:sz="4" w:space="0" w:color="BFBFBF" w:themeColor="background1" w:themeShade="BF"/>
            </w:tcBorders>
            <w:shd w:val="clear" w:color="auto" w:fill="auto"/>
            <w:tcMar>
              <w:top w:w="29" w:type="dxa"/>
              <w:left w:w="115" w:type="dxa"/>
              <w:bottom w:w="29" w:type="dxa"/>
              <w:right w:w="115" w:type="dxa"/>
            </w:tcMar>
          </w:tcPr>
          <w:p w14:paraId="46C838D3" w14:textId="77777777" w:rsidR="0074419F" w:rsidRPr="003847FA" w:rsidRDefault="0074419F" w:rsidP="00E84DA6">
            <w:pPr>
              <w:pStyle w:val="TableText"/>
              <w:tabs>
                <w:tab w:val="right" w:pos="826"/>
                <w:tab w:val="left" w:pos="1024"/>
              </w:tabs>
              <w:spacing w:before="0" w:after="0"/>
            </w:pPr>
            <w:r w:rsidRPr="003847FA">
              <w:t>April 2024</w:t>
            </w:r>
          </w:p>
        </w:tc>
        <w:tc>
          <w:tcPr>
            <w:tcW w:w="4907" w:type="dxa"/>
            <w:tcBorders>
              <w:top w:val="single" w:sz="4" w:space="0" w:color="BFBFBF" w:themeColor="background1" w:themeShade="BF"/>
              <w:bottom w:val="single" w:sz="4" w:space="0" w:color="BFBFBF" w:themeColor="background1" w:themeShade="BF"/>
            </w:tcBorders>
            <w:shd w:val="clear" w:color="auto" w:fill="auto"/>
          </w:tcPr>
          <w:p w14:paraId="0A38C1F5" w14:textId="77777777" w:rsidR="0074419F" w:rsidRPr="003847FA" w:rsidRDefault="0074419F" w:rsidP="00E84DA6">
            <w:pPr>
              <w:pStyle w:val="TableText"/>
              <w:tabs>
                <w:tab w:val="right" w:pos="826"/>
                <w:tab w:val="left" w:pos="1024"/>
              </w:tabs>
              <w:spacing w:before="0" w:after="0"/>
            </w:pPr>
            <w:r w:rsidRPr="003847FA">
              <w:t>May 2024</w:t>
            </w:r>
          </w:p>
        </w:tc>
      </w:tr>
      <w:tr w:rsidR="0074419F" w:rsidRPr="003847FA" w14:paraId="6336CDCD" w14:textId="77777777" w:rsidTr="0074419F">
        <w:tc>
          <w:tcPr>
            <w:tcW w:w="2421" w:type="dxa"/>
            <w:tcBorders>
              <w:top w:val="single" w:sz="4" w:space="0" w:color="BFBFBF" w:themeColor="background1" w:themeShade="BF"/>
              <w:bottom w:val="single" w:sz="4" w:space="0" w:color="auto"/>
            </w:tcBorders>
            <w:shd w:val="clear" w:color="auto" w:fill="auto"/>
            <w:tcMar>
              <w:top w:w="29" w:type="dxa"/>
              <w:left w:w="115" w:type="dxa"/>
              <w:bottom w:w="29" w:type="dxa"/>
              <w:right w:w="115" w:type="dxa"/>
            </w:tcMar>
          </w:tcPr>
          <w:p w14:paraId="41030704" w14:textId="77777777" w:rsidR="0074419F" w:rsidRPr="003847FA" w:rsidRDefault="0074419F" w:rsidP="00E84DA6">
            <w:pPr>
              <w:pStyle w:val="TableText"/>
              <w:spacing w:before="0" w:after="0"/>
            </w:pPr>
            <w:r w:rsidRPr="003847FA">
              <w:t>Architectural Coating</w:t>
            </w:r>
          </w:p>
        </w:tc>
        <w:tc>
          <w:tcPr>
            <w:tcW w:w="1701" w:type="dxa"/>
            <w:tcBorders>
              <w:top w:val="single" w:sz="4" w:space="0" w:color="BFBFBF" w:themeColor="background1" w:themeShade="BF"/>
              <w:bottom w:val="single" w:sz="4" w:space="0" w:color="auto"/>
            </w:tcBorders>
            <w:shd w:val="clear" w:color="auto" w:fill="auto"/>
            <w:tcMar>
              <w:top w:w="29" w:type="dxa"/>
              <w:left w:w="115" w:type="dxa"/>
              <w:bottom w:w="29" w:type="dxa"/>
              <w:right w:w="115" w:type="dxa"/>
            </w:tcMar>
          </w:tcPr>
          <w:p w14:paraId="2C30F6BA" w14:textId="77777777" w:rsidR="0074419F" w:rsidRPr="003847FA" w:rsidRDefault="0074419F" w:rsidP="00E84DA6">
            <w:pPr>
              <w:pStyle w:val="TableText"/>
              <w:tabs>
                <w:tab w:val="right" w:pos="826"/>
                <w:tab w:val="left" w:pos="1024"/>
              </w:tabs>
              <w:spacing w:before="0" w:after="0"/>
            </w:pPr>
            <w:r w:rsidRPr="003847FA">
              <w:t>May 2024</w:t>
            </w:r>
          </w:p>
        </w:tc>
        <w:tc>
          <w:tcPr>
            <w:tcW w:w="4907" w:type="dxa"/>
            <w:tcBorders>
              <w:top w:val="single" w:sz="4" w:space="0" w:color="BFBFBF" w:themeColor="background1" w:themeShade="BF"/>
              <w:bottom w:val="single" w:sz="4" w:space="0" w:color="auto"/>
            </w:tcBorders>
            <w:shd w:val="clear" w:color="auto" w:fill="auto"/>
          </w:tcPr>
          <w:p w14:paraId="6D7601FA" w14:textId="77777777" w:rsidR="0074419F" w:rsidRPr="003847FA" w:rsidRDefault="0074419F" w:rsidP="00E84DA6">
            <w:pPr>
              <w:pStyle w:val="TableText"/>
              <w:tabs>
                <w:tab w:val="right" w:pos="826"/>
                <w:tab w:val="left" w:pos="1024"/>
              </w:tabs>
              <w:spacing w:before="0" w:after="0"/>
            </w:pPr>
            <w:r w:rsidRPr="003847FA">
              <w:t xml:space="preserve">January 2025 </w:t>
            </w:r>
          </w:p>
        </w:tc>
      </w:tr>
    </w:tbl>
    <w:p w14:paraId="48822696" w14:textId="77777777" w:rsidR="0074419F" w:rsidRPr="003847FA" w:rsidRDefault="0074419F" w:rsidP="00E84DA6">
      <w:pPr>
        <w:pStyle w:val="Heading2"/>
        <w:pageBreakBefore/>
        <w:numPr>
          <w:ilvl w:val="1"/>
          <w:numId w:val="90"/>
        </w:numPr>
      </w:pPr>
      <w:bookmarkStart w:id="101" w:name="_Toc84951024"/>
      <w:bookmarkStart w:id="102" w:name="_Toc112942420"/>
      <w:r w:rsidRPr="003847FA">
        <w:lastRenderedPageBreak/>
        <w:t>City of Mountain View Permits and Approvals Required</w:t>
      </w:r>
      <w:bookmarkEnd w:id="101"/>
      <w:bookmarkEnd w:id="102"/>
    </w:p>
    <w:p w14:paraId="440F1EA9" w14:textId="77777777" w:rsidR="0074419F" w:rsidRPr="003847FA" w:rsidRDefault="0074419F" w:rsidP="0074419F">
      <w:pPr>
        <w:pStyle w:val="BodyText"/>
      </w:pPr>
      <w:r w:rsidRPr="003847FA">
        <w:t>The following permits and approvals are required from the City of prior to project construction:</w:t>
      </w:r>
    </w:p>
    <w:p w14:paraId="13180EE4" w14:textId="77777777" w:rsidR="0074419F" w:rsidRPr="003847FA" w:rsidRDefault="0074419F" w:rsidP="00275B75">
      <w:pPr>
        <w:pStyle w:val="BulletListLevel1"/>
      </w:pPr>
      <w:r w:rsidRPr="003847FA">
        <w:t xml:space="preserve">Lot Line Adjustment </w:t>
      </w:r>
    </w:p>
    <w:p w14:paraId="1CFFFDF9" w14:textId="77777777" w:rsidR="0074419F" w:rsidRPr="00894853" w:rsidRDefault="0074419F" w:rsidP="00275B75">
      <w:pPr>
        <w:pStyle w:val="BulletListLevel1"/>
      </w:pPr>
      <w:r w:rsidRPr="00894853">
        <w:t>Development Review Permit</w:t>
      </w:r>
    </w:p>
    <w:p w14:paraId="23BEF554" w14:textId="77777777" w:rsidR="0074419F" w:rsidRPr="003847FA" w:rsidRDefault="0074419F" w:rsidP="00275B75">
      <w:pPr>
        <w:pStyle w:val="BulletListLevel1"/>
      </w:pPr>
      <w:r w:rsidRPr="003847FA">
        <w:t>Building Permit</w:t>
      </w:r>
    </w:p>
    <w:p w14:paraId="6FD65002" w14:textId="2416D6A7" w:rsidR="0074419F" w:rsidRDefault="0074419F" w:rsidP="00275B75">
      <w:pPr>
        <w:pStyle w:val="BulletListLevel1"/>
      </w:pPr>
      <w:r w:rsidRPr="00894853">
        <w:t>Heritage Tree Removal Permit</w:t>
      </w:r>
    </w:p>
    <w:p w14:paraId="0BC85B49" w14:textId="77777777" w:rsidR="0074419F" w:rsidRPr="003847FA" w:rsidRDefault="0074419F" w:rsidP="0074419F">
      <w:pPr>
        <w:pStyle w:val="Heading2"/>
        <w:numPr>
          <w:ilvl w:val="1"/>
          <w:numId w:val="90"/>
        </w:numPr>
      </w:pPr>
      <w:bookmarkStart w:id="103" w:name="_Toc84951025"/>
      <w:bookmarkStart w:id="104" w:name="_Toc112942421"/>
      <w:bookmarkStart w:id="105" w:name="_Toc449600110"/>
      <w:bookmarkStart w:id="106" w:name="_Toc453855759"/>
      <w:bookmarkStart w:id="107" w:name="_Toc475630617"/>
      <w:bookmarkStart w:id="108" w:name="_Toc475630706"/>
      <w:r w:rsidRPr="003847FA">
        <w:t>Other Public Agencies Whose Approval is Required</w:t>
      </w:r>
      <w:bookmarkEnd w:id="103"/>
      <w:bookmarkEnd w:id="104"/>
    </w:p>
    <w:p w14:paraId="2062AB0E" w14:textId="310F9EED" w:rsidR="0074419F" w:rsidRPr="003847FA" w:rsidRDefault="0074419F" w:rsidP="0074419F">
      <w:pPr>
        <w:pStyle w:val="BodyText"/>
      </w:pPr>
      <w:r>
        <w:t>The proposed project does not require the approval of any other public agency except for the City of Mountain View</w:t>
      </w:r>
      <w:r w:rsidR="00275B75">
        <w:t xml:space="preserve">. </w:t>
      </w:r>
    </w:p>
    <w:p w14:paraId="04490005" w14:textId="77777777" w:rsidR="0074419F" w:rsidRPr="003847FA" w:rsidRDefault="0074419F" w:rsidP="0074419F">
      <w:pPr>
        <w:pStyle w:val="Heading2"/>
        <w:numPr>
          <w:ilvl w:val="1"/>
          <w:numId w:val="90"/>
        </w:numPr>
      </w:pPr>
      <w:bookmarkStart w:id="109" w:name="_Toc84951026"/>
      <w:bookmarkStart w:id="110" w:name="_Toc112942422"/>
      <w:bookmarkEnd w:id="105"/>
      <w:bookmarkEnd w:id="106"/>
      <w:bookmarkEnd w:id="107"/>
      <w:bookmarkEnd w:id="108"/>
      <w:r w:rsidRPr="003847FA">
        <w:t>Have California Native American Tribes Traditionally and Culturally Affiliated with the Project Area Requested Consultation Pursuant to Public Resources Code Section 21080.3.1?</w:t>
      </w:r>
      <w:bookmarkEnd w:id="109"/>
      <w:bookmarkEnd w:id="110"/>
    </w:p>
    <w:p w14:paraId="7F9281AD" w14:textId="281F677D" w:rsidR="0074419F" w:rsidRDefault="0074419F" w:rsidP="0074419F">
      <w:pPr>
        <w:pStyle w:val="BodyText"/>
      </w:pPr>
      <w:r w:rsidRPr="003847FA">
        <w:t xml:space="preserve">On May 28, 2021, the City received a request from the Tamien Nation of the Greater Santa Clara County to be notified of proposed projects in the City, in accordance with Public Resource Code Section 21080.3.1. </w:t>
      </w:r>
      <w:r w:rsidR="0000073E">
        <w:t xml:space="preserve">On December 29, 2021, the Tamien Nation requested formal consultation pursuant to Public Resources Code Section 21080.3.1. </w:t>
      </w:r>
    </w:p>
    <w:bookmarkEnd w:id="90"/>
    <w:p w14:paraId="0FC730BF" w14:textId="77777777" w:rsidR="00104339" w:rsidRDefault="00104339" w:rsidP="00814C81">
      <w:pPr>
        <w:pStyle w:val="blank0"/>
        <w:jc w:val="left"/>
      </w:pPr>
    </w:p>
    <w:p w14:paraId="4FB3DCEB" w14:textId="58174537" w:rsidR="0074419F" w:rsidRPr="00275351" w:rsidRDefault="0074419F" w:rsidP="008C4CB4">
      <w:pPr>
        <w:pStyle w:val="blank0"/>
      </w:pPr>
      <w:r w:rsidRPr="00275351">
        <w:t>This page intentionally left blank.</w:t>
      </w:r>
    </w:p>
    <w:p w14:paraId="422EFABD" w14:textId="77777777" w:rsidR="0074419F" w:rsidRPr="0074419F" w:rsidRDefault="0074419F" w:rsidP="0074419F">
      <w:pPr>
        <w:pStyle w:val="Body"/>
        <w:rPr>
          <w:highlight w:val="lightGray"/>
        </w:rPr>
      </w:pPr>
    </w:p>
    <w:p w14:paraId="43EE0B08" w14:textId="77777777" w:rsidR="00074754" w:rsidRPr="002666BD" w:rsidRDefault="00074754" w:rsidP="00074754">
      <w:pPr>
        <w:pStyle w:val="Heading1"/>
        <w:numPr>
          <w:ilvl w:val="0"/>
          <w:numId w:val="0"/>
        </w:numPr>
        <w:pBdr>
          <w:bottom w:val="none" w:sz="0" w:space="0" w:color="auto"/>
        </w:pBdr>
        <w:spacing w:before="0" w:after="240"/>
        <w:ind w:left="576" w:hanging="576"/>
        <w:rPr>
          <w:b w:val="0"/>
          <w:sz w:val="32"/>
          <w:szCs w:val="32"/>
        </w:rPr>
      </w:pPr>
      <w:bookmarkStart w:id="111" w:name="_Toc83278205"/>
      <w:bookmarkStart w:id="112" w:name="_Toc112942423"/>
      <w:bookmarkStart w:id="113" w:name="_Toc453855762"/>
      <w:bookmarkEnd w:id="23"/>
      <w:bookmarkEnd w:id="24"/>
      <w:bookmarkEnd w:id="25"/>
      <w:bookmarkEnd w:id="26"/>
      <w:bookmarkEnd w:id="27"/>
      <w:bookmarkEnd w:id="28"/>
      <w:bookmarkEnd w:id="29"/>
      <w:bookmarkEnd w:id="30"/>
      <w:r w:rsidRPr="002666BD">
        <w:rPr>
          <w:b w:val="0"/>
          <w:sz w:val="32"/>
          <w:szCs w:val="32"/>
        </w:rPr>
        <w:lastRenderedPageBreak/>
        <w:t>Environmental Factors Potentially Affected</w:t>
      </w:r>
      <w:bookmarkEnd w:id="111"/>
      <w:bookmarkEnd w:id="112"/>
    </w:p>
    <w:p w14:paraId="1E2A06A7" w14:textId="77777777" w:rsidR="00074754" w:rsidRPr="00CA7D2A" w:rsidRDefault="00074754" w:rsidP="00074754">
      <w:pPr>
        <w:pStyle w:val="BodyText"/>
      </w:pPr>
      <w:r w:rsidRPr="00CA7D2A">
        <w:t>This project would potentially affect the environmental factors checked below, involving at least one impact that is “Potentially Significant” or “</w:t>
      </w:r>
      <w:r w:rsidRPr="00F245B7">
        <w:t>Less than Significant with Mitigation Incorporated</w:t>
      </w:r>
      <w:r w:rsidRPr="00CA7D2A">
        <w:t>” as indicated by the checklist on the following pages.</w:t>
      </w:r>
    </w:p>
    <w:tbl>
      <w:tblPr>
        <w:tblW w:w="9029" w:type="dxa"/>
        <w:tblInd w:w="-86" w:type="dxa"/>
        <w:shd w:val="clear" w:color="auto" w:fill="FFFFFF"/>
        <w:tblLook w:val="04A0" w:firstRow="1" w:lastRow="0" w:firstColumn="1" w:lastColumn="0" w:noHBand="0" w:noVBand="1"/>
      </w:tblPr>
      <w:tblGrid>
        <w:gridCol w:w="557"/>
        <w:gridCol w:w="2598"/>
        <w:gridCol w:w="494"/>
        <w:gridCol w:w="2290"/>
        <w:gridCol w:w="494"/>
        <w:gridCol w:w="2596"/>
      </w:tblGrid>
      <w:tr w:rsidR="000A48E4" w:rsidRPr="00CA7D2A" w14:paraId="5359264D" w14:textId="77777777" w:rsidTr="00275B75">
        <w:trPr>
          <w:trHeight w:val="547"/>
        </w:trPr>
        <w:tc>
          <w:tcPr>
            <w:tcW w:w="540" w:type="dxa"/>
            <w:shd w:val="clear" w:color="auto" w:fill="FFFFFF"/>
          </w:tcPr>
          <w:p w14:paraId="4D4DF8DA" w14:textId="6FDA97D8" w:rsidR="000A48E4" w:rsidRPr="008D047C" w:rsidRDefault="000A48E4" w:rsidP="000A48E4">
            <w:pPr>
              <w:pStyle w:val="BodyText"/>
              <w:spacing w:before="0" w:after="80"/>
              <w:rPr>
                <w:sz w:val="28"/>
                <w:szCs w:val="28"/>
              </w:rPr>
            </w:pPr>
            <w:r>
              <w:rPr>
                <w:rFonts w:ascii="Times New Roman" w:hAnsi="Times New Roman"/>
                <w:sz w:val="28"/>
                <w:szCs w:val="28"/>
              </w:rPr>
              <w:t>□</w:t>
            </w:r>
          </w:p>
        </w:tc>
        <w:tc>
          <w:tcPr>
            <w:tcW w:w="2520" w:type="dxa"/>
            <w:shd w:val="clear" w:color="auto" w:fill="FFFFFF"/>
            <w:hideMark/>
          </w:tcPr>
          <w:p w14:paraId="4350A846" w14:textId="77777777" w:rsidR="000A48E4" w:rsidRPr="00F504F7" w:rsidRDefault="000A48E4" w:rsidP="000A48E4">
            <w:pPr>
              <w:pStyle w:val="BodyText"/>
              <w:spacing w:before="60" w:after="80"/>
            </w:pPr>
            <w:r w:rsidRPr="00F504F7">
              <w:t>Aesthetics</w:t>
            </w:r>
          </w:p>
        </w:tc>
        <w:tc>
          <w:tcPr>
            <w:tcW w:w="479" w:type="dxa"/>
            <w:shd w:val="clear" w:color="auto" w:fill="FFFFFF"/>
          </w:tcPr>
          <w:p w14:paraId="0854608C" w14:textId="5F5FA290" w:rsidR="000A48E4" w:rsidRPr="008D047C" w:rsidRDefault="000A48E4" w:rsidP="000A48E4">
            <w:pPr>
              <w:pStyle w:val="BodyText"/>
              <w:spacing w:before="0" w:after="80"/>
              <w:rPr>
                <w:sz w:val="28"/>
                <w:szCs w:val="28"/>
              </w:rPr>
            </w:pPr>
            <w:r w:rsidRPr="008D047C">
              <w:rPr>
                <w:sz w:val="28"/>
                <w:szCs w:val="28"/>
              </w:rPr>
              <w:t>□</w:t>
            </w:r>
          </w:p>
        </w:tc>
        <w:tc>
          <w:tcPr>
            <w:tcW w:w="2221" w:type="dxa"/>
            <w:shd w:val="clear" w:color="auto" w:fill="FFFFFF"/>
            <w:hideMark/>
          </w:tcPr>
          <w:p w14:paraId="2808898B" w14:textId="77777777" w:rsidR="000A48E4" w:rsidRPr="00F504F7" w:rsidRDefault="000A48E4" w:rsidP="000A48E4">
            <w:pPr>
              <w:pStyle w:val="BodyText"/>
              <w:spacing w:before="60" w:after="80"/>
            </w:pPr>
            <w:r w:rsidRPr="00F504F7">
              <w:t>Agriculture and Forest</w:t>
            </w:r>
            <w:r>
              <w:t>ry</w:t>
            </w:r>
            <w:r w:rsidRPr="00F504F7">
              <w:t xml:space="preserve"> Resources</w:t>
            </w:r>
          </w:p>
        </w:tc>
        <w:tc>
          <w:tcPr>
            <w:tcW w:w="479" w:type="dxa"/>
            <w:shd w:val="clear" w:color="auto" w:fill="FFFFFF"/>
          </w:tcPr>
          <w:p w14:paraId="6A915330" w14:textId="700408B7" w:rsidR="000A48E4" w:rsidRPr="008D047C" w:rsidRDefault="00EC2E40" w:rsidP="000A48E4">
            <w:pPr>
              <w:pStyle w:val="BodyText"/>
              <w:spacing w:before="0" w:after="80"/>
              <w:rPr>
                <w:sz w:val="28"/>
                <w:szCs w:val="28"/>
              </w:rPr>
            </w:pPr>
            <w:r w:rsidRPr="008D047C">
              <w:rPr>
                <w:sz w:val="28"/>
                <w:szCs w:val="28"/>
              </w:rPr>
              <w:t>□</w:t>
            </w:r>
          </w:p>
        </w:tc>
        <w:tc>
          <w:tcPr>
            <w:tcW w:w="2518" w:type="dxa"/>
            <w:shd w:val="clear" w:color="auto" w:fill="FFFFFF"/>
            <w:hideMark/>
          </w:tcPr>
          <w:p w14:paraId="64315365" w14:textId="77777777" w:rsidR="000A48E4" w:rsidRPr="00F504F7" w:rsidRDefault="000A48E4" w:rsidP="000A48E4">
            <w:pPr>
              <w:pStyle w:val="BodyText"/>
              <w:spacing w:before="60" w:after="80"/>
            </w:pPr>
            <w:r w:rsidRPr="00F504F7">
              <w:t>Air Quality</w:t>
            </w:r>
          </w:p>
        </w:tc>
      </w:tr>
      <w:tr w:rsidR="000A48E4" w:rsidRPr="00CA7D2A" w14:paraId="177DED97" w14:textId="77777777" w:rsidTr="00275B75">
        <w:trPr>
          <w:trHeight w:val="547"/>
        </w:trPr>
        <w:tc>
          <w:tcPr>
            <w:tcW w:w="540" w:type="dxa"/>
            <w:shd w:val="clear" w:color="auto" w:fill="FFFFFF"/>
          </w:tcPr>
          <w:p w14:paraId="1E1F454C" w14:textId="65CF4193" w:rsidR="000A48E4" w:rsidRPr="008D047C" w:rsidRDefault="00EC2E40" w:rsidP="000A48E4">
            <w:pPr>
              <w:pStyle w:val="BodyText"/>
              <w:spacing w:before="0" w:after="80"/>
              <w:rPr>
                <w:sz w:val="28"/>
                <w:szCs w:val="28"/>
              </w:rPr>
            </w:pPr>
            <w:r w:rsidRPr="008D047C">
              <w:rPr>
                <w:sz w:val="28"/>
                <w:szCs w:val="28"/>
              </w:rPr>
              <w:t>□</w:t>
            </w:r>
          </w:p>
        </w:tc>
        <w:tc>
          <w:tcPr>
            <w:tcW w:w="2520" w:type="dxa"/>
            <w:shd w:val="clear" w:color="auto" w:fill="FFFFFF"/>
            <w:hideMark/>
          </w:tcPr>
          <w:p w14:paraId="30B2289C" w14:textId="77777777" w:rsidR="000A48E4" w:rsidRPr="00F504F7" w:rsidRDefault="000A48E4" w:rsidP="000A48E4">
            <w:pPr>
              <w:pStyle w:val="BodyText"/>
              <w:spacing w:before="60" w:after="80"/>
            </w:pPr>
            <w:r w:rsidRPr="00F504F7">
              <w:t>Biological Resources</w:t>
            </w:r>
          </w:p>
        </w:tc>
        <w:tc>
          <w:tcPr>
            <w:tcW w:w="479" w:type="dxa"/>
            <w:shd w:val="clear" w:color="auto" w:fill="FFFFFF"/>
          </w:tcPr>
          <w:p w14:paraId="3DCCC4C2" w14:textId="5B139039" w:rsidR="000A48E4" w:rsidRPr="008D047C" w:rsidRDefault="00EC2E40" w:rsidP="000A48E4">
            <w:pPr>
              <w:pStyle w:val="BodyText"/>
              <w:spacing w:before="0" w:after="80"/>
              <w:rPr>
                <w:sz w:val="28"/>
                <w:szCs w:val="28"/>
              </w:rPr>
            </w:pPr>
            <w:r w:rsidRPr="008D047C">
              <w:rPr>
                <w:sz w:val="28"/>
                <w:szCs w:val="28"/>
              </w:rPr>
              <w:t>□</w:t>
            </w:r>
          </w:p>
        </w:tc>
        <w:tc>
          <w:tcPr>
            <w:tcW w:w="2221" w:type="dxa"/>
            <w:shd w:val="clear" w:color="auto" w:fill="FFFFFF"/>
            <w:hideMark/>
          </w:tcPr>
          <w:p w14:paraId="73A52961" w14:textId="77777777" w:rsidR="000A48E4" w:rsidRPr="00F504F7" w:rsidRDefault="000A48E4" w:rsidP="000A48E4">
            <w:pPr>
              <w:pStyle w:val="BodyText"/>
              <w:spacing w:before="60" w:after="80"/>
            </w:pPr>
            <w:r w:rsidRPr="00F504F7">
              <w:t>Cultural Resources</w:t>
            </w:r>
          </w:p>
        </w:tc>
        <w:tc>
          <w:tcPr>
            <w:tcW w:w="479" w:type="dxa"/>
            <w:shd w:val="clear" w:color="auto" w:fill="FFFFFF"/>
          </w:tcPr>
          <w:p w14:paraId="22316574" w14:textId="56067F1B" w:rsidR="000A48E4" w:rsidRPr="008D047C" w:rsidRDefault="000A48E4" w:rsidP="000A48E4">
            <w:pPr>
              <w:pStyle w:val="BodyText"/>
              <w:spacing w:before="0" w:after="80"/>
              <w:rPr>
                <w:sz w:val="28"/>
                <w:szCs w:val="28"/>
              </w:rPr>
            </w:pPr>
            <w:r w:rsidRPr="008D047C">
              <w:rPr>
                <w:sz w:val="28"/>
                <w:szCs w:val="28"/>
              </w:rPr>
              <w:t>□</w:t>
            </w:r>
          </w:p>
        </w:tc>
        <w:tc>
          <w:tcPr>
            <w:tcW w:w="2518" w:type="dxa"/>
            <w:shd w:val="clear" w:color="auto" w:fill="FFFFFF"/>
          </w:tcPr>
          <w:p w14:paraId="5C0DC651" w14:textId="77777777" w:rsidR="000A48E4" w:rsidRPr="00F504F7" w:rsidRDefault="000A48E4" w:rsidP="000A48E4">
            <w:pPr>
              <w:pStyle w:val="BodyText"/>
              <w:spacing w:before="60" w:after="80"/>
            </w:pPr>
            <w:r>
              <w:t>Energy</w:t>
            </w:r>
          </w:p>
        </w:tc>
      </w:tr>
      <w:tr w:rsidR="00074754" w:rsidRPr="00CA7D2A" w14:paraId="4310B6CE" w14:textId="77777777" w:rsidTr="00275B75">
        <w:trPr>
          <w:trHeight w:val="547"/>
        </w:trPr>
        <w:tc>
          <w:tcPr>
            <w:tcW w:w="540" w:type="dxa"/>
            <w:shd w:val="clear" w:color="auto" w:fill="FFFFFF"/>
          </w:tcPr>
          <w:p w14:paraId="55107D5D" w14:textId="78BD3157" w:rsidR="00074754" w:rsidRPr="008D047C" w:rsidRDefault="00074754" w:rsidP="00964C58">
            <w:pPr>
              <w:pStyle w:val="BodyText"/>
              <w:spacing w:before="0" w:after="80"/>
              <w:rPr>
                <w:sz w:val="28"/>
                <w:szCs w:val="28"/>
              </w:rPr>
            </w:pPr>
            <w:r w:rsidRPr="008D047C">
              <w:rPr>
                <w:sz w:val="28"/>
                <w:szCs w:val="28"/>
              </w:rPr>
              <w:t>□</w:t>
            </w:r>
          </w:p>
        </w:tc>
        <w:tc>
          <w:tcPr>
            <w:tcW w:w="2520" w:type="dxa"/>
            <w:shd w:val="clear" w:color="auto" w:fill="FFFFFF"/>
          </w:tcPr>
          <w:p w14:paraId="74A64BDF" w14:textId="77777777" w:rsidR="00074754" w:rsidRPr="00F504F7" w:rsidRDefault="00074754" w:rsidP="00964C58">
            <w:pPr>
              <w:pStyle w:val="BodyText"/>
              <w:spacing w:before="60" w:after="80"/>
            </w:pPr>
            <w:r>
              <w:t>Geology/Soils</w:t>
            </w:r>
          </w:p>
        </w:tc>
        <w:tc>
          <w:tcPr>
            <w:tcW w:w="479" w:type="dxa"/>
            <w:shd w:val="clear" w:color="auto" w:fill="FFFFFF"/>
          </w:tcPr>
          <w:p w14:paraId="2AB9AA37" w14:textId="2944DEBE" w:rsidR="00074754" w:rsidRPr="008D047C" w:rsidRDefault="00074754" w:rsidP="00964C58">
            <w:pPr>
              <w:pStyle w:val="BodyText"/>
              <w:spacing w:before="0" w:after="80"/>
              <w:rPr>
                <w:sz w:val="28"/>
                <w:szCs w:val="28"/>
              </w:rPr>
            </w:pPr>
            <w:r w:rsidRPr="008D047C">
              <w:rPr>
                <w:sz w:val="28"/>
                <w:szCs w:val="28"/>
              </w:rPr>
              <w:t>□</w:t>
            </w:r>
          </w:p>
        </w:tc>
        <w:tc>
          <w:tcPr>
            <w:tcW w:w="2221" w:type="dxa"/>
            <w:shd w:val="clear" w:color="auto" w:fill="FFFFFF"/>
          </w:tcPr>
          <w:p w14:paraId="2FC3D1BB" w14:textId="77777777" w:rsidR="00074754" w:rsidRPr="00F504F7" w:rsidRDefault="00074754" w:rsidP="00964C58">
            <w:pPr>
              <w:pStyle w:val="BodyText"/>
              <w:spacing w:before="60" w:after="80"/>
            </w:pPr>
            <w:r w:rsidRPr="00F504F7">
              <w:t>Greenhouse Gas Emissions</w:t>
            </w:r>
          </w:p>
        </w:tc>
        <w:tc>
          <w:tcPr>
            <w:tcW w:w="479" w:type="dxa"/>
            <w:shd w:val="clear" w:color="auto" w:fill="FFFFFF"/>
          </w:tcPr>
          <w:p w14:paraId="0651ACEF" w14:textId="25F12CB9" w:rsidR="00074754" w:rsidRPr="008D047C" w:rsidRDefault="00074754" w:rsidP="00964C58">
            <w:pPr>
              <w:pStyle w:val="BodyText"/>
              <w:spacing w:before="0" w:after="80"/>
              <w:rPr>
                <w:sz w:val="28"/>
                <w:szCs w:val="28"/>
              </w:rPr>
            </w:pPr>
            <w:r w:rsidRPr="008D047C">
              <w:rPr>
                <w:sz w:val="28"/>
                <w:szCs w:val="28"/>
              </w:rPr>
              <w:t>□</w:t>
            </w:r>
          </w:p>
        </w:tc>
        <w:tc>
          <w:tcPr>
            <w:tcW w:w="2518" w:type="dxa"/>
            <w:shd w:val="clear" w:color="auto" w:fill="FFFFFF"/>
          </w:tcPr>
          <w:p w14:paraId="0663F092" w14:textId="37B003FA" w:rsidR="00074754" w:rsidRPr="00F504F7" w:rsidRDefault="00074754" w:rsidP="00964C58">
            <w:pPr>
              <w:pStyle w:val="BodyText"/>
              <w:spacing w:before="60" w:after="80"/>
            </w:pPr>
            <w:r w:rsidRPr="00F504F7">
              <w:t xml:space="preserve">Hazards </w:t>
            </w:r>
            <w:r w:rsidR="00275B75">
              <w:t>and</w:t>
            </w:r>
            <w:r w:rsidRPr="00F504F7">
              <w:t xml:space="preserve"> Hazardous Materials</w:t>
            </w:r>
          </w:p>
        </w:tc>
      </w:tr>
      <w:tr w:rsidR="00074754" w:rsidRPr="00CA7D2A" w14:paraId="52021A0B" w14:textId="77777777" w:rsidTr="00275B75">
        <w:trPr>
          <w:trHeight w:val="547"/>
        </w:trPr>
        <w:tc>
          <w:tcPr>
            <w:tcW w:w="540" w:type="dxa"/>
            <w:shd w:val="clear" w:color="auto" w:fill="FFFFFF"/>
          </w:tcPr>
          <w:p w14:paraId="7341C54A" w14:textId="3E981FBC" w:rsidR="00074754" w:rsidRPr="008D047C" w:rsidRDefault="00074754" w:rsidP="00964C58">
            <w:pPr>
              <w:pStyle w:val="BodyText"/>
              <w:spacing w:before="0" w:after="80"/>
              <w:rPr>
                <w:sz w:val="28"/>
                <w:szCs w:val="28"/>
              </w:rPr>
            </w:pPr>
            <w:r w:rsidRPr="008D047C">
              <w:rPr>
                <w:sz w:val="28"/>
                <w:szCs w:val="28"/>
              </w:rPr>
              <w:t>□</w:t>
            </w:r>
          </w:p>
        </w:tc>
        <w:tc>
          <w:tcPr>
            <w:tcW w:w="2520" w:type="dxa"/>
            <w:shd w:val="clear" w:color="auto" w:fill="FFFFFF"/>
          </w:tcPr>
          <w:p w14:paraId="3D3A9A86" w14:textId="77777777" w:rsidR="00074754" w:rsidRPr="00F504F7" w:rsidRDefault="00074754" w:rsidP="00964C58">
            <w:pPr>
              <w:pStyle w:val="BodyText"/>
              <w:spacing w:before="60" w:after="80"/>
            </w:pPr>
            <w:r w:rsidRPr="00F504F7">
              <w:t>Hydrology</w:t>
            </w:r>
            <w:r>
              <w:t>/</w:t>
            </w:r>
            <w:r w:rsidRPr="00F504F7">
              <w:t>Water Quality</w:t>
            </w:r>
          </w:p>
        </w:tc>
        <w:tc>
          <w:tcPr>
            <w:tcW w:w="479" w:type="dxa"/>
            <w:shd w:val="clear" w:color="auto" w:fill="FFFFFF"/>
          </w:tcPr>
          <w:p w14:paraId="0C46DD3A" w14:textId="647FE684" w:rsidR="00074754" w:rsidRPr="008D047C" w:rsidRDefault="00074754" w:rsidP="00964C58">
            <w:pPr>
              <w:pStyle w:val="BodyText"/>
              <w:spacing w:before="0" w:after="80"/>
              <w:rPr>
                <w:sz w:val="28"/>
                <w:szCs w:val="28"/>
              </w:rPr>
            </w:pPr>
            <w:r w:rsidRPr="008D047C">
              <w:rPr>
                <w:sz w:val="28"/>
                <w:szCs w:val="28"/>
              </w:rPr>
              <w:t>□</w:t>
            </w:r>
          </w:p>
        </w:tc>
        <w:tc>
          <w:tcPr>
            <w:tcW w:w="2221" w:type="dxa"/>
            <w:shd w:val="clear" w:color="auto" w:fill="FFFFFF"/>
          </w:tcPr>
          <w:p w14:paraId="15A1A5AE" w14:textId="77777777" w:rsidR="00074754" w:rsidRPr="00F504F7" w:rsidRDefault="00074754" w:rsidP="00964C58">
            <w:pPr>
              <w:pStyle w:val="BodyText"/>
              <w:spacing w:before="60" w:after="80"/>
            </w:pPr>
            <w:r w:rsidRPr="00F504F7">
              <w:t>Land Use</w:t>
            </w:r>
            <w:r>
              <w:t>/</w:t>
            </w:r>
            <w:r w:rsidRPr="00F504F7">
              <w:t>Planning</w:t>
            </w:r>
          </w:p>
        </w:tc>
        <w:tc>
          <w:tcPr>
            <w:tcW w:w="479" w:type="dxa"/>
            <w:shd w:val="clear" w:color="auto" w:fill="FFFFFF"/>
          </w:tcPr>
          <w:p w14:paraId="755DD31C" w14:textId="0AB97DB0" w:rsidR="00074754" w:rsidRPr="008D047C" w:rsidRDefault="00074754" w:rsidP="00964C58">
            <w:pPr>
              <w:pStyle w:val="BodyText"/>
              <w:spacing w:before="0" w:after="80"/>
              <w:rPr>
                <w:sz w:val="28"/>
                <w:szCs w:val="28"/>
              </w:rPr>
            </w:pPr>
            <w:r w:rsidRPr="008D047C">
              <w:rPr>
                <w:sz w:val="28"/>
                <w:szCs w:val="28"/>
              </w:rPr>
              <w:t>□</w:t>
            </w:r>
          </w:p>
        </w:tc>
        <w:tc>
          <w:tcPr>
            <w:tcW w:w="2518" w:type="dxa"/>
            <w:shd w:val="clear" w:color="auto" w:fill="FFFFFF"/>
          </w:tcPr>
          <w:p w14:paraId="2B78BD47" w14:textId="77777777" w:rsidR="00074754" w:rsidRPr="00F504F7" w:rsidRDefault="00074754" w:rsidP="00964C58">
            <w:pPr>
              <w:pStyle w:val="BodyText"/>
              <w:spacing w:before="60" w:after="80"/>
            </w:pPr>
            <w:r w:rsidRPr="00F504F7">
              <w:t>Mineral Resources</w:t>
            </w:r>
          </w:p>
        </w:tc>
      </w:tr>
      <w:tr w:rsidR="00074754" w:rsidRPr="00CA7D2A" w14:paraId="3EC59B5B" w14:textId="77777777" w:rsidTr="00275B75">
        <w:trPr>
          <w:trHeight w:val="547"/>
        </w:trPr>
        <w:tc>
          <w:tcPr>
            <w:tcW w:w="540" w:type="dxa"/>
            <w:shd w:val="clear" w:color="auto" w:fill="FFFFFF"/>
          </w:tcPr>
          <w:p w14:paraId="35ADFC40" w14:textId="057338CD" w:rsidR="00074754" w:rsidRPr="008D047C" w:rsidRDefault="00074754" w:rsidP="00964C58">
            <w:pPr>
              <w:pStyle w:val="BodyText"/>
              <w:spacing w:before="0" w:after="80"/>
              <w:rPr>
                <w:sz w:val="28"/>
                <w:szCs w:val="28"/>
              </w:rPr>
            </w:pPr>
            <w:r w:rsidRPr="008D047C">
              <w:rPr>
                <w:sz w:val="28"/>
                <w:szCs w:val="28"/>
              </w:rPr>
              <w:t>□</w:t>
            </w:r>
          </w:p>
        </w:tc>
        <w:tc>
          <w:tcPr>
            <w:tcW w:w="2520" w:type="dxa"/>
            <w:shd w:val="clear" w:color="auto" w:fill="FFFFFF"/>
          </w:tcPr>
          <w:p w14:paraId="6EB2FE6F" w14:textId="77777777" w:rsidR="00074754" w:rsidRPr="00F504F7" w:rsidRDefault="00074754" w:rsidP="00964C58">
            <w:pPr>
              <w:pStyle w:val="BodyText"/>
              <w:spacing w:before="60" w:after="80"/>
            </w:pPr>
            <w:r w:rsidRPr="00F504F7">
              <w:t>Noise</w:t>
            </w:r>
          </w:p>
        </w:tc>
        <w:tc>
          <w:tcPr>
            <w:tcW w:w="479" w:type="dxa"/>
            <w:shd w:val="clear" w:color="auto" w:fill="FFFFFF"/>
          </w:tcPr>
          <w:p w14:paraId="63D7EAB3" w14:textId="0E749BCE" w:rsidR="00074754" w:rsidRPr="008D047C" w:rsidRDefault="00074754" w:rsidP="00964C58">
            <w:pPr>
              <w:pStyle w:val="BodyText"/>
              <w:spacing w:before="0" w:after="80"/>
              <w:rPr>
                <w:sz w:val="28"/>
                <w:szCs w:val="28"/>
              </w:rPr>
            </w:pPr>
            <w:r w:rsidRPr="008D047C">
              <w:rPr>
                <w:sz w:val="28"/>
                <w:szCs w:val="28"/>
              </w:rPr>
              <w:t>□</w:t>
            </w:r>
          </w:p>
        </w:tc>
        <w:tc>
          <w:tcPr>
            <w:tcW w:w="2221" w:type="dxa"/>
            <w:shd w:val="clear" w:color="auto" w:fill="FFFFFF"/>
          </w:tcPr>
          <w:p w14:paraId="6D53B0F6" w14:textId="77777777" w:rsidR="00074754" w:rsidRPr="00F504F7" w:rsidRDefault="00074754" w:rsidP="00964C58">
            <w:pPr>
              <w:pStyle w:val="BodyText"/>
              <w:spacing w:before="60" w:after="80"/>
            </w:pPr>
            <w:r w:rsidRPr="00F504F7">
              <w:t>Population</w:t>
            </w:r>
            <w:r>
              <w:t>/</w:t>
            </w:r>
            <w:r w:rsidRPr="00F504F7">
              <w:t>Housing</w:t>
            </w:r>
          </w:p>
        </w:tc>
        <w:tc>
          <w:tcPr>
            <w:tcW w:w="479" w:type="dxa"/>
            <w:shd w:val="clear" w:color="auto" w:fill="FFFFFF"/>
          </w:tcPr>
          <w:p w14:paraId="3EB8C8B3" w14:textId="6F277F17" w:rsidR="00074754" w:rsidRPr="008D047C" w:rsidRDefault="00074754" w:rsidP="00964C58">
            <w:pPr>
              <w:pStyle w:val="BodyText"/>
              <w:spacing w:before="0" w:after="80"/>
              <w:rPr>
                <w:sz w:val="28"/>
                <w:szCs w:val="28"/>
              </w:rPr>
            </w:pPr>
            <w:r w:rsidRPr="008D047C">
              <w:rPr>
                <w:sz w:val="28"/>
                <w:szCs w:val="28"/>
              </w:rPr>
              <w:t>□</w:t>
            </w:r>
          </w:p>
        </w:tc>
        <w:tc>
          <w:tcPr>
            <w:tcW w:w="2518" w:type="dxa"/>
            <w:shd w:val="clear" w:color="auto" w:fill="FFFFFF"/>
          </w:tcPr>
          <w:p w14:paraId="51F85444" w14:textId="77777777" w:rsidR="00074754" w:rsidRPr="00F504F7" w:rsidRDefault="00074754" w:rsidP="00964C58">
            <w:pPr>
              <w:pStyle w:val="BodyText"/>
              <w:spacing w:before="60" w:after="80"/>
            </w:pPr>
            <w:r w:rsidRPr="00F504F7">
              <w:t>Public Services</w:t>
            </w:r>
          </w:p>
        </w:tc>
      </w:tr>
      <w:tr w:rsidR="000A48E4" w:rsidRPr="00CA7D2A" w14:paraId="231A45A9" w14:textId="77777777" w:rsidTr="00275B75">
        <w:trPr>
          <w:trHeight w:val="648"/>
        </w:trPr>
        <w:tc>
          <w:tcPr>
            <w:tcW w:w="540" w:type="dxa"/>
            <w:shd w:val="clear" w:color="auto" w:fill="FFFFFF"/>
          </w:tcPr>
          <w:p w14:paraId="3DE5C60E" w14:textId="6C304586" w:rsidR="000A48E4" w:rsidRPr="008D047C" w:rsidRDefault="000A48E4" w:rsidP="000A48E4">
            <w:pPr>
              <w:pStyle w:val="BodyText"/>
              <w:spacing w:before="0" w:after="80"/>
              <w:rPr>
                <w:sz w:val="28"/>
                <w:szCs w:val="28"/>
              </w:rPr>
            </w:pPr>
            <w:r w:rsidRPr="008D047C">
              <w:rPr>
                <w:sz w:val="28"/>
                <w:szCs w:val="28"/>
              </w:rPr>
              <w:t>□</w:t>
            </w:r>
          </w:p>
        </w:tc>
        <w:tc>
          <w:tcPr>
            <w:tcW w:w="2520" w:type="dxa"/>
            <w:shd w:val="clear" w:color="auto" w:fill="FFFFFF"/>
          </w:tcPr>
          <w:p w14:paraId="32EBD251" w14:textId="77777777" w:rsidR="000A48E4" w:rsidRPr="00F504F7" w:rsidRDefault="000A48E4" w:rsidP="000A48E4">
            <w:pPr>
              <w:pStyle w:val="BodyText"/>
              <w:spacing w:before="60" w:after="80"/>
            </w:pPr>
            <w:r w:rsidRPr="00F504F7">
              <w:t>Recreation</w:t>
            </w:r>
          </w:p>
        </w:tc>
        <w:tc>
          <w:tcPr>
            <w:tcW w:w="479" w:type="dxa"/>
            <w:shd w:val="clear" w:color="auto" w:fill="FFFFFF"/>
          </w:tcPr>
          <w:p w14:paraId="1BF02EFE" w14:textId="32DF1087" w:rsidR="000A48E4" w:rsidRPr="008D047C" w:rsidRDefault="000A48E4" w:rsidP="000A48E4">
            <w:pPr>
              <w:pStyle w:val="BodyText"/>
              <w:spacing w:before="0" w:after="80"/>
              <w:rPr>
                <w:sz w:val="28"/>
                <w:szCs w:val="28"/>
              </w:rPr>
            </w:pPr>
            <w:r w:rsidRPr="008D047C">
              <w:rPr>
                <w:sz w:val="28"/>
                <w:szCs w:val="28"/>
              </w:rPr>
              <w:t>□</w:t>
            </w:r>
          </w:p>
        </w:tc>
        <w:tc>
          <w:tcPr>
            <w:tcW w:w="2221" w:type="dxa"/>
            <w:shd w:val="clear" w:color="auto" w:fill="FFFFFF"/>
          </w:tcPr>
          <w:p w14:paraId="68477746" w14:textId="77777777" w:rsidR="000A48E4" w:rsidRPr="00F504F7" w:rsidRDefault="000A48E4" w:rsidP="000A48E4">
            <w:pPr>
              <w:pStyle w:val="BodyText"/>
              <w:spacing w:before="60" w:after="80"/>
            </w:pPr>
            <w:r w:rsidRPr="00F504F7">
              <w:t>Transportation</w:t>
            </w:r>
          </w:p>
        </w:tc>
        <w:tc>
          <w:tcPr>
            <w:tcW w:w="479" w:type="dxa"/>
            <w:shd w:val="clear" w:color="auto" w:fill="FFFFFF"/>
          </w:tcPr>
          <w:p w14:paraId="18B7B0B1" w14:textId="1890C329" w:rsidR="000A48E4" w:rsidRPr="008D047C" w:rsidRDefault="00EC2E40" w:rsidP="000A48E4">
            <w:pPr>
              <w:pStyle w:val="BodyText"/>
              <w:spacing w:before="0" w:after="80"/>
              <w:rPr>
                <w:sz w:val="28"/>
                <w:szCs w:val="28"/>
              </w:rPr>
            </w:pPr>
            <w:r w:rsidRPr="008D047C">
              <w:rPr>
                <w:sz w:val="28"/>
                <w:szCs w:val="28"/>
              </w:rPr>
              <w:t>□</w:t>
            </w:r>
          </w:p>
        </w:tc>
        <w:tc>
          <w:tcPr>
            <w:tcW w:w="2518" w:type="dxa"/>
            <w:shd w:val="clear" w:color="auto" w:fill="FFFFFF"/>
          </w:tcPr>
          <w:p w14:paraId="5A023E3B" w14:textId="77777777" w:rsidR="000A48E4" w:rsidRPr="00F504F7" w:rsidRDefault="000A48E4" w:rsidP="000A48E4">
            <w:pPr>
              <w:pStyle w:val="BodyText"/>
              <w:spacing w:before="60" w:after="80"/>
            </w:pPr>
            <w:r w:rsidRPr="00F504F7">
              <w:t>Tribal Cultural Resources</w:t>
            </w:r>
          </w:p>
        </w:tc>
      </w:tr>
      <w:tr w:rsidR="000A48E4" w:rsidRPr="00CA7D2A" w14:paraId="76E70161" w14:textId="77777777" w:rsidTr="00275B75">
        <w:trPr>
          <w:trHeight w:val="547"/>
        </w:trPr>
        <w:tc>
          <w:tcPr>
            <w:tcW w:w="540" w:type="dxa"/>
            <w:shd w:val="clear" w:color="auto" w:fill="FFFFFF"/>
          </w:tcPr>
          <w:p w14:paraId="41EF3145" w14:textId="5738AF86" w:rsidR="000A48E4" w:rsidRPr="008D047C" w:rsidRDefault="000A48E4" w:rsidP="000A48E4">
            <w:pPr>
              <w:pStyle w:val="BodyText"/>
              <w:spacing w:before="0" w:after="80"/>
              <w:rPr>
                <w:sz w:val="28"/>
                <w:szCs w:val="28"/>
              </w:rPr>
            </w:pPr>
            <w:r w:rsidRPr="008D047C">
              <w:rPr>
                <w:sz w:val="28"/>
                <w:szCs w:val="28"/>
              </w:rPr>
              <w:t>□</w:t>
            </w:r>
          </w:p>
        </w:tc>
        <w:tc>
          <w:tcPr>
            <w:tcW w:w="2520" w:type="dxa"/>
            <w:shd w:val="clear" w:color="auto" w:fill="FFFFFF"/>
          </w:tcPr>
          <w:p w14:paraId="10420BD8" w14:textId="77777777" w:rsidR="000A48E4" w:rsidRPr="00F504F7" w:rsidRDefault="000A48E4" w:rsidP="000A48E4">
            <w:pPr>
              <w:pStyle w:val="BodyText"/>
              <w:spacing w:before="60" w:after="80"/>
            </w:pPr>
            <w:r w:rsidRPr="00F504F7">
              <w:t>Utilities</w:t>
            </w:r>
            <w:r>
              <w:t>/</w:t>
            </w:r>
            <w:r w:rsidRPr="00F504F7">
              <w:t>Service Systems</w:t>
            </w:r>
          </w:p>
        </w:tc>
        <w:tc>
          <w:tcPr>
            <w:tcW w:w="479" w:type="dxa"/>
            <w:shd w:val="clear" w:color="auto" w:fill="FFFFFF"/>
          </w:tcPr>
          <w:p w14:paraId="50CD26E6" w14:textId="59AE6384" w:rsidR="000A48E4" w:rsidRPr="008D047C" w:rsidRDefault="000A48E4" w:rsidP="000A48E4">
            <w:pPr>
              <w:pStyle w:val="BodyText"/>
              <w:spacing w:before="0" w:after="80"/>
              <w:rPr>
                <w:sz w:val="28"/>
                <w:szCs w:val="28"/>
              </w:rPr>
            </w:pPr>
            <w:r w:rsidRPr="008D047C">
              <w:rPr>
                <w:sz w:val="28"/>
                <w:szCs w:val="28"/>
              </w:rPr>
              <w:t>□</w:t>
            </w:r>
          </w:p>
        </w:tc>
        <w:tc>
          <w:tcPr>
            <w:tcW w:w="2221" w:type="dxa"/>
            <w:shd w:val="clear" w:color="auto" w:fill="FFFFFF"/>
          </w:tcPr>
          <w:p w14:paraId="695A1FB1" w14:textId="77777777" w:rsidR="000A48E4" w:rsidRPr="006E30F9" w:rsidRDefault="000A48E4" w:rsidP="000A48E4">
            <w:pPr>
              <w:pStyle w:val="BodyText"/>
              <w:spacing w:before="60" w:after="80"/>
            </w:pPr>
            <w:r>
              <w:t>Wildfire</w:t>
            </w:r>
          </w:p>
        </w:tc>
        <w:tc>
          <w:tcPr>
            <w:tcW w:w="479" w:type="dxa"/>
            <w:shd w:val="clear" w:color="auto" w:fill="FFFFFF"/>
          </w:tcPr>
          <w:p w14:paraId="417EB6D9" w14:textId="1AB5326E" w:rsidR="000A48E4" w:rsidRPr="008D047C" w:rsidRDefault="000A48E4" w:rsidP="000A48E4">
            <w:pPr>
              <w:pStyle w:val="BodyText"/>
              <w:spacing w:before="0" w:after="80"/>
              <w:rPr>
                <w:sz w:val="28"/>
                <w:szCs w:val="28"/>
              </w:rPr>
            </w:pPr>
            <w:r w:rsidRPr="008D047C">
              <w:rPr>
                <w:sz w:val="28"/>
                <w:szCs w:val="28"/>
              </w:rPr>
              <w:t>□</w:t>
            </w:r>
          </w:p>
        </w:tc>
        <w:tc>
          <w:tcPr>
            <w:tcW w:w="2518" w:type="dxa"/>
            <w:shd w:val="clear" w:color="auto" w:fill="FFFFFF"/>
          </w:tcPr>
          <w:p w14:paraId="35396BBD" w14:textId="77777777" w:rsidR="000A48E4" w:rsidRPr="006E30F9" w:rsidRDefault="000A48E4" w:rsidP="000A48E4">
            <w:pPr>
              <w:pStyle w:val="BodyText"/>
              <w:spacing w:before="60" w:after="80"/>
            </w:pPr>
            <w:r w:rsidRPr="00F504F7">
              <w:t xml:space="preserve">Mandatory Findings </w:t>
            </w:r>
            <w:r w:rsidRPr="00F504F7">
              <w:br/>
              <w:t>of Significance</w:t>
            </w:r>
          </w:p>
        </w:tc>
      </w:tr>
    </w:tbl>
    <w:p w14:paraId="172CF0A2" w14:textId="77777777" w:rsidR="00074754" w:rsidRPr="002666BD" w:rsidRDefault="00074754" w:rsidP="00074754">
      <w:pPr>
        <w:pStyle w:val="Heading1"/>
        <w:pageBreakBefore w:val="0"/>
        <w:numPr>
          <w:ilvl w:val="0"/>
          <w:numId w:val="0"/>
        </w:numPr>
        <w:pBdr>
          <w:bottom w:val="none" w:sz="0" w:space="0" w:color="auto"/>
        </w:pBdr>
        <w:spacing w:before="400" w:after="80"/>
        <w:ind w:left="576" w:hanging="576"/>
        <w:rPr>
          <w:b w:val="0"/>
          <w:sz w:val="32"/>
          <w:szCs w:val="32"/>
        </w:rPr>
      </w:pPr>
      <w:bookmarkStart w:id="114" w:name="_Toc443916500"/>
      <w:bookmarkStart w:id="115" w:name="_Toc414632883"/>
      <w:bookmarkStart w:id="116" w:name="_Toc410106734"/>
      <w:bookmarkStart w:id="117" w:name="_Toc410046570"/>
      <w:bookmarkStart w:id="118" w:name="_Toc453855352"/>
      <w:bookmarkStart w:id="119" w:name="_Toc453855761"/>
      <w:bookmarkStart w:id="120" w:name="_Toc475630619"/>
      <w:bookmarkStart w:id="121" w:name="_Toc475630708"/>
      <w:bookmarkStart w:id="122" w:name="_Toc83278206"/>
      <w:bookmarkStart w:id="123" w:name="_Toc112942424"/>
      <w:r w:rsidRPr="002666BD">
        <w:rPr>
          <w:b w:val="0"/>
          <w:sz w:val="32"/>
          <w:szCs w:val="32"/>
        </w:rPr>
        <w:t>Determination</w:t>
      </w:r>
      <w:bookmarkEnd w:id="114"/>
      <w:bookmarkEnd w:id="115"/>
      <w:bookmarkEnd w:id="116"/>
      <w:bookmarkEnd w:id="117"/>
      <w:bookmarkEnd w:id="118"/>
      <w:bookmarkEnd w:id="119"/>
      <w:bookmarkEnd w:id="120"/>
      <w:bookmarkEnd w:id="121"/>
      <w:bookmarkEnd w:id="122"/>
      <w:bookmarkEnd w:id="123"/>
    </w:p>
    <w:p w14:paraId="32183D36" w14:textId="77777777" w:rsidR="00074754" w:rsidRDefault="00074754" w:rsidP="00074754">
      <w:pPr>
        <w:pStyle w:val="BodyText"/>
      </w:pPr>
      <w:r>
        <w:t>Based on this initial evaluation:</w:t>
      </w:r>
    </w:p>
    <w:tbl>
      <w:tblPr>
        <w:tblW w:w="9029" w:type="dxa"/>
        <w:tblInd w:w="-86" w:type="dxa"/>
        <w:tblLook w:val="04A0" w:firstRow="1" w:lastRow="0" w:firstColumn="1" w:lastColumn="0" w:noHBand="0" w:noVBand="1"/>
      </w:tblPr>
      <w:tblGrid>
        <w:gridCol w:w="27"/>
        <w:gridCol w:w="512"/>
        <w:gridCol w:w="4393"/>
        <w:gridCol w:w="1019"/>
        <w:gridCol w:w="2950"/>
        <w:gridCol w:w="128"/>
      </w:tblGrid>
      <w:tr w:rsidR="00074754" w:rsidRPr="00CA7D2A" w14:paraId="4412A257" w14:textId="77777777" w:rsidTr="00275B75">
        <w:trPr>
          <w:gridAfter w:val="1"/>
          <w:wAfter w:w="126" w:type="dxa"/>
        </w:trPr>
        <w:tc>
          <w:tcPr>
            <w:tcW w:w="531" w:type="dxa"/>
            <w:gridSpan w:val="2"/>
            <w:shd w:val="clear" w:color="auto" w:fill="auto"/>
          </w:tcPr>
          <w:p w14:paraId="66F10998" w14:textId="7AF0B27F" w:rsidR="00074754" w:rsidRPr="008D047C" w:rsidRDefault="001159AE" w:rsidP="00964C58">
            <w:pPr>
              <w:pStyle w:val="BodyText"/>
              <w:spacing w:before="0" w:after="0"/>
              <w:rPr>
                <w:sz w:val="28"/>
                <w:szCs w:val="28"/>
              </w:rPr>
            </w:pPr>
            <w:r w:rsidRPr="000A48E4">
              <w:rPr>
                <w:rFonts w:ascii="Times New Roman" w:hAnsi="Times New Roman"/>
                <w:sz w:val="28"/>
                <w:szCs w:val="28"/>
              </w:rPr>
              <w:t>■</w:t>
            </w:r>
          </w:p>
        </w:tc>
        <w:tc>
          <w:tcPr>
            <w:tcW w:w="8235" w:type="dxa"/>
            <w:gridSpan w:val="3"/>
            <w:shd w:val="clear" w:color="auto" w:fill="auto"/>
            <w:hideMark/>
          </w:tcPr>
          <w:p w14:paraId="480A0946" w14:textId="77777777" w:rsidR="00074754" w:rsidRPr="00F504F7" w:rsidRDefault="00074754" w:rsidP="00964C58">
            <w:pPr>
              <w:pStyle w:val="BodyText"/>
              <w:spacing w:before="60" w:after="240"/>
            </w:pPr>
            <w:r w:rsidRPr="00F504F7">
              <w:t>I find that the proposed project COULD NOT have a significant effect on the environment, and a NEGATIVE DECLARATION will be prepared.</w:t>
            </w:r>
          </w:p>
        </w:tc>
      </w:tr>
      <w:tr w:rsidR="000A48E4" w:rsidRPr="00CA7D2A" w14:paraId="48A4915F" w14:textId="77777777" w:rsidTr="00275B75">
        <w:trPr>
          <w:gridAfter w:val="1"/>
          <w:wAfter w:w="126" w:type="dxa"/>
        </w:trPr>
        <w:tc>
          <w:tcPr>
            <w:tcW w:w="531" w:type="dxa"/>
            <w:gridSpan w:val="2"/>
            <w:shd w:val="clear" w:color="auto" w:fill="auto"/>
          </w:tcPr>
          <w:p w14:paraId="19EAAA44" w14:textId="447948C5" w:rsidR="000A48E4" w:rsidRPr="008D047C" w:rsidRDefault="001159AE" w:rsidP="000A48E4">
            <w:pPr>
              <w:pStyle w:val="BodyText"/>
              <w:spacing w:before="0" w:after="0"/>
              <w:rPr>
                <w:sz w:val="28"/>
                <w:szCs w:val="28"/>
              </w:rPr>
            </w:pPr>
            <w:r w:rsidRPr="008D047C">
              <w:rPr>
                <w:sz w:val="28"/>
                <w:szCs w:val="28"/>
              </w:rPr>
              <w:t>□</w:t>
            </w:r>
          </w:p>
        </w:tc>
        <w:tc>
          <w:tcPr>
            <w:tcW w:w="8235" w:type="dxa"/>
            <w:gridSpan w:val="3"/>
            <w:shd w:val="clear" w:color="auto" w:fill="auto"/>
            <w:hideMark/>
          </w:tcPr>
          <w:p w14:paraId="5A92B131" w14:textId="77777777" w:rsidR="000A48E4" w:rsidRPr="00F504F7" w:rsidRDefault="000A48E4" w:rsidP="000A48E4">
            <w:pPr>
              <w:pStyle w:val="BodyText"/>
              <w:spacing w:before="60" w:after="240"/>
            </w:pPr>
            <w:r w:rsidRPr="00F504F7">
              <w:t>I find that although the proposed project could have a significant effect on the environment, there will not be a significant effect in this case because revisions to the project have been made by or agreed to by the project proponent. A MITIGATED NEGATIVE DECLARATION will be prepared.</w:t>
            </w:r>
          </w:p>
        </w:tc>
      </w:tr>
      <w:tr w:rsidR="000A48E4" w:rsidRPr="00CA7D2A" w14:paraId="0E062793" w14:textId="77777777" w:rsidTr="00275B75">
        <w:trPr>
          <w:gridAfter w:val="1"/>
          <w:wAfter w:w="126" w:type="dxa"/>
        </w:trPr>
        <w:tc>
          <w:tcPr>
            <w:tcW w:w="531" w:type="dxa"/>
            <w:gridSpan w:val="2"/>
            <w:shd w:val="clear" w:color="auto" w:fill="auto"/>
          </w:tcPr>
          <w:p w14:paraId="6C69CAEB" w14:textId="321AC172" w:rsidR="000A48E4" w:rsidRPr="008D047C" w:rsidRDefault="000A48E4" w:rsidP="000A48E4">
            <w:pPr>
              <w:pStyle w:val="BodyText"/>
              <w:spacing w:before="0" w:after="0"/>
              <w:rPr>
                <w:sz w:val="28"/>
                <w:szCs w:val="28"/>
              </w:rPr>
            </w:pPr>
            <w:r w:rsidRPr="008D047C">
              <w:rPr>
                <w:sz w:val="28"/>
                <w:szCs w:val="28"/>
              </w:rPr>
              <w:t>□</w:t>
            </w:r>
          </w:p>
        </w:tc>
        <w:tc>
          <w:tcPr>
            <w:tcW w:w="8235" w:type="dxa"/>
            <w:gridSpan w:val="3"/>
            <w:shd w:val="clear" w:color="auto" w:fill="auto"/>
            <w:hideMark/>
          </w:tcPr>
          <w:p w14:paraId="319A784E" w14:textId="77777777" w:rsidR="000A48E4" w:rsidRPr="00F504F7" w:rsidRDefault="000A48E4" w:rsidP="000A48E4">
            <w:pPr>
              <w:pStyle w:val="BodyText"/>
              <w:spacing w:before="60" w:after="240"/>
            </w:pPr>
            <w:r w:rsidRPr="00F504F7">
              <w:t>I find that the proposed project MAY have a significant effect on the environment, and an ENVIRONMENTAL IMPACT REPORT is required.</w:t>
            </w:r>
          </w:p>
        </w:tc>
      </w:tr>
      <w:tr w:rsidR="000A48E4" w:rsidRPr="00CA7D2A" w14:paraId="1B8C9D15" w14:textId="77777777" w:rsidTr="00275B75">
        <w:trPr>
          <w:gridAfter w:val="1"/>
          <w:wAfter w:w="126" w:type="dxa"/>
        </w:trPr>
        <w:tc>
          <w:tcPr>
            <w:tcW w:w="531" w:type="dxa"/>
            <w:gridSpan w:val="2"/>
            <w:shd w:val="clear" w:color="auto" w:fill="auto"/>
          </w:tcPr>
          <w:p w14:paraId="1D28E0B6" w14:textId="7C094C80" w:rsidR="000A48E4" w:rsidRPr="008D047C" w:rsidRDefault="000A48E4" w:rsidP="000A48E4">
            <w:pPr>
              <w:pStyle w:val="BodyText"/>
              <w:spacing w:before="0" w:after="0"/>
              <w:rPr>
                <w:sz w:val="28"/>
                <w:szCs w:val="28"/>
              </w:rPr>
            </w:pPr>
            <w:r w:rsidRPr="008D047C">
              <w:rPr>
                <w:sz w:val="28"/>
                <w:szCs w:val="28"/>
              </w:rPr>
              <w:t>□</w:t>
            </w:r>
          </w:p>
        </w:tc>
        <w:tc>
          <w:tcPr>
            <w:tcW w:w="8235" w:type="dxa"/>
            <w:gridSpan w:val="3"/>
            <w:shd w:val="clear" w:color="auto" w:fill="auto"/>
            <w:hideMark/>
          </w:tcPr>
          <w:p w14:paraId="44416355" w14:textId="77777777" w:rsidR="000A48E4" w:rsidRPr="00F504F7" w:rsidRDefault="000A48E4" w:rsidP="000A48E4">
            <w:pPr>
              <w:pStyle w:val="BodyText"/>
              <w:spacing w:before="60" w:after="240"/>
            </w:pPr>
            <w:r w:rsidRPr="00F504F7">
              <w:t>I find that the proposed project MAY have a “potentially significant impact” or “</w:t>
            </w:r>
            <w:r w:rsidRPr="00F245B7">
              <w:t>less than significant with mitigation incorporated</w:t>
            </w:r>
            <w:r w:rsidRPr="00F504F7">
              <w:t>” impact on the environment, but at least one effect (1) has been adequately analyzed in an earlier document pursuant to applicable legal standards, and (2) has been addressed by mitigation measures based on the earlier analysis as described on attached sheets. An ENVIRONMENTAL IMPACT REPORT is required, but it must analyze only the effects that remain to be addressed.</w:t>
            </w:r>
          </w:p>
        </w:tc>
      </w:tr>
      <w:tr w:rsidR="000A48E4" w:rsidRPr="00CA7D2A" w14:paraId="4167F9E9" w14:textId="77777777" w:rsidTr="00275B75">
        <w:trPr>
          <w:gridAfter w:val="1"/>
          <w:wAfter w:w="126" w:type="dxa"/>
        </w:trPr>
        <w:tc>
          <w:tcPr>
            <w:tcW w:w="531" w:type="dxa"/>
            <w:gridSpan w:val="2"/>
            <w:shd w:val="clear" w:color="auto" w:fill="auto"/>
          </w:tcPr>
          <w:p w14:paraId="7C72E300" w14:textId="3C9AEEB7" w:rsidR="000A48E4" w:rsidRPr="008D047C" w:rsidRDefault="000A48E4" w:rsidP="000A48E4">
            <w:pPr>
              <w:pStyle w:val="BodyText"/>
              <w:pageBreakBefore/>
              <w:spacing w:before="0" w:after="0"/>
              <w:rPr>
                <w:sz w:val="28"/>
                <w:szCs w:val="28"/>
              </w:rPr>
            </w:pPr>
            <w:r w:rsidRPr="008D047C">
              <w:rPr>
                <w:rFonts w:ascii="Times New Roman" w:hAnsi="Times New Roman"/>
                <w:sz w:val="28"/>
                <w:szCs w:val="28"/>
              </w:rPr>
              <w:lastRenderedPageBreak/>
              <w:t>□</w:t>
            </w:r>
          </w:p>
        </w:tc>
        <w:tc>
          <w:tcPr>
            <w:tcW w:w="8235" w:type="dxa"/>
            <w:gridSpan w:val="3"/>
            <w:shd w:val="clear" w:color="auto" w:fill="auto"/>
            <w:hideMark/>
          </w:tcPr>
          <w:p w14:paraId="5E7B75ED" w14:textId="77777777" w:rsidR="000A48E4" w:rsidRPr="00F504F7" w:rsidRDefault="000A48E4" w:rsidP="000A48E4">
            <w:pPr>
              <w:pStyle w:val="BodyText"/>
              <w:spacing w:before="60"/>
            </w:pPr>
            <w:r w:rsidRPr="00F504F7">
              <w:t>I find that although the proposed project could have a significant effect on the environment, because all potential significant effects (a) have been analyzed adequately in an earlier EIR or NEGATIVE DECLARATION pursuant to applicable standards, and (b) have been avoided or mitigated pursuant to that earlier EIR or NEGATIVE DECLARATION, including revisions or mitigation measures that are imposed upon the proposed project, nothing further is required.</w:t>
            </w:r>
          </w:p>
        </w:tc>
      </w:tr>
      <w:tr w:rsidR="000A48E4" w14:paraId="7902BD78" w14:textId="77777777" w:rsidTr="00275B75">
        <w:tblPrEx>
          <w:tblLook w:val="01E0" w:firstRow="1" w:lastRow="1" w:firstColumn="1" w:lastColumn="1" w:noHBand="0" w:noVBand="0"/>
        </w:tblPrEx>
        <w:trPr>
          <w:gridBefore w:val="1"/>
          <w:wBefore w:w="27" w:type="dxa"/>
          <w:trHeight w:val="504"/>
        </w:trPr>
        <w:tc>
          <w:tcPr>
            <w:tcW w:w="4830" w:type="dxa"/>
            <w:gridSpan w:val="2"/>
            <w:tcBorders>
              <w:top w:val="nil"/>
              <w:left w:val="nil"/>
              <w:bottom w:val="single" w:sz="4" w:space="0" w:color="auto"/>
              <w:right w:val="nil"/>
            </w:tcBorders>
          </w:tcPr>
          <w:p w14:paraId="4CEB404D" w14:textId="77777777" w:rsidR="000A48E4" w:rsidRPr="006E30F9" w:rsidRDefault="000A48E4" w:rsidP="000A48E4">
            <w:pPr>
              <w:spacing w:before="360" w:after="0"/>
            </w:pPr>
          </w:p>
        </w:tc>
        <w:tc>
          <w:tcPr>
            <w:tcW w:w="1004" w:type="dxa"/>
          </w:tcPr>
          <w:p w14:paraId="780EAFF2" w14:textId="77777777" w:rsidR="000A48E4" w:rsidRPr="006E30F9" w:rsidRDefault="000A48E4" w:rsidP="000A48E4">
            <w:pPr>
              <w:spacing w:before="360" w:after="400"/>
            </w:pPr>
          </w:p>
        </w:tc>
        <w:tc>
          <w:tcPr>
            <w:tcW w:w="3031" w:type="dxa"/>
            <w:gridSpan w:val="2"/>
            <w:tcBorders>
              <w:top w:val="nil"/>
              <w:left w:val="nil"/>
              <w:bottom w:val="single" w:sz="4" w:space="0" w:color="auto"/>
              <w:right w:val="nil"/>
            </w:tcBorders>
          </w:tcPr>
          <w:p w14:paraId="6680DF48" w14:textId="77777777" w:rsidR="000A48E4" w:rsidRPr="006E30F9" w:rsidRDefault="000A48E4" w:rsidP="000A48E4">
            <w:pPr>
              <w:spacing w:before="360" w:after="400"/>
            </w:pPr>
          </w:p>
        </w:tc>
      </w:tr>
      <w:tr w:rsidR="000A48E4" w14:paraId="651B543B" w14:textId="77777777" w:rsidTr="00275B75">
        <w:tblPrEx>
          <w:tblLook w:val="01E0" w:firstRow="1" w:lastRow="1" w:firstColumn="1" w:lastColumn="1" w:noHBand="0" w:noVBand="0"/>
        </w:tblPrEx>
        <w:trPr>
          <w:gridBefore w:val="1"/>
          <w:wBefore w:w="27" w:type="dxa"/>
          <w:trHeight w:val="296"/>
        </w:trPr>
        <w:tc>
          <w:tcPr>
            <w:tcW w:w="4830" w:type="dxa"/>
            <w:gridSpan w:val="2"/>
            <w:tcBorders>
              <w:top w:val="single" w:sz="4" w:space="0" w:color="auto"/>
              <w:left w:val="nil"/>
              <w:bottom w:val="nil"/>
              <w:right w:val="nil"/>
            </w:tcBorders>
            <w:hideMark/>
          </w:tcPr>
          <w:p w14:paraId="792BAF82" w14:textId="77777777" w:rsidR="000A48E4" w:rsidRPr="006E30F9" w:rsidRDefault="000A48E4" w:rsidP="000A48E4">
            <w:pPr>
              <w:pStyle w:val="BodyText"/>
              <w:spacing w:before="0" w:after="0"/>
            </w:pPr>
            <w:r w:rsidRPr="006E30F9">
              <w:t>Signature</w:t>
            </w:r>
          </w:p>
        </w:tc>
        <w:tc>
          <w:tcPr>
            <w:tcW w:w="1004" w:type="dxa"/>
          </w:tcPr>
          <w:p w14:paraId="1BF90571" w14:textId="77777777" w:rsidR="000A48E4" w:rsidRDefault="000A48E4" w:rsidP="000A48E4">
            <w:pPr>
              <w:pStyle w:val="BodyText"/>
            </w:pPr>
          </w:p>
        </w:tc>
        <w:tc>
          <w:tcPr>
            <w:tcW w:w="3031" w:type="dxa"/>
            <w:gridSpan w:val="2"/>
            <w:tcBorders>
              <w:top w:val="single" w:sz="4" w:space="0" w:color="auto"/>
              <w:left w:val="nil"/>
              <w:bottom w:val="nil"/>
              <w:right w:val="nil"/>
            </w:tcBorders>
            <w:hideMark/>
          </w:tcPr>
          <w:p w14:paraId="3B52733A" w14:textId="77777777" w:rsidR="000A48E4" w:rsidRPr="006E30F9" w:rsidRDefault="000A48E4" w:rsidP="000A48E4">
            <w:pPr>
              <w:pStyle w:val="BodyText"/>
            </w:pPr>
            <w:r w:rsidRPr="006E30F9">
              <w:t>Date</w:t>
            </w:r>
          </w:p>
        </w:tc>
      </w:tr>
      <w:tr w:rsidR="000A48E4" w14:paraId="00B1015D" w14:textId="77777777" w:rsidTr="00275B75">
        <w:tblPrEx>
          <w:tblLook w:val="01E0" w:firstRow="1" w:lastRow="1" w:firstColumn="1" w:lastColumn="1" w:noHBand="0" w:noVBand="0"/>
        </w:tblPrEx>
        <w:trPr>
          <w:gridBefore w:val="1"/>
          <w:wBefore w:w="27" w:type="dxa"/>
          <w:trHeight w:val="20"/>
        </w:trPr>
        <w:tc>
          <w:tcPr>
            <w:tcW w:w="4830" w:type="dxa"/>
            <w:gridSpan w:val="2"/>
            <w:tcBorders>
              <w:top w:val="nil"/>
              <w:left w:val="nil"/>
              <w:bottom w:val="single" w:sz="4" w:space="0" w:color="auto"/>
              <w:right w:val="nil"/>
            </w:tcBorders>
          </w:tcPr>
          <w:p w14:paraId="647B454E" w14:textId="77777777" w:rsidR="000A48E4" w:rsidRPr="006E30F9" w:rsidRDefault="000A48E4" w:rsidP="000A48E4">
            <w:pPr>
              <w:pStyle w:val="BodyText"/>
              <w:spacing w:before="0" w:after="0"/>
            </w:pPr>
          </w:p>
        </w:tc>
        <w:tc>
          <w:tcPr>
            <w:tcW w:w="1004" w:type="dxa"/>
          </w:tcPr>
          <w:p w14:paraId="681EB46C" w14:textId="77777777" w:rsidR="000A48E4" w:rsidRDefault="000A48E4" w:rsidP="000A48E4">
            <w:pPr>
              <w:pStyle w:val="BodyText"/>
            </w:pPr>
          </w:p>
        </w:tc>
        <w:tc>
          <w:tcPr>
            <w:tcW w:w="3031" w:type="dxa"/>
            <w:gridSpan w:val="2"/>
            <w:tcBorders>
              <w:top w:val="nil"/>
              <w:left w:val="nil"/>
              <w:bottom w:val="single" w:sz="4" w:space="0" w:color="auto"/>
              <w:right w:val="nil"/>
            </w:tcBorders>
          </w:tcPr>
          <w:p w14:paraId="7CFC936F" w14:textId="77777777" w:rsidR="000A48E4" w:rsidRPr="006E30F9" w:rsidRDefault="000A48E4" w:rsidP="000A48E4">
            <w:pPr>
              <w:pStyle w:val="BodyText"/>
            </w:pPr>
          </w:p>
        </w:tc>
      </w:tr>
      <w:tr w:rsidR="000A48E4" w14:paraId="3DE89049" w14:textId="77777777" w:rsidTr="00275B75">
        <w:tblPrEx>
          <w:tblLook w:val="01E0" w:firstRow="1" w:lastRow="1" w:firstColumn="1" w:lastColumn="1" w:noHBand="0" w:noVBand="0"/>
        </w:tblPrEx>
        <w:trPr>
          <w:gridBefore w:val="1"/>
          <w:wBefore w:w="27" w:type="dxa"/>
          <w:trHeight w:val="20"/>
        </w:trPr>
        <w:tc>
          <w:tcPr>
            <w:tcW w:w="4830" w:type="dxa"/>
            <w:gridSpan w:val="2"/>
            <w:tcBorders>
              <w:top w:val="single" w:sz="4" w:space="0" w:color="auto"/>
              <w:left w:val="nil"/>
              <w:bottom w:val="nil"/>
              <w:right w:val="nil"/>
            </w:tcBorders>
            <w:hideMark/>
          </w:tcPr>
          <w:p w14:paraId="218DFFF7" w14:textId="77777777" w:rsidR="000A48E4" w:rsidRPr="006E30F9" w:rsidRDefault="000A48E4" w:rsidP="000A48E4">
            <w:pPr>
              <w:pStyle w:val="BodyText"/>
              <w:spacing w:before="0" w:after="0"/>
            </w:pPr>
            <w:r w:rsidRPr="006E30F9">
              <w:t>Printed Name</w:t>
            </w:r>
          </w:p>
        </w:tc>
        <w:tc>
          <w:tcPr>
            <w:tcW w:w="1004" w:type="dxa"/>
          </w:tcPr>
          <w:p w14:paraId="5FA15C87" w14:textId="77777777" w:rsidR="000A48E4" w:rsidRDefault="000A48E4" w:rsidP="000A48E4">
            <w:pPr>
              <w:pStyle w:val="BodyText"/>
            </w:pPr>
          </w:p>
        </w:tc>
        <w:tc>
          <w:tcPr>
            <w:tcW w:w="3031" w:type="dxa"/>
            <w:gridSpan w:val="2"/>
            <w:tcBorders>
              <w:top w:val="single" w:sz="4" w:space="0" w:color="auto"/>
              <w:left w:val="nil"/>
              <w:bottom w:val="nil"/>
              <w:right w:val="nil"/>
            </w:tcBorders>
            <w:hideMark/>
          </w:tcPr>
          <w:p w14:paraId="4C679C6B" w14:textId="77777777" w:rsidR="000A48E4" w:rsidRPr="006E30F9" w:rsidRDefault="000A48E4" w:rsidP="000A48E4">
            <w:pPr>
              <w:pStyle w:val="BodyText"/>
            </w:pPr>
            <w:r w:rsidRPr="006E30F9">
              <w:t>Title</w:t>
            </w:r>
          </w:p>
        </w:tc>
      </w:tr>
    </w:tbl>
    <w:p w14:paraId="1DF40B13" w14:textId="77777777" w:rsidR="00074754" w:rsidRPr="00C74430" w:rsidRDefault="00074754" w:rsidP="00074754">
      <w:pPr>
        <w:spacing w:after="0"/>
        <w:rPr>
          <w:sz w:val="24"/>
          <w:szCs w:val="24"/>
        </w:rPr>
      </w:pPr>
    </w:p>
    <w:p w14:paraId="1955C759" w14:textId="77777777" w:rsidR="00542725" w:rsidRPr="000E45CD" w:rsidRDefault="00542725" w:rsidP="00F504F7">
      <w:pPr>
        <w:spacing w:after="0"/>
        <w:rPr>
          <w:sz w:val="24"/>
          <w:szCs w:val="24"/>
          <w:highlight w:val="lightGray"/>
        </w:rPr>
        <w:sectPr w:rsidR="00542725" w:rsidRPr="000E45CD" w:rsidSect="00B95A18">
          <w:footerReference w:type="default" r:id="rId27"/>
          <w:pgSz w:w="12240" w:h="15840"/>
          <w:pgMar w:top="1440" w:right="1627" w:bottom="1440" w:left="1627" w:header="720" w:footer="720" w:gutter="0"/>
          <w:cols w:space="720"/>
          <w:docGrid w:linePitch="360"/>
        </w:sectPr>
      </w:pPr>
    </w:p>
    <w:p w14:paraId="0ACD6C1D" w14:textId="77777777" w:rsidR="006F100E" w:rsidRPr="00CE6144" w:rsidRDefault="00542725" w:rsidP="00E84DA6">
      <w:pPr>
        <w:pStyle w:val="Heading1"/>
        <w:numPr>
          <w:ilvl w:val="0"/>
          <w:numId w:val="0"/>
        </w:numPr>
        <w:spacing w:before="0" w:after="120"/>
        <w:ind w:left="576" w:hanging="576"/>
      </w:pPr>
      <w:bookmarkStart w:id="124" w:name="_Toc475630620"/>
      <w:bookmarkStart w:id="125" w:name="_Toc475630709"/>
      <w:bookmarkStart w:id="126" w:name="_Toc112942425"/>
      <w:r w:rsidRPr="00CE6144">
        <w:lastRenderedPageBreak/>
        <w:t>Environmental Checklist</w:t>
      </w:r>
      <w:bookmarkEnd w:id="113"/>
      <w:bookmarkEnd w:id="124"/>
      <w:bookmarkEnd w:id="125"/>
      <w:bookmarkEnd w:id="126"/>
    </w:p>
    <w:p w14:paraId="05B952A8" w14:textId="77777777" w:rsidR="00542725" w:rsidRPr="00275B75" w:rsidRDefault="00542725" w:rsidP="00275B75">
      <w:pPr>
        <w:pStyle w:val="Heading3CEQA"/>
        <w:pageBreakBefore w:val="0"/>
      </w:pPr>
      <w:bookmarkStart w:id="127" w:name="_Toc453855763"/>
      <w:bookmarkStart w:id="128" w:name="_Toc475630710"/>
      <w:bookmarkStart w:id="129" w:name="_Toc112942426"/>
      <w:r w:rsidRPr="00275B75">
        <w:t>Aesthetics</w:t>
      </w:r>
      <w:bookmarkEnd w:id="127"/>
      <w:bookmarkEnd w:id="128"/>
      <w:bookmarkEnd w:id="129"/>
    </w:p>
    <w:tbl>
      <w:tblPr>
        <w:tblW w:w="9047" w:type="dxa"/>
        <w:tblLayout w:type="fixed"/>
        <w:tblLook w:val="04A0" w:firstRow="1" w:lastRow="0" w:firstColumn="1" w:lastColumn="0" w:noHBand="0" w:noVBand="1"/>
      </w:tblPr>
      <w:tblGrid>
        <w:gridCol w:w="4352"/>
        <w:gridCol w:w="28"/>
        <w:gridCol w:w="1156"/>
        <w:gridCol w:w="10"/>
        <w:gridCol w:w="1167"/>
        <w:gridCol w:w="43"/>
        <w:gridCol w:w="1110"/>
        <w:gridCol w:w="14"/>
        <w:gridCol w:w="1167"/>
      </w:tblGrid>
      <w:tr w:rsidR="00542725" w:rsidRPr="00CE6144" w14:paraId="587F1678" w14:textId="77777777" w:rsidTr="00B32D0D">
        <w:trPr>
          <w:tblHeader/>
        </w:trPr>
        <w:tc>
          <w:tcPr>
            <w:tcW w:w="4352" w:type="dxa"/>
            <w:tcBorders>
              <w:bottom w:val="single" w:sz="4" w:space="0" w:color="auto"/>
            </w:tcBorders>
            <w:shd w:val="clear" w:color="auto" w:fill="D9D9D9"/>
            <w:tcMar>
              <w:top w:w="20" w:type="dxa"/>
              <w:left w:w="115" w:type="dxa"/>
              <w:bottom w:w="20" w:type="dxa"/>
              <w:right w:w="115" w:type="dxa"/>
            </w:tcMar>
            <w:vAlign w:val="bottom"/>
          </w:tcPr>
          <w:p w14:paraId="31A49A66" w14:textId="77777777" w:rsidR="00542725" w:rsidRPr="00CE6144" w:rsidRDefault="00542725" w:rsidP="00C74430">
            <w:pPr>
              <w:pStyle w:val="TableHeadings"/>
            </w:pPr>
          </w:p>
        </w:tc>
        <w:tc>
          <w:tcPr>
            <w:tcW w:w="1184" w:type="dxa"/>
            <w:gridSpan w:val="2"/>
            <w:tcBorders>
              <w:bottom w:val="single" w:sz="4" w:space="0" w:color="auto"/>
            </w:tcBorders>
            <w:shd w:val="clear" w:color="auto" w:fill="D9D9D9"/>
            <w:tcMar>
              <w:top w:w="20" w:type="dxa"/>
              <w:left w:w="115" w:type="dxa"/>
              <w:bottom w:w="20" w:type="dxa"/>
              <w:right w:w="115" w:type="dxa"/>
            </w:tcMar>
            <w:vAlign w:val="bottom"/>
            <w:hideMark/>
          </w:tcPr>
          <w:p w14:paraId="12C40AB5" w14:textId="77777777" w:rsidR="00542725" w:rsidRPr="00CE6144" w:rsidRDefault="00542725" w:rsidP="00C74430">
            <w:pPr>
              <w:pStyle w:val="TableHeadings"/>
              <w:jc w:val="center"/>
            </w:pPr>
            <w:r w:rsidRPr="00CE6144">
              <w:t>Potentially Significant Impact</w:t>
            </w:r>
          </w:p>
        </w:tc>
        <w:tc>
          <w:tcPr>
            <w:tcW w:w="1220" w:type="dxa"/>
            <w:gridSpan w:val="3"/>
            <w:tcBorders>
              <w:bottom w:val="single" w:sz="4" w:space="0" w:color="auto"/>
            </w:tcBorders>
            <w:shd w:val="clear" w:color="auto" w:fill="D9D9D9"/>
            <w:tcMar>
              <w:top w:w="20" w:type="dxa"/>
              <w:left w:w="115" w:type="dxa"/>
              <w:bottom w:w="20" w:type="dxa"/>
              <w:right w:w="115" w:type="dxa"/>
            </w:tcMar>
            <w:vAlign w:val="bottom"/>
            <w:hideMark/>
          </w:tcPr>
          <w:p w14:paraId="05DB7875" w14:textId="77777777" w:rsidR="00542725" w:rsidRPr="00CE6144" w:rsidRDefault="00542725" w:rsidP="00C74430">
            <w:pPr>
              <w:pStyle w:val="TableHeadings"/>
              <w:jc w:val="center"/>
            </w:pPr>
            <w:r w:rsidRPr="00CE6144">
              <w:t>Less than Significant with Mitigation Incorporated</w:t>
            </w:r>
          </w:p>
        </w:tc>
        <w:tc>
          <w:tcPr>
            <w:tcW w:w="1110" w:type="dxa"/>
            <w:tcBorders>
              <w:bottom w:val="single" w:sz="4" w:space="0" w:color="auto"/>
            </w:tcBorders>
            <w:shd w:val="clear" w:color="auto" w:fill="D9D9D9"/>
            <w:tcMar>
              <w:top w:w="20" w:type="dxa"/>
              <w:left w:w="115" w:type="dxa"/>
              <w:bottom w:w="20" w:type="dxa"/>
              <w:right w:w="115" w:type="dxa"/>
            </w:tcMar>
            <w:vAlign w:val="bottom"/>
            <w:hideMark/>
          </w:tcPr>
          <w:p w14:paraId="4FA8C48B" w14:textId="77777777" w:rsidR="00542725" w:rsidRPr="00CE6144" w:rsidRDefault="00542725" w:rsidP="00C74430">
            <w:pPr>
              <w:pStyle w:val="TableHeadings"/>
              <w:jc w:val="center"/>
            </w:pPr>
            <w:r w:rsidRPr="00CE6144">
              <w:t>Less than Significant Impact</w:t>
            </w:r>
          </w:p>
        </w:tc>
        <w:tc>
          <w:tcPr>
            <w:tcW w:w="1181" w:type="dxa"/>
            <w:gridSpan w:val="2"/>
            <w:tcBorders>
              <w:bottom w:val="single" w:sz="4" w:space="0" w:color="auto"/>
            </w:tcBorders>
            <w:shd w:val="clear" w:color="auto" w:fill="D9D9D9"/>
            <w:tcMar>
              <w:top w:w="20" w:type="dxa"/>
              <w:left w:w="115" w:type="dxa"/>
              <w:bottom w:w="20" w:type="dxa"/>
              <w:right w:w="115" w:type="dxa"/>
            </w:tcMar>
            <w:vAlign w:val="bottom"/>
            <w:hideMark/>
          </w:tcPr>
          <w:p w14:paraId="1888F080" w14:textId="77777777" w:rsidR="00542725" w:rsidRPr="00CE6144" w:rsidRDefault="00542725" w:rsidP="00C74430">
            <w:pPr>
              <w:pStyle w:val="TableHeadings"/>
              <w:jc w:val="center"/>
            </w:pPr>
            <w:r w:rsidRPr="00CE6144">
              <w:t>No Impact</w:t>
            </w:r>
          </w:p>
        </w:tc>
      </w:tr>
      <w:tr w:rsidR="00542725" w:rsidRPr="00CE6144" w14:paraId="45E60D9A" w14:textId="77777777" w:rsidTr="00B32D0D">
        <w:tc>
          <w:tcPr>
            <w:tcW w:w="9047" w:type="dxa"/>
            <w:gridSpan w:val="9"/>
            <w:tcBorders>
              <w:top w:val="single" w:sz="4" w:space="0" w:color="auto"/>
            </w:tcBorders>
            <w:tcMar>
              <w:top w:w="20" w:type="dxa"/>
              <w:left w:w="115" w:type="dxa"/>
              <w:bottom w:w="20" w:type="dxa"/>
              <w:right w:w="115" w:type="dxa"/>
            </w:tcMar>
            <w:vAlign w:val="bottom"/>
            <w:hideMark/>
          </w:tcPr>
          <w:p w14:paraId="1E8DEDBC" w14:textId="77777777" w:rsidR="00542725" w:rsidRPr="00CE6144" w:rsidRDefault="00B7327E" w:rsidP="00B7327E">
            <w:pPr>
              <w:pStyle w:val="BodyText"/>
              <w:spacing w:before="60" w:after="60"/>
            </w:pPr>
            <w:r w:rsidRPr="00CE6144">
              <w:t>Except as provided in Public Resources Code Section 21099, would the project:</w:t>
            </w:r>
          </w:p>
        </w:tc>
      </w:tr>
      <w:tr w:rsidR="00542725" w:rsidRPr="00CE6144" w14:paraId="08CFDE86" w14:textId="77777777" w:rsidTr="00B32D0D">
        <w:tc>
          <w:tcPr>
            <w:tcW w:w="4380" w:type="dxa"/>
            <w:gridSpan w:val="2"/>
            <w:tcMar>
              <w:top w:w="20" w:type="dxa"/>
              <w:left w:w="115" w:type="dxa"/>
              <w:bottom w:w="20" w:type="dxa"/>
              <w:right w:w="115" w:type="dxa"/>
            </w:tcMar>
            <w:vAlign w:val="bottom"/>
            <w:hideMark/>
          </w:tcPr>
          <w:p w14:paraId="25A4B1A7" w14:textId="77777777" w:rsidR="00542725" w:rsidRPr="00CE6144" w:rsidRDefault="00542725" w:rsidP="00F6307A">
            <w:pPr>
              <w:pStyle w:val="BulletListLettered"/>
            </w:pPr>
            <w:r w:rsidRPr="00CE6144">
              <w:t xml:space="preserve">Have </w:t>
            </w:r>
            <w:r w:rsidR="00305C77" w:rsidRPr="00CE6144">
              <w:t xml:space="preserve">a </w:t>
            </w:r>
            <w:r w:rsidRPr="00CE6144">
              <w:t>substantial adverse effect on a scenic vista?</w:t>
            </w:r>
          </w:p>
        </w:tc>
        <w:tc>
          <w:tcPr>
            <w:tcW w:w="1166" w:type="dxa"/>
            <w:gridSpan w:val="2"/>
            <w:tcMar>
              <w:top w:w="14" w:type="dxa"/>
              <w:left w:w="115" w:type="dxa"/>
              <w:bottom w:w="0" w:type="dxa"/>
              <w:right w:w="115" w:type="dxa"/>
            </w:tcMar>
            <w:vAlign w:val="bottom"/>
          </w:tcPr>
          <w:p w14:paraId="3A400BF1" w14:textId="31FC5121" w:rsidR="00542725" w:rsidRPr="00CE6144" w:rsidRDefault="00B97E48" w:rsidP="00D23DE3">
            <w:pPr>
              <w:pStyle w:val="BodyText"/>
              <w:spacing w:before="60" w:after="60"/>
              <w:jc w:val="center"/>
              <w:rPr>
                <w:sz w:val="28"/>
                <w:szCs w:val="28"/>
              </w:rPr>
            </w:pPr>
            <w:r w:rsidRPr="00CE6144">
              <w:rPr>
                <w:rFonts w:ascii="Times New Roman" w:hAnsi="Times New Roman"/>
              </w:rPr>
              <w:t>□</w:t>
            </w:r>
          </w:p>
        </w:tc>
        <w:tc>
          <w:tcPr>
            <w:tcW w:w="1167" w:type="dxa"/>
            <w:tcMar>
              <w:top w:w="14" w:type="dxa"/>
              <w:left w:w="115" w:type="dxa"/>
              <w:bottom w:w="0" w:type="dxa"/>
              <w:right w:w="115" w:type="dxa"/>
            </w:tcMar>
            <w:vAlign w:val="bottom"/>
          </w:tcPr>
          <w:p w14:paraId="4616DFD6" w14:textId="46B4DC61" w:rsidR="00542725" w:rsidRPr="00CE6144" w:rsidRDefault="002B79C2" w:rsidP="00D23DE3">
            <w:pPr>
              <w:pStyle w:val="BodyText"/>
              <w:spacing w:before="60" w:after="60"/>
              <w:jc w:val="center"/>
              <w:rPr>
                <w:sz w:val="28"/>
                <w:szCs w:val="28"/>
              </w:rPr>
            </w:pPr>
            <w:r w:rsidRPr="00CE6144">
              <w:rPr>
                <w:rFonts w:ascii="Times New Roman" w:hAnsi="Times New Roman"/>
              </w:rPr>
              <w:t>□</w:t>
            </w:r>
          </w:p>
        </w:tc>
        <w:tc>
          <w:tcPr>
            <w:tcW w:w="1167" w:type="dxa"/>
            <w:gridSpan w:val="3"/>
            <w:tcMar>
              <w:top w:w="14" w:type="dxa"/>
              <w:left w:w="115" w:type="dxa"/>
              <w:bottom w:w="0" w:type="dxa"/>
              <w:right w:w="115" w:type="dxa"/>
            </w:tcMar>
            <w:vAlign w:val="bottom"/>
          </w:tcPr>
          <w:p w14:paraId="7695F2ED" w14:textId="785621DD" w:rsidR="00542725" w:rsidRPr="00CE6144" w:rsidRDefault="003E7C41" w:rsidP="00D23DE3">
            <w:pPr>
              <w:pStyle w:val="BodyText"/>
              <w:spacing w:before="60" w:after="60"/>
              <w:jc w:val="center"/>
              <w:rPr>
                <w:sz w:val="28"/>
                <w:szCs w:val="28"/>
              </w:rPr>
            </w:pPr>
            <w:r w:rsidRPr="00CE6144">
              <w:rPr>
                <w:rFonts w:ascii="Times New Roman" w:hAnsi="Times New Roman"/>
              </w:rPr>
              <w:t>□</w:t>
            </w:r>
          </w:p>
        </w:tc>
        <w:tc>
          <w:tcPr>
            <w:tcW w:w="1167" w:type="dxa"/>
            <w:tcMar>
              <w:top w:w="14" w:type="dxa"/>
              <w:left w:w="115" w:type="dxa"/>
              <w:bottom w:w="0" w:type="dxa"/>
              <w:right w:w="115" w:type="dxa"/>
            </w:tcMar>
            <w:vAlign w:val="bottom"/>
          </w:tcPr>
          <w:p w14:paraId="7195544C" w14:textId="3A9389DA" w:rsidR="00542725" w:rsidRPr="00CE6144" w:rsidRDefault="003E7C41" w:rsidP="00D23DE3">
            <w:pPr>
              <w:pStyle w:val="BodyText"/>
              <w:spacing w:before="60" w:after="60"/>
              <w:jc w:val="center"/>
              <w:rPr>
                <w:sz w:val="28"/>
                <w:szCs w:val="28"/>
              </w:rPr>
            </w:pPr>
            <w:r w:rsidRPr="00CE6144">
              <w:rPr>
                <w:rFonts w:ascii="Times New Roman" w:hAnsi="Times New Roman"/>
              </w:rPr>
              <w:t>■</w:t>
            </w:r>
          </w:p>
        </w:tc>
      </w:tr>
      <w:tr w:rsidR="00542725" w:rsidRPr="00CE6144" w14:paraId="4DE2DB50" w14:textId="77777777" w:rsidTr="00B32D0D">
        <w:tc>
          <w:tcPr>
            <w:tcW w:w="4380" w:type="dxa"/>
            <w:gridSpan w:val="2"/>
            <w:tcMar>
              <w:top w:w="20" w:type="dxa"/>
              <w:left w:w="115" w:type="dxa"/>
              <w:bottom w:w="20" w:type="dxa"/>
              <w:right w:w="115" w:type="dxa"/>
            </w:tcMar>
            <w:vAlign w:val="bottom"/>
            <w:hideMark/>
          </w:tcPr>
          <w:p w14:paraId="29987859" w14:textId="77777777" w:rsidR="00542725" w:rsidRPr="00CE6144" w:rsidRDefault="009B5AD7" w:rsidP="00F6307A">
            <w:pPr>
              <w:pStyle w:val="BulletListLettered"/>
            </w:pPr>
            <w:r w:rsidRPr="00CE6144">
              <w:t>S</w:t>
            </w:r>
            <w:r w:rsidR="00542725" w:rsidRPr="00CE6144">
              <w:t>ubstantial</w:t>
            </w:r>
            <w:r w:rsidRPr="00CE6144">
              <w:t>ly</w:t>
            </w:r>
            <w:r w:rsidR="00542725" w:rsidRPr="00CE6144">
              <w:t xml:space="preserve"> damage scenic resources, including but not limited to</w:t>
            </w:r>
            <w:r w:rsidRPr="00CE6144">
              <w:t>,</w:t>
            </w:r>
            <w:r w:rsidR="00542725" w:rsidRPr="00CE6144">
              <w:t xml:space="preserve"> trees, rock outcroppings, and historic buildings </w:t>
            </w:r>
            <w:r w:rsidRPr="00CE6144">
              <w:t xml:space="preserve">within </w:t>
            </w:r>
            <w:r w:rsidR="00542725" w:rsidRPr="00CE6144">
              <w:t>a state scenic highway?</w:t>
            </w:r>
          </w:p>
        </w:tc>
        <w:tc>
          <w:tcPr>
            <w:tcW w:w="1166" w:type="dxa"/>
            <w:gridSpan w:val="2"/>
            <w:tcMar>
              <w:top w:w="14" w:type="dxa"/>
              <w:left w:w="115" w:type="dxa"/>
              <w:bottom w:w="0" w:type="dxa"/>
              <w:right w:w="115" w:type="dxa"/>
            </w:tcMar>
            <w:vAlign w:val="bottom"/>
          </w:tcPr>
          <w:p w14:paraId="594DB49D" w14:textId="1D6EFAF6" w:rsidR="00542725" w:rsidRPr="00CE6144" w:rsidRDefault="00977C96" w:rsidP="00D23DE3">
            <w:pPr>
              <w:pStyle w:val="BodyText"/>
              <w:spacing w:before="60" w:after="60"/>
              <w:jc w:val="center"/>
              <w:rPr>
                <w:sz w:val="28"/>
                <w:szCs w:val="28"/>
              </w:rPr>
            </w:pPr>
            <w:r w:rsidRPr="00CE6144">
              <w:rPr>
                <w:rFonts w:ascii="Times New Roman" w:hAnsi="Times New Roman"/>
              </w:rPr>
              <w:t>□</w:t>
            </w:r>
          </w:p>
        </w:tc>
        <w:tc>
          <w:tcPr>
            <w:tcW w:w="1167" w:type="dxa"/>
            <w:tcMar>
              <w:top w:w="14" w:type="dxa"/>
              <w:left w:w="115" w:type="dxa"/>
              <w:bottom w:w="0" w:type="dxa"/>
              <w:right w:w="115" w:type="dxa"/>
            </w:tcMar>
            <w:vAlign w:val="bottom"/>
          </w:tcPr>
          <w:p w14:paraId="1516D36A" w14:textId="26C523A4" w:rsidR="00542725" w:rsidRPr="00CE6144" w:rsidRDefault="00977C96" w:rsidP="00D23DE3">
            <w:pPr>
              <w:pStyle w:val="BodyText"/>
              <w:spacing w:before="60" w:after="60"/>
              <w:jc w:val="center"/>
              <w:rPr>
                <w:sz w:val="28"/>
                <w:szCs w:val="28"/>
              </w:rPr>
            </w:pPr>
            <w:r w:rsidRPr="00CE6144">
              <w:rPr>
                <w:rFonts w:ascii="Times New Roman" w:hAnsi="Times New Roman"/>
              </w:rPr>
              <w:t>□</w:t>
            </w:r>
          </w:p>
        </w:tc>
        <w:tc>
          <w:tcPr>
            <w:tcW w:w="1167" w:type="dxa"/>
            <w:gridSpan w:val="3"/>
            <w:tcMar>
              <w:top w:w="14" w:type="dxa"/>
              <w:left w:w="115" w:type="dxa"/>
              <w:bottom w:w="0" w:type="dxa"/>
              <w:right w:w="115" w:type="dxa"/>
            </w:tcMar>
            <w:vAlign w:val="bottom"/>
          </w:tcPr>
          <w:p w14:paraId="27B93DF6" w14:textId="578D8CE3" w:rsidR="00542725" w:rsidRPr="00CE6144" w:rsidRDefault="00977C96" w:rsidP="00D23DE3">
            <w:pPr>
              <w:pStyle w:val="BodyText"/>
              <w:spacing w:before="60" w:after="60"/>
              <w:jc w:val="center"/>
              <w:rPr>
                <w:sz w:val="28"/>
                <w:szCs w:val="28"/>
              </w:rPr>
            </w:pPr>
            <w:r w:rsidRPr="00CE6144">
              <w:rPr>
                <w:rFonts w:ascii="Times New Roman" w:hAnsi="Times New Roman"/>
              </w:rPr>
              <w:t>□</w:t>
            </w:r>
          </w:p>
        </w:tc>
        <w:tc>
          <w:tcPr>
            <w:tcW w:w="1167" w:type="dxa"/>
            <w:tcMar>
              <w:top w:w="14" w:type="dxa"/>
              <w:left w:w="115" w:type="dxa"/>
              <w:bottom w:w="0" w:type="dxa"/>
              <w:right w:w="115" w:type="dxa"/>
            </w:tcMar>
            <w:vAlign w:val="bottom"/>
          </w:tcPr>
          <w:p w14:paraId="088ABF8B" w14:textId="177916BF" w:rsidR="00542725" w:rsidRPr="00CE6144" w:rsidRDefault="009C0EBE" w:rsidP="00D23DE3">
            <w:pPr>
              <w:pStyle w:val="BodyText"/>
              <w:spacing w:before="60" w:after="60"/>
              <w:jc w:val="center"/>
              <w:rPr>
                <w:sz w:val="28"/>
                <w:szCs w:val="28"/>
              </w:rPr>
            </w:pPr>
            <w:r w:rsidRPr="00CE6144">
              <w:rPr>
                <w:rFonts w:ascii="Times New Roman" w:hAnsi="Times New Roman"/>
              </w:rPr>
              <w:t>■</w:t>
            </w:r>
          </w:p>
        </w:tc>
      </w:tr>
      <w:tr w:rsidR="00542725" w:rsidRPr="00CE6144" w14:paraId="29526A48" w14:textId="77777777" w:rsidTr="00B32D0D">
        <w:tc>
          <w:tcPr>
            <w:tcW w:w="4380" w:type="dxa"/>
            <w:gridSpan w:val="2"/>
            <w:tcMar>
              <w:top w:w="20" w:type="dxa"/>
              <w:left w:w="115" w:type="dxa"/>
              <w:bottom w:w="20" w:type="dxa"/>
              <w:right w:w="115" w:type="dxa"/>
            </w:tcMar>
            <w:vAlign w:val="bottom"/>
            <w:hideMark/>
          </w:tcPr>
          <w:p w14:paraId="13045F29" w14:textId="77777777" w:rsidR="00542725" w:rsidRPr="00CE6144" w:rsidRDefault="00D9491D" w:rsidP="00F6307A">
            <w:pPr>
              <w:pStyle w:val="BulletListLettered"/>
            </w:pPr>
            <w:r w:rsidRPr="00CE6144">
              <w:t>S</w:t>
            </w:r>
            <w:r w:rsidR="00B7327E" w:rsidRPr="00CE6144">
              <w:t xml:space="preserve">ubstantially degrade the existing visual character or quality of public views of the site and its surroundings? (Public views are those that are experienced from </w:t>
            </w:r>
            <w:r w:rsidR="002A5569" w:rsidRPr="00CE6144">
              <w:t xml:space="preserve">a </w:t>
            </w:r>
            <w:r w:rsidR="00B7327E" w:rsidRPr="00CE6144">
              <w:t>publicly accessible vantage point). If the project is in an urbanized area, would the project conflict with applicable zoning and other regulations governing scenic quality?</w:t>
            </w:r>
          </w:p>
        </w:tc>
        <w:tc>
          <w:tcPr>
            <w:tcW w:w="1166" w:type="dxa"/>
            <w:gridSpan w:val="2"/>
            <w:tcMar>
              <w:top w:w="14" w:type="dxa"/>
              <w:left w:w="115" w:type="dxa"/>
              <w:bottom w:w="0" w:type="dxa"/>
              <w:right w:w="115" w:type="dxa"/>
            </w:tcMar>
            <w:vAlign w:val="bottom"/>
          </w:tcPr>
          <w:p w14:paraId="29C36C3B" w14:textId="05CD3656" w:rsidR="00542725" w:rsidRPr="00CE6144" w:rsidRDefault="00977C96" w:rsidP="00D23DE3">
            <w:pPr>
              <w:pStyle w:val="BodyText"/>
              <w:spacing w:before="60" w:after="60"/>
              <w:jc w:val="center"/>
              <w:rPr>
                <w:sz w:val="28"/>
                <w:szCs w:val="28"/>
              </w:rPr>
            </w:pPr>
            <w:r w:rsidRPr="00CE6144">
              <w:rPr>
                <w:rFonts w:ascii="Times New Roman" w:hAnsi="Times New Roman"/>
              </w:rPr>
              <w:t>□</w:t>
            </w:r>
          </w:p>
        </w:tc>
        <w:tc>
          <w:tcPr>
            <w:tcW w:w="1167" w:type="dxa"/>
            <w:tcMar>
              <w:top w:w="14" w:type="dxa"/>
              <w:left w:w="115" w:type="dxa"/>
              <w:bottom w:w="0" w:type="dxa"/>
              <w:right w:w="115" w:type="dxa"/>
            </w:tcMar>
            <w:vAlign w:val="bottom"/>
          </w:tcPr>
          <w:p w14:paraId="491BE016" w14:textId="5B21D215" w:rsidR="00542725" w:rsidRPr="00CE6144" w:rsidRDefault="002B79C2" w:rsidP="00D23DE3">
            <w:pPr>
              <w:pStyle w:val="BodyText"/>
              <w:spacing w:before="60" w:after="60"/>
              <w:jc w:val="center"/>
              <w:rPr>
                <w:sz w:val="28"/>
                <w:szCs w:val="28"/>
              </w:rPr>
            </w:pPr>
            <w:r w:rsidRPr="00CE6144">
              <w:rPr>
                <w:rFonts w:ascii="Times New Roman" w:hAnsi="Times New Roman"/>
              </w:rPr>
              <w:t>□</w:t>
            </w:r>
          </w:p>
        </w:tc>
        <w:tc>
          <w:tcPr>
            <w:tcW w:w="1167" w:type="dxa"/>
            <w:gridSpan w:val="3"/>
            <w:tcMar>
              <w:top w:w="14" w:type="dxa"/>
              <w:left w:w="115" w:type="dxa"/>
              <w:bottom w:w="0" w:type="dxa"/>
              <w:right w:w="115" w:type="dxa"/>
            </w:tcMar>
            <w:vAlign w:val="bottom"/>
          </w:tcPr>
          <w:p w14:paraId="4D707EDD" w14:textId="4FFA9466" w:rsidR="00542725" w:rsidRPr="00CE6144" w:rsidRDefault="002B79C2" w:rsidP="00D23DE3">
            <w:pPr>
              <w:pStyle w:val="BodyText"/>
              <w:spacing w:before="60" w:after="60"/>
              <w:jc w:val="center"/>
              <w:rPr>
                <w:sz w:val="28"/>
                <w:szCs w:val="28"/>
              </w:rPr>
            </w:pPr>
            <w:r w:rsidRPr="00CE6144">
              <w:rPr>
                <w:rFonts w:ascii="Times New Roman" w:hAnsi="Times New Roman"/>
              </w:rPr>
              <w:t>■</w:t>
            </w:r>
          </w:p>
        </w:tc>
        <w:tc>
          <w:tcPr>
            <w:tcW w:w="1167" w:type="dxa"/>
            <w:tcMar>
              <w:top w:w="14" w:type="dxa"/>
              <w:left w:w="115" w:type="dxa"/>
              <w:bottom w:w="0" w:type="dxa"/>
              <w:right w:w="115" w:type="dxa"/>
            </w:tcMar>
            <w:vAlign w:val="bottom"/>
          </w:tcPr>
          <w:p w14:paraId="6FBFBA13" w14:textId="295940D9" w:rsidR="00542725" w:rsidRPr="00CE6144" w:rsidRDefault="00B97E48" w:rsidP="00D23DE3">
            <w:pPr>
              <w:pStyle w:val="BodyText"/>
              <w:spacing w:before="60" w:after="60"/>
              <w:jc w:val="center"/>
              <w:rPr>
                <w:sz w:val="28"/>
                <w:szCs w:val="28"/>
              </w:rPr>
            </w:pPr>
            <w:r w:rsidRPr="00CE6144">
              <w:rPr>
                <w:rFonts w:ascii="Times New Roman" w:hAnsi="Times New Roman"/>
              </w:rPr>
              <w:t>□</w:t>
            </w:r>
          </w:p>
        </w:tc>
      </w:tr>
      <w:tr w:rsidR="00542725" w:rsidRPr="00CE6144" w14:paraId="0B082C30" w14:textId="77777777" w:rsidTr="00B32D0D">
        <w:tc>
          <w:tcPr>
            <w:tcW w:w="4380" w:type="dxa"/>
            <w:gridSpan w:val="2"/>
            <w:tcBorders>
              <w:bottom w:val="single" w:sz="4" w:space="0" w:color="auto"/>
            </w:tcBorders>
            <w:tcMar>
              <w:top w:w="20" w:type="dxa"/>
              <w:left w:w="115" w:type="dxa"/>
              <w:bottom w:w="20" w:type="dxa"/>
              <w:right w:w="115" w:type="dxa"/>
            </w:tcMar>
            <w:vAlign w:val="bottom"/>
            <w:hideMark/>
          </w:tcPr>
          <w:p w14:paraId="59C41DE7" w14:textId="77777777" w:rsidR="00542725" w:rsidRPr="00CE6144" w:rsidRDefault="00542725" w:rsidP="00F6307A">
            <w:pPr>
              <w:pStyle w:val="BulletListLettered"/>
            </w:pPr>
            <w:r w:rsidRPr="00CE6144">
              <w:t>Create a new source of substantial light or glare that would adversely affect daytime or nighttime views in the area?</w:t>
            </w:r>
          </w:p>
        </w:tc>
        <w:tc>
          <w:tcPr>
            <w:tcW w:w="1166" w:type="dxa"/>
            <w:gridSpan w:val="2"/>
            <w:tcBorders>
              <w:bottom w:val="single" w:sz="4" w:space="0" w:color="auto"/>
            </w:tcBorders>
            <w:tcMar>
              <w:top w:w="14" w:type="dxa"/>
              <w:left w:w="115" w:type="dxa"/>
              <w:bottom w:w="0" w:type="dxa"/>
              <w:right w:w="115" w:type="dxa"/>
            </w:tcMar>
            <w:vAlign w:val="bottom"/>
          </w:tcPr>
          <w:p w14:paraId="53BC0746" w14:textId="075037D8" w:rsidR="00542725" w:rsidRPr="00CE6144" w:rsidRDefault="00977C96" w:rsidP="00D23DE3">
            <w:pPr>
              <w:pStyle w:val="BodyText"/>
              <w:spacing w:before="60" w:after="60"/>
              <w:jc w:val="center"/>
              <w:rPr>
                <w:sz w:val="28"/>
                <w:szCs w:val="28"/>
              </w:rPr>
            </w:pPr>
            <w:r w:rsidRPr="00CE6144">
              <w:rPr>
                <w:rFonts w:ascii="Times New Roman" w:hAnsi="Times New Roman"/>
              </w:rPr>
              <w:t>□</w:t>
            </w:r>
          </w:p>
        </w:tc>
        <w:tc>
          <w:tcPr>
            <w:tcW w:w="1167" w:type="dxa"/>
            <w:tcBorders>
              <w:bottom w:val="single" w:sz="4" w:space="0" w:color="auto"/>
            </w:tcBorders>
            <w:tcMar>
              <w:top w:w="14" w:type="dxa"/>
              <w:left w:w="115" w:type="dxa"/>
              <w:bottom w:w="0" w:type="dxa"/>
              <w:right w:w="115" w:type="dxa"/>
            </w:tcMar>
            <w:vAlign w:val="bottom"/>
          </w:tcPr>
          <w:p w14:paraId="6F6FF8E5" w14:textId="4988F4D5" w:rsidR="00542725" w:rsidRPr="00CE6144" w:rsidRDefault="00977C96" w:rsidP="00D23DE3">
            <w:pPr>
              <w:pStyle w:val="BodyText"/>
              <w:spacing w:before="60" w:after="60"/>
              <w:jc w:val="center"/>
              <w:rPr>
                <w:sz w:val="28"/>
                <w:szCs w:val="28"/>
              </w:rPr>
            </w:pPr>
            <w:r w:rsidRPr="00CE6144">
              <w:rPr>
                <w:rFonts w:ascii="Times New Roman" w:hAnsi="Times New Roman"/>
              </w:rPr>
              <w:t>□</w:t>
            </w:r>
          </w:p>
        </w:tc>
        <w:tc>
          <w:tcPr>
            <w:tcW w:w="1167" w:type="dxa"/>
            <w:gridSpan w:val="3"/>
            <w:tcBorders>
              <w:bottom w:val="single" w:sz="4" w:space="0" w:color="auto"/>
            </w:tcBorders>
            <w:tcMar>
              <w:top w:w="14" w:type="dxa"/>
              <w:left w:w="115" w:type="dxa"/>
              <w:bottom w:w="0" w:type="dxa"/>
              <w:right w:w="115" w:type="dxa"/>
            </w:tcMar>
            <w:vAlign w:val="bottom"/>
          </w:tcPr>
          <w:p w14:paraId="35AC5BAF" w14:textId="3009F304" w:rsidR="00542725" w:rsidRPr="00CE6144" w:rsidRDefault="00745879" w:rsidP="00D23DE3">
            <w:pPr>
              <w:pStyle w:val="BodyText"/>
              <w:spacing w:before="60" w:after="60"/>
              <w:jc w:val="center"/>
              <w:rPr>
                <w:sz w:val="28"/>
                <w:szCs w:val="28"/>
              </w:rPr>
            </w:pPr>
            <w:r w:rsidRPr="00CE6144">
              <w:rPr>
                <w:rFonts w:ascii="Times New Roman" w:hAnsi="Times New Roman"/>
              </w:rPr>
              <w:t>■</w:t>
            </w:r>
          </w:p>
        </w:tc>
        <w:tc>
          <w:tcPr>
            <w:tcW w:w="1167" w:type="dxa"/>
            <w:tcBorders>
              <w:bottom w:val="single" w:sz="4" w:space="0" w:color="auto"/>
            </w:tcBorders>
            <w:tcMar>
              <w:top w:w="14" w:type="dxa"/>
              <w:left w:w="115" w:type="dxa"/>
              <w:bottom w:w="0" w:type="dxa"/>
              <w:right w:w="115" w:type="dxa"/>
            </w:tcMar>
            <w:vAlign w:val="bottom"/>
          </w:tcPr>
          <w:p w14:paraId="30461108" w14:textId="5172047A" w:rsidR="00542725" w:rsidRPr="00CE6144" w:rsidRDefault="00B97E48" w:rsidP="00D23DE3">
            <w:pPr>
              <w:pStyle w:val="BodyText"/>
              <w:spacing w:before="60" w:after="60"/>
              <w:jc w:val="center"/>
              <w:rPr>
                <w:sz w:val="28"/>
                <w:szCs w:val="28"/>
              </w:rPr>
            </w:pPr>
            <w:r w:rsidRPr="00CE6144">
              <w:rPr>
                <w:rFonts w:ascii="Times New Roman" w:hAnsi="Times New Roman"/>
              </w:rPr>
              <w:t>□</w:t>
            </w:r>
          </w:p>
        </w:tc>
      </w:tr>
    </w:tbl>
    <w:p w14:paraId="401EAB5F" w14:textId="74D7F89C" w:rsidR="00E66090" w:rsidRPr="007243CA" w:rsidRDefault="00E66090" w:rsidP="00E66090">
      <w:pPr>
        <w:pStyle w:val="Heading5"/>
      </w:pPr>
      <w:r w:rsidRPr="00CE6144">
        <w:t>Setting</w:t>
      </w:r>
    </w:p>
    <w:p w14:paraId="1C696685" w14:textId="0281346E" w:rsidR="00DD069A" w:rsidRDefault="00DD069A" w:rsidP="00DD069A">
      <w:pPr>
        <w:pStyle w:val="BodyText"/>
      </w:pPr>
      <w:r w:rsidRPr="007243CA">
        <w:t xml:space="preserve">The project site </w:t>
      </w:r>
      <w:r w:rsidR="00B45E30">
        <w:t xml:space="preserve">is a </w:t>
      </w:r>
      <w:r w:rsidRPr="007243CA">
        <w:t xml:space="preserve">previously developed </w:t>
      </w:r>
      <w:r w:rsidR="00B45E30">
        <w:t>site which</w:t>
      </w:r>
      <w:r w:rsidRPr="007243CA">
        <w:t xml:space="preserve"> is currently vacant</w:t>
      </w:r>
      <w:r w:rsidR="007243CA">
        <w:t xml:space="preserve"> and unpaved</w:t>
      </w:r>
      <w:r w:rsidRPr="007243CA">
        <w:t xml:space="preserve">. Surrounding land uses include </w:t>
      </w:r>
      <w:r w:rsidR="007243CA" w:rsidRPr="007243CA">
        <w:t xml:space="preserve">commercial </w:t>
      </w:r>
      <w:r w:rsidR="007243CA">
        <w:t xml:space="preserve">or industrial buildings of one to three stories and two-story residential </w:t>
      </w:r>
      <w:r w:rsidR="00BE2E4E">
        <w:t>buildings</w:t>
      </w:r>
      <w:r w:rsidR="007243CA">
        <w:t xml:space="preserve">. The surrounding landscape includes street trees, landscaped areas </w:t>
      </w:r>
      <w:r w:rsidR="00B45E30">
        <w:t>surrounding</w:t>
      </w:r>
      <w:r w:rsidR="007243CA">
        <w:t xml:space="preserve"> commercial buildings, and ruderal vegetation. </w:t>
      </w:r>
    </w:p>
    <w:p w14:paraId="018F8FB9" w14:textId="108BEC1E" w:rsidR="00303D24" w:rsidRDefault="00303D24" w:rsidP="00DD069A">
      <w:pPr>
        <w:pStyle w:val="BodyText"/>
      </w:pPr>
      <w:r>
        <w:t xml:space="preserve">The nearest officially designated or eligible State Scenic Highway is Interstate 280 (I-280), which is officially designated as a State Scenic Highway in San Mateo County and eligible for designation in Santa Clara County (Caltrans 2018). I-280 transitions from officially designated to eligible for designation at the San Mateo – Santa Clara County border. The project site is approximately 6.5 miles east of the officially designated portion and approximately 4.3 miles </w:t>
      </w:r>
      <w:r w:rsidR="00821288">
        <w:t xml:space="preserve">northeast of the eligible portion at their closest points. </w:t>
      </w:r>
    </w:p>
    <w:p w14:paraId="3C609910" w14:textId="6EB001EB" w:rsidR="004146F8" w:rsidRPr="00697385" w:rsidRDefault="004146F8" w:rsidP="0094761A">
      <w:pPr>
        <w:pStyle w:val="Heading5"/>
      </w:pPr>
      <w:r w:rsidRPr="00697385">
        <w:lastRenderedPageBreak/>
        <w:t>Regulatory Setting</w:t>
      </w:r>
    </w:p>
    <w:p w14:paraId="61C293D3" w14:textId="4C6DBF4B" w:rsidR="007C11CF" w:rsidRDefault="00821288" w:rsidP="007C11CF">
      <w:pPr>
        <w:pStyle w:val="Heading6"/>
      </w:pPr>
      <w:r w:rsidRPr="00697385">
        <w:t xml:space="preserve">Mountain View 2030 General Plan </w:t>
      </w:r>
    </w:p>
    <w:p w14:paraId="3243A3B2" w14:textId="77777777" w:rsidR="00275B75" w:rsidRDefault="00697385" w:rsidP="00275B75">
      <w:pPr>
        <w:pStyle w:val="Heading7"/>
      </w:pPr>
      <w:r>
        <w:t xml:space="preserve">Land Use and Design Policy 9.3 </w:t>
      </w:r>
    </w:p>
    <w:p w14:paraId="1FF8B89F" w14:textId="567DC6E2" w:rsidR="00697385" w:rsidRDefault="00697385" w:rsidP="00697385">
      <w:pPr>
        <w:pStyle w:val="BodyText"/>
      </w:pPr>
      <w:r>
        <w:t xml:space="preserve">Ensure that development enhances public spaces through these measures: </w:t>
      </w:r>
    </w:p>
    <w:p w14:paraId="411EDF99" w14:textId="2590531A" w:rsidR="00697385" w:rsidRPr="00275B75" w:rsidRDefault="00697385" w:rsidP="00275B75">
      <w:pPr>
        <w:pStyle w:val="BulletListLevel1"/>
      </w:pPr>
      <w:r>
        <w:t>Enco</w:t>
      </w:r>
      <w:r w:rsidRPr="00275B75">
        <w:t xml:space="preserve">urage building articulation and use of special materials to provide visual </w:t>
      </w:r>
      <w:r w:rsidR="00033CC2" w:rsidRPr="00275B75">
        <w:t>interest</w:t>
      </w:r>
      <w:r w:rsidR="00275B75" w:rsidRPr="00275B75">
        <w:t xml:space="preserve">. </w:t>
      </w:r>
    </w:p>
    <w:p w14:paraId="2B254B1D" w14:textId="115359E9" w:rsidR="00697385" w:rsidRPr="00275B75" w:rsidRDefault="00697385" w:rsidP="00275B75">
      <w:pPr>
        <w:pStyle w:val="BulletListLevel1"/>
      </w:pPr>
      <w:r w:rsidRPr="00275B75">
        <w:t xml:space="preserve">Promote and regulate high-quality sign materials, colors, and design that are compatible with site and building design. </w:t>
      </w:r>
    </w:p>
    <w:p w14:paraId="45AD0780" w14:textId="7F9A8306" w:rsidR="00697385" w:rsidRDefault="00697385" w:rsidP="00275B75">
      <w:pPr>
        <w:pStyle w:val="BulletListLevel1"/>
      </w:pPr>
      <w:r w:rsidRPr="00275B75">
        <w:t>Encourage attrac</w:t>
      </w:r>
      <w:r>
        <w:t xml:space="preserve">tive water-efficient landscaping on the ground level. </w:t>
      </w:r>
    </w:p>
    <w:p w14:paraId="356989B8" w14:textId="77777777" w:rsidR="00275B75" w:rsidRDefault="004176E0" w:rsidP="00275B75">
      <w:pPr>
        <w:pStyle w:val="Heading7"/>
      </w:pPr>
      <w:r>
        <w:t xml:space="preserve">Parks, Open Space, and Community Facilities Policy 2.4 </w:t>
      </w:r>
    </w:p>
    <w:p w14:paraId="387A279E" w14:textId="10AF7007" w:rsidR="004176E0" w:rsidRPr="00DE1D3B" w:rsidRDefault="004176E0" w:rsidP="00275B75">
      <w:pPr>
        <w:pStyle w:val="BodyText"/>
        <w:rPr>
          <w:b/>
          <w:bCs/>
        </w:rPr>
      </w:pPr>
      <w:r>
        <w:t xml:space="preserve">Promote </w:t>
      </w:r>
      <w:r w:rsidR="00DE1D3B">
        <w:t xml:space="preserve">safe access to San Francisco Bay, creeks, scenic features, and other natural resources in the city and surrounding regions. </w:t>
      </w:r>
    </w:p>
    <w:p w14:paraId="1CD602A5" w14:textId="27C994C9" w:rsidR="00CC2DC0" w:rsidRPr="00372547" w:rsidRDefault="00372547" w:rsidP="00CC2DC0">
      <w:pPr>
        <w:pStyle w:val="Heading6"/>
      </w:pPr>
      <w:r w:rsidRPr="00372547">
        <w:t>Mountain View</w:t>
      </w:r>
      <w:r w:rsidR="00CC2DC0" w:rsidRPr="00372547">
        <w:t xml:space="preserve"> Municipal Code</w:t>
      </w:r>
    </w:p>
    <w:p w14:paraId="7554C6DC" w14:textId="31EA26E7" w:rsidR="00275B75" w:rsidRDefault="00CE6144" w:rsidP="00275B75">
      <w:pPr>
        <w:pStyle w:val="BodyText"/>
        <w:spacing w:before="60" w:after="60"/>
        <w:ind w:left="1872" w:hanging="1872"/>
        <w:rPr>
          <w:i/>
          <w:iCs/>
        </w:rPr>
      </w:pPr>
      <w:r>
        <w:rPr>
          <w:b/>
          <w:bCs/>
        </w:rPr>
        <w:t>Section 8.252(i)(4)</w:t>
      </w:r>
      <w:r>
        <w:rPr>
          <w:b/>
          <w:bCs/>
        </w:rPr>
        <w:tab/>
      </w:r>
      <w:r w:rsidRPr="0064015D">
        <w:rPr>
          <w:b/>
          <w:bCs/>
        </w:rPr>
        <w:t xml:space="preserve">Nonresidential </w:t>
      </w:r>
      <w:r w:rsidR="0064015D" w:rsidRPr="0064015D">
        <w:rPr>
          <w:b/>
          <w:bCs/>
        </w:rPr>
        <w:t xml:space="preserve">Building Security </w:t>
      </w:r>
      <w:r w:rsidR="0064015D">
        <w:rPr>
          <w:b/>
          <w:bCs/>
        </w:rPr>
        <w:t>–</w:t>
      </w:r>
      <w:r w:rsidRPr="0064015D">
        <w:rPr>
          <w:b/>
          <w:bCs/>
        </w:rPr>
        <w:t xml:space="preserve"> </w:t>
      </w:r>
      <w:r w:rsidR="0064015D" w:rsidRPr="0064015D">
        <w:rPr>
          <w:b/>
          <w:bCs/>
        </w:rPr>
        <w:t>Lighting Requirements</w:t>
      </w:r>
      <w:r w:rsidRPr="0064015D">
        <w:rPr>
          <w:b/>
          <w:bCs/>
        </w:rPr>
        <w:t>.</w:t>
      </w:r>
      <w:r>
        <w:rPr>
          <w:i/>
          <w:iCs/>
        </w:rPr>
        <w:t xml:space="preserve"> </w:t>
      </w:r>
      <w:r w:rsidRPr="00CE6144">
        <w:rPr>
          <w:rFonts w:cstheme="minorHAnsi"/>
          <w:spacing w:val="2"/>
          <w:sz w:val="21"/>
          <w:szCs w:val="21"/>
          <w:shd w:val="clear" w:color="auto" w:fill="FFFFFF"/>
        </w:rPr>
        <w:t>All required lighting shall be designed to turn on automatically. In addition, lighting shall be designed and installed on the premises in such a manner so as to avoid causing off-site</w:t>
      </w:r>
      <w:r>
        <w:rPr>
          <w:rFonts w:cstheme="minorHAnsi"/>
          <w:spacing w:val="2"/>
          <w:sz w:val="21"/>
          <w:szCs w:val="21"/>
          <w:shd w:val="clear" w:color="auto" w:fill="FFFFFF"/>
        </w:rPr>
        <w:t xml:space="preserve"> glare</w:t>
      </w:r>
      <w:r w:rsidRPr="00CE6144">
        <w:rPr>
          <w:rFonts w:cstheme="minorHAnsi"/>
          <w:spacing w:val="2"/>
          <w:sz w:val="21"/>
          <w:szCs w:val="21"/>
          <w:shd w:val="clear" w:color="auto" w:fill="FFFFFF"/>
        </w:rPr>
        <w:t xml:space="preserve"> or nuisance.</w:t>
      </w:r>
    </w:p>
    <w:p w14:paraId="2650727C" w14:textId="77777777" w:rsidR="00275B75" w:rsidRDefault="00CC2DC0" w:rsidP="00275B75">
      <w:pPr>
        <w:pStyle w:val="BodyText"/>
        <w:spacing w:before="60" w:after="60"/>
        <w:ind w:left="1872" w:hanging="1872"/>
        <w:rPr>
          <w:i/>
          <w:iCs/>
        </w:rPr>
      </w:pPr>
      <w:r w:rsidRPr="00C32947">
        <w:rPr>
          <w:b/>
          <w:bCs/>
        </w:rPr>
        <w:t xml:space="preserve">Section </w:t>
      </w:r>
      <w:r w:rsidR="00372547" w:rsidRPr="00C32947">
        <w:rPr>
          <w:b/>
          <w:bCs/>
        </w:rPr>
        <w:t>28.45</w:t>
      </w:r>
      <w:r w:rsidRPr="00C32947">
        <w:rPr>
          <w:b/>
          <w:bCs/>
        </w:rPr>
        <w:tab/>
      </w:r>
      <w:r w:rsidRPr="0064015D">
        <w:rPr>
          <w:b/>
          <w:iCs/>
        </w:rPr>
        <w:t>Lighting.</w:t>
      </w:r>
      <w:r w:rsidRPr="00C32947">
        <w:rPr>
          <w:bCs/>
          <w:i/>
        </w:rPr>
        <w:t xml:space="preserve"> </w:t>
      </w:r>
      <w:r w:rsidR="00372547" w:rsidRPr="00C32947">
        <w:rPr>
          <w:bCs/>
        </w:rPr>
        <w:t xml:space="preserve">All lighting on dedicated rights-of-way shall be installed on ornamental lighting equipment or electrolier standards as required by the public works director. </w:t>
      </w:r>
    </w:p>
    <w:p w14:paraId="24576D33" w14:textId="77AD4193" w:rsidR="00E33B6F" w:rsidRPr="00275B75" w:rsidRDefault="00E33B6F" w:rsidP="00275B75">
      <w:pPr>
        <w:pStyle w:val="BodyText"/>
        <w:spacing w:before="60" w:after="60"/>
        <w:ind w:left="1872" w:hanging="1872"/>
        <w:rPr>
          <w:i/>
          <w:iCs/>
        </w:rPr>
      </w:pPr>
      <w:r w:rsidRPr="00C32947">
        <w:rPr>
          <w:b/>
          <w:bCs/>
        </w:rPr>
        <w:t xml:space="preserve">Section </w:t>
      </w:r>
      <w:r w:rsidR="00C32947" w:rsidRPr="00C32947">
        <w:rPr>
          <w:b/>
          <w:bCs/>
        </w:rPr>
        <w:t>32.25(c)</w:t>
      </w:r>
      <w:r w:rsidRPr="00C32947">
        <w:rPr>
          <w:b/>
        </w:rPr>
        <w:tab/>
      </w:r>
      <w:r w:rsidR="00C32947" w:rsidRPr="0064015D">
        <w:rPr>
          <w:b/>
        </w:rPr>
        <w:t>Heritage Tree Preservation – Construction/</w:t>
      </w:r>
      <w:r w:rsidR="0064015D" w:rsidRPr="0064015D">
        <w:rPr>
          <w:b/>
        </w:rPr>
        <w:t>Grading Activity</w:t>
      </w:r>
      <w:r w:rsidRPr="0064015D">
        <w:rPr>
          <w:b/>
        </w:rPr>
        <w:t xml:space="preserve">. </w:t>
      </w:r>
      <w:r w:rsidR="00C32947" w:rsidRPr="00C32947">
        <w:rPr>
          <w:bCs/>
        </w:rPr>
        <w:t xml:space="preserve">Any owner or person who conducts any grading or construction activity on property shall do so in such a manner as to not threaten the health or viability or cause the removal of any heritage tree. </w:t>
      </w:r>
      <w:r w:rsidR="00C32947">
        <w:rPr>
          <w:bCs/>
        </w:rPr>
        <w:t xml:space="preserve">The director or the community development director may impose conditions on any city permit to require construction fencing and/or the use of protective grading methods to assure compliance with this section. In addition to said conditions, the following shall apply: </w:t>
      </w:r>
    </w:p>
    <w:p w14:paraId="79C3CF05" w14:textId="33E98894" w:rsidR="00C32947" w:rsidRPr="00C32947" w:rsidRDefault="00C32947" w:rsidP="0064015D">
      <w:pPr>
        <w:pStyle w:val="BodyText"/>
        <w:numPr>
          <w:ilvl w:val="3"/>
          <w:numId w:val="8"/>
        </w:numPr>
        <w:tabs>
          <w:tab w:val="left" w:pos="2520"/>
        </w:tabs>
        <w:spacing w:before="60" w:after="60"/>
        <w:ind w:left="2232"/>
        <w:rPr>
          <w:rFonts w:cstheme="minorHAnsi"/>
          <w:bCs/>
        </w:rPr>
      </w:pPr>
      <w:r>
        <w:rPr>
          <w:bCs/>
        </w:rPr>
        <w:t xml:space="preserve">Except as otherwise provided in this section, excavation adjacent to any heritage tree shall not be permitted where material damage to the root system may result. When proposed developments </w:t>
      </w:r>
      <w:r w:rsidRPr="00C32947">
        <w:rPr>
          <w:bCs/>
        </w:rPr>
        <w:t xml:space="preserve">encroach into the drip </w:t>
      </w:r>
      <w:r w:rsidRPr="00C32947">
        <w:rPr>
          <w:rFonts w:cstheme="minorHAnsi"/>
          <w:bCs/>
        </w:rPr>
        <w:t xml:space="preserve">line of any heritage tree, special construction techniques to allow the roots to breathe </w:t>
      </w:r>
      <w:r w:rsidRPr="00C32947">
        <w:rPr>
          <w:rFonts w:cstheme="minorHAnsi"/>
          <w:spacing w:val="2"/>
          <w:shd w:val="clear" w:color="auto" w:fill="FFFFFF"/>
        </w:rPr>
        <w:t>and obtain water may be required as a condition(s) to the approval of any application for a building, zoning permit or removal permit.</w:t>
      </w:r>
    </w:p>
    <w:p w14:paraId="212977A0" w14:textId="25167E94" w:rsidR="00C32947" w:rsidRPr="00C32947" w:rsidRDefault="00C32947" w:rsidP="0064015D">
      <w:pPr>
        <w:pStyle w:val="BodyText"/>
        <w:numPr>
          <w:ilvl w:val="3"/>
          <w:numId w:val="8"/>
        </w:numPr>
        <w:tabs>
          <w:tab w:val="left" w:pos="2520"/>
        </w:tabs>
        <w:spacing w:before="60" w:after="60"/>
        <w:ind w:left="2232"/>
        <w:rPr>
          <w:rFonts w:cstheme="minorHAnsi"/>
          <w:bCs/>
        </w:rPr>
      </w:pPr>
      <w:r w:rsidRPr="00C32947">
        <w:rPr>
          <w:rFonts w:cstheme="minorHAnsi"/>
          <w:spacing w:val="2"/>
          <w:shd w:val="clear" w:color="auto" w:fill="FFFFFF"/>
        </w:rPr>
        <w:t>The existing ground surface within four (4) feet (measured horizontally) of the base of an</w:t>
      </w:r>
      <w:r>
        <w:rPr>
          <w:rFonts w:cstheme="minorHAnsi"/>
          <w:spacing w:val="2"/>
          <w:shd w:val="clear" w:color="auto" w:fill="FFFFFF"/>
        </w:rPr>
        <w:t>y heritage tree</w:t>
      </w:r>
      <w:r w:rsidRPr="00C32947">
        <w:rPr>
          <w:rFonts w:cstheme="minorHAnsi"/>
          <w:spacing w:val="2"/>
          <w:shd w:val="clear" w:color="auto" w:fill="FFFFFF"/>
        </w:rPr>
        <w:t> shall not be cut, filled, compacted or pared except for existing, permitted encroachments such as sidewalks or as otherwise expressly approved by the community development director pursuant to an approved arborist's report</w:t>
      </w:r>
      <w:r>
        <w:rPr>
          <w:rFonts w:cstheme="minorHAnsi"/>
          <w:spacing w:val="2"/>
          <w:shd w:val="clear" w:color="auto" w:fill="FFFFFF"/>
        </w:rPr>
        <w:t xml:space="preserve">. Tree </w:t>
      </w:r>
      <w:r w:rsidRPr="00C32947">
        <w:rPr>
          <w:rFonts w:cstheme="minorHAnsi"/>
          <w:spacing w:val="2"/>
          <w:shd w:val="clear" w:color="auto" w:fill="FFFFFF"/>
        </w:rPr>
        <w:t>wells may be used where advisable.</w:t>
      </w:r>
    </w:p>
    <w:p w14:paraId="0AA2529E" w14:textId="3F9BC140" w:rsidR="00CC2DC0" w:rsidRDefault="00CC2DC0" w:rsidP="0064015D">
      <w:pPr>
        <w:pStyle w:val="BodyText"/>
        <w:pageBreakBefore/>
        <w:tabs>
          <w:tab w:val="left" w:pos="2520"/>
        </w:tabs>
        <w:spacing w:before="60" w:after="60"/>
        <w:ind w:left="1872" w:hanging="1872"/>
        <w:rPr>
          <w:rFonts w:cstheme="minorHAnsi"/>
          <w:spacing w:val="2"/>
          <w:shd w:val="clear" w:color="auto" w:fill="FFFFFF"/>
        </w:rPr>
      </w:pPr>
      <w:r w:rsidRPr="005C537A">
        <w:rPr>
          <w:b/>
          <w:bCs/>
        </w:rPr>
        <w:lastRenderedPageBreak/>
        <w:t>Section</w:t>
      </w:r>
      <w:r w:rsidR="005C537A" w:rsidRPr="005C537A">
        <w:rPr>
          <w:b/>
          <w:bCs/>
        </w:rPr>
        <w:t>32.28(c)</w:t>
      </w:r>
      <w:r w:rsidRPr="005C537A">
        <w:rPr>
          <w:b/>
          <w:bCs/>
        </w:rPr>
        <w:tab/>
      </w:r>
      <w:r w:rsidR="005C537A" w:rsidRPr="0064015D">
        <w:rPr>
          <w:b/>
          <w:bCs/>
        </w:rPr>
        <w:t xml:space="preserve">Application for </w:t>
      </w:r>
      <w:r w:rsidR="0064015D" w:rsidRPr="0064015D">
        <w:rPr>
          <w:b/>
          <w:bCs/>
        </w:rPr>
        <w:t>Removal Permit</w:t>
      </w:r>
      <w:r w:rsidR="005C537A" w:rsidRPr="0064015D">
        <w:rPr>
          <w:b/>
          <w:bCs/>
        </w:rPr>
        <w:t xml:space="preserve">; </w:t>
      </w:r>
      <w:r w:rsidR="0064015D" w:rsidRPr="0064015D">
        <w:rPr>
          <w:b/>
          <w:bCs/>
        </w:rPr>
        <w:t xml:space="preserve">Term </w:t>
      </w:r>
      <w:r w:rsidR="005C537A" w:rsidRPr="0064015D">
        <w:rPr>
          <w:b/>
          <w:bCs/>
        </w:rPr>
        <w:t xml:space="preserve">of </w:t>
      </w:r>
      <w:r w:rsidR="0064015D" w:rsidRPr="0064015D">
        <w:rPr>
          <w:b/>
          <w:bCs/>
        </w:rPr>
        <w:t>Permit</w:t>
      </w:r>
      <w:r w:rsidRPr="005C537A">
        <w:rPr>
          <w:i/>
          <w:iCs/>
        </w:rPr>
        <w:t xml:space="preserve">. </w:t>
      </w:r>
      <w:r w:rsidR="00CE6144">
        <w:t xml:space="preserve">All applications for </w:t>
      </w:r>
      <w:r w:rsidR="00CE6144" w:rsidRPr="00CE6144">
        <w:rPr>
          <w:rFonts w:cstheme="minorHAnsi"/>
          <w:spacing w:val="2"/>
          <w:shd w:val="clear" w:color="auto" w:fill="FFFFFF"/>
        </w:rPr>
        <w:t>All </w:t>
      </w:r>
      <w:r w:rsidR="00CE6144">
        <w:rPr>
          <w:rFonts w:cstheme="minorHAnsi"/>
          <w:spacing w:val="2"/>
          <w:shd w:val="clear" w:color="auto" w:fill="FFFFFF"/>
        </w:rPr>
        <w:t xml:space="preserve">applications for </w:t>
      </w:r>
      <w:r w:rsidR="00CE6144" w:rsidRPr="00CE6144">
        <w:rPr>
          <w:rFonts w:cstheme="minorHAnsi"/>
          <w:spacing w:val="2"/>
          <w:shd w:val="clear" w:color="auto" w:fill="FFFFFF"/>
        </w:rPr>
        <w:t>heritage tree</w:t>
      </w:r>
      <w:r w:rsidR="00CE6144">
        <w:rPr>
          <w:rFonts w:cstheme="minorHAnsi"/>
          <w:spacing w:val="2"/>
          <w:shd w:val="clear" w:color="auto" w:fill="FFFFFF"/>
        </w:rPr>
        <w:t xml:space="preserve"> removal permits </w:t>
      </w:r>
      <w:r w:rsidR="00CE6144" w:rsidRPr="00CE6144">
        <w:rPr>
          <w:rFonts w:cstheme="minorHAnsi"/>
          <w:spacing w:val="2"/>
          <w:shd w:val="clear" w:color="auto" w:fill="FFFFFF"/>
        </w:rPr>
        <w:t>shall specify the number, species, size, and exact location of the tree or trees involved, a brief statement of the reason </w:t>
      </w:r>
      <w:r w:rsidR="00CE6144">
        <w:rPr>
          <w:rFonts w:cstheme="minorHAnsi"/>
          <w:spacing w:val="2"/>
          <w:shd w:val="clear" w:color="auto" w:fill="FFFFFF"/>
        </w:rPr>
        <w:t xml:space="preserve">for </w:t>
      </w:r>
      <w:r w:rsidR="00CE6144" w:rsidRPr="00CE6144">
        <w:rPr>
          <w:rFonts w:cstheme="minorHAnsi"/>
          <w:spacing w:val="2"/>
          <w:shd w:val="clear" w:color="auto" w:fill="FFFFFF"/>
        </w:rPr>
        <w:t>the requeste</w:t>
      </w:r>
      <w:r w:rsidR="00CE6144">
        <w:rPr>
          <w:rFonts w:cstheme="minorHAnsi"/>
          <w:spacing w:val="2"/>
          <w:shd w:val="clear" w:color="auto" w:fill="FFFFFF"/>
        </w:rPr>
        <w:t>d removal</w:t>
      </w:r>
      <w:r w:rsidR="00CE6144" w:rsidRPr="00CE6144">
        <w:rPr>
          <w:rFonts w:cstheme="minorHAnsi"/>
          <w:spacing w:val="2"/>
          <w:shd w:val="clear" w:color="auto" w:fill="FFFFFF"/>
        </w:rPr>
        <w:t xml:space="preserve">, and any other pertinent information as may be required by the city. </w:t>
      </w:r>
      <w:r w:rsidR="00CE6144">
        <w:rPr>
          <w:rFonts w:cstheme="minorHAnsi"/>
          <w:spacing w:val="2"/>
          <w:shd w:val="clear" w:color="auto" w:fill="FFFFFF"/>
        </w:rPr>
        <w:t>The applicant</w:t>
      </w:r>
      <w:r w:rsidR="00CE6144" w:rsidRPr="00CE6144">
        <w:rPr>
          <w:rFonts w:cstheme="minorHAnsi"/>
          <w:spacing w:val="2"/>
          <w:shd w:val="clear" w:color="auto" w:fill="FFFFFF"/>
        </w:rPr>
        <w:t> may be required to provide a plot plan or survey drawn to scale depicting the tree(s) and any improvements on the property and/or an arborist's report.</w:t>
      </w:r>
    </w:p>
    <w:p w14:paraId="3A7CEA6D" w14:textId="5F8E6CE6" w:rsidR="00B45E30" w:rsidRPr="00CE6144" w:rsidRDefault="00B45E30" w:rsidP="004F3E5E">
      <w:pPr>
        <w:pStyle w:val="Heading5"/>
      </w:pPr>
      <w:r>
        <w:t>Impact Analysis</w:t>
      </w:r>
    </w:p>
    <w:p w14:paraId="5393DD77" w14:textId="6170D16A" w:rsidR="00542725" w:rsidRPr="004176E0" w:rsidRDefault="00B22CD0" w:rsidP="00CC0EE3">
      <w:pPr>
        <w:pStyle w:val="BulletLtrManAFTER"/>
      </w:pPr>
      <w:r w:rsidRPr="004176E0">
        <w:t>a.</w:t>
      </w:r>
      <w:r w:rsidRPr="004176E0">
        <w:tab/>
      </w:r>
      <w:r w:rsidR="00542725" w:rsidRPr="004176E0">
        <w:t>Would the project</w:t>
      </w:r>
      <w:r w:rsidR="009C5806" w:rsidRPr="004176E0">
        <w:t xml:space="preserve"> have a substantial adverse effect on a scenic vista</w:t>
      </w:r>
      <w:r w:rsidR="00542725" w:rsidRPr="004176E0">
        <w:t>?</w:t>
      </w:r>
    </w:p>
    <w:p w14:paraId="322DB8A5" w14:textId="3D22F1C4" w:rsidR="00803E81" w:rsidRDefault="00D555AA" w:rsidP="00540E4A">
      <w:pPr>
        <w:pStyle w:val="BodyText"/>
        <w:rPr>
          <w:rFonts w:ascii="Calibri" w:hAnsi="Calibri"/>
        </w:rPr>
      </w:pPr>
      <w:bookmarkStart w:id="130" w:name="_Hlk47620508"/>
      <w:r w:rsidRPr="004176E0">
        <w:rPr>
          <w:rFonts w:ascii="Calibri" w:hAnsi="Calibri"/>
        </w:rPr>
        <w:t xml:space="preserve">A scenic vista is usually defined as a panoramic view from an elevated position or a long-range view from a public vantage point. This can include views of natural features or of the built environment, when architecture and landscaped boulevards offer high-value views of an area considered important to the sense of place. </w:t>
      </w:r>
    </w:p>
    <w:p w14:paraId="1D24FD6E" w14:textId="697F5161" w:rsidR="00803E81" w:rsidRDefault="00803E81" w:rsidP="00540E4A">
      <w:pPr>
        <w:pStyle w:val="BodyText"/>
        <w:rPr>
          <w:rFonts w:ascii="Calibri" w:hAnsi="Calibri"/>
        </w:rPr>
      </w:pPr>
      <w:r>
        <w:rPr>
          <w:rFonts w:ascii="Calibri" w:hAnsi="Calibri"/>
        </w:rPr>
        <w:t>Mountain View does not formally recognize any specific scenic resource areas within the City</w:t>
      </w:r>
      <w:r w:rsidR="004F3E5E">
        <w:rPr>
          <w:rFonts w:ascii="Calibri" w:hAnsi="Calibri"/>
        </w:rPr>
        <w:t xml:space="preserve"> (City of Mountain View 2012</w:t>
      </w:r>
      <w:r w:rsidR="001B6704">
        <w:rPr>
          <w:rFonts w:ascii="Calibri" w:hAnsi="Calibri"/>
        </w:rPr>
        <w:t>a</w:t>
      </w:r>
      <w:r w:rsidR="004F3E5E">
        <w:rPr>
          <w:rFonts w:ascii="Calibri" w:hAnsi="Calibri"/>
        </w:rPr>
        <w:t>)</w:t>
      </w:r>
      <w:r>
        <w:rPr>
          <w:rFonts w:ascii="Calibri" w:hAnsi="Calibri"/>
        </w:rPr>
        <w:t xml:space="preserve">. </w:t>
      </w:r>
      <w:r w:rsidR="00BE2E4E">
        <w:rPr>
          <w:rFonts w:ascii="Calibri" w:hAnsi="Calibri"/>
        </w:rPr>
        <w:t xml:space="preserve">Due primarily to intervening buildings and vegetation, there are no views of scenic vistas available through the project site. </w:t>
      </w:r>
      <w:r>
        <w:rPr>
          <w:rFonts w:ascii="Calibri" w:hAnsi="Calibri"/>
        </w:rPr>
        <w:t xml:space="preserve">The proposed </w:t>
      </w:r>
      <w:r w:rsidR="00BE2E4E">
        <w:rPr>
          <w:rFonts w:ascii="Calibri" w:hAnsi="Calibri"/>
        </w:rPr>
        <w:t xml:space="preserve">three-story </w:t>
      </w:r>
      <w:r>
        <w:rPr>
          <w:rFonts w:ascii="Calibri" w:hAnsi="Calibri"/>
        </w:rPr>
        <w:t xml:space="preserve">office structure </w:t>
      </w:r>
      <w:r w:rsidR="0035394B">
        <w:rPr>
          <w:rFonts w:ascii="Calibri" w:hAnsi="Calibri"/>
        </w:rPr>
        <w:t>would not</w:t>
      </w:r>
      <w:r>
        <w:rPr>
          <w:rFonts w:ascii="Calibri" w:hAnsi="Calibri"/>
        </w:rPr>
        <w:t xml:space="preserve"> substantially alter </w:t>
      </w:r>
      <w:r w:rsidR="004F3E5E">
        <w:rPr>
          <w:rFonts w:ascii="Calibri" w:hAnsi="Calibri"/>
        </w:rPr>
        <w:t>scenic vistas</w:t>
      </w:r>
      <w:r>
        <w:rPr>
          <w:rFonts w:ascii="Calibri" w:hAnsi="Calibri"/>
        </w:rPr>
        <w:t xml:space="preserve"> of the surrounding built environment</w:t>
      </w:r>
      <w:r w:rsidR="00BE2E4E">
        <w:rPr>
          <w:rFonts w:ascii="Calibri" w:hAnsi="Calibri"/>
        </w:rPr>
        <w:t xml:space="preserve"> or distant scenic features</w:t>
      </w:r>
      <w:r>
        <w:rPr>
          <w:rFonts w:ascii="Calibri" w:hAnsi="Calibri"/>
        </w:rPr>
        <w:t xml:space="preserve">. </w:t>
      </w:r>
      <w:r w:rsidR="00000D9F">
        <w:rPr>
          <w:rFonts w:ascii="Calibri" w:hAnsi="Calibri"/>
        </w:rPr>
        <w:t xml:space="preserve">Therefore, the project would not result in a substantial adverse effect on a scenic vista, and </w:t>
      </w:r>
      <w:r w:rsidR="00A84553">
        <w:rPr>
          <w:rFonts w:ascii="Calibri" w:hAnsi="Calibri"/>
        </w:rPr>
        <w:t xml:space="preserve">there would be no impact. </w:t>
      </w:r>
    </w:p>
    <w:bookmarkEnd w:id="130"/>
    <w:p w14:paraId="6A93C33A" w14:textId="63A6A520" w:rsidR="00000D9F" w:rsidRPr="00000D9F" w:rsidRDefault="00817BC5" w:rsidP="00000D9F">
      <w:pPr>
        <w:spacing w:before="120"/>
        <w:rPr>
          <w:rFonts w:asciiTheme="minorHAnsi" w:hAnsiTheme="minorHAnsi" w:cstheme="minorHAnsi"/>
          <w:b/>
          <w:i/>
          <w:iCs/>
          <w:caps/>
          <w:sz w:val="22"/>
          <w:szCs w:val="22"/>
        </w:rPr>
      </w:pPr>
      <w:sdt>
        <w:sdtPr>
          <w:rPr>
            <w:rStyle w:val="DropdownList"/>
          </w:rPr>
          <w:alias w:val="1a"/>
          <w:tag w:val="dropdown"/>
          <w:id w:val="-1651134514"/>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rPr>
        </w:sdtEndPr>
        <w:sdtContent>
          <w:r w:rsidR="00A84553" w:rsidRPr="00312649">
            <w:rPr>
              <w:rStyle w:val="DropdownList"/>
            </w:rPr>
            <w:t>No Impact</w:t>
          </w:r>
        </w:sdtContent>
      </w:sdt>
    </w:p>
    <w:p w14:paraId="2CE660C4" w14:textId="77777777" w:rsidR="00542725" w:rsidRPr="00000D9F" w:rsidRDefault="00542725" w:rsidP="0064015D">
      <w:pPr>
        <w:pStyle w:val="BulletLtrManAFTER"/>
      </w:pPr>
      <w:r w:rsidRPr="00000D9F">
        <w:t>b.</w:t>
      </w:r>
      <w:r w:rsidRPr="00000D9F">
        <w:tab/>
        <w:t>Would the project</w:t>
      </w:r>
      <w:r w:rsidR="00A00D84" w:rsidRPr="00000D9F">
        <w:t xml:space="preserve"> </w:t>
      </w:r>
      <w:r w:rsidR="009C5806" w:rsidRPr="00000D9F">
        <w:t>substantially damage scenic resources, including but not limited to, trees, rock outcroppings, and historic buildings within a state scenic highway?</w:t>
      </w:r>
    </w:p>
    <w:p w14:paraId="2EA4D447" w14:textId="30B30564" w:rsidR="00000D9F" w:rsidRPr="00A84553" w:rsidRDefault="00000D9F" w:rsidP="00A84553">
      <w:pPr>
        <w:pStyle w:val="BodyText"/>
      </w:pPr>
      <w:r w:rsidRPr="00000D9F">
        <w:rPr>
          <w:rFonts w:cstheme="minorHAnsi"/>
        </w:rPr>
        <w:t xml:space="preserve">I-280 is a designated State Scenic Highway </w:t>
      </w:r>
      <w:r>
        <w:rPr>
          <w:rFonts w:cstheme="minorHAnsi"/>
        </w:rPr>
        <w:t xml:space="preserve">within San Mateo County and </w:t>
      </w:r>
      <w:r w:rsidR="00564C49">
        <w:rPr>
          <w:rFonts w:cstheme="minorHAnsi"/>
        </w:rPr>
        <w:t xml:space="preserve">is </w:t>
      </w:r>
      <w:r>
        <w:rPr>
          <w:rFonts w:cstheme="minorHAnsi"/>
        </w:rPr>
        <w:t xml:space="preserve">eligible for designation within Santa Clara County (Caltrans 2018). </w:t>
      </w:r>
      <w:r w:rsidR="00A84553">
        <w:t>The project site is approximately 6.5 miles east of the officially designated portion and approximately 4.3 miles northeast of the eligible portion at their closest points. The project site is not visible from either highway segment</w:t>
      </w:r>
      <w:r>
        <w:rPr>
          <w:rFonts w:cstheme="minorHAnsi"/>
        </w:rPr>
        <w:t xml:space="preserve">. Therefore, </w:t>
      </w:r>
      <w:r w:rsidR="00446E0E">
        <w:rPr>
          <w:rFonts w:cstheme="minorHAnsi"/>
        </w:rPr>
        <w:t xml:space="preserve">due to the site’s distance from eligible or designated State Scenic Highways, </w:t>
      </w:r>
      <w:r w:rsidR="00564C49">
        <w:rPr>
          <w:rFonts w:cstheme="minorHAnsi"/>
        </w:rPr>
        <w:t xml:space="preserve">implementation </w:t>
      </w:r>
      <w:r w:rsidR="00446E0E">
        <w:rPr>
          <w:rFonts w:cstheme="minorHAnsi"/>
        </w:rPr>
        <w:t xml:space="preserve">of the project </w:t>
      </w:r>
      <w:r w:rsidR="00564C49">
        <w:rPr>
          <w:rFonts w:cstheme="minorHAnsi"/>
        </w:rPr>
        <w:t xml:space="preserve">would have no effect on scenic resources in view of a State Scenic Highway. There would be no impact. </w:t>
      </w:r>
    </w:p>
    <w:p w14:paraId="49A8C423" w14:textId="77777777" w:rsidR="009C1D64" w:rsidRPr="000E45CD" w:rsidRDefault="00817BC5" w:rsidP="009C1D64">
      <w:pPr>
        <w:spacing w:before="120"/>
        <w:rPr>
          <w:rStyle w:val="DropdownList"/>
          <w:highlight w:val="lightGray"/>
        </w:rPr>
      </w:pPr>
      <w:sdt>
        <w:sdtPr>
          <w:rPr>
            <w:rStyle w:val="DropdownList"/>
            <w:highlight w:val="lightGray"/>
          </w:rPr>
          <w:alias w:val="1a"/>
          <w:tag w:val="dropdown"/>
          <w:id w:val="-1393030934"/>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highlight w:val="none"/>
          </w:rPr>
        </w:sdtEndPr>
        <w:sdtContent>
          <w:r w:rsidR="000E45CD" w:rsidRPr="000E45CD">
            <w:rPr>
              <w:rStyle w:val="DropdownList"/>
            </w:rPr>
            <w:t>No Impact</w:t>
          </w:r>
        </w:sdtContent>
      </w:sdt>
    </w:p>
    <w:p w14:paraId="6A795CE3" w14:textId="2EB263CF" w:rsidR="00542725" w:rsidRDefault="00542725" w:rsidP="00535CBB">
      <w:pPr>
        <w:pStyle w:val="BulletLtrManAFTER"/>
      </w:pPr>
      <w:r w:rsidRPr="00564C49">
        <w:t>c.</w:t>
      </w:r>
      <w:r w:rsidRPr="00564C49">
        <w:tab/>
        <w:t>Would the project</w:t>
      </w:r>
      <w:r w:rsidR="00D9491D" w:rsidRPr="00564C49">
        <w:t xml:space="preserve"> </w:t>
      </w:r>
      <w:r w:rsidR="009C5806" w:rsidRPr="00564C49">
        <w:t xml:space="preserve">substantially degrade the existing visual character or quality of public views of the site and its surroundings? (Public views are those that are experienced from </w:t>
      </w:r>
      <w:r w:rsidR="002A5569" w:rsidRPr="00564C49">
        <w:t xml:space="preserve">a </w:t>
      </w:r>
      <w:r w:rsidR="009C5806" w:rsidRPr="00564C49">
        <w:t>publicly accessible vantage point). If the project is in an urbanized area, would the project conflict with applicable zoning and other regulations governing scenic quality?</w:t>
      </w:r>
    </w:p>
    <w:p w14:paraId="39BB11B8" w14:textId="2FA75A3F" w:rsidR="009417A7" w:rsidRDefault="00564C49" w:rsidP="001C6FDB">
      <w:pPr>
        <w:pStyle w:val="Body"/>
      </w:pPr>
      <w:r>
        <w:t>The project site is a vacant property in an urbanized area</w:t>
      </w:r>
      <w:r w:rsidR="00860AD9">
        <w:t>,</w:t>
      </w:r>
      <w:r>
        <w:t xml:space="preserve"> </w:t>
      </w:r>
      <w:r w:rsidR="00860AD9">
        <w:t>surrounded</w:t>
      </w:r>
      <w:r>
        <w:t xml:space="preserve"> by </w:t>
      </w:r>
      <w:r w:rsidR="00126CC4">
        <w:t>a multi-story office structure to the north and single-s</w:t>
      </w:r>
      <w:r>
        <w:t xml:space="preserve">tory office structures and industrial buildings </w:t>
      </w:r>
      <w:r w:rsidR="00126CC4">
        <w:t>to the east, west, and south.</w:t>
      </w:r>
      <w:r w:rsidR="009417A7">
        <w:t xml:space="preserve"> </w:t>
      </w:r>
      <w:r w:rsidR="00026287">
        <w:fldChar w:fldCharType="begin"/>
      </w:r>
      <w:r w:rsidR="00026287">
        <w:instrText xml:space="preserve"> REF _Ref94793667 \h </w:instrText>
      </w:r>
      <w:r w:rsidR="00026287">
        <w:fldChar w:fldCharType="separate"/>
      </w:r>
      <w:r w:rsidR="00FA55F1">
        <w:t xml:space="preserve">Table </w:t>
      </w:r>
      <w:r w:rsidR="00FA55F1">
        <w:rPr>
          <w:noProof/>
        </w:rPr>
        <w:t>3</w:t>
      </w:r>
      <w:r w:rsidR="00026287">
        <w:fldChar w:fldCharType="end"/>
      </w:r>
      <w:r w:rsidR="00026287">
        <w:t xml:space="preserve"> </w:t>
      </w:r>
      <w:r w:rsidR="009417A7">
        <w:t xml:space="preserve">below shows policies and standards from the City’s General Plan and Municipal Code, and demonstrates the project’s consistency. </w:t>
      </w:r>
    </w:p>
    <w:p w14:paraId="3C96DA28" w14:textId="5603B0B5" w:rsidR="00026287" w:rsidRDefault="00026287" w:rsidP="0064015D">
      <w:pPr>
        <w:pStyle w:val="TableCaption"/>
        <w:pageBreakBefore/>
      </w:pPr>
      <w:bookmarkStart w:id="131" w:name="_Ref94793667"/>
      <w:bookmarkStart w:id="132" w:name="_Toc112942452"/>
      <w:r>
        <w:lastRenderedPageBreak/>
        <w:t xml:space="preserve">Table </w:t>
      </w:r>
      <w:fldSimple w:instr=" SEQ Table \* ARABIC ">
        <w:r w:rsidR="00FA55F1">
          <w:rPr>
            <w:noProof/>
          </w:rPr>
          <w:t>3</w:t>
        </w:r>
      </w:fldSimple>
      <w:bookmarkEnd w:id="131"/>
      <w:r>
        <w:tab/>
        <w:t>Project Consistency with General Plan and Municipal Code</w:t>
      </w:r>
      <w:bookmarkEnd w:id="132"/>
      <w:r>
        <w:t xml:space="preserve"> </w:t>
      </w:r>
    </w:p>
    <w:tbl>
      <w:tblPr>
        <w:tblStyle w:val="TableGrid"/>
        <w:tblW w:w="9029" w:type="dxa"/>
        <w:tblLook w:val="04A0" w:firstRow="1" w:lastRow="0" w:firstColumn="1" w:lastColumn="0" w:noHBand="0" w:noVBand="1"/>
      </w:tblPr>
      <w:tblGrid>
        <w:gridCol w:w="4950"/>
        <w:gridCol w:w="4079"/>
      </w:tblGrid>
      <w:tr w:rsidR="00162D3D" w:rsidRPr="0064015D" w14:paraId="29DFB56E" w14:textId="77777777" w:rsidTr="00147C30">
        <w:tc>
          <w:tcPr>
            <w:tcW w:w="4950" w:type="dxa"/>
            <w:tcBorders>
              <w:top w:val="nil"/>
              <w:left w:val="nil"/>
              <w:bottom w:val="nil"/>
              <w:right w:val="nil"/>
            </w:tcBorders>
            <w:shd w:val="clear" w:color="auto" w:fill="000000" w:themeFill="text1"/>
            <w:vAlign w:val="bottom"/>
          </w:tcPr>
          <w:p w14:paraId="6B5D30C4" w14:textId="77777777" w:rsidR="00162D3D" w:rsidRPr="0064015D" w:rsidRDefault="00162D3D" w:rsidP="0064015D">
            <w:pPr>
              <w:pStyle w:val="Body"/>
              <w:spacing w:before="80" w:after="80"/>
              <w:rPr>
                <w:b/>
                <w:bCs/>
                <w:sz w:val="18"/>
                <w:szCs w:val="18"/>
              </w:rPr>
            </w:pPr>
            <w:r w:rsidRPr="0064015D">
              <w:rPr>
                <w:b/>
                <w:bCs/>
                <w:sz w:val="18"/>
                <w:szCs w:val="18"/>
              </w:rPr>
              <w:t>Policy/Standard</w:t>
            </w:r>
          </w:p>
        </w:tc>
        <w:tc>
          <w:tcPr>
            <w:tcW w:w="4079" w:type="dxa"/>
            <w:tcBorders>
              <w:top w:val="nil"/>
              <w:left w:val="nil"/>
              <w:bottom w:val="nil"/>
              <w:right w:val="nil"/>
            </w:tcBorders>
            <w:shd w:val="clear" w:color="auto" w:fill="000000" w:themeFill="text1"/>
            <w:vAlign w:val="bottom"/>
          </w:tcPr>
          <w:p w14:paraId="7124BFD1" w14:textId="77777777" w:rsidR="00162D3D" w:rsidRPr="0064015D" w:rsidRDefault="00162D3D" w:rsidP="0064015D">
            <w:pPr>
              <w:pStyle w:val="Body"/>
              <w:spacing w:before="80" w:after="80"/>
              <w:rPr>
                <w:b/>
                <w:bCs/>
                <w:sz w:val="18"/>
                <w:szCs w:val="18"/>
              </w:rPr>
            </w:pPr>
            <w:r w:rsidRPr="0064015D">
              <w:rPr>
                <w:b/>
                <w:bCs/>
                <w:sz w:val="18"/>
                <w:szCs w:val="18"/>
              </w:rPr>
              <w:t xml:space="preserve">Project Consistency </w:t>
            </w:r>
          </w:p>
        </w:tc>
      </w:tr>
      <w:tr w:rsidR="00162D3D" w:rsidRPr="0064015D" w14:paraId="3EB837F2" w14:textId="77777777" w:rsidTr="00147C30">
        <w:tc>
          <w:tcPr>
            <w:tcW w:w="4950" w:type="dxa"/>
            <w:tcBorders>
              <w:top w:val="nil"/>
              <w:left w:val="nil"/>
              <w:bottom w:val="nil"/>
              <w:right w:val="nil"/>
            </w:tcBorders>
            <w:shd w:val="clear" w:color="auto" w:fill="D9D9D9" w:themeFill="background1" w:themeFillShade="D9"/>
          </w:tcPr>
          <w:p w14:paraId="06400439" w14:textId="77777777" w:rsidR="00162D3D" w:rsidRPr="0064015D" w:rsidRDefault="00162D3D" w:rsidP="0064015D">
            <w:pPr>
              <w:pStyle w:val="Body"/>
              <w:spacing w:before="40" w:after="40"/>
              <w:rPr>
                <w:b/>
                <w:bCs/>
                <w:sz w:val="18"/>
                <w:szCs w:val="18"/>
              </w:rPr>
            </w:pPr>
            <w:r w:rsidRPr="0064015D">
              <w:rPr>
                <w:b/>
                <w:bCs/>
                <w:sz w:val="18"/>
                <w:szCs w:val="18"/>
              </w:rPr>
              <w:t xml:space="preserve">City of Mountain View 2030 General Plan </w:t>
            </w:r>
          </w:p>
        </w:tc>
        <w:tc>
          <w:tcPr>
            <w:tcW w:w="4079" w:type="dxa"/>
            <w:tcBorders>
              <w:top w:val="nil"/>
              <w:left w:val="nil"/>
              <w:bottom w:val="nil"/>
              <w:right w:val="nil"/>
            </w:tcBorders>
            <w:shd w:val="clear" w:color="auto" w:fill="D9D9D9" w:themeFill="background1" w:themeFillShade="D9"/>
          </w:tcPr>
          <w:p w14:paraId="60EEA837" w14:textId="77777777" w:rsidR="00162D3D" w:rsidRPr="0064015D" w:rsidRDefault="00162D3D" w:rsidP="0064015D">
            <w:pPr>
              <w:pStyle w:val="Body"/>
              <w:spacing w:before="40" w:after="40"/>
              <w:rPr>
                <w:sz w:val="18"/>
                <w:szCs w:val="18"/>
              </w:rPr>
            </w:pPr>
          </w:p>
        </w:tc>
      </w:tr>
      <w:tr w:rsidR="00162D3D" w:rsidRPr="0064015D" w14:paraId="15DC757E" w14:textId="77777777" w:rsidTr="00147C30">
        <w:tc>
          <w:tcPr>
            <w:tcW w:w="4950" w:type="dxa"/>
            <w:tcBorders>
              <w:top w:val="nil"/>
              <w:left w:val="nil"/>
              <w:bottom w:val="nil"/>
              <w:right w:val="nil"/>
            </w:tcBorders>
          </w:tcPr>
          <w:p w14:paraId="3C472352" w14:textId="77777777" w:rsidR="00162D3D" w:rsidRPr="0064015D" w:rsidRDefault="00162D3D" w:rsidP="0064015D">
            <w:pPr>
              <w:pStyle w:val="EIRTableText"/>
            </w:pPr>
            <w:r w:rsidRPr="0064015D">
              <w:rPr>
                <w:b/>
              </w:rPr>
              <w:t>Policy LU-9.3.</w:t>
            </w:r>
            <w:r w:rsidRPr="0064015D">
              <w:rPr>
                <w:bCs w:val="0"/>
              </w:rPr>
              <w:t xml:space="preserve"> E</w:t>
            </w:r>
            <w:r w:rsidRPr="0064015D">
              <w:t xml:space="preserve">nsure that development enhances public spaces through these measures: </w:t>
            </w:r>
          </w:p>
          <w:p w14:paraId="1022C38E" w14:textId="4D1A6CD5" w:rsidR="00162D3D" w:rsidRPr="0064015D" w:rsidRDefault="00162D3D" w:rsidP="0064015D">
            <w:pPr>
              <w:pStyle w:val="bulletfortable"/>
            </w:pPr>
            <w:r w:rsidRPr="0064015D">
              <w:t>Encourage building articulation and use of special materials to provide visual interest</w:t>
            </w:r>
            <w:r w:rsidR="00275B75" w:rsidRPr="0064015D">
              <w:t xml:space="preserve">. </w:t>
            </w:r>
          </w:p>
          <w:p w14:paraId="20B4CBFF" w14:textId="77777777" w:rsidR="00162D3D" w:rsidRPr="0064015D" w:rsidRDefault="00162D3D" w:rsidP="0064015D">
            <w:pPr>
              <w:pStyle w:val="bulletfortable"/>
            </w:pPr>
            <w:r w:rsidRPr="0064015D">
              <w:t xml:space="preserve">Promote and regulate high-quality sign materials, colors, and design that are compatible with site and building design. </w:t>
            </w:r>
          </w:p>
          <w:p w14:paraId="5302ABF5" w14:textId="77777777" w:rsidR="00162D3D" w:rsidRPr="0064015D" w:rsidRDefault="00162D3D" w:rsidP="0064015D">
            <w:pPr>
              <w:pStyle w:val="bulletfortable"/>
            </w:pPr>
            <w:r w:rsidRPr="0064015D">
              <w:t>Encourage attractive water-efficient landscaping on the ground level.</w:t>
            </w:r>
          </w:p>
        </w:tc>
        <w:tc>
          <w:tcPr>
            <w:tcW w:w="4079" w:type="dxa"/>
            <w:tcBorders>
              <w:top w:val="nil"/>
              <w:left w:val="nil"/>
              <w:bottom w:val="nil"/>
              <w:right w:val="nil"/>
            </w:tcBorders>
          </w:tcPr>
          <w:p w14:paraId="288BCA4B" w14:textId="7ABAC71E" w:rsidR="00162D3D" w:rsidRPr="0064015D" w:rsidRDefault="00162D3D" w:rsidP="0064015D">
            <w:pPr>
              <w:pStyle w:val="EIRTableText"/>
            </w:pPr>
            <w:r w:rsidRPr="0064015D">
              <w:rPr>
                <w:b/>
              </w:rPr>
              <w:t xml:space="preserve">Consistent. </w:t>
            </w:r>
            <w:r w:rsidRPr="0064015D">
              <w:t xml:space="preserve">The proposed office structure would provide </w:t>
            </w:r>
            <w:r w:rsidR="00EA7B2A" w:rsidRPr="0064015D">
              <w:t xml:space="preserve">sufficient </w:t>
            </w:r>
            <w:r w:rsidRPr="0064015D">
              <w:t xml:space="preserve">visual interest with its incorporation of glass walls, metal siding and accents, and various neutral tones of concrete. The project would display the address of the office structure with metal lettering above the entrance, which would be compatible with the metal siding and accents incorporated throughout the building. In addition, the project would include ground-level landscaping on the northern boundary along Terra Bella Avenue and throughout the parking lot. </w:t>
            </w:r>
          </w:p>
        </w:tc>
      </w:tr>
      <w:tr w:rsidR="00162D3D" w:rsidRPr="0064015D" w14:paraId="4D46B3FB" w14:textId="77777777" w:rsidTr="00147C30">
        <w:tc>
          <w:tcPr>
            <w:tcW w:w="4950" w:type="dxa"/>
            <w:tcBorders>
              <w:top w:val="nil"/>
              <w:left w:val="nil"/>
              <w:bottom w:val="nil"/>
              <w:right w:val="nil"/>
            </w:tcBorders>
            <w:shd w:val="clear" w:color="auto" w:fill="D9D9D9" w:themeFill="background1" w:themeFillShade="D9"/>
          </w:tcPr>
          <w:p w14:paraId="2DA2A1F3" w14:textId="77777777" w:rsidR="00162D3D" w:rsidRPr="0064015D" w:rsidRDefault="00162D3D" w:rsidP="0064015D">
            <w:pPr>
              <w:pStyle w:val="Body"/>
              <w:spacing w:before="40" w:after="40"/>
              <w:rPr>
                <w:sz w:val="18"/>
                <w:szCs w:val="18"/>
              </w:rPr>
            </w:pPr>
            <w:r w:rsidRPr="0064015D">
              <w:rPr>
                <w:b/>
                <w:bCs/>
                <w:sz w:val="18"/>
                <w:szCs w:val="18"/>
              </w:rPr>
              <w:t xml:space="preserve">Mountain View Municipal Code </w:t>
            </w:r>
          </w:p>
        </w:tc>
        <w:tc>
          <w:tcPr>
            <w:tcW w:w="4079" w:type="dxa"/>
            <w:tcBorders>
              <w:top w:val="nil"/>
              <w:left w:val="nil"/>
              <w:bottom w:val="nil"/>
              <w:right w:val="nil"/>
            </w:tcBorders>
            <w:shd w:val="clear" w:color="auto" w:fill="D9D9D9" w:themeFill="background1" w:themeFillShade="D9"/>
          </w:tcPr>
          <w:p w14:paraId="532BAADD" w14:textId="77777777" w:rsidR="00162D3D" w:rsidRPr="0064015D" w:rsidRDefault="00162D3D" w:rsidP="0064015D">
            <w:pPr>
              <w:pStyle w:val="Body"/>
              <w:spacing w:before="40" w:after="40"/>
              <w:rPr>
                <w:sz w:val="18"/>
                <w:szCs w:val="18"/>
              </w:rPr>
            </w:pPr>
          </w:p>
        </w:tc>
      </w:tr>
      <w:tr w:rsidR="00162D3D" w:rsidRPr="0064015D" w14:paraId="73E62D98" w14:textId="77777777" w:rsidTr="00147C30">
        <w:tc>
          <w:tcPr>
            <w:tcW w:w="4950" w:type="dxa"/>
            <w:tcBorders>
              <w:top w:val="nil"/>
              <w:left w:val="nil"/>
              <w:bottom w:val="single" w:sz="4" w:space="0" w:color="BFBFBF" w:themeColor="background1" w:themeShade="BF"/>
              <w:right w:val="nil"/>
            </w:tcBorders>
            <w:shd w:val="clear" w:color="auto" w:fill="auto"/>
          </w:tcPr>
          <w:p w14:paraId="2C7379E7" w14:textId="77777777" w:rsidR="00162D3D" w:rsidRPr="0064015D" w:rsidRDefault="00162D3D" w:rsidP="0064015D">
            <w:pPr>
              <w:pStyle w:val="EIRTableText"/>
              <w:rPr>
                <w:b/>
                <w:bCs w:val="0"/>
              </w:rPr>
            </w:pPr>
            <w:r w:rsidRPr="0064015D">
              <w:rPr>
                <w:b/>
              </w:rPr>
              <w:t xml:space="preserve">Section 8.252(i)(4). </w:t>
            </w:r>
            <w:r w:rsidRPr="0064015D">
              <w:t>Nonresidential building security- lighting requirements.</w:t>
            </w:r>
            <w:r w:rsidRPr="0064015D">
              <w:rPr>
                <w:i/>
                <w:iCs/>
              </w:rPr>
              <w:t xml:space="preserve"> </w:t>
            </w:r>
            <w:r w:rsidRPr="0064015D">
              <w:rPr>
                <w:shd w:val="clear" w:color="auto" w:fill="FFFFFF"/>
              </w:rPr>
              <w:t>All required lighting shall be designed to turn on automatically. In addition, lighting shall be designed and installed on the premises in such a manner so as to avoid causing off-site glare or nuisance.</w:t>
            </w:r>
          </w:p>
        </w:tc>
        <w:tc>
          <w:tcPr>
            <w:tcW w:w="4079" w:type="dxa"/>
            <w:tcBorders>
              <w:top w:val="nil"/>
              <w:left w:val="nil"/>
              <w:bottom w:val="single" w:sz="4" w:space="0" w:color="BFBFBF" w:themeColor="background1" w:themeShade="BF"/>
              <w:right w:val="nil"/>
            </w:tcBorders>
            <w:shd w:val="clear" w:color="auto" w:fill="auto"/>
          </w:tcPr>
          <w:p w14:paraId="651864F6" w14:textId="77777777" w:rsidR="00162D3D" w:rsidRPr="0064015D" w:rsidRDefault="00162D3D" w:rsidP="0064015D">
            <w:pPr>
              <w:pStyle w:val="Body"/>
              <w:spacing w:before="40" w:after="40"/>
              <w:rPr>
                <w:sz w:val="18"/>
                <w:szCs w:val="18"/>
              </w:rPr>
            </w:pPr>
            <w:r w:rsidRPr="0064015D">
              <w:rPr>
                <w:b/>
                <w:bCs/>
                <w:sz w:val="18"/>
                <w:szCs w:val="18"/>
              </w:rPr>
              <w:t xml:space="preserve">Consistent. </w:t>
            </w:r>
            <w:r w:rsidRPr="0064015D">
              <w:rPr>
                <w:sz w:val="18"/>
                <w:szCs w:val="18"/>
              </w:rPr>
              <w:t xml:space="preserve">Lighting at the project site would be designed to turn on automatically. Proposed lighting features, such as pole parking lights, shielded bollard lights, exterior downlights, and trellis downlights would be shielded and/or angled downward to avoid off-site glare or nuisance. </w:t>
            </w:r>
          </w:p>
        </w:tc>
      </w:tr>
      <w:tr w:rsidR="00162D3D" w:rsidRPr="0064015D" w14:paraId="74F28893" w14:textId="77777777" w:rsidTr="00147C30">
        <w:tc>
          <w:tcPr>
            <w:tcW w:w="4950" w:type="dxa"/>
            <w:tcBorders>
              <w:top w:val="single" w:sz="4" w:space="0" w:color="BFBFBF" w:themeColor="background1" w:themeShade="BF"/>
              <w:left w:val="nil"/>
              <w:bottom w:val="single" w:sz="4" w:space="0" w:color="BFBFBF" w:themeColor="background1" w:themeShade="BF"/>
              <w:right w:val="nil"/>
            </w:tcBorders>
            <w:shd w:val="clear" w:color="auto" w:fill="auto"/>
          </w:tcPr>
          <w:p w14:paraId="60702690" w14:textId="77777777" w:rsidR="00162D3D" w:rsidRPr="0064015D" w:rsidRDefault="00162D3D" w:rsidP="0064015D">
            <w:pPr>
              <w:pStyle w:val="EIRTableText"/>
              <w:rPr>
                <w:b/>
              </w:rPr>
            </w:pPr>
            <w:r w:rsidRPr="0064015D">
              <w:rPr>
                <w:b/>
              </w:rPr>
              <w:t xml:space="preserve">Section 28.45. </w:t>
            </w:r>
            <w:r w:rsidRPr="0064015D">
              <w:rPr>
                <w:iCs/>
              </w:rPr>
              <w:t>Lighting.</w:t>
            </w:r>
            <w:r w:rsidRPr="0064015D">
              <w:rPr>
                <w:i/>
              </w:rPr>
              <w:t xml:space="preserve"> </w:t>
            </w:r>
            <w:r w:rsidRPr="0064015D">
              <w:t xml:space="preserve">All lighting on dedicated rights-of-way shall be installed on ornamental lighting equipment or electrolier standards as required by the public works director. </w:t>
            </w:r>
          </w:p>
        </w:tc>
        <w:tc>
          <w:tcPr>
            <w:tcW w:w="4079" w:type="dxa"/>
            <w:tcBorders>
              <w:top w:val="single" w:sz="4" w:space="0" w:color="BFBFBF" w:themeColor="background1" w:themeShade="BF"/>
              <w:left w:val="nil"/>
              <w:bottom w:val="single" w:sz="4" w:space="0" w:color="BFBFBF" w:themeColor="background1" w:themeShade="BF"/>
              <w:right w:val="nil"/>
            </w:tcBorders>
            <w:shd w:val="clear" w:color="auto" w:fill="auto"/>
          </w:tcPr>
          <w:p w14:paraId="49845660" w14:textId="77777777" w:rsidR="00162D3D" w:rsidRPr="0064015D" w:rsidRDefault="00162D3D" w:rsidP="0064015D">
            <w:pPr>
              <w:pStyle w:val="Body"/>
              <w:spacing w:before="40" w:after="40"/>
              <w:rPr>
                <w:sz w:val="18"/>
                <w:szCs w:val="18"/>
              </w:rPr>
            </w:pPr>
            <w:r w:rsidRPr="0064015D">
              <w:rPr>
                <w:b/>
                <w:bCs/>
                <w:sz w:val="18"/>
                <w:szCs w:val="18"/>
              </w:rPr>
              <w:t>Consistent.</w:t>
            </w:r>
            <w:r w:rsidRPr="0064015D">
              <w:rPr>
                <w:sz w:val="18"/>
                <w:szCs w:val="18"/>
              </w:rPr>
              <w:t xml:space="preserve"> The project does not include lighting within the right-of-way. </w:t>
            </w:r>
          </w:p>
        </w:tc>
      </w:tr>
      <w:tr w:rsidR="00162D3D" w:rsidRPr="0064015D" w14:paraId="29C66E8F" w14:textId="77777777" w:rsidTr="00147C30">
        <w:tc>
          <w:tcPr>
            <w:tcW w:w="4950" w:type="dxa"/>
            <w:tcBorders>
              <w:top w:val="single" w:sz="4" w:space="0" w:color="BFBFBF" w:themeColor="background1" w:themeShade="BF"/>
              <w:left w:val="nil"/>
              <w:bottom w:val="single" w:sz="4" w:space="0" w:color="auto"/>
              <w:right w:val="nil"/>
            </w:tcBorders>
            <w:shd w:val="clear" w:color="auto" w:fill="auto"/>
          </w:tcPr>
          <w:p w14:paraId="176E583B" w14:textId="77777777" w:rsidR="00162D3D" w:rsidRPr="0064015D" w:rsidRDefault="00162D3D" w:rsidP="0064015D">
            <w:pPr>
              <w:pStyle w:val="EIRTableText"/>
              <w:rPr>
                <w:shd w:val="clear" w:color="auto" w:fill="FFFFFF"/>
              </w:rPr>
            </w:pPr>
            <w:r w:rsidRPr="0064015D">
              <w:rPr>
                <w:b/>
              </w:rPr>
              <w:t xml:space="preserve">Section32.28(c). </w:t>
            </w:r>
            <w:r w:rsidRPr="0064015D">
              <w:t>Application for removal permit; term of permit.</w:t>
            </w:r>
            <w:r w:rsidRPr="0064015D">
              <w:rPr>
                <w:i/>
                <w:iCs/>
              </w:rPr>
              <w:t xml:space="preserve"> </w:t>
            </w:r>
            <w:r w:rsidRPr="0064015D">
              <w:t xml:space="preserve">All applications for </w:t>
            </w:r>
            <w:r w:rsidRPr="0064015D">
              <w:rPr>
                <w:shd w:val="clear" w:color="auto" w:fill="FFFFFF"/>
              </w:rPr>
              <w:t>All applications for heritage tree removal permits shall specify the number, species, size, and exact location of the tree or trees involved, a brief statement of the reason for the requested removal, and any other pertinent information as may be required by the city. The applicant may be required to provide a plot plan or survey drawn to scale depicting the tree(s) and any improvements on the property and/or an arborist's report.</w:t>
            </w:r>
          </w:p>
        </w:tc>
        <w:tc>
          <w:tcPr>
            <w:tcW w:w="4079" w:type="dxa"/>
            <w:tcBorders>
              <w:top w:val="single" w:sz="4" w:space="0" w:color="BFBFBF" w:themeColor="background1" w:themeShade="BF"/>
              <w:left w:val="nil"/>
              <w:bottom w:val="single" w:sz="4" w:space="0" w:color="auto"/>
              <w:right w:val="nil"/>
            </w:tcBorders>
            <w:shd w:val="clear" w:color="auto" w:fill="auto"/>
          </w:tcPr>
          <w:p w14:paraId="7F3B8767" w14:textId="22266F13" w:rsidR="00162D3D" w:rsidRPr="0064015D" w:rsidRDefault="00162D3D" w:rsidP="0064015D">
            <w:pPr>
              <w:pStyle w:val="Body"/>
              <w:spacing w:before="40" w:after="40"/>
              <w:rPr>
                <w:sz w:val="18"/>
                <w:szCs w:val="18"/>
              </w:rPr>
            </w:pPr>
            <w:r w:rsidRPr="0064015D">
              <w:rPr>
                <w:b/>
                <w:bCs/>
                <w:sz w:val="18"/>
                <w:szCs w:val="18"/>
              </w:rPr>
              <w:t>Consistent.</w:t>
            </w:r>
            <w:r w:rsidRPr="0064015D">
              <w:rPr>
                <w:sz w:val="18"/>
                <w:szCs w:val="18"/>
              </w:rPr>
              <w:t xml:space="preserve"> The project applicant would be required to obtain a Heritage Tree Removal Permit. The project would involve the planting of trees, which would include the Heritage Tree Removal Permit required two trees planted for each heritage tree removed.</w:t>
            </w:r>
          </w:p>
        </w:tc>
      </w:tr>
      <w:tr w:rsidR="00162D3D" w:rsidRPr="0064015D" w14:paraId="68905E0E" w14:textId="77777777" w:rsidTr="0064015D">
        <w:tc>
          <w:tcPr>
            <w:tcW w:w="9029" w:type="dxa"/>
            <w:gridSpan w:val="2"/>
            <w:tcBorders>
              <w:top w:val="single" w:sz="4" w:space="0" w:color="auto"/>
              <w:left w:val="nil"/>
              <w:bottom w:val="single" w:sz="4" w:space="0" w:color="auto"/>
              <w:right w:val="nil"/>
            </w:tcBorders>
            <w:shd w:val="clear" w:color="auto" w:fill="auto"/>
          </w:tcPr>
          <w:p w14:paraId="3C8C2C68" w14:textId="77777777" w:rsidR="00162D3D" w:rsidRPr="0064015D" w:rsidRDefault="00162D3D" w:rsidP="0064015D">
            <w:pPr>
              <w:pStyle w:val="EIRTableNotes"/>
            </w:pPr>
            <w:r w:rsidRPr="0064015D">
              <w:t xml:space="preserve">Source: City of Mountain View 2012a, Mountain View Municipal Code </w:t>
            </w:r>
          </w:p>
        </w:tc>
      </w:tr>
    </w:tbl>
    <w:p w14:paraId="4B9CA727" w14:textId="28365922" w:rsidR="00DE61E2" w:rsidRDefault="00DE61E2" w:rsidP="0035394B">
      <w:pPr>
        <w:pStyle w:val="bodyafter"/>
      </w:pPr>
      <w:r>
        <w:t xml:space="preserve">The office structure would be </w:t>
      </w:r>
      <w:r w:rsidR="00842928">
        <w:t>located</w:t>
      </w:r>
      <w:r>
        <w:t xml:space="preserve"> in the Limited Industrial </w:t>
      </w:r>
      <w:r w:rsidR="00842928">
        <w:t xml:space="preserve">(ML) </w:t>
      </w:r>
      <w:r>
        <w:t>portion of the project site</w:t>
      </w:r>
      <w:r w:rsidR="00842928">
        <w:t xml:space="preserve">, and the parking lot would be located in the General Industrial (MM) portion. </w:t>
      </w:r>
      <w:r w:rsidR="002D3451">
        <w:fldChar w:fldCharType="begin"/>
      </w:r>
      <w:r w:rsidR="002D3451">
        <w:instrText xml:space="preserve"> REF _Ref87623718 \h </w:instrText>
      </w:r>
      <w:r w:rsidR="002D3451">
        <w:fldChar w:fldCharType="separate"/>
      </w:r>
      <w:r w:rsidR="00FA55F1">
        <w:t xml:space="preserve">Table </w:t>
      </w:r>
      <w:r w:rsidR="00FA55F1">
        <w:rPr>
          <w:noProof/>
        </w:rPr>
        <w:t>4</w:t>
      </w:r>
      <w:r w:rsidR="002D3451">
        <w:fldChar w:fldCharType="end"/>
      </w:r>
      <w:r w:rsidR="002D3451">
        <w:t xml:space="preserve"> </w:t>
      </w:r>
      <w:r w:rsidR="00842928">
        <w:t xml:space="preserve">below demonstrates that the proposed project would be in compliance with ML and MM zoning </w:t>
      </w:r>
      <w:r w:rsidR="00EA7B2A">
        <w:t>standards</w:t>
      </w:r>
      <w:r w:rsidR="00842928">
        <w:t xml:space="preserve">, </w:t>
      </w:r>
      <w:r w:rsidR="00BE2E4E">
        <w:t xml:space="preserve">specifically those that regulate scale and massing, </w:t>
      </w:r>
      <w:r w:rsidR="00842928">
        <w:t>pursuant to MV</w:t>
      </w:r>
      <w:r w:rsidR="004D3568">
        <w:t>M</w:t>
      </w:r>
      <w:r w:rsidR="00842928">
        <w:t xml:space="preserve">C Sections 36.20.25 and 36.20.35. </w:t>
      </w:r>
    </w:p>
    <w:p w14:paraId="7C302FFB" w14:textId="4C85BB20" w:rsidR="002D3451" w:rsidRDefault="002D3451" w:rsidP="00147C30">
      <w:pPr>
        <w:pStyle w:val="TableCaption"/>
      </w:pPr>
      <w:bookmarkStart w:id="133" w:name="_Ref87623718"/>
      <w:bookmarkStart w:id="134" w:name="_Toc112942453"/>
      <w:r>
        <w:t xml:space="preserve">Table </w:t>
      </w:r>
      <w:fldSimple w:instr=" SEQ Table \* ARABIC ">
        <w:r w:rsidR="00FA55F1">
          <w:rPr>
            <w:noProof/>
          </w:rPr>
          <w:t>4</w:t>
        </w:r>
      </w:fldSimple>
      <w:bookmarkEnd w:id="133"/>
      <w:r w:rsidR="00AC1C51">
        <w:tab/>
      </w:r>
      <w:r>
        <w:t>Project Consistency with City Zoning Requirements</w:t>
      </w:r>
      <w:bookmarkEnd w:id="134"/>
      <w:r>
        <w:t xml:space="preserve"> </w:t>
      </w:r>
    </w:p>
    <w:tbl>
      <w:tblPr>
        <w:tblStyle w:val="TableGrid"/>
        <w:tblW w:w="9029" w:type="dxa"/>
        <w:tblLook w:val="04A0" w:firstRow="1" w:lastRow="0" w:firstColumn="1" w:lastColumn="0" w:noHBand="0" w:noVBand="1"/>
      </w:tblPr>
      <w:tblGrid>
        <w:gridCol w:w="1093"/>
        <w:gridCol w:w="3411"/>
        <w:gridCol w:w="4525"/>
      </w:tblGrid>
      <w:tr w:rsidR="00842928" w:rsidRPr="0064015D" w14:paraId="625E3561" w14:textId="77777777" w:rsidTr="00147C30">
        <w:trPr>
          <w:tblHeader/>
        </w:trPr>
        <w:tc>
          <w:tcPr>
            <w:tcW w:w="1093" w:type="dxa"/>
            <w:tcBorders>
              <w:bottom w:val="nil"/>
            </w:tcBorders>
            <w:shd w:val="clear" w:color="auto" w:fill="000000" w:themeFill="text1"/>
            <w:vAlign w:val="bottom"/>
          </w:tcPr>
          <w:p w14:paraId="4B3F8704" w14:textId="6C6ADA65" w:rsidR="00842928" w:rsidRPr="0064015D" w:rsidRDefault="00842928" w:rsidP="0064015D">
            <w:pPr>
              <w:pStyle w:val="Body"/>
              <w:spacing w:before="80" w:after="80"/>
              <w:rPr>
                <w:b/>
                <w:bCs/>
                <w:sz w:val="18"/>
                <w:szCs w:val="18"/>
              </w:rPr>
            </w:pPr>
            <w:r w:rsidRPr="0064015D">
              <w:rPr>
                <w:b/>
                <w:bCs/>
                <w:sz w:val="18"/>
                <w:szCs w:val="18"/>
              </w:rPr>
              <w:t xml:space="preserve">Feature </w:t>
            </w:r>
          </w:p>
        </w:tc>
        <w:tc>
          <w:tcPr>
            <w:tcW w:w="3411" w:type="dxa"/>
            <w:tcBorders>
              <w:bottom w:val="nil"/>
            </w:tcBorders>
            <w:shd w:val="clear" w:color="auto" w:fill="000000" w:themeFill="text1"/>
            <w:vAlign w:val="bottom"/>
          </w:tcPr>
          <w:p w14:paraId="5F2B72E7" w14:textId="79200575" w:rsidR="00842928" w:rsidRPr="0064015D" w:rsidRDefault="00842928" w:rsidP="0064015D">
            <w:pPr>
              <w:pStyle w:val="Body"/>
              <w:spacing w:before="80" w:after="80"/>
              <w:rPr>
                <w:b/>
                <w:bCs/>
                <w:sz w:val="18"/>
                <w:szCs w:val="18"/>
              </w:rPr>
            </w:pPr>
            <w:r w:rsidRPr="0064015D">
              <w:rPr>
                <w:b/>
                <w:bCs/>
                <w:sz w:val="18"/>
                <w:szCs w:val="18"/>
              </w:rPr>
              <w:t xml:space="preserve">Zoning Requirements </w:t>
            </w:r>
          </w:p>
        </w:tc>
        <w:tc>
          <w:tcPr>
            <w:tcW w:w="4525" w:type="dxa"/>
            <w:tcBorders>
              <w:bottom w:val="nil"/>
            </w:tcBorders>
            <w:shd w:val="clear" w:color="auto" w:fill="000000" w:themeFill="text1"/>
            <w:vAlign w:val="bottom"/>
          </w:tcPr>
          <w:p w14:paraId="20E3E894" w14:textId="73BCE828" w:rsidR="00842928" w:rsidRPr="0064015D" w:rsidRDefault="00842928" w:rsidP="0064015D">
            <w:pPr>
              <w:pStyle w:val="Body"/>
              <w:spacing w:before="80" w:after="80"/>
              <w:rPr>
                <w:b/>
                <w:bCs/>
                <w:sz w:val="18"/>
                <w:szCs w:val="18"/>
              </w:rPr>
            </w:pPr>
            <w:r w:rsidRPr="0064015D">
              <w:rPr>
                <w:b/>
                <w:bCs/>
                <w:sz w:val="18"/>
                <w:szCs w:val="18"/>
              </w:rPr>
              <w:t xml:space="preserve">Proposed Building Feature </w:t>
            </w:r>
          </w:p>
        </w:tc>
      </w:tr>
      <w:tr w:rsidR="00842928" w:rsidRPr="0064015D" w14:paraId="1A543618" w14:textId="77777777" w:rsidTr="0064015D">
        <w:tc>
          <w:tcPr>
            <w:tcW w:w="1093" w:type="dxa"/>
            <w:tcBorders>
              <w:top w:val="nil"/>
              <w:left w:val="nil"/>
              <w:bottom w:val="nil"/>
              <w:right w:val="nil"/>
            </w:tcBorders>
            <w:shd w:val="clear" w:color="auto" w:fill="D9D9D9" w:themeFill="background1" w:themeFillShade="D9"/>
          </w:tcPr>
          <w:p w14:paraId="5332AC3E" w14:textId="7039F7CE" w:rsidR="00842928" w:rsidRPr="0064015D" w:rsidRDefault="00842928" w:rsidP="0064015D">
            <w:pPr>
              <w:pStyle w:val="Body"/>
              <w:spacing w:before="40" w:after="40"/>
              <w:rPr>
                <w:b/>
                <w:bCs/>
                <w:sz w:val="18"/>
                <w:szCs w:val="18"/>
              </w:rPr>
            </w:pPr>
            <w:r w:rsidRPr="0064015D">
              <w:rPr>
                <w:b/>
                <w:bCs/>
                <w:sz w:val="18"/>
                <w:szCs w:val="18"/>
              </w:rPr>
              <w:t>ML Zone</w:t>
            </w:r>
          </w:p>
        </w:tc>
        <w:tc>
          <w:tcPr>
            <w:tcW w:w="3411" w:type="dxa"/>
            <w:tcBorders>
              <w:top w:val="nil"/>
              <w:left w:val="nil"/>
              <w:bottom w:val="nil"/>
              <w:right w:val="nil"/>
            </w:tcBorders>
            <w:shd w:val="clear" w:color="auto" w:fill="D9D9D9" w:themeFill="background1" w:themeFillShade="D9"/>
          </w:tcPr>
          <w:p w14:paraId="5A06B6D7" w14:textId="77777777" w:rsidR="00842928" w:rsidRPr="0064015D" w:rsidRDefault="00842928" w:rsidP="0064015D">
            <w:pPr>
              <w:pStyle w:val="Body"/>
              <w:spacing w:before="40" w:after="40"/>
              <w:rPr>
                <w:sz w:val="18"/>
                <w:szCs w:val="18"/>
              </w:rPr>
            </w:pPr>
          </w:p>
        </w:tc>
        <w:tc>
          <w:tcPr>
            <w:tcW w:w="4525" w:type="dxa"/>
            <w:tcBorders>
              <w:top w:val="nil"/>
              <w:left w:val="nil"/>
              <w:bottom w:val="nil"/>
              <w:right w:val="nil"/>
            </w:tcBorders>
            <w:shd w:val="clear" w:color="auto" w:fill="D9D9D9" w:themeFill="background1" w:themeFillShade="D9"/>
          </w:tcPr>
          <w:p w14:paraId="4EA13AA9" w14:textId="77777777" w:rsidR="00842928" w:rsidRPr="0064015D" w:rsidRDefault="00842928" w:rsidP="0064015D">
            <w:pPr>
              <w:pStyle w:val="Body"/>
              <w:spacing w:before="40" w:after="40"/>
              <w:rPr>
                <w:sz w:val="18"/>
                <w:szCs w:val="18"/>
              </w:rPr>
            </w:pPr>
          </w:p>
        </w:tc>
      </w:tr>
      <w:tr w:rsidR="00842928" w:rsidRPr="0064015D" w14:paraId="01666FAC" w14:textId="77777777" w:rsidTr="0064015D">
        <w:tc>
          <w:tcPr>
            <w:tcW w:w="1093" w:type="dxa"/>
            <w:tcBorders>
              <w:top w:val="nil"/>
              <w:left w:val="nil"/>
              <w:bottom w:val="single" w:sz="4" w:space="0" w:color="BFBFBF" w:themeColor="background1" w:themeShade="BF"/>
              <w:right w:val="nil"/>
            </w:tcBorders>
          </w:tcPr>
          <w:p w14:paraId="2BAC023F" w14:textId="5E9D6840" w:rsidR="00842928" w:rsidRPr="0064015D" w:rsidRDefault="00215CFE" w:rsidP="0064015D">
            <w:pPr>
              <w:pStyle w:val="Body"/>
              <w:spacing w:before="40" w:after="40"/>
              <w:rPr>
                <w:sz w:val="18"/>
                <w:szCs w:val="18"/>
              </w:rPr>
            </w:pPr>
            <w:r w:rsidRPr="0064015D">
              <w:rPr>
                <w:sz w:val="18"/>
                <w:szCs w:val="18"/>
              </w:rPr>
              <w:t>FAR</w:t>
            </w:r>
          </w:p>
        </w:tc>
        <w:tc>
          <w:tcPr>
            <w:tcW w:w="3411" w:type="dxa"/>
            <w:tcBorders>
              <w:top w:val="nil"/>
              <w:left w:val="nil"/>
              <w:bottom w:val="single" w:sz="4" w:space="0" w:color="BFBFBF" w:themeColor="background1" w:themeShade="BF"/>
              <w:right w:val="nil"/>
            </w:tcBorders>
          </w:tcPr>
          <w:p w14:paraId="00DF0854" w14:textId="482DA05D" w:rsidR="00842928" w:rsidRPr="0064015D" w:rsidRDefault="00215CFE" w:rsidP="0064015D">
            <w:pPr>
              <w:pStyle w:val="Body"/>
              <w:spacing w:before="40" w:after="40"/>
              <w:rPr>
                <w:sz w:val="18"/>
                <w:szCs w:val="18"/>
              </w:rPr>
            </w:pPr>
            <w:r w:rsidRPr="0064015D">
              <w:rPr>
                <w:sz w:val="18"/>
                <w:szCs w:val="18"/>
              </w:rPr>
              <w:t>0.35</w:t>
            </w:r>
          </w:p>
        </w:tc>
        <w:tc>
          <w:tcPr>
            <w:tcW w:w="4525" w:type="dxa"/>
            <w:tcBorders>
              <w:top w:val="nil"/>
              <w:left w:val="nil"/>
              <w:bottom w:val="single" w:sz="4" w:space="0" w:color="BFBFBF" w:themeColor="background1" w:themeShade="BF"/>
              <w:right w:val="nil"/>
            </w:tcBorders>
          </w:tcPr>
          <w:p w14:paraId="074F1F0A" w14:textId="4298DCE7" w:rsidR="00842928" w:rsidRPr="0064015D" w:rsidRDefault="00215CFE" w:rsidP="0064015D">
            <w:pPr>
              <w:pStyle w:val="Body"/>
              <w:spacing w:before="40" w:after="40"/>
              <w:rPr>
                <w:sz w:val="18"/>
                <w:szCs w:val="18"/>
              </w:rPr>
            </w:pPr>
            <w:r w:rsidRPr="0064015D">
              <w:rPr>
                <w:sz w:val="18"/>
                <w:szCs w:val="18"/>
              </w:rPr>
              <w:t>0.35</w:t>
            </w:r>
          </w:p>
        </w:tc>
      </w:tr>
      <w:tr w:rsidR="00842928" w:rsidRPr="0064015D" w14:paraId="71F2F918" w14:textId="77777777" w:rsidTr="0064015D">
        <w:tc>
          <w:tcPr>
            <w:tcW w:w="1093" w:type="dxa"/>
            <w:tcBorders>
              <w:top w:val="single" w:sz="4" w:space="0" w:color="BFBFBF" w:themeColor="background1" w:themeShade="BF"/>
              <w:left w:val="nil"/>
              <w:bottom w:val="single" w:sz="4" w:space="0" w:color="BFBFBF" w:themeColor="background1" w:themeShade="BF"/>
              <w:right w:val="nil"/>
            </w:tcBorders>
            <w:shd w:val="clear" w:color="auto" w:fill="auto"/>
          </w:tcPr>
          <w:p w14:paraId="51D6B877" w14:textId="32B8B9BE" w:rsidR="00842928" w:rsidRPr="0064015D" w:rsidRDefault="00215CFE" w:rsidP="0064015D">
            <w:pPr>
              <w:pStyle w:val="Body"/>
              <w:spacing w:before="40" w:after="40"/>
              <w:rPr>
                <w:sz w:val="18"/>
                <w:szCs w:val="18"/>
              </w:rPr>
            </w:pPr>
            <w:r w:rsidRPr="0064015D">
              <w:rPr>
                <w:sz w:val="18"/>
                <w:szCs w:val="18"/>
              </w:rPr>
              <w:t>Height</w:t>
            </w:r>
          </w:p>
        </w:tc>
        <w:tc>
          <w:tcPr>
            <w:tcW w:w="3411" w:type="dxa"/>
            <w:tcBorders>
              <w:top w:val="single" w:sz="4" w:space="0" w:color="BFBFBF" w:themeColor="background1" w:themeShade="BF"/>
              <w:left w:val="nil"/>
              <w:bottom w:val="single" w:sz="4" w:space="0" w:color="BFBFBF" w:themeColor="background1" w:themeShade="BF"/>
              <w:right w:val="nil"/>
            </w:tcBorders>
            <w:shd w:val="clear" w:color="auto" w:fill="auto"/>
          </w:tcPr>
          <w:p w14:paraId="356F9E69" w14:textId="3AEB3523" w:rsidR="00842928" w:rsidRPr="0064015D" w:rsidRDefault="00215CFE" w:rsidP="0064015D">
            <w:pPr>
              <w:pStyle w:val="Body"/>
              <w:spacing w:before="40" w:after="40"/>
              <w:rPr>
                <w:sz w:val="18"/>
                <w:szCs w:val="18"/>
              </w:rPr>
            </w:pPr>
            <w:r w:rsidRPr="0064015D">
              <w:rPr>
                <w:sz w:val="18"/>
                <w:szCs w:val="18"/>
              </w:rPr>
              <w:t>40 feet</w:t>
            </w:r>
            <w:r w:rsidR="00A24D2F">
              <w:rPr>
                <w:sz w:val="18"/>
                <w:szCs w:val="18"/>
                <w:vertAlign w:val="superscript"/>
              </w:rPr>
              <w:t>1</w:t>
            </w:r>
          </w:p>
        </w:tc>
        <w:tc>
          <w:tcPr>
            <w:tcW w:w="4525" w:type="dxa"/>
            <w:tcBorders>
              <w:top w:val="single" w:sz="4" w:space="0" w:color="BFBFBF" w:themeColor="background1" w:themeShade="BF"/>
              <w:left w:val="nil"/>
              <w:bottom w:val="single" w:sz="4" w:space="0" w:color="BFBFBF" w:themeColor="background1" w:themeShade="BF"/>
              <w:right w:val="nil"/>
            </w:tcBorders>
            <w:shd w:val="clear" w:color="auto" w:fill="auto"/>
          </w:tcPr>
          <w:p w14:paraId="161D026E" w14:textId="6A1F5A01" w:rsidR="00842928" w:rsidRPr="0064015D" w:rsidRDefault="00215CFE" w:rsidP="0064015D">
            <w:pPr>
              <w:pStyle w:val="Body"/>
              <w:spacing w:before="40" w:after="40"/>
              <w:rPr>
                <w:sz w:val="18"/>
                <w:szCs w:val="18"/>
              </w:rPr>
            </w:pPr>
            <w:r w:rsidRPr="0064015D">
              <w:rPr>
                <w:sz w:val="18"/>
                <w:szCs w:val="18"/>
              </w:rPr>
              <w:t xml:space="preserve">40 feet </w:t>
            </w:r>
          </w:p>
        </w:tc>
      </w:tr>
      <w:tr w:rsidR="00842928" w:rsidRPr="0064015D" w14:paraId="21273126" w14:textId="77777777" w:rsidTr="00147C30">
        <w:tc>
          <w:tcPr>
            <w:tcW w:w="1093" w:type="dxa"/>
            <w:tcBorders>
              <w:top w:val="single" w:sz="4" w:space="0" w:color="BFBFBF" w:themeColor="background1" w:themeShade="BF"/>
              <w:left w:val="nil"/>
              <w:bottom w:val="single" w:sz="4" w:space="0" w:color="BFBFBF" w:themeColor="background1" w:themeShade="BF"/>
              <w:right w:val="nil"/>
            </w:tcBorders>
            <w:shd w:val="clear" w:color="auto" w:fill="auto"/>
          </w:tcPr>
          <w:p w14:paraId="114B0455" w14:textId="02810158" w:rsidR="00842928" w:rsidRPr="0064015D" w:rsidRDefault="00215CFE" w:rsidP="0064015D">
            <w:pPr>
              <w:pStyle w:val="Body"/>
              <w:spacing w:before="40" w:after="40"/>
              <w:rPr>
                <w:sz w:val="18"/>
                <w:szCs w:val="18"/>
              </w:rPr>
            </w:pPr>
            <w:r w:rsidRPr="0064015D">
              <w:rPr>
                <w:sz w:val="18"/>
                <w:szCs w:val="18"/>
              </w:rPr>
              <w:t>Setbacks</w:t>
            </w:r>
          </w:p>
        </w:tc>
        <w:tc>
          <w:tcPr>
            <w:tcW w:w="3411" w:type="dxa"/>
            <w:tcBorders>
              <w:top w:val="single" w:sz="4" w:space="0" w:color="BFBFBF" w:themeColor="background1" w:themeShade="BF"/>
              <w:left w:val="nil"/>
              <w:bottom w:val="single" w:sz="4" w:space="0" w:color="BFBFBF" w:themeColor="background1" w:themeShade="BF"/>
              <w:right w:val="nil"/>
            </w:tcBorders>
            <w:shd w:val="clear" w:color="auto" w:fill="auto"/>
          </w:tcPr>
          <w:p w14:paraId="05F1F90A" w14:textId="49E996AD" w:rsidR="00215CFE" w:rsidRPr="0064015D" w:rsidRDefault="00215CFE" w:rsidP="0064015D">
            <w:pPr>
              <w:pStyle w:val="Body"/>
              <w:spacing w:before="40" w:after="40"/>
              <w:rPr>
                <w:sz w:val="18"/>
                <w:szCs w:val="18"/>
              </w:rPr>
            </w:pPr>
            <w:r w:rsidRPr="0064015D">
              <w:rPr>
                <w:sz w:val="18"/>
                <w:szCs w:val="18"/>
              </w:rPr>
              <w:t>Front: 20 feet minimum, 30 feet average</w:t>
            </w:r>
            <w:r w:rsidRPr="0064015D">
              <w:rPr>
                <w:sz w:val="18"/>
                <w:szCs w:val="18"/>
              </w:rPr>
              <w:br/>
              <w:t xml:space="preserve">Side: 30 feet aggregate </w:t>
            </w:r>
            <w:r w:rsidRPr="0064015D">
              <w:rPr>
                <w:sz w:val="18"/>
                <w:szCs w:val="18"/>
              </w:rPr>
              <w:br/>
              <w:t>Rear: 0 feet minimum</w:t>
            </w:r>
          </w:p>
        </w:tc>
        <w:tc>
          <w:tcPr>
            <w:tcW w:w="4525" w:type="dxa"/>
            <w:tcBorders>
              <w:top w:val="single" w:sz="4" w:space="0" w:color="BFBFBF" w:themeColor="background1" w:themeShade="BF"/>
              <w:left w:val="nil"/>
              <w:bottom w:val="single" w:sz="4" w:space="0" w:color="BFBFBF" w:themeColor="background1" w:themeShade="BF"/>
              <w:right w:val="nil"/>
            </w:tcBorders>
            <w:shd w:val="clear" w:color="auto" w:fill="auto"/>
          </w:tcPr>
          <w:p w14:paraId="2EEBA50A" w14:textId="7881855C" w:rsidR="00842928" w:rsidRPr="0064015D" w:rsidRDefault="00215CFE" w:rsidP="0064015D">
            <w:pPr>
              <w:pStyle w:val="Body"/>
              <w:spacing w:before="40" w:after="40"/>
              <w:rPr>
                <w:sz w:val="18"/>
                <w:szCs w:val="18"/>
              </w:rPr>
            </w:pPr>
            <w:r w:rsidRPr="0064015D">
              <w:rPr>
                <w:sz w:val="18"/>
                <w:szCs w:val="18"/>
              </w:rPr>
              <w:t>Front: 20 feet minimum, 30 feet average</w:t>
            </w:r>
            <w:r w:rsidRPr="0064015D">
              <w:rPr>
                <w:sz w:val="18"/>
                <w:szCs w:val="18"/>
              </w:rPr>
              <w:br/>
              <w:t xml:space="preserve">Side: 30 feet aggregate </w:t>
            </w:r>
            <w:r w:rsidRPr="0064015D">
              <w:rPr>
                <w:sz w:val="18"/>
                <w:szCs w:val="18"/>
              </w:rPr>
              <w:br/>
              <w:t xml:space="preserve">Rear: 10 feet </w:t>
            </w:r>
          </w:p>
        </w:tc>
      </w:tr>
      <w:tr w:rsidR="00842928" w:rsidRPr="0064015D" w14:paraId="23A54FA3" w14:textId="77777777" w:rsidTr="00147C30">
        <w:tc>
          <w:tcPr>
            <w:tcW w:w="1093" w:type="dxa"/>
            <w:tcBorders>
              <w:top w:val="single" w:sz="4" w:space="0" w:color="BFBFBF" w:themeColor="background1" w:themeShade="BF"/>
              <w:left w:val="nil"/>
              <w:bottom w:val="single" w:sz="4" w:space="0" w:color="BFBFBF" w:themeColor="background1" w:themeShade="BF"/>
              <w:right w:val="nil"/>
            </w:tcBorders>
          </w:tcPr>
          <w:p w14:paraId="77954157" w14:textId="4632DFD7" w:rsidR="00842928" w:rsidRPr="0064015D" w:rsidRDefault="00215CFE" w:rsidP="0064015D">
            <w:pPr>
              <w:pStyle w:val="Body"/>
              <w:spacing w:before="40" w:after="40"/>
              <w:rPr>
                <w:sz w:val="18"/>
                <w:szCs w:val="18"/>
              </w:rPr>
            </w:pPr>
            <w:r w:rsidRPr="0064015D">
              <w:rPr>
                <w:sz w:val="18"/>
                <w:szCs w:val="18"/>
              </w:rPr>
              <w:t xml:space="preserve">Parking </w:t>
            </w:r>
          </w:p>
        </w:tc>
        <w:tc>
          <w:tcPr>
            <w:tcW w:w="3411" w:type="dxa"/>
            <w:tcBorders>
              <w:top w:val="single" w:sz="4" w:space="0" w:color="BFBFBF" w:themeColor="background1" w:themeShade="BF"/>
              <w:left w:val="nil"/>
              <w:bottom w:val="single" w:sz="4" w:space="0" w:color="BFBFBF" w:themeColor="background1" w:themeShade="BF"/>
              <w:right w:val="nil"/>
            </w:tcBorders>
          </w:tcPr>
          <w:p w14:paraId="33F88BD6" w14:textId="4573A21E" w:rsidR="00842928" w:rsidRPr="0064015D" w:rsidRDefault="00215CFE" w:rsidP="0064015D">
            <w:pPr>
              <w:pStyle w:val="Body"/>
              <w:spacing w:before="40" w:after="40"/>
              <w:rPr>
                <w:sz w:val="18"/>
                <w:szCs w:val="18"/>
              </w:rPr>
            </w:pPr>
            <w:r w:rsidRPr="0064015D">
              <w:rPr>
                <w:sz w:val="18"/>
                <w:szCs w:val="18"/>
              </w:rPr>
              <w:t xml:space="preserve">1 stall/300 sf (67 stalls) </w:t>
            </w:r>
          </w:p>
        </w:tc>
        <w:tc>
          <w:tcPr>
            <w:tcW w:w="4525" w:type="dxa"/>
            <w:tcBorders>
              <w:top w:val="single" w:sz="4" w:space="0" w:color="BFBFBF" w:themeColor="background1" w:themeShade="BF"/>
              <w:left w:val="nil"/>
              <w:bottom w:val="single" w:sz="4" w:space="0" w:color="BFBFBF" w:themeColor="background1" w:themeShade="BF"/>
              <w:right w:val="nil"/>
            </w:tcBorders>
          </w:tcPr>
          <w:p w14:paraId="61195380" w14:textId="5562B6E6" w:rsidR="00842928" w:rsidRPr="0064015D" w:rsidRDefault="00215CFE" w:rsidP="0064015D">
            <w:pPr>
              <w:pStyle w:val="Body"/>
              <w:spacing w:before="40" w:after="40"/>
              <w:rPr>
                <w:sz w:val="18"/>
                <w:szCs w:val="18"/>
              </w:rPr>
            </w:pPr>
            <w:r w:rsidRPr="0064015D">
              <w:rPr>
                <w:sz w:val="18"/>
                <w:szCs w:val="18"/>
              </w:rPr>
              <w:t xml:space="preserve">75 stalls </w:t>
            </w:r>
          </w:p>
        </w:tc>
      </w:tr>
      <w:tr w:rsidR="00215CFE" w:rsidRPr="0064015D" w14:paraId="0CD59871" w14:textId="77777777" w:rsidTr="00147C30">
        <w:tc>
          <w:tcPr>
            <w:tcW w:w="1093" w:type="dxa"/>
            <w:tcBorders>
              <w:top w:val="single" w:sz="4" w:space="0" w:color="BFBFBF" w:themeColor="background1" w:themeShade="BF"/>
              <w:left w:val="nil"/>
              <w:bottom w:val="nil"/>
              <w:right w:val="nil"/>
            </w:tcBorders>
            <w:shd w:val="clear" w:color="auto" w:fill="D9D9D9" w:themeFill="background1" w:themeFillShade="D9"/>
          </w:tcPr>
          <w:p w14:paraId="683DB200" w14:textId="4A2CF76D" w:rsidR="00215CFE" w:rsidRPr="0064015D" w:rsidRDefault="00215CFE" w:rsidP="0064015D">
            <w:pPr>
              <w:pStyle w:val="Body"/>
              <w:spacing w:before="40" w:after="40"/>
              <w:rPr>
                <w:sz w:val="18"/>
                <w:szCs w:val="18"/>
              </w:rPr>
            </w:pPr>
            <w:r w:rsidRPr="0064015D">
              <w:rPr>
                <w:b/>
                <w:bCs/>
                <w:sz w:val="18"/>
                <w:szCs w:val="18"/>
              </w:rPr>
              <w:lastRenderedPageBreak/>
              <w:t>MM Zone</w:t>
            </w:r>
          </w:p>
        </w:tc>
        <w:tc>
          <w:tcPr>
            <w:tcW w:w="3411" w:type="dxa"/>
            <w:tcBorders>
              <w:top w:val="single" w:sz="4" w:space="0" w:color="BFBFBF" w:themeColor="background1" w:themeShade="BF"/>
              <w:left w:val="nil"/>
              <w:bottom w:val="nil"/>
              <w:right w:val="nil"/>
            </w:tcBorders>
            <w:shd w:val="clear" w:color="auto" w:fill="D9D9D9" w:themeFill="background1" w:themeFillShade="D9"/>
          </w:tcPr>
          <w:p w14:paraId="21E29107" w14:textId="77777777" w:rsidR="00215CFE" w:rsidRPr="0064015D" w:rsidRDefault="00215CFE" w:rsidP="0064015D">
            <w:pPr>
              <w:pStyle w:val="Body"/>
              <w:spacing w:before="40" w:after="40"/>
              <w:rPr>
                <w:sz w:val="18"/>
                <w:szCs w:val="18"/>
              </w:rPr>
            </w:pPr>
          </w:p>
        </w:tc>
        <w:tc>
          <w:tcPr>
            <w:tcW w:w="4525" w:type="dxa"/>
            <w:tcBorders>
              <w:top w:val="single" w:sz="4" w:space="0" w:color="BFBFBF" w:themeColor="background1" w:themeShade="BF"/>
              <w:left w:val="nil"/>
              <w:bottom w:val="nil"/>
              <w:right w:val="nil"/>
            </w:tcBorders>
            <w:shd w:val="clear" w:color="auto" w:fill="D9D9D9" w:themeFill="background1" w:themeFillShade="D9"/>
          </w:tcPr>
          <w:p w14:paraId="0BE28A05" w14:textId="77777777" w:rsidR="00215CFE" w:rsidRPr="0064015D" w:rsidRDefault="00215CFE" w:rsidP="0064015D">
            <w:pPr>
              <w:pStyle w:val="Body"/>
              <w:spacing w:before="40" w:after="40"/>
              <w:rPr>
                <w:sz w:val="18"/>
                <w:szCs w:val="18"/>
              </w:rPr>
            </w:pPr>
          </w:p>
        </w:tc>
      </w:tr>
      <w:tr w:rsidR="00215CFE" w:rsidRPr="0064015D" w14:paraId="02AAA49F" w14:textId="77777777" w:rsidTr="0064015D">
        <w:tc>
          <w:tcPr>
            <w:tcW w:w="1093" w:type="dxa"/>
            <w:tcBorders>
              <w:top w:val="nil"/>
              <w:left w:val="nil"/>
              <w:bottom w:val="single" w:sz="4" w:space="0" w:color="BFBFBF" w:themeColor="background1" w:themeShade="BF"/>
              <w:right w:val="nil"/>
            </w:tcBorders>
          </w:tcPr>
          <w:p w14:paraId="01DB6BB3" w14:textId="46D0FFF5" w:rsidR="00215CFE" w:rsidRPr="0064015D" w:rsidRDefault="00215CFE" w:rsidP="0064015D">
            <w:pPr>
              <w:pStyle w:val="Body"/>
              <w:spacing w:before="40" w:after="40"/>
              <w:rPr>
                <w:sz w:val="18"/>
                <w:szCs w:val="18"/>
              </w:rPr>
            </w:pPr>
            <w:r w:rsidRPr="0064015D">
              <w:rPr>
                <w:sz w:val="18"/>
                <w:szCs w:val="18"/>
              </w:rPr>
              <w:t>FAR</w:t>
            </w:r>
          </w:p>
        </w:tc>
        <w:tc>
          <w:tcPr>
            <w:tcW w:w="3411" w:type="dxa"/>
            <w:tcBorders>
              <w:top w:val="nil"/>
              <w:left w:val="nil"/>
              <w:bottom w:val="single" w:sz="4" w:space="0" w:color="BFBFBF" w:themeColor="background1" w:themeShade="BF"/>
              <w:right w:val="nil"/>
            </w:tcBorders>
          </w:tcPr>
          <w:p w14:paraId="59BF65E0" w14:textId="38116C06" w:rsidR="00215CFE" w:rsidRPr="0064015D" w:rsidRDefault="00215CFE" w:rsidP="0064015D">
            <w:pPr>
              <w:pStyle w:val="Body"/>
              <w:spacing w:before="40" w:after="40"/>
              <w:rPr>
                <w:sz w:val="18"/>
                <w:szCs w:val="18"/>
              </w:rPr>
            </w:pPr>
            <w:r w:rsidRPr="0064015D">
              <w:rPr>
                <w:sz w:val="18"/>
                <w:szCs w:val="18"/>
              </w:rPr>
              <w:t>0.35</w:t>
            </w:r>
          </w:p>
        </w:tc>
        <w:tc>
          <w:tcPr>
            <w:tcW w:w="4525" w:type="dxa"/>
            <w:tcBorders>
              <w:top w:val="nil"/>
              <w:left w:val="nil"/>
              <w:bottom w:val="single" w:sz="4" w:space="0" w:color="BFBFBF" w:themeColor="background1" w:themeShade="BF"/>
              <w:right w:val="nil"/>
            </w:tcBorders>
          </w:tcPr>
          <w:p w14:paraId="1EB436E5" w14:textId="42372CDD" w:rsidR="00215CFE" w:rsidRPr="0064015D" w:rsidRDefault="00215CFE" w:rsidP="0064015D">
            <w:pPr>
              <w:pStyle w:val="Body"/>
              <w:spacing w:before="40" w:after="40"/>
              <w:rPr>
                <w:sz w:val="18"/>
                <w:szCs w:val="18"/>
              </w:rPr>
            </w:pPr>
            <w:r w:rsidRPr="0064015D">
              <w:rPr>
                <w:sz w:val="18"/>
                <w:szCs w:val="18"/>
              </w:rPr>
              <w:t>0</w:t>
            </w:r>
          </w:p>
        </w:tc>
      </w:tr>
      <w:tr w:rsidR="00215CFE" w:rsidRPr="0064015D" w14:paraId="0DFE9E1A" w14:textId="77777777" w:rsidTr="0064015D">
        <w:tc>
          <w:tcPr>
            <w:tcW w:w="1093" w:type="dxa"/>
            <w:tcBorders>
              <w:top w:val="single" w:sz="4" w:space="0" w:color="BFBFBF" w:themeColor="background1" w:themeShade="BF"/>
              <w:left w:val="nil"/>
              <w:bottom w:val="single" w:sz="4" w:space="0" w:color="BFBFBF" w:themeColor="background1" w:themeShade="BF"/>
              <w:right w:val="nil"/>
            </w:tcBorders>
            <w:shd w:val="clear" w:color="auto" w:fill="auto"/>
          </w:tcPr>
          <w:p w14:paraId="71AC15F9" w14:textId="5AF821DC" w:rsidR="00215CFE" w:rsidRPr="0064015D" w:rsidRDefault="00215CFE" w:rsidP="0064015D">
            <w:pPr>
              <w:pStyle w:val="Body"/>
              <w:spacing w:before="40" w:after="40"/>
              <w:rPr>
                <w:sz w:val="18"/>
                <w:szCs w:val="18"/>
              </w:rPr>
            </w:pPr>
            <w:r w:rsidRPr="0064015D">
              <w:rPr>
                <w:sz w:val="18"/>
                <w:szCs w:val="18"/>
              </w:rPr>
              <w:t>Height</w:t>
            </w:r>
          </w:p>
        </w:tc>
        <w:tc>
          <w:tcPr>
            <w:tcW w:w="3411" w:type="dxa"/>
            <w:tcBorders>
              <w:top w:val="single" w:sz="4" w:space="0" w:color="BFBFBF" w:themeColor="background1" w:themeShade="BF"/>
              <w:left w:val="nil"/>
              <w:bottom w:val="single" w:sz="4" w:space="0" w:color="BFBFBF" w:themeColor="background1" w:themeShade="BF"/>
              <w:right w:val="nil"/>
            </w:tcBorders>
            <w:shd w:val="clear" w:color="auto" w:fill="auto"/>
          </w:tcPr>
          <w:p w14:paraId="71D3E4EB" w14:textId="0E13EF3D" w:rsidR="00215CFE" w:rsidRPr="0064015D" w:rsidRDefault="00215CFE" w:rsidP="0064015D">
            <w:pPr>
              <w:pStyle w:val="Body"/>
              <w:spacing w:before="40" w:after="40"/>
              <w:rPr>
                <w:sz w:val="18"/>
                <w:szCs w:val="18"/>
              </w:rPr>
            </w:pPr>
            <w:r w:rsidRPr="0064015D">
              <w:rPr>
                <w:sz w:val="18"/>
                <w:szCs w:val="18"/>
              </w:rPr>
              <w:t xml:space="preserve">No restriction </w:t>
            </w:r>
          </w:p>
        </w:tc>
        <w:tc>
          <w:tcPr>
            <w:tcW w:w="4525" w:type="dxa"/>
            <w:tcBorders>
              <w:top w:val="single" w:sz="4" w:space="0" w:color="BFBFBF" w:themeColor="background1" w:themeShade="BF"/>
              <w:left w:val="nil"/>
              <w:bottom w:val="single" w:sz="4" w:space="0" w:color="BFBFBF" w:themeColor="background1" w:themeShade="BF"/>
              <w:right w:val="nil"/>
            </w:tcBorders>
            <w:shd w:val="clear" w:color="auto" w:fill="auto"/>
          </w:tcPr>
          <w:p w14:paraId="69020820" w14:textId="4A978323" w:rsidR="00215CFE" w:rsidRPr="0064015D" w:rsidRDefault="00215CFE" w:rsidP="0064015D">
            <w:pPr>
              <w:pStyle w:val="Body"/>
              <w:spacing w:before="40" w:after="40"/>
              <w:rPr>
                <w:sz w:val="18"/>
                <w:szCs w:val="18"/>
              </w:rPr>
            </w:pPr>
            <w:r w:rsidRPr="0064015D">
              <w:rPr>
                <w:sz w:val="18"/>
                <w:szCs w:val="18"/>
              </w:rPr>
              <w:t xml:space="preserve">No building proposed; parking lot only </w:t>
            </w:r>
          </w:p>
        </w:tc>
      </w:tr>
      <w:tr w:rsidR="00215CFE" w:rsidRPr="0064015D" w14:paraId="4FB4F855" w14:textId="77777777" w:rsidTr="0064015D">
        <w:tc>
          <w:tcPr>
            <w:tcW w:w="1093" w:type="dxa"/>
            <w:tcBorders>
              <w:top w:val="single" w:sz="4" w:space="0" w:color="BFBFBF" w:themeColor="background1" w:themeShade="BF"/>
              <w:left w:val="nil"/>
              <w:bottom w:val="single" w:sz="4" w:space="0" w:color="BFBFBF" w:themeColor="background1" w:themeShade="BF"/>
              <w:right w:val="nil"/>
            </w:tcBorders>
            <w:shd w:val="clear" w:color="auto" w:fill="auto"/>
          </w:tcPr>
          <w:p w14:paraId="367266A7" w14:textId="7C37D62D" w:rsidR="00215CFE" w:rsidRPr="0064015D" w:rsidRDefault="00215CFE" w:rsidP="0064015D">
            <w:pPr>
              <w:pStyle w:val="Body"/>
              <w:spacing w:before="40" w:after="40"/>
              <w:rPr>
                <w:sz w:val="18"/>
                <w:szCs w:val="18"/>
              </w:rPr>
            </w:pPr>
            <w:r w:rsidRPr="0064015D">
              <w:rPr>
                <w:sz w:val="18"/>
                <w:szCs w:val="18"/>
              </w:rPr>
              <w:t>Setbacks</w:t>
            </w:r>
          </w:p>
        </w:tc>
        <w:tc>
          <w:tcPr>
            <w:tcW w:w="3411" w:type="dxa"/>
            <w:tcBorders>
              <w:top w:val="single" w:sz="4" w:space="0" w:color="BFBFBF" w:themeColor="background1" w:themeShade="BF"/>
              <w:left w:val="nil"/>
              <w:bottom w:val="single" w:sz="4" w:space="0" w:color="BFBFBF" w:themeColor="background1" w:themeShade="BF"/>
              <w:right w:val="nil"/>
            </w:tcBorders>
            <w:shd w:val="clear" w:color="auto" w:fill="auto"/>
          </w:tcPr>
          <w:p w14:paraId="5DD8EC2F" w14:textId="0DC47F0D" w:rsidR="00215CFE" w:rsidRPr="0064015D" w:rsidRDefault="00215CFE" w:rsidP="0064015D">
            <w:pPr>
              <w:pStyle w:val="Body"/>
              <w:spacing w:before="40" w:after="40"/>
              <w:rPr>
                <w:sz w:val="18"/>
                <w:szCs w:val="18"/>
              </w:rPr>
            </w:pPr>
            <w:r w:rsidRPr="0064015D">
              <w:rPr>
                <w:sz w:val="18"/>
                <w:szCs w:val="18"/>
              </w:rPr>
              <w:t xml:space="preserve">Front: 25 feet minimum </w:t>
            </w:r>
            <w:r w:rsidRPr="0064015D">
              <w:rPr>
                <w:sz w:val="18"/>
                <w:szCs w:val="18"/>
              </w:rPr>
              <w:br/>
              <w:t xml:space="preserve">Side: 0 feet minimum </w:t>
            </w:r>
            <w:r w:rsidRPr="0064015D">
              <w:rPr>
                <w:sz w:val="18"/>
                <w:szCs w:val="18"/>
              </w:rPr>
              <w:br/>
              <w:t xml:space="preserve">Rear: 0 feet minimum </w:t>
            </w:r>
          </w:p>
        </w:tc>
        <w:tc>
          <w:tcPr>
            <w:tcW w:w="4525" w:type="dxa"/>
            <w:tcBorders>
              <w:top w:val="single" w:sz="4" w:space="0" w:color="BFBFBF" w:themeColor="background1" w:themeShade="BF"/>
              <w:left w:val="nil"/>
              <w:bottom w:val="single" w:sz="4" w:space="0" w:color="BFBFBF" w:themeColor="background1" w:themeShade="BF"/>
              <w:right w:val="nil"/>
            </w:tcBorders>
            <w:shd w:val="clear" w:color="auto" w:fill="auto"/>
          </w:tcPr>
          <w:p w14:paraId="65E9A6E8" w14:textId="77F1C8DE" w:rsidR="00215CFE" w:rsidRPr="0064015D" w:rsidRDefault="00215CFE" w:rsidP="0064015D">
            <w:pPr>
              <w:pStyle w:val="Body"/>
              <w:spacing w:before="40" w:after="40"/>
              <w:rPr>
                <w:sz w:val="18"/>
                <w:szCs w:val="18"/>
              </w:rPr>
            </w:pPr>
            <w:r w:rsidRPr="0064015D">
              <w:rPr>
                <w:sz w:val="18"/>
                <w:szCs w:val="18"/>
              </w:rPr>
              <w:t xml:space="preserve">Front: 25 feet </w:t>
            </w:r>
            <w:r w:rsidRPr="0064015D">
              <w:rPr>
                <w:sz w:val="18"/>
                <w:szCs w:val="18"/>
              </w:rPr>
              <w:br/>
              <w:t>Side: 30 feet aggregate</w:t>
            </w:r>
            <w:r w:rsidRPr="0064015D">
              <w:rPr>
                <w:sz w:val="18"/>
                <w:szCs w:val="18"/>
              </w:rPr>
              <w:br/>
              <w:t xml:space="preserve">Rear: 10 feet </w:t>
            </w:r>
          </w:p>
        </w:tc>
      </w:tr>
      <w:tr w:rsidR="004416E0" w:rsidRPr="0064015D" w14:paraId="2F4E3270" w14:textId="77777777" w:rsidTr="0064015D">
        <w:tc>
          <w:tcPr>
            <w:tcW w:w="1093" w:type="dxa"/>
            <w:tcBorders>
              <w:top w:val="single" w:sz="4" w:space="0" w:color="BFBFBF" w:themeColor="background1" w:themeShade="BF"/>
              <w:left w:val="nil"/>
              <w:bottom w:val="single" w:sz="4" w:space="0" w:color="auto"/>
              <w:right w:val="nil"/>
            </w:tcBorders>
          </w:tcPr>
          <w:p w14:paraId="7E6E4451" w14:textId="65F1C6FB" w:rsidR="004416E0" w:rsidRPr="0064015D" w:rsidRDefault="004416E0" w:rsidP="0064015D">
            <w:pPr>
              <w:pStyle w:val="Body"/>
              <w:spacing w:before="40" w:after="40"/>
              <w:rPr>
                <w:sz w:val="18"/>
                <w:szCs w:val="18"/>
              </w:rPr>
            </w:pPr>
            <w:r w:rsidRPr="0064015D">
              <w:rPr>
                <w:sz w:val="18"/>
                <w:szCs w:val="18"/>
              </w:rPr>
              <w:t xml:space="preserve">Parking </w:t>
            </w:r>
          </w:p>
        </w:tc>
        <w:tc>
          <w:tcPr>
            <w:tcW w:w="3411" w:type="dxa"/>
            <w:tcBorders>
              <w:top w:val="single" w:sz="4" w:space="0" w:color="BFBFBF" w:themeColor="background1" w:themeShade="BF"/>
              <w:left w:val="nil"/>
              <w:bottom w:val="single" w:sz="4" w:space="0" w:color="auto"/>
              <w:right w:val="nil"/>
            </w:tcBorders>
          </w:tcPr>
          <w:p w14:paraId="673FC378" w14:textId="552D9CB1" w:rsidR="004416E0" w:rsidRPr="0064015D" w:rsidRDefault="004416E0" w:rsidP="0064015D">
            <w:pPr>
              <w:pStyle w:val="Body"/>
              <w:spacing w:before="40" w:after="40"/>
              <w:rPr>
                <w:sz w:val="18"/>
                <w:szCs w:val="18"/>
              </w:rPr>
            </w:pPr>
            <w:r w:rsidRPr="0064015D">
              <w:rPr>
                <w:sz w:val="18"/>
                <w:szCs w:val="18"/>
              </w:rPr>
              <w:t xml:space="preserve">1 stall/300 sf (67 stalls) </w:t>
            </w:r>
          </w:p>
        </w:tc>
        <w:tc>
          <w:tcPr>
            <w:tcW w:w="4525" w:type="dxa"/>
            <w:tcBorders>
              <w:top w:val="single" w:sz="4" w:space="0" w:color="BFBFBF" w:themeColor="background1" w:themeShade="BF"/>
              <w:left w:val="nil"/>
              <w:bottom w:val="single" w:sz="4" w:space="0" w:color="auto"/>
              <w:right w:val="nil"/>
            </w:tcBorders>
          </w:tcPr>
          <w:p w14:paraId="143AD01A" w14:textId="51E11C06" w:rsidR="004416E0" w:rsidRPr="0064015D" w:rsidRDefault="004416E0" w:rsidP="0064015D">
            <w:pPr>
              <w:pStyle w:val="Body"/>
              <w:spacing w:before="40" w:after="40"/>
              <w:rPr>
                <w:sz w:val="18"/>
                <w:szCs w:val="18"/>
              </w:rPr>
            </w:pPr>
            <w:r w:rsidRPr="0064015D">
              <w:rPr>
                <w:sz w:val="18"/>
                <w:szCs w:val="18"/>
              </w:rPr>
              <w:t xml:space="preserve">75 stalls </w:t>
            </w:r>
          </w:p>
        </w:tc>
      </w:tr>
      <w:tr w:rsidR="0064015D" w:rsidRPr="0064015D" w14:paraId="4A1BED7F" w14:textId="77777777" w:rsidTr="0064015D">
        <w:tc>
          <w:tcPr>
            <w:tcW w:w="9029" w:type="dxa"/>
            <w:gridSpan w:val="3"/>
            <w:tcBorders>
              <w:top w:val="single" w:sz="4" w:space="0" w:color="auto"/>
              <w:left w:val="nil"/>
              <w:bottom w:val="single" w:sz="4" w:space="0" w:color="auto"/>
              <w:right w:val="nil"/>
            </w:tcBorders>
          </w:tcPr>
          <w:p w14:paraId="79DCECB9" w14:textId="77777777" w:rsidR="0064015D" w:rsidRDefault="0064015D" w:rsidP="0064015D">
            <w:pPr>
              <w:pStyle w:val="Body"/>
              <w:spacing w:before="60" w:after="60"/>
              <w:rPr>
                <w:sz w:val="16"/>
                <w:szCs w:val="16"/>
              </w:rPr>
            </w:pPr>
            <w:r w:rsidRPr="0064015D">
              <w:rPr>
                <w:sz w:val="16"/>
                <w:szCs w:val="16"/>
              </w:rPr>
              <w:t>Source: MVMC 36.20.25 and 36.20.35</w:t>
            </w:r>
          </w:p>
          <w:p w14:paraId="6574BA4C" w14:textId="66D32038" w:rsidR="00A24D2F" w:rsidRPr="00A24D2F" w:rsidRDefault="00A24D2F" w:rsidP="0064015D">
            <w:pPr>
              <w:pStyle w:val="Body"/>
              <w:spacing w:before="60" w:after="60"/>
              <w:rPr>
                <w:sz w:val="16"/>
                <w:szCs w:val="16"/>
              </w:rPr>
            </w:pPr>
            <w:r>
              <w:rPr>
                <w:sz w:val="16"/>
                <w:szCs w:val="16"/>
                <w:vertAlign w:val="superscript"/>
              </w:rPr>
              <w:t>1</w:t>
            </w:r>
            <w:r>
              <w:rPr>
                <w:sz w:val="16"/>
                <w:szCs w:val="16"/>
              </w:rPr>
              <w:t xml:space="preserve"> All sides of the proposed office structure except the front </w:t>
            </w:r>
            <w:r w:rsidR="00C26DA8">
              <w:rPr>
                <w:sz w:val="16"/>
                <w:szCs w:val="16"/>
              </w:rPr>
              <w:t>must</w:t>
            </w:r>
            <w:r>
              <w:rPr>
                <w:sz w:val="16"/>
                <w:szCs w:val="16"/>
              </w:rPr>
              <w:t xml:space="preserve"> be confirmed within inclined planes sloping inward at a ratio of 1 foot vertically to 2 feet horizontally; such planes beginning directly above property lines at a height of 40 feet above the average grade along that line. </w:t>
            </w:r>
          </w:p>
        </w:tc>
      </w:tr>
    </w:tbl>
    <w:p w14:paraId="236DD63C" w14:textId="63913AC9" w:rsidR="00842928" w:rsidRDefault="002D3451" w:rsidP="0064015D">
      <w:pPr>
        <w:pStyle w:val="bodyafter"/>
      </w:pPr>
      <w:r>
        <w:t>The project would comply with Mountain View</w:t>
      </w:r>
      <w:r w:rsidR="00BE2E4E">
        <w:t>’s</w:t>
      </w:r>
      <w:r>
        <w:t xml:space="preserve"> non-residential design standards, including the City’s and Trash and Recycling Guidelines. </w:t>
      </w:r>
      <w:r w:rsidR="00FB1510">
        <w:t>T</w:t>
      </w:r>
      <w:r w:rsidR="00C344C5">
        <w:t xml:space="preserve">he project would include </w:t>
      </w:r>
      <w:r w:rsidR="00541609">
        <w:t>one 3</w:t>
      </w:r>
      <w:r w:rsidR="00BE2E4E">
        <w:t>-</w:t>
      </w:r>
      <w:r w:rsidR="00541609">
        <w:t>cubic yard bin for waste</w:t>
      </w:r>
      <w:r w:rsidR="00615389">
        <w:t xml:space="preserve"> and</w:t>
      </w:r>
      <w:r w:rsidR="00541609">
        <w:t xml:space="preserve"> two 3</w:t>
      </w:r>
      <w:r w:rsidR="003B78BB">
        <w:t>-</w:t>
      </w:r>
      <w:r w:rsidR="00541609">
        <w:t>cubic yard bins for mixed recyclin</w:t>
      </w:r>
      <w:r w:rsidR="00615389">
        <w:t xml:space="preserve">g in an opaque trash enclosure. These facilities exceed the </w:t>
      </w:r>
      <w:r w:rsidR="00C344C5">
        <w:t>City’s requirement for two</w:t>
      </w:r>
      <w:r w:rsidR="004F2454">
        <w:t xml:space="preserve"> enclosed</w:t>
      </w:r>
      <w:r w:rsidR="00C344C5">
        <w:t xml:space="preserve"> three-yard bins (City of Mountain View 2014). </w:t>
      </w:r>
    </w:p>
    <w:p w14:paraId="14E7B853" w14:textId="74D5E880" w:rsidR="00E444C9" w:rsidRPr="004F2454" w:rsidRDefault="00C344C5" w:rsidP="004F2454">
      <w:pPr>
        <w:pStyle w:val="Body"/>
      </w:pPr>
      <w:r>
        <w:t xml:space="preserve">Therefore, the project would comply with applicable Mountain View General Plan policies, zoning codes, and other guidelines related to scenic qualities. Impacts would be less than significant. </w:t>
      </w:r>
    </w:p>
    <w:p w14:paraId="3E60F694" w14:textId="4ECC66E1" w:rsidR="009C1D64" w:rsidRPr="000E45CD" w:rsidRDefault="00817BC5" w:rsidP="009C1D64">
      <w:pPr>
        <w:spacing w:before="120"/>
        <w:rPr>
          <w:rStyle w:val="DropdownList"/>
          <w:highlight w:val="lightGray"/>
        </w:rPr>
      </w:pPr>
      <w:sdt>
        <w:sdtPr>
          <w:rPr>
            <w:rStyle w:val="DropdownList"/>
            <w:highlight w:val="lightGray"/>
          </w:rPr>
          <w:alias w:val="1a"/>
          <w:tag w:val="dropdown"/>
          <w:id w:val="1901558811"/>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highlight w:val="none"/>
          </w:rPr>
        </w:sdtEndPr>
        <w:sdtContent>
          <w:r w:rsidR="000E45CD" w:rsidRPr="000E45CD">
            <w:rPr>
              <w:rStyle w:val="DropdownList"/>
            </w:rPr>
            <w:t>Less Than Significant Impact</w:t>
          </w:r>
        </w:sdtContent>
      </w:sdt>
    </w:p>
    <w:p w14:paraId="28E05712" w14:textId="77777777" w:rsidR="00542725" w:rsidRPr="000E45CD" w:rsidRDefault="00542725" w:rsidP="00CC0EE3">
      <w:pPr>
        <w:pStyle w:val="BulletLtrManAFTER"/>
        <w:rPr>
          <w:highlight w:val="lightGray"/>
        </w:rPr>
      </w:pPr>
      <w:r w:rsidRPr="00FB1510">
        <w:t>d.</w:t>
      </w:r>
      <w:r w:rsidRPr="004F2454">
        <w:tab/>
        <w:t xml:space="preserve">Would the project </w:t>
      </w:r>
      <w:r w:rsidR="009C5806" w:rsidRPr="004F2454">
        <w:t>create a new source of substantial light or glare that would adversely affect daytime or nighttime views in the area?</w:t>
      </w:r>
    </w:p>
    <w:p w14:paraId="067F2BD9" w14:textId="59E69C7C" w:rsidR="00C336EB" w:rsidRDefault="00914925" w:rsidP="000D75C9">
      <w:pPr>
        <w:pStyle w:val="BodyText"/>
      </w:pPr>
      <w:r w:rsidRPr="00C336EB">
        <w:t xml:space="preserve">The project site is in an urban area with </w:t>
      </w:r>
      <w:r w:rsidR="004728B4" w:rsidRPr="00C336EB">
        <w:t xml:space="preserve">moderate </w:t>
      </w:r>
      <w:r w:rsidRPr="00C336EB">
        <w:t>levels of existing lighting.</w:t>
      </w:r>
      <w:r w:rsidR="00C336EB">
        <w:t xml:space="preserve"> Lighting sources around the project site include wall-mounted security lights on adjacent buildings, streetlights on Terra Bella Avenue, and lights from vehicles on Terra Bella Avenue or in surrounding parking lots. </w:t>
      </w:r>
      <w:r w:rsidR="005B75F4">
        <w:t xml:space="preserve">The primary source of glare in the area is sunlight reflected off light-colored and reflective building materials and finishes, and metallic and glass surfaces of vehicles parked in parking lots adjacent to or across the street from the project site. </w:t>
      </w:r>
    </w:p>
    <w:p w14:paraId="3D18335F" w14:textId="5D748B3C" w:rsidR="00366976" w:rsidRPr="0010043B" w:rsidRDefault="00AB78BF" w:rsidP="000D75C9">
      <w:pPr>
        <w:pStyle w:val="BodyText"/>
      </w:pPr>
      <w:r>
        <w:t xml:space="preserve">The project design would be required to comply with exterior lighting </w:t>
      </w:r>
      <w:r w:rsidR="003B78BB">
        <w:t xml:space="preserve">standards </w:t>
      </w:r>
      <w:r>
        <w:t xml:space="preserve">outlined in </w:t>
      </w:r>
      <w:r w:rsidR="003B78BB">
        <w:t>MVMC</w:t>
      </w:r>
      <w:r>
        <w:t xml:space="preserve"> Section 8.252(i). </w:t>
      </w:r>
      <w:r w:rsidR="0010043B">
        <w:t xml:space="preserve">These </w:t>
      </w:r>
      <w:r w:rsidR="003B78BB">
        <w:t xml:space="preserve">standards </w:t>
      </w:r>
      <w:r w:rsidR="0010043B">
        <w:t>include requirements for parking lot lighting that minimizes off-site glare and for all required lighting to turn on automatically</w:t>
      </w:r>
      <w:r w:rsidR="00FB1510">
        <w:t xml:space="preserve"> at night</w:t>
      </w:r>
      <w:r w:rsidR="003E17FE">
        <w:t>, which would avoid the generation of unnecessary light and glare at night</w:t>
      </w:r>
      <w:r w:rsidR="0010043B">
        <w:t xml:space="preserve">. Compliance with these requirements would ensure that project light sources would not have a significant impact on the night sky, as they would </w:t>
      </w:r>
      <w:r w:rsidR="003B78BB">
        <w:t>only</w:t>
      </w:r>
      <w:r w:rsidR="0010043B">
        <w:t xml:space="preserve"> incrementally</w:t>
      </w:r>
      <w:r w:rsidR="001C7DF5">
        <w:t xml:space="preserve"> add</w:t>
      </w:r>
      <w:r w:rsidR="0010043B">
        <w:t xml:space="preserve"> to the existing background light levels already present at surrounding urban development. </w:t>
      </w:r>
      <w:r w:rsidR="00A4469C">
        <w:t xml:space="preserve">In addition, proposed lighting </w:t>
      </w:r>
      <w:r w:rsidR="00033595">
        <w:t>for the project includes downward-angled pole</w:t>
      </w:r>
      <w:r w:rsidR="003E7C41">
        <w:t xml:space="preserve"> parking</w:t>
      </w:r>
      <w:r w:rsidR="00033595">
        <w:t xml:space="preserve"> lights, shielded bollard lights, wall sconces, </w:t>
      </w:r>
      <w:r w:rsidR="003E7C41">
        <w:t xml:space="preserve">handrail lights, </w:t>
      </w:r>
      <w:r w:rsidR="00033595">
        <w:t>exterior downlights, and trellis downlights.</w:t>
      </w:r>
      <w:r w:rsidR="003E7C41">
        <w:t xml:space="preserve"> These lights (except for the automatic parking lot lighting) would be on at night for security</w:t>
      </w:r>
      <w:r w:rsidR="00033595">
        <w:t xml:space="preserve"> </w:t>
      </w:r>
      <w:r w:rsidR="003E7C41">
        <w:t>purposes. However, a</w:t>
      </w:r>
      <w:r w:rsidR="00033595">
        <w:t xml:space="preserve">ll proposed sources of light </w:t>
      </w:r>
      <w:r w:rsidR="00E25997">
        <w:t>would be</w:t>
      </w:r>
      <w:r w:rsidR="00033595">
        <w:t xml:space="preserve"> shielded or angled downward, which would minimize off-site glare. </w:t>
      </w:r>
      <w:r w:rsidR="003124F3">
        <w:t xml:space="preserve">Further, the project </w:t>
      </w:r>
      <w:r w:rsidR="00985F82">
        <w:t>would</w:t>
      </w:r>
      <w:r w:rsidR="003124F3">
        <w:t xml:space="preserve"> not located near light-sensitive receptors and would be consistent with surrounding land uses.</w:t>
      </w:r>
      <w:r w:rsidR="008D3F16">
        <w:t xml:space="preserve"> The project </w:t>
      </w:r>
      <w:r w:rsidR="00AF4104">
        <w:t>would contribute to existing glare conditions by introducing new daytime</w:t>
      </w:r>
      <w:r w:rsidR="008D3F16">
        <w:t xml:space="preserve"> glare reflected from vehicles in the parking lot and from the </w:t>
      </w:r>
      <w:r w:rsidR="00AF4104">
        <w:t>sun’s reflection on glass and metallic surfaces of the proposed building</w:t>
      </w:r>
      <w:r w:rsidR="008D3F16">
        <w:t xml:space="preserve">. Project landscaping, including the planting of </w:t>
      </w:r>
      <w:r w:rsidR="00C6054F">
        <w:t xml:space="preserve">approximately 70 </w:t>
      </w:r>
      <w:r w:rsidR="008D3F16">
        <w:t xml:space="preserve">trees throughout the project site, would minimize glare that could adversely affect daytime views in the area. </w:t>
      </w:r>
      <w:r w:rsidR="001159AE">
        <w:t>Trees would be located on the northern boundary of the project site t</w:t>
      </w:r>
      <w:r w:rsidR="00CC4E2A">
        <w:t>o</w:t>
      </w:r>
      <w:r w:rsidR="001159AE">
        <w:t xml:space="preserve"> minimize glare </w:t>
      </w:r>
      <w:r w:rsidR="00CC4E2A">
        <w:t>from</w:t>
      </w:r>
      <w:r w:rsidR="001159AE">
        <w:t xml:space="preserve"> Terra Bella Avenue and adjacent </w:t>
      </w:r>
      <w:r w:rsidR="001159AE">
        <w:lastRenderedPageBreak/>
        <w:t>buildings.</w:t>
      </w:r>
      <w:r w:rsidR="001A5A44">
        <w:t xml:space="preserve"> </w:t>
      </w:r>
      <w:r w:rsidR="00AF4104">
        <w:t xml:space="preserve">Consistent with surrounding land uses, the project would use building and window materials that would reduce the amount of glare reflected off of the building. </w:t>
      </w:r>
      <w:r w:rsidR="006B6F31">
        <w:t>Further</w:t>
      </w:r>
      <w:r w:rsidR="00CC4E2A">
        <w:t>more</w:t>
      </w:r>
      <w:r w:rsidR="006B6F31">
        <w:t>, residences located approximately 500 feet south of the project site would not have a direct line of sight with the proposed office structure, as views would be obstructed by a wooden privacy fence and mature pine trees</w:t>
      </w:r>
      <w:r w:rsidR="007E3135">
        <w:t>.</w:t>
      </w:r>
      <w:r w:rsidR="0062399F">
        <w:t xml:space="preserve"> </w:t>
      </w:r>
      <w:r w:rsidR="0062399F" w:rsidRPr="0010043B">
        <w:t>The project site is in an urban environment with existing sources of light and glare.</w:t>
      </w:r>
      <w:r w:rsidR="0062399F">
        <w:t xml:space="preserve"> </w:t>
      </w:r>
      <w:r w:rsidR="00366976" w:rsidRPr="0010043B">
        <w:t>The project would not substantially alter condition</w:t>
      </w:r>
      <w:r w:rsidR="007E3135">
        <w:t>s in the vicinity</w:t>
      </w:r>
      <w:r w:rsidR="00366976" w:rsidRPr="0010043B">
        <w:t xml:space="preserve"> and would be required to adhere to the City o</w:t>
      </w:r>
      <w:r w:rsidR="0010043B" w:rsidRPr="0010043B">
        <w:t>f Mountain View</w:t>
      </w:r>
      <w:r w:rsidR="00366976" w:rsidRPr="0010043B">
        <w:t xml:space="preserve"> requirements regarding nighttime lighting. Therefore, impacts related to project light and glare would be less than significant. </w:t>
      </w:r>
    </w:p>
    <w:p w14:paraId="74DC884A" w14:textId="142F94CC" w:rsidR="009C1D64" w:rsidRPr="000E45CD" w:rsidRDefault="00817BC5" w:rsidP="009C1D64">
      <w:pPr>
        <w:spacing w:before="120"/>
        <w:rPr>
          <w:rStyle w:val="DropdownList"/>
          <w:highlight w:val="lightGray"/>
        </w:rPr>
      </w:pPr>
      <w:sdt>
        <w:sdtPr>
          <w:rPr>
            <w:rStyle w:val="DropdownList"/>
            <w:highlight w:val="lightGray"/>
          </w:rPr>
          <w:alias w:val="1a"/>
          <w:tag w:val="dropdown"/>
          <w:id w:val="-714504267"/>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highlight w:val="none"/>
          </w:rPr>
        </w:sdtEndPr>
        <w:sdtContent>
          <w:r w:rsidR="000E45CD" w:rsidRPr="000E45CD">
            <w:rPr>
              <w:rStyle w:val="DropdownList"/>
            </w:rPr>
            <w:t>Less Than Significant Impact</w:t>
          </w:r>
        </w:sdtContent>
      </w:sdt>
    </w:p>
    <w:p w14:paraId="6BF3CC02" w14:textId="77777777" w:rsidR="00C90D70" w:rsidRPr="00973267" w:rsidRDefault="00C90D70" w:rsidP="00275B75">
      <w:pPr>
        <w:pStyle w:val="Heading3CEQA"/>
      </w:pPr>
      <w:bookmarkStart w:id="135" w:name="_Toc453855764"/>
      <w:bookmarkStart w:id="136" w:name="_Toc475630711"/>
      <w:bookmarkStart w:id="137" w:name="_Toc112942427"/>
      <w:r w:rsidRPr="00973267">
        <w:lastRenderedPageBreak/>
        <w:t>Agriculture and Forest</w:t>
      </w:r>
      <w:r>
        <w:t>ry</w:t>
      </w:r>
      <w:r w:rsidRPr="00973267">
        <w:t xml:space="preserve"> Resources</w:t>
      </w:r>
      <w:bookmarkEnd w:id="135"/>
      <w:bookmarkEnd w:id="136"/>
      <w:bookmarkEnd w:id="137"/>
    </w:p>
    <w:tbl>
      <w:tblPr>
        <w:tblW w:w="9047" w:type="dxa"/>
        <w:tblLayout w:type="fixed"/>
        <w:tblLook w:val="04A0" w:firstRow="1" w:lastRow="0" w:firstColumn="1" w:lastColumn="0" w:noHBand="0" w:noVBand="1"/>
      </w:tblPr>
      <w:tblGrid>
        <w:gridCol w:w="11"/>
        <w:gridCol w:w="4341"/>
        <w:gridCol w:w="151"/>
        <w:gridCol w:w="1033"/>
        <w:gridCol w:w="100"/>
        <w:gridCol w:w="1120"/>
        <w:gridCol w:w="14"/>
        <w:gridCol w:w="1096"/>
        <w:gridCol w:w="38"/>
        <w:gridCol w:w="1134"/>
        <w:gridCol w:w="9"/>
      </w:tblGrid>
      <w:tr w:rsidR="00C90D70" w14:paraId="4600307F" w14:textId="77777777" w:rsidTr="00964C58">
        <w:trPr>
          <w:tblHeader/>
        </w:trPr>
        <w:tc>
          <w:tcPr>
            <w:tcW w:w="4352" w:type="dxa"/>
            <w:gridSpan w:val="2"/>
            <w:tcBorders>
              <w:bottom w:val="single" w:sz="4" w:space="0" w:color="auto"/>
            </w:tcBorders>
            <w:shd w:val="clear" w:color="auto" w:fill="D9D9D9"/>
            <w:tcMar>
              <w:top w:w="20" w:type="dxa"/>
              <w:left w:w="115" w:type="dxa"/>
              <w:bottom w:w="20" w:type="dxa"/>
              <w:right w:w="115" w:type="dxa"/>
            </w:tcMar>
            <w:vAlign w:val="bottom"/>
          </w:tcPr>
          <w:p w14:paraId="02E647D1" w14:textId="77777777" w:rsidR="00C90D70" w:rsidRPr="006E30F9" w:rsidRDefault="00C90D70" w:rsidP="00964C58">
            <w:pPr>
              <w:pStyle w:val="TableHeadings"/>
              <w:jc w:val="center"/>
            </w:pPr>
          </w:p>
        </w:tc>
        <w:tc>
          <w:tcPr>
            <w:tcW w:w="1184" w:type="dxa"/>
            <w:gridSpan w:val="2"/>
            <w:tcBorders>
              <w:bottom w:val="single" w:sz="4" w:space="0" w:color="auto"/>
            </w:tcBorders>
            <w:shd w:val="clear" w:color="auto" w:fill="D9D9D9"/>
            <w:tcMar>
              <w:top w:w="20" w:type="dxa"/>
              <w:left w:w="115" w:type="dxa"/>
              <w:bottom w:w="20" w:type="dxa"/>
              <w:right w:w="115" w:type="dxa"/>
            </w:tcMar>
            <w:vAlign w:val="bottom"/>
            <w:hideMark/>
          </w:tcPr>
          <w:p w14:paraId="575DBD5E" w14:textId="77777777" w:rsidR="00C90D70" w:rsidRPr="006E30F9" w:rsidRDefault="00C90D70" w:rsidP="00964C58">
            <w:pPr>
              <w:pStyle w:val="TableHeadings"/>
              <w:jc w:val="center"/>
            </w:pPr>
            <w:r w:rsidRPr="006E30F9">
              <w:t>Potentially Significant Impact</w:t>
            </w:r>
          </w:p>
        </w:tc>
        <w:tc>
          <w:tcPr>
            <w:tcW w:w="1220" w:type="dxa"/>
            <w:gridSpan w:val="2"/>
            <w:tcBorders>
              <w:bottom w:val="single" w:sz="4" w:space="0" w:color="auto"/>
            </w:tcBorders>
            <w:shd w:val="clear" w:color="auto" w:fill="D9D9D9"/>
            <w:tcMar>
              <w:top w:w="20" w:type="dxa"/>
              <w:left w:w="115" w:type="dxa"/>
              <w:bottom w:w="20" w:type="dxa"/>
              <w:right w:w="115" w:type="dxa"/>
            </w:tcMar>
            <w:vAlign w:val="bottom"/>
            <w:hideMark/>
          </w:tcPr>
          <w:p w14:paraId="4236B1F1" w14:textId="77777777" w:rsidR="00C90D70" w:rsidRPr="006E30F9" w:rsidRDefault="00C90D70" w:rsidP="00964C58">
            <w:pPr>
              <w:pStyle w:val="TableHeadings"/>
              <w:jc w:val="center"/>
            </w:pPr>
            <w:r w:rsidRPr="007E0747">
              <w:t>Less than Significant with Mitigation Incorporated</w:t>
            </w:r>
          </w:p>
        </w:tc>
        <w:tc>
          <w:tcPr>
            <w:tcW w:w="1110" w:type="dxa"/>
            <w:gridSpan w:val="2"/>
            <w:tcBorders>
              <w:bottom w:val="single" w:sz="4" w:space="0" w:color="auto"/>
            </w:tcBorders>
            <w:shd w:val="clear" w:color="auto" w:fill="D9D9D9"/>
            <w:tcMar>
              <w:top w:w="20" w:type="dxa"/>
              <w:left w:w="115" w:type="dxa"/>
              <w:bottom w:w="20" w:type="dxa"/>
              <w:right w:w="115" w:type="dxa"/>
            </w:tcMar>
            <w:vAlign w:val="bottom"/>
            <w:hideMark/>
          </w:tcPr>
          <w:p w14:paraId="47553F85" w14:textId="77777777" w:rsidR="00C90D70" w:rsidRPr="006E30F9" w:rsidRDefault="00C90D70" w:rsidP="00964C58">
            <w:pPr>
              <w:pStyle w:val="TableHeadings"/>
              <w:jc w:val="center"/>
            </w:pPr>
            <w:r w:rsidRPr="006E30F9">
              <w:t>Less than Significant Impact</w:t>
            </w:r>
          </w:p>
        </w:tc>
        <w:tc>
          <w:tcPr>
            <w:tcW w:w="1181" w:type="dxa"/>
            <w:gridSpan w:val="3"/>
            <w:tcBorders>
              <w:bottom w:val="single" w:sz="4" w:space="0" w:color="auto"/>
            </w:tcBorders>
            <w:shd w:val="clear" w:color="auto" w:fill="D9D9D9"/>
            <w:tcMar>
              <w:top w:w="20" w:type="dxa"/>
              <w:left w:w="115" w:type="dxa"/>
              <w:bottom w:w="20" w:type="dxa"/>
              <w:right w:w="115" w:type="dxa"/>
            </w:tcMar>
            <w:vAlign w:val="bottom"/>
            <w:hideMark/>
          </w:tcPr>
          <w:p w14:paraId="2C72AA68" w14:textId="77777777" w:rsidR="00C90D70" w:rsidRPr="006E30F9" w:rsidRDefault="00C90D70" w:rsidP="00964C58">
            <w:pPr>
              <w:pStyle w:val="TableHeadings"/>
              <w:jc w:val="center"/>
            </w:pPr>
            <w:r w:rsidRPr="006E30F9">
              <w:t>No Impact</w:t>
            </w:r>
          </w:p>
        </w:tc>
      </w:tr>
      <w:tr w:rsidR="00C90D70" w:rsidRPr="000D75C9" w14:paraId="1B1EB15B" w14:textId="77777777" w:rsidTr="00964C58">
        <w:trPr>
          <w:gridBefore w:val="1"/>
          <w:gridAfter w:val="1"/>
          <w:wBefore w:w="11" w:type="dxa"/>
          <w:wAfter w:w="9" w:type="dxa"/>
          <w:tblHeader/>
        </w:trPr>
        <w:tc>
          <w:tcPr>
            <w:tcW w:w="9027" w:type="dxa"/>
            <w:gridSpan w:val="9"/>
            <w:tcMar>
              <w:top w:w="20" w:type="dxa"/>
              <w:left w:w="115" w:type="dxa"/>
              <w:bottom w:w="20" w:type="dxa"/>
              <w:right w:w="115" w:type="dxa"/>
            </w:tcMar>
            <w:vAlign w:val="bottom"/>
            <w:hideMark/>
          </w:tcPr>
          <w:p w14:paraId="10515460" w14:textId="77777777" w:rsidR="00C90D70" w:rsidRPr="000D75C9" w:rsidRDefault="00C90D70" w:rsidP="00964C58">
            <w:pPr>
              <w:spacing w:before="60" w:after="60"/>
              <w:rPr>
                <w:rFonts w:asciiTheme="minorHAnsi" w:hAnsiTheme="minorHAnsi"/>
                <w:b/>
                <w:sz w:val="22"/>
                <w:szCs w:val="22"/>
              </w:rPr>
            </w:pPr>
            <w:r w:rsidRPr="000D75C9">
              <w:rPr>
                <w:rFonts w:asciiTheme="minorHAnsi" w:hAnsiTheme="minorHAnsi"/>
                <w:sz w:val="22"/>
                <w:szCs w:val="22"/>
              </w:rPr>
              <w:t>Would the project:</w:t>
            </w:r>
          </w:p>
        </w:tc>
      </w:tr>
      <w:tr w:rsidR="00C90D70" w:rsidRPr="00B22CD0" w14:paraId="31DDAA87" w14:textId="77777777" w:rsidTr="00964C58">
        <w:trPr>
          <w:gridBefore w:val="1"/>
          <w:gridAfter w:val="1"/>
          <w:wBefore w:w="11" w:type="dxa"/>
          <w:wAfter w:w="9" w:type="dxa"/>
        </w:trPr>
        <w:tc>
          <w:tcPr>
            <w:tcW w:w="4492" w:type="dxa"/>
            <w:gridSpan w:val="2"/>
            <w:tcMar>
              <w:top w:w="20" w:type="dxa"/>
              <w:left w:w="115" w:type="dxa"/>
              <w:bottom w:w="20" w:type="dxa"/>
              <w:right w:w="115" w:type="dxa"/>
            </w:tcMar>
            <w:vAlign w:val="bottom"/>
            <w:hideMark/>
          </w:tcPr>
          <w:p w14:paraId="0386B8AB" w14:textId="77777777" w:rsidR="00C90D70" w:rsidRPr="00B22CD0" w:rsidRDefault="00C90D70" w:rsidP="00964C58">
            <w:pPr>
              <w:pStyle w:val="BulletListLettered"/>
              <w:numPr>
                <w:ilvl w:val="0"/>
                <w:numId w:val="10"/>
              </w:numPr>
            </w:pPr>
            <w:r w:rsidRPr="00B22CD0">
              <w:t xml:space="preserve">Convert Prime Farmland, Unique Farmland, </w:t>
            </w:r>
            <w:r>
              <w:t xml:space="preserve">or </w:t>
            </w:r>
            <w:r w:rsidRPr="00B22CD0">
              <w:t>Farmland of Statewide Importance (Farmland), as shown on maps prepared pursuant to the Farmland Mapping and Monitoring Program of the California Resources Agency, to non-agricultural use?</w:t>
            </w:r>
          </w:p>
        </w:tc>
        <w:tc>
          <w:tcPr>
            <w:tcW w:w="1133" w:type="dxa"/>
            <w:gridSpan w:val="2"/>
            <w:tcMar>
              <w:top w:w="14" w:type="dxa"/>
              <w:left w:w="115" w:type="dxa"/>
              <w:bottom w:w="0" w:type="dxa"/>
              <w:right w:w="115" w:type="dxa"/>
            </w:tcMar>
            <w:vAlign w:val="bottom"/>
          </w:tcPr>
          <w:p w14:paraId="62672BF8" w14:textId="1B16079C" w:rsidR="00C90D70" w:rsidRPr="00B22CD0" w:rsidRDefault="00C90D70" w:rsidP="00964C58">
            <w:pPr>
              <w:spacing w:before="60" w:after="60"/>
              <w:jc w:val="center"/>
              <w:rPr>
                <w:rFonts w:asciiTheme="minorHAnsi" w:hAnsiTheme="minorHAnsi"/>
                <w:sz w:val="28"/>
                <w:szCs w:val="28"/>
              </w:rPr>
            </w:pPr>
            <w:r>
              <w:rPr>
                <w:rFonts w:ascii="Times New Roman" w:hAnsi="Times New Roman"/>
                <w:sz w:val="28"/>
                <w:szCs w:val="28"/>
              </w:rPr>
              <w:t>□</w:t>
            </w:r>
          </w:p>
        </w:tc>
        <w:tc>
          <w:tcPr>
            <w:tcW w:w="1134" w:type="dxa"/>
            <w:gridSpan w:val="2"/>
            <w:tcMar>
              <w:top w:w="20" w:type="dxa"/>
              <w:left w:w="115" w:type="dxa"/>
              <w:bottom w:w="20" w:type="dxa"/>
              <w:right w:w="115" w:type="dxa"/>
            </w:tcMar>
            <w:vAlign w:val="bottom"/>
          </w:tcPr>
          <w:p w14:paraId="2B0EBD9C" w14:textId="14810D8F" w:rsidR="00C90D70" w:rsidRPr="00B22CD0" w:rsidRDefault="00C90D70" w:rsidP="00964C58">
            <w:pPr>
              <w:spacing w:before="60" w:after="60"/>
              <w:jc w:val="center"/>
              <w:rPr>
                <w:rFonts w:asciiTheme="minorHAnsi" w:hAnsiTheme="minorHAnsi"/>
                <w:sz w:val="28"/>
                <w:szCs w:val="28"/>
              </w:rPr>
            </w:pPr>
            <w:r w:rsidRPr="00B22CD0">
              <w:rPr>
                <w:rFonts w:asciiTheme="minorHAnsi" w:hAnsiTheme="minorHAnsi"/>
                <w:sz w:val="28"/>
                <w:szCs w:val="28"/>
              </w:rPr>
              <w:t>□</w:t>
            </w:r>
          </w:p>
        </w:tc>
        <w:tc>
          <w:tcPr>
            <w:tcW w:w="1134" w:type="dxa"/>
            <w:gridSpan w:val="2"/>
            <w:tcMar>
              <w:top w:w="20" w:type="dxa"/>
              <w:left w:w="115" w:type="dxa"/>
              <w:bottom w:w="20" w:type="dxa"/>
              <w:right w:w="115" w:type="dxa"/>
            </w:tcMar>
            <w:vAlign w:val="bottom"/>
          </w:tcPr>
          <w:p w14:paraId="6F8CCE74" w14:textId="2029E6C7" w:rsidR="00C90D70" w:rsidRPr="00B22CD0" w:rsidRDefault="00C90D70" w:rsidP="00964C58">
            <w:pPr>
              <w:spacing w:before="60" w:after="60"/>
              <w:jc w:val="center"/>
              <w:rPr>
                <w:rFonts w:asciiTheme="minorHAnsi" w:hAnsiTheme="minorHAnsi"/>
                <w:sz w:val="28"/>
                <w:szCs w:val="28"/>
              </w:rPr>
            </w:pPr>
            <w:r w:rsidRPr="00B22CD0">
              <w:rPr>
                <w:rFonts w:asciiTheme="minorHAnsi" w:hAnsiTheme="minorHAnsi"/>
                <w:sz w:val="28"/>
                <w:szCs w:val="28"/>
              </w:rPr>
              <w:t>□</w:t>
            </w:r>
          </w:p>
        </w:tc>
        <w:tc>
          <w:tcPr>
            <w:tcW w:w="1134" w:type="dxa"/>
            <w:tcMar>
              <w:top w:w="20" w:type="dxa"/>
              <w:left w:w="115" w:type="dxa"/>
              <w:bottom w:w="20" w:type="dxa"/>
              <w:right w:w="115" w:type="dxa"/>
            </w:tcMar>
            <w:vAlign w:val="bottom"/>
          </w:tcPr>
          <w:p w14:paraId="07D92E9B" w14:textId="4B0474E1" w:rsidR="00C90D70" w:rsidRPr="00B22CD0" w:rsidRDefault="00C90D70" w:rsidP="00964C58">
            <w:pPr>
              <w:spacing w:before="60" w:after="60"/>
              <w:jc w:val="center"/>
              <w:rPr>
                <w:rFonts w:asciiTheme="minorHAnsi" w:hAnsiTheme="minorHAnsi"/>
                <w:sz w:val="28"/>
                <w:szCs w:val="28"/>
              </w:rPr>
            </w:pPr>
            <w:r>
              <w:rPr>
                <w:rFonts w:ascii="Times New Roman" w:hAnsi="Times New Roman"/>
                <w:sz w:val="28"/>
                <w:szCs w:val="28"/>
              </w:rPr>
              <w:t>■</w:t>
            </w:r>
          </w:p>
        </w:tc>
      </w:tr>
      <w:tr w:rsidR="00C90D70" w:rsidRPr="00B22CD0" w14:paraId="2843E4C7" w14:textId="77777777" w:rsidTr="00964C58">
        <w:trPr>
          <w:gridBefore w:val="1"/>
          <w:gridAfter w:val="1"/>
          <w:wBefore w:w="11" w:type="dxa"/>
          <w:wAfter w:w="9" w:type="dxa"/>
        </w:trPr>
        <w:tc>
          <w:tcPr>
            <w:tcW w:w="4492" w:type="dxa"/>
            <w:gridSpan w:val="2"/>
            <w:tcMar>
              <w:top w:w="20" w:type="dxa"/>
              <w:left w:w="115" w:type="dxa"/>
              <w:bottom w:w="20" w:type="dxa"/>
              <w:right w:w="115" w:type="dxa"/>
            </w:tcMar>
            <w:vAlign w:val="bottom"/>
            <w:hideMark/>
          </w:tcPr>
          <w:p w14:paraId="1FE3DC0E" w14:textId="77777777" w:rsidR="00C90D70" w:rsidRPr="00B22CD0" w:rsidRDefault="00C90D70" w:rsidP="00964C58">
            <w:pPr>
              <w:pStyle w:val="BulletListLettered"/>
              <w:numPr>
                <w:ilvl w:val="0"/>
                <w:numId w:val="10"/>
              </w:numPr>
            </w:pPr>
            <w:r w:rsidRPr="00B22CD0">
              <w:t>Conflict with existing zoning for agricultural use or a Williamson Act contract?</w:t>
            </w:r>
          </w:p>
        </w:tc>
        <w:tc>
          <w:tcPr>
            <w:tcW w:w="1133" w:type="dxa"/>
            <w:gridSpan w:val="2"/>
            <w:tcMar>
              <w:top w:w="20" w:type="dxa"/>
              <w:left w:w="115" w:type="dxa"/>
              <w:bottom w:w="20" w:type="dxa"/>
              <w:right w:w="115" w:type="dxa"/>
            </w:tcMar>
            <w:vAlign w:val="bottom"/>
          </w:tcPr>
          <w:p w14:paraId="037DC4DB" w14:textId="7DD8276D" w:rsidR="00C90D70" w:rsidRPr="00B22CD0" w:rsidRDefault="00C90D70" w:rsidP="00964C58">
            <w:pPr>
              <w:spacing w:before="60" w:after="60"/>
              <w:jc w:val="center"/>
              <w:rPr>
                <w:rFonts w:asciiTheme="minorHAnsi" w:hAnsiTheme="minorHAnsi"/>
                <w:sz w:val="28"/>
                <w:szCs w:val="28"/>
              </w:rPr>
            </w:pPr>
            <w:r w:rsidRPr="00B22CD0">
              <w:rPr>
                <w:rFonts w:asciiTheme="minorHAnsi" w:hAnsiTheme="minorHAnsi"/>
                <w:sz w:val="28"/>
                <w:szCs w:val="28"/>
              </w:rPr>
              <w:t>□</w:t>
            </w:r>
          </w:p>
        </w:tc>
        <w:tc>
          <w:tcPr>
            <w:tcW w:w="1134" w:type="dxa"/>
            <w:gridSpan w:val="2"/>
            <w:tcMar>
              <w:top w:w="20" w:type="dxa"/>
              <w:left w:w="115" w:type="dxa"/>
              <w:bottom w:w="20" w:type="dxa"/>
              <w:right w:w="115" w:type="dxa"/>
            </w:tcMar>
            <w:vAlign w:val="bottom"/>
          </w:tcPr>
          <w:p w14:paraId="0AF5A8C7" w14:textId="2C9ABE5F" w:rsidR="00C90D70" w:rsidRPr="00B22CD0" w:rsidRDefault="00C90D70" w:rsidP="00964C58">
            <w:pPr>
              <w:spacing w:before="60" w:after="60"/>
              <w:jc w:val="center"/>
              <w:rPr>
                <w:rFonts w:asciiTheme="minorHAnsi" w:hAnsiTheme="minorHAnsi"/>
                <w:sz w:val="28"/>
                <w:szCs w:val="28"/>
              </w:rPr>
            </w:pPr>
            <w:r w:rsidRPr="00B22CD0">
              <w:rPr>
                <w:rFonts w:asciiTheme="minorHAnsi" w:hAnsiTheme="minorHAnsi"/>
                <w:sz w:val="28"/>
                <w:szCs w:val="28"/>
              </w:rPr>
              <w:t>□</w:t>
            </w:r>
          </w:p>
        </w:tc>
        <w:tc>
          <w:tcPr>
            <w:tcW w:w="1134" w:type="dxa"/>
            <w:gridSpan w:val="2"/>
            <w:tcMar>
              <w:top w:w="20" w:type="dxa"/>
              <w:left w:w="115" w:type="dxa"/>
              <w:bottom w:w="20" w:type="dxa"/>
              <w:right w:w="115" w:type="dxa"/>
            </w:tcMar>
            <w:vAlign w:val="bottom"/>
          </w:tcPr>
          <w:p w14:paraId="0D589C02" w14:textId="1E344FF8" w:rsidR="00C90D70" w:rsidRPr="00B22CD0" w:rsidRDefault="00C90D70" w:rsidP="00964C58">
            <w:pPr>
              <w:spacing w:before="60" w:after="60"/>
              <w:jc w:val="center"/>
              <w:rPr>
                <w:rFonts w:asciiTheme="minorHAnsi" w:hAnsiTheme="minorHAnsi"/>
                <w:sz w:val="28"/>
                <w:szCs w:val="28"/>
              </w:rPr>
            </w:pPr>
            <w:r>
              <w:rPr>
                <w:rFonts w:ascii="Times New Roman" w:hAnsi="Times New Roman"/>
                <w:sz w:val="28"/>
                <w:szCs w:val="28"/>
              </w:rPr>
              <w:t>□</w:t>
            </w:r>
          </w:p>
        </w:tc>
        <w:tc>
          <w:tcPr>
            <w:tcW w:w="1134" w:type="dxa"/>
            <w:tcMar>
              <w:top w:w="20" w:type="dxa"/>
              <w:left w:w="115" w:type="dxa"/>
              <w:bottom w:w="20" w:type="dxa"/>
              <w:right w:w="115" w:type="dxa"/>
            </w:tcMar>
            <w:vAlign w:val="bottom"/>
          </w:tcPr>
          <w:p w14:paraId="1B65B7AB" w14:textId="37FF573E" w:rsidR="00C90D70" w:rsidRPr="00B22CD0" w:rsidRDefault="00C90D70" w:rsidP="00964C58">
            <w:pPr>
              <w:spacing w:before="60" w:after="60"/>
              <w:jc w:val="center"/>
              <w:rPr>
                <w:rFonts w:asciiTheme="minorHAnsi" w:hAnsiTheme="minorHAnsi"/>
                <w:sz w:val="28"/>
                <w:szCs w:val="28"/>
              </w:rPr>
            </w:pPr>
            <w:r>
              <w:rPr>
                <w:rFonts w:ascii="Times New Roman" w:hAnsi="Times New Roman"/>
                <w:sz w:val="28"/>
                <w:szCs w:val="28"/>
              </w:rPr>
              <w:t>■</w:t>
            </w:r>
          </w:p>
        </w:tc>
      </w:tr>
      <w:tr w:rsidR="00C90D70" w:rsidRPr="00B22CD0" w14:paraId="43C9B2E8" w14:textId="77777777" w:rsidTr="00964C58">
        <w:trPr>
          <w:gridBefore w:val="1"/>
          <w:gridAfter w:val="1"/>
          <w:wBefore w:w="11" w:type="dxa"/>
          <w:wAfter w:w="9" w:type="dxa"/>
        </w:trPr>
        <w:tc>
          <w:tcPr>
            <w:tcW w:w="4492" w:type="dxa"/>
            <w:gridSpan w:val="2"/>
            <w:tcMar>
              <w:top w:w="20" w:type="dxa"/>
              <w:left w:w="115" w:type="dxa"/>
              <w:bottom w:w="20" w:type="dxa"/>
              <w:right w:w="115" w:type="dxa"/>
            </w:tcMar>
            <w:vAlign w:val="bottom"/>
            <w:hideMark/>
          </w:tcPr>
          <w:p w14:paraId="4FAC6EF9" w14:textId="77777777" w:rsidR="00C90D70" w:rsidRPr="00B22CD0" w:rsidRDefault="00C90D70" w:rsidP="00964C58">
            <w:pPr>
              <w:pStyle w:val="BulletListLettered"/>
              <w:numPr>
                <w:ilvl w:val="0"/>
                <w:numId w:val="10"/>
              </w:numPr>
            </w:pPr>
            <w:r w:rsidRPr="00B22CD0">
              <w:t>Conflict with existing zoning for</w:t>
            </w:r>
            <w:r>
              <w:t>,</w:t>
            </w:r>
            <w:r w:rsidRPr="00B22CD0">
              <w:t xml:space="preserve"> or cause rezoning of</w:t>
            </w:r>
            <w:r>
              <w:t>,</w:t>
            </w:r>
            <w:r w:rsidRPr="00B22CD0">
              <w:t xml:space="preserve"> forest land (as defined in Public Resources Code Section 12220(g)); timberland (as defined by Public Resources Code Section 4526); or timberland zoned Timberland Production (as defined by Government Code Section 51104(g))?</w:t>
            </w:r>
          </w:p>
        </w:tc>
        <w:tc>
          <w:tcPr>
            <w:tcW w:w="1133" w:type="dxa"/>
            <w:gridSpan w:val="2"/>
            <w:tcMar>
              <w:top w:w="20" w:type="dxa"/>
              <w:left w:w="115" w:type="dxa"/>
              <w:bottom w:w="20" w:type="dxa"/>
              <w:right w:w="115" w:type="dxa"/>
            </w:tcMar>
            <w:vAlign w:val="bottom"/>
          </w:tcPr>
          <w:p w14:paraId="252A27A4" w14:textId="7BAAE50B" w:rsidR="00C90D70" w:rsidRPr="00B22CD0" w:rsidRDefault="00C90D70" w:rsidP="00964C58">
            <w:pPr>
              <w:spacing w:before="60" w:after="60"/>
              <w:jc w:val="center"/>
              <w:rPr>
                <w:rFonts w:asciiTheme="minorHAnsi" w:hAnsiTheme="minorHAnsi"/>
                <w:sz w:val="28"/>
                <w:szCs w:val="28"/>
              </w:rPr>
            </w:pPr>
            <w:r w:rsidRPr="00B22CD0">
              <w:rPr>
                <w:rFonts w:asciiTheme="minorHAnsi" w:hAnsiTheme="minorHAnsi"/>
                <w:sz w:val="28"/>
                <w:szCs w:val="28"/>
              </w:rPr>
              <w:t>□</w:t>
            </w:r>
          </w:p>
        </w:tc>
        <w:tc>
          <w:tcPr>
            <w:tcW w:w="1134" w:type="dxa"/>
            <w:gridSpan w:val="2"/>
            <w:tcMar>
              <w:top w:w="20" w:type="dxa"/>
              <w:left w:w="115" w:type="dxa"/>
              <w:bottom w:w="20" w:type="dxa"/>
              <w:right w:w="115" w:type="dxa"/>
            </w:tcMar>
            <w:vAlign w:val="bottom"/>
          </w:tcPr>
          <w:p w14:paraId="5D3F889B" w14:textId="7E65FB0E" w:rsidR="00C90D70" w:rsidRPr="00B22CD0" w:rsidRDefault="00C90D70" w:rsidP="00964C58">
            <w:pPr>
              <w:spacing w:before="60" w:after="60"/>
              <w:jc w:val="center"/>
              <w:rPr>
                <w:rFonts w:asciiTheme="minorHAnsi" w:hAnsiTheme="minorHAnsi"/>
                <w:sz w:val="28"/>
                <w:szCs w:val="28"/>
              </w:rPr>
            </w:pPr>
            <w:r w:rsidRPr="00B22CD0">
              <w:rPr>
                <w:rFonts w:asciiTheme="minorHAnsi" w:hAnsiTheme="minorHAnsi"/>
                <w:sz w:val="28"/>
                <w:szCs w:val="28"/>
              </w:rPr>
              <w:t>□</w:t>
            </w:r>
          </w:p>
        </w:tc>
        <w:tc>
          <w:tcPr>
            <w:tcW w:w="1134" w:type="dxa"/>
            <w:gridSpan w:val="2"/>
            <w:tcMar>
              <w:top w:w="20" w:type="dxa"/>
              <w:left w:w="115" w:type="dxa"/>
              <w:bottom w:w="20" w:type="dxa"/>
              <w:right w:w="115" w:type="dxa"/>
            </w:tcMar>
            <w:vAlign w:val="bottom"/>
          </w:tcPr>
          <w:p w14:paraId="69688DD4" w14:textId="36F93CE9" w:rsidR="00C90D70" w:rsidRPr="00B22CD0" w:rsidRDefault="00C90D70" w:rsidP="00964C58">
            <w:pPr>
              <w:spacing w:before="60" w:after="60"/>
              <w:jc w:val="center"/>
              <w:rPr>
                <w:rFonts w:asciiTheme="minorHAnsi" w:hAnsiTheme="minorHAnsi"/>
                <w:sz w:val="28"/>
                <w:szCs w:val="28"/>
              </w:rPr>
            </w:pPr>
            <w:r>
              <w:rPr>
                <w:rFonts w:ascii="Times New Roman" w:hAnsi="Times New Roman"/>
                <w:sz w:val="28"/>
                <w:szCs w:val="28"/>
              </w:rPr>
              <w:t>□</w:t>
            </w:r>
          </w:p>
        </w:tc>
        <w:tc>
          <w:tcPr>
            <w:tcW w:w="1134" w:type="dxa"/>
            <w:tcMar>
              <w:top w:w="20" w:type="dxa"/>
              <w:left w:w="115" w:type="dxa"/>
              <w:bottom w:w="20" w:type="dxa"/>
              <w:right w:w="115" w:type="dxa"/>
            </w:tcMar>
            <w:vAlign w:val="bottom"/>
          </w:tcPr>
          <w:p w14:paraId="6B15F0F4" w14:textId="785FEF1F" w:rsidR="00C90D70" w:rsidRPr="00B22CD0" w:rsidRDefault="00C90D70" w:rsidP="00964C58">
            <w:pPr>
              <w:spacing w:before="60" w:after="60"/>
              <w:jc w:val="center"/>
              <w:rPr>
                <w:rFonts w:asciiTheme="minorHAnsi" w:hAnsiTheme="minorHAnsi"/>
                <w:sz w:val="28"/>
                <w:szCs w:val="28"/>
              </w:rPr>
            </w:pPr>
            <w:r>
              <w:rPr>
                <w:rFonts w:ascii="Times New Roman" w:hAnsi="Times New Roman"/>
                <w:sz w:val="28"/>
                <w:szCs w:val="28"/>
              </w:rPr>
              <w:t>■</w:t>
            </w:r>
          </w:p>
        </w:tc>
      </w:tr>
      <w:tr w:rsidR="00C90D70" w:rsidRPr="00B22CD0" w14:paraId="51076D68" w14:textId="77777777" w:rsidTr="00964C58">
        <w:trPr>
          <w:gridBefore w:val="1"/>
          <w:gridAfter w:val="1"/>
          <w:wBefore w:w="11" w:type="dxa"/>
          <w:wAfter w:w="9" w:type="dxa"/>
        </w:trPr>
        <w:tc>
          <w:tcPr>
            <w:tcW w:w="4492" w:type="dxa"/>
            <w:gridSpan w:val="2"/>
            <w:tcMar>
              <w:top w:w="20" w:type="dxa"/>
              <w:left w:w="115" w:type="dxa"/>
              <w:bottom w:w="20" w:type="dxa"/>
              <w:right w:w="115" w:type="dxa"/>
            </w:tcMar>
            <w:vAlign w:val="bottom"/>
            <w:hideMark/>
          </w:tcPr>
          <w:p w14:paraId="2BE14846" w14:textId="77777777" w:rsidR="00C90D70" w:rsidRPr="00B22CD0" w:rsidRDefault="00C90D70" w:rsidP="00964C58">
            <w:pPr>
              <w:pStyle w:val="BulletListLettered"/>
              <w:numPr>
                <w:ilvl w:val="0"/>
                <w:numId w:val="10"/>
              </w:numPr>
            </w:pPr>
            <w:r w:rsidRPr="00B22CD0">
              <w:t>Result in the loss of forest land or conversion of forest land to non-forest use?</w:t>
            </w:r>
          </w:p>
        </w:tc>
        <w:tc>
          <w:tcPr>
            <w:tcW w:w="1133" w:type="dxa"/>
            <w:gridSpan w:val="2"/>
            <w:tcMar>
              <w:top w:w="20" w:type="dxa"/>
              <w:left w:w="115" w:type="dxa"/>
              <w:bottom w:w="20" w:type="dxa"/>
              <w:right w:w="115" w:type="dxa"/>
            </w:tcMar>
            <w:vAlign w:val="bottom"/>
          </w:tcPr>
          <w:p w14:paraId="7C9E5EAC" w14:textId="5773EE3A" w:rsidR="00C90D70" w:rsidRPr="00B22CD0" w:rsidRDefault="00C90D70" w:rsidP="00964C58">
            <w:pPr>
              <w:spacing w:before="60" w:after="60"/>
              <w:jc w:val="center"/>
              <w:rPr>
                <w:rFonts w:asciiTheme="minorHAnsi" w:hAnsiTheme="minorHAnsi"/>
                <w:sz w:val="28"/>
                <w:szCs w:val="28"/>
              </w:rPr>
            </w:pPr>
            <w:r w:rsidRPr="00B22CD0">
              <w:rPr>
                <w:rFonts w:asciiTheme="minorHAnsi" w:hAnsiTheme="minorHAnsi"/>
                <w:sz w:val="28"/>
                <w:szCs w:val="28"/>
              </w:rPr>
              <w:t>□</w:t>
            </w:r>
          </w:p>
        </w:tc>
        <w:tc>
          <w:tcPr>
            <w:tcW w:w="1134" w:type="dxa"/>
            <w:gridSpan w:val="2"/>
            <w:tcMar>
              <w:top w:w="20" w:type="dxa"/>
              <w:left w:w="115" w:type="dxa"/>
              <w:bottom w:w="20" w:type="dxa"/>
              <w:right w:w="115" w:type="dxa"/>
            </w:tcMar>
            <w:vAlign w:val="bottom"/>
          </w:tcPr>
          <w:p w14:paraId="62A2E3FE" w14:textId="0728FF3D" w:rsidR="00C90D70" w:rsidRPr="00B22CD0" w:rsidRDefault="00C90D70" w:rsidP="00964C58">
            <w:pPr>
              <w:spacing w:before="60" w:after="60"/>
              <w:jc w:val="center"/>
              <w:rPr>
                <w:rFonts w:asciiTheme="minorHAnsi" w:hAnsiTheme="minorHAnsi"/>
                <w:sz w:val="28"/>
                <w:szCs w:val="28"/>
              </w:rPr>
            </w:pPr>
            <w:r w:rsidRPr="00B22CD0">
              <w:rPr>
                <w:rFonts w:asciiTheme="minorHAnsi" w:hAnsiTheme="minorHAnsi"/>
                <w:sz w:val="28"/>
                <w:szCs w:val="28"/>
              </w:rPr>
              <w:t>□</w:t>
            </w:r>
          </w:p>
        </w:tc>
        <w:tc>
          <w:tcPr>
            <w:tcW w:w="1134" w:type="dxa"/>
            <w:gridSpan w:val="2"/>
            <w:tcMar>
              <w:top w:w="20" w:type="dxa"/>
              <w:left w:w="115" w:type="dxa"/>
              <w:bottom w:w="20" w:type="dxa"/>
              <w:right w:w="115" w:type="dxa"/>
            </w:tcMar>
            <w:vAlign w:val="bottom"/>
          </w:tcPr>
          <w:p w14:paraId="1E117CB0" w14:textId="182D9BDA" w:rsidR="00C90D70" w:rsidRPr="00B22CD0" w:rsidRDefault="00C90D70" w:rsidP="00964C58">
            <w:pPr>
              <w:spacing w:before="60" w:after="60"/>
              <w:jc w:val="center"/>
              <w:rPr>
                <w:rFonts w:asciiTheme="minorHAnsi" w:hAnsiTheme="minorHAnsi"/>
                <w:sz w:val="28"/>
                <w:szCs w:val="28"/>
              </w:rPr>
            </w:pPr>
            <w:r>
              <w:rPr>
                <w:rFonts w:ascii="Times New Roman" w:hAnsi="Times New Roman"/>
                <w:sz w:val="28"/>
                <w:szCs w:val="28"/>
              </w:rPr>
              <w:t>□</w:t>
            </w:r>
          </w:p>
        </w:tc>
        <w:tc>
          <w:tcPr>
            <w:tcW w:w="1134" w:type="dxa"/>
            <w:tcMar>
              <w:top w:w="20" w:type="dxa"/>
              <w:left w:w="115" w:type="dxa"/>
              <w:bottom w:w="20" w:type="dxa"/>
              <w:right w:w="115" w:type="dxa"/>
            </w:tcMar>
            <w:vAlign w:val="bottom"/>
          </w:tcPr>
          <w:p w14:paraId="1FE9379E" w14:textId="1491928F" w:rsidR="00C90D70" w:rsidRPr="00B22CD0" w:rsidRDefault="00C90D70" w:rsidP="00964C58">
            <w:pPr>
              <w:spacing w:before="60" w:after="60"/>
              <w:jc w:val="center"/>
              <w:rPr>
                <w:rFonts w:asciiTheme="minorHAnsi" w:hAnsiTheme="minorHAnsi"/>
                <w:sz w:val="28"/>
                <w:szCs w:val="28"/>
              </w:rPr>
            </w:pPr>
            <w:r>
              <w:rPr>
                <w:rFonts w:ascii="Times New Roman" w:hAnsi="Times New Roman"/>
                <w:sz w:val="28"/>
                <w:szCs w:val="28"/>
              </w:rPr>
              <w:t>■</w:t>
            </w:r>
          </w:p>
        </w:tc>
      </w:tr>
      <w:tr w:rsidR="00C90D70" w:rsidRPr="00B22CD0" w14:paraId="4C88A543" w14:textId="77777777" w:rsidTr="00964C58">
        <w:trPr>
          <w:gridBefore w:val="1"/>
          <w:gridAfter w:val="1"/>
          <w:wBefore w:w="11" w:type="dxa"/>
          <w:wAfter w:w="9" w:type="dxa"/>
        </w:trPr>
        <w:tc>
          <w:tcPr>
            <w:tcW w:w="4492" w:type="dxa"/>
            <w:gridSpan w:val="2"/>
            <w:tcBorders>
              <w:top w:val="nil"/>
              <w:left w:val="nil"/>
              <w:bottom w:val="single" w:sz="4" w:space="0" w:color="auto"/>
              <w:right w:val="nil"/>
            </w:tcBorders>
            <w:tcMar>
              <w:top w:w="20" w:type="dxa"/>
              <w:left w:w="115" w:type="dxa"/>
              <w:bottom w:w="20" w:type="dxa"/>
              <w:right w:w="115" w:type="dxa"/>
            </w:tcMar>
            <w:vAlign w:val="bottom"/>
            <w:hideMark/>
          </w:tcPr>
          <w:p w14:paraId="24FD13C9" w14:textId="77777777" w:rsidR="00C90D70" w:rsidRPr="00B22CD0" w:rsidRDefault="00C90D70" w:rsidP="00964C58">
            <w:pPr>
              <w:pStyle w:val="BulletListLettered"/>
              <w:numPr>
                <w:ilvl w:val="0"/>
                <w:numId w:val="10"/>
              </w:numPr>
            </w:pPr>
            <w:r w:rsidRPr="00B22CD0">
              <w:t>Involve other changes in the existing environment which, due to their location or nature, could result in conversion of Farmland to non-agricultural use</w:t>
            </w:r>
            <w:r>
              <w:t xml:space="preserve"> or conversion of forest land to non-forest use</w:t>
            </w:r>
            <w:r w:rsidRPr="00B22CD0">
              <w:t>?</w:t>
            </w:r>
          </w:p>
        </w:tc>
        <w:tc>
          <w:tcPr>
            <w:tcW w:w="1133" w:type="dxa"/>
            <w:gridSpan w:val="2"/>
            <w:tcBorders>
              <w:top w:val="nil"/>
              <w:left w:val="nil"/>
              <w:bottom w:val="single" w:sz="4" w:space="0" w:color="auto"/>
              <w:right w:val="nil"/>
            </w:tcBorders>
            <w:tcMar>
              <w:top w:w="20" w:type="dxa"/>
              <w:left w:w="115" w:type="dxa"/>
              <w:bottom w:w="20" w:type="dxa"/>
              <w:right w:w="115" w:type="dxa"/>
            </w:tcMar>
            <w:vAlign w:val="bottom"/>
          </w:tcPr>
          <w:p w14:paraId="1BECDA2B" w14:textId="29B06FDC" w:rsidR="00C90D70" w:rsidRPr="00B22CD0" w:rsidRDefault="00C90D70" w:rsidP="00964C58">
            <w:pPr>
              <w:spacing w:before="60" w:after="60"/>
              <w:jc w:val="center"/>
              <w:rPr>
                <w:rFonts w:asciiTheme="minorHAnsi" w:hAnsiTheme="minorHAnsi"/>
                <w:sz w:val="28"/>
                <w:szCs w:val="28"/>
              </w:rPr>
            </w:pPr>
            <w:r w:rsidRPr="00B22CD0">
              <w:rPr>
                <w:rFonts w:asciiTheme="minorHAnsi" w:hAnsiTheme="minorHAnsi"/>
                <w:sz w:val="28"/>
                <w:szCs w:val="28"/>
              </w:rPr>
              <w:t>□</w:t>
            </w:r>
          </w:p>
        </w:tc>
        <w:tc>
          <w:tcPr>
            <w:tcW w:w="1134" w:type="dxa"/>
            <w:gridSpan w:val="2"/>
            <w:tcBorders>
              <w:top w:val="nil"/>
              <w:left w:val="nil"/>
              <w:bottom w:val="single" w:sz="4" w:space="0" w:color="auto"/>
              <w:right w:val="nil"/>
            </w:tcBorders>
            <w:tcMar>
              <w:top w:w="20" w:type="dxa"/>
              <w:left w:w="115" w:type="dxa"/>
              <w:bottom w:w="20" w:type="dxa"/>
              <w:right w:w="115" w:type="dxa"/>
            </w:tcMar>
            <w:vAlign w:val="bottom"/>
          </w:tcPr>
          <w:p w14:paraId="687A566C" w14:textId="49C6991C" w:rsidR="00C90D70" w:rsidRPr="00B22CD0" w:rsidRDefault="00C90D70" w:rsidP="00964C58">
            <w:pPr>
              <w:spacing w:before="60" w:after="60"/>
              <w:jc w:val="center"/>
              <w:rPr>
                <w:rFonts w:asciiTheme="minorHAnsi" w:hAnsiTheme="minorHAnsi"/>
                <w:sz w:val="28"/>
                <w:szCs w:val="28"/>
              </w:rPr>
            </w:pPr>
            <w:r w:rsidRPr="00B22CD0">
              <w:rPr>
                <w:rFonts w:asciiTheme="minorHAnsi" w:hAnsiTheme="minorHAnsi"/>
                <w:sz w:val="28"/>
                <w:szCs w:val="28"/>
              </w:rPr>
              <w:t>□</w:t>
            </w:r>
          </w:p>
        </w:tc>
        <w:tc>
          <w:tcPr>
            <w:tcW w:w="1134" w:type="dxa"/>
            <w:gridSpan w:val="2"/>
            <w:tcBorders>
              <w:top w:val="nil"/>
              <w:left w:val="nil"/>
              <w:bottom w:val="single" w:sz="4" w:space="0" w:color="auto"/>
              <w:right w:val="nil"/>
            </w:tcBorders>
            <w:tcMar>
              <w:top w:w="20" w:type="dxa"/>
              <w:left w:w="115" w:type="dxa"/>
              <w:bottom w:w="20" w:type="dxa"/>
              <w:right w:w="115" w:type="dxa"/>
            </w:tcMar>
            <w:vAlign w:val="bottom"/>
          </w:tcPr>
          <w:p w14:paraId="38524CEB" w14:textId="34AA839B" w:rsidR="00C90D70" w:rsidRPr="00B22CD0" w:rsidRDefault="00C90D70" w:rsidP="00964C58">
            <w:pPr>
              <w:spacing w:before="60" w:after="60"/>
              <w:jc w:val="center"/>
              <w:rPr>
                <w:rFonts w:asciiTheme="minorHAnsi" w:hAnsiTheme="minorHAnsi"/>
                <w:sz w:val="28"/>
                <w:szCs w:val="28"/>
              </w:rPr>
            </w:pPr>
            <w:r>
              <w:rPr>
                <w:rFonts w:ascii="Times New Roman" w:hAnsi="Times New Roman"/>
                <w:sz w:val="28"/>
                <w:szCs w:val="28"/>
              </w:rPr>
              <w:t>□</w:t>
            </w:r>
          </w:p>
        </w:tc>
        <w:tc>
          <w:tcPr>
            <w:tcW w:w="1134" w:type="dxa"/>
            <w:tcBorders>
              <w:top w:val="nil"/>
              <w:left w:val="nil"/>
              <w:bottom w:val="single" w:sz="4" w:space="0" w:color="auto"/>
              <w:right w:val="nil"/>
            </w:tcBorders>
            <w:tcMar>
              <w:top w:w="20" w:type="dxa"/>
              <w:left w:w="115" w:type="dxa"/>
              <w:bottom w:w="20" w:type="dxa"/>
              <w:right w:w="115" w:type="dxa"/>
            </w:tcMar>
            <w:vAlign w:val="bottom"/>
          </w:tcPr>
          <w:p w14:paraId="485DAB7D" w14:textId="16CCF527" w:rsidR="00C90D70" w:rsidRPr="00B22CD0" w:rsidRDefault="00C90D70" w:rsidP="00964C58">
            <w:pPr>
              <w:spacing w:before="60" w:after="60"/>
              <w:jc w:val="center"/>
              <w:rPr>
                <w:rFonts w:asciiTheme="minorHAnsi" w:hAnsiTheme="minorHAnsi"/>
                <w:sz w:val="28"/>
                <w:szCs w:val="28"/>
              </w:rPr>
            </w:pPr>
            <w:r>
              <w:rPr>
                <w:rFonts w:ascii="Times New Roman" w:hAnsi="Times New Roman"/>
                <w:sz w:val="28"/>
                <w:szCs w:val="28"/>
              </w:rPr>
              <w:t>■</w:t>
            </w:r>
          </w:p>
        </w:tc>
      </w:tr>
    </w:tbl>
    <w:p w14:paraId="4A274D95" w14:textId="3CC924FF" w:rsidR="00683242" w:rsidRDefault="00683242" w:rsidP="00683242">
      <w:pPr>
        <w:pStyle w:val="Heading5"/>
      </w:pPr>
      <w:r w:rsidRPr="00C977F7">
        <w:t>Setting</w:t>
      </w:r>
    </w:p>
    <w:p w14:paraId="0B9D2800" w14:textId="7CB3AA82" w:rsidR="00C977F7" w:rsidRDefault="00C977F7" w:rsidP="00C977F7">
      <w:pPr>
        <w:pStyle w:val="BodyText"/>
      </w:pPr>
      <w:r>
        <w:t>The project site is</w:t>
      </w:r>
      <w:r w:rsidR="008E34E5">
        <w:t xml:space="preserve"> located</w:t>
      </w:r>
      <w:r>
        <w:t xml:space="preserve"> </w:t>
      </w:r>
      <w:r w:rsidR="008E34E5">
        <w:t>with</w:t>
      </w:r>
      <w:r>
        <w:t xml:space="preserve">in an urban area of Mountain View. The site was previously developed and is zoned </w:t>
      </w:r>
      <w:r w:rsidRPr="003847FA">
        <w:t>for Limited</w:t>
      </w:r>
      <w:r w:rsidR="00DE61E2">
        <w:t xml:space="preserve"> Industrial </w:t>
      </w:r>
      <w:r w:rsidRPr="003847FA">
        <w:t>(ML), and the 1185 Terra Bella Avenue portion is zoned for General Industrial (MM).</w:t>
      </w:r>
      <w:r>
        <w:t xml:space="preserve"> </w:t>
      </w:r>
    </w:p>
    <w:p w14:paraId="7DE87ACD" w14:textId="54F6F040" w:rsidR="00C977F7" w:rsidRDefault="00C977F7" w:rsidP="00C977F7">
      <w:pPr>
        <w:pStyle w:val="BodyText"/>
      </w:pPr>
      <w:r w:rsidRPr="009C7A3F">
        <w:t>The California Department of Conservation (</w:t>
      </w:r>
      <w:r w:rsidR="00B843E1">
        <w:t>C</w:t>
      </w:r>
      <w:r w:rsidRPr="009C7A3F">
        <w:t xml:space="preserve">DOC) manages the Farmland Mapping and Monitoring Program to assess and record suitability of land for agricultural purposes. In each county, the land is analyzed for soil and irrigation quality. The highest quality land is designated as Prime Farmland. </w:t>
      </w:r>
      <w:r>
        <w:t xml:space="preserve">According to the </w:t>
      </w:r>
      <w:r w:rsidR="00615389">
        <w:t>Santa Clara</w:t>
      </w:r>
      <w:r>
        <w:t xml:space="preserve"> County Important Farmland Map prepared by </w:t>
      </w:r>
      <w:r w:rsidR="00B843E1">
        <w:t>CDOC</w:t>
      </w:r>
      <w:r>
        <w:t>, t</w:t>
      </w:r>
      <w:r w:rsidRPr="009C7A3F">
        <w:t>he project site and vicinity are designated as Urban and Built-Up Land and the site does not have any identified agriculture or forest land (</w:t>
      </w:r>
      <w:r w:rsidR="00B843E1">
        <w:t>C</w:t>
      </w:r>
      <w:r>
        <w:t xml:space="preserve">DOC </w:t>
      </w:r>
      <w:r w:rsidRPr="009C7A3F">
        <w:t>201</w:t>
      </w:r>
      <w:r>
        <w:t>6</w:t>
      </w:r>
      <w:r w:rsidRPr="009C7A3F">
        <w:t xml:space="preserve">). </w:t>
      </w:r>
    </w:p>
    <w:p w14:paraId="5ABBFEC3" w14:textId="77777777" w:rsidR="00C977F7" w:rsidRDefault="00C977F7" w:rsidP="00C977F7">
      <w:pPr>
        <w:pStyle w:val="Heading5"/>
      </w:pPr>
      <w:r>
        <w:lastRenderedPageBreak/>
        <w:t>Regulatory Setting</w:t>
      </w:r>
    </w:p>
    <w:p w14:paraId="79295514" w14:textId="77777777" w:rsidR="00C977F7" w:rsidRPr="004F4B48" w:rsidRDefault="00C977F7" w:rsidP="00C977F7">
      <w:pPr>
        <w:pStyle w:val="BodyTextAfterTable"/>
      </w:pPr>
      <w:r>
        <w:t>PRC</w:t>
      </w:r>
      <w:r w:rsidRPr="004F4B48">
        <w:t xml:space="preserve"> Section 12220(g) defines forest land as:</w:t>
      </w:r>
    </w:p>
    <w:p w14:paraId="41B1E317" w14:textId="77777777" w:rsidR="00C977F7" w:rsidRDefault="00C977F7" w:rsidP="00C977F7">
      <w:pPr>
        <w:pStyle w:val="BodyText"/>
        <w:ind w:left="360"/>
      </w:pPr>
      <w:r w:rsidRPr="004F4B48">
        <w:t>land that can support 10-percent native tree cover of any species, including hardwoods, under natural conditions, and that allows for management of one or more forest resources, including timber, aesthetics, fish and wildlife, biodiversity, water quality, recreation, and other public benefits</w:t>
      </w:r>
      <w:r>
        <w:t>.</w:t>
      </w:r>
    </w:p>
    <w:p w14:paraId="6061C8E3" w14:textId="77777777" w:rsidR="00C977F7" w:rsidRPr="004F4B48" w:rsidRDefault="00C977F7" w:rsidP="00C977F7">
      <w:pPr>
        <w:pStyle w:val="BodyTextaftertables"/>
      </w:pPr>
      <w:r>
        <w:t>PRC</w:t>
      </w:r>
      <w:r w:rsidRPr="004F4B48">
        <w:t xml:space="preserve"> Section 4526 defines timberland as:</w:t>
      </w:r>
    </w:p>
    <w:p w14:paraId="22649D02" w14:textId="77777777" w:rsidR="00C977F7" w:rsidRDefault="00C977F7" w:rsidP="00C977F7">
      <w:pPr>
        <w:pStyle w:val="BodyText"/>
        <w:ind w:left="360"/>
      </w:pPr>
      <w:r w:rsidRPr="004F4B48">
        <w:t>land, other than land owned by the federal government and land designated by the board as experimental forest land, which is available for, and capable of, growing a crop of trees of a commercial species used to produce lumber and other forest products, including Christmas trees. Commercial species shall be determined by the board on a district basis.</w:t>
      </w:r>
    </w:p>
    <w:p w14:paraId="08E828D3" w14:textId="77777777" w:rsidR="00C977F7" w:rsidRPr="004F4B48" w:rsidRDefault="00C977F7" w:rsidP="00C977F7">
      <w:pPr>
        <w:pStyle w:val="BodyTextaftertables"/>
      </w:pPr>
      <w:r w:rsidRPr="004F4B48">
        <w:t>Government Code Section 51104(g) defines a timberland production zone as:</w:t>
      </w:r>
    </w:p>
    <w:p w14:paraId="4D72EAFD" w14:textId="77777777" w:rsidR="00C977F7" w:rsidRPr="0021386E" w:rsidRDefault="00C977F7" w:rsidP="00C977F7">
      <w:pPr>
        <w:pStyle w:val="BodyText"/>
        <w:ind w:left="360"/>
        <w:rPr>
          <w:highlight w:val="yellow"/>
        </w:rPr>
      </w:pPr>
      <w:r>
        <w:t>“</w:t>
      </w:r>
      <w:r w:rsidRPr="004F4B48">
        <w:t>an area which has been zoned pursuant to Section 51112 or 51113 and is devoted to and used for growing and harvesting timber, or for growing and harvesting timber and compatible uses, as defined in subdivision (h).</w:t>
      </w:r>
      <w:r>
        <w:t>”</w:t>
      </w:r>
    </w:p>
    <w:p w14:paraId="4CADB890" w14:textId="77777777" w:rsidR="00C977F7" w:rsidRPr="00250CFA" w:rsidRDefault="00C977F7" w:rsidP="00C977F7">
      <w:pPr>
        <w:pStyle w:val="Heading5"/>
        <w:rPr>
          <w:highlight w:val="yellow"/>
        </w:rPr>
      </w:pPr>
      <w:r w:rsidRPr="00A54F3A">
        <w:t>Impact Analysis</w:t>
      </w:r>
    </w:p>
    <w:p w14:paraId="003F4B95" w14:textId="6B50BB6B" w:rsidR="00542725" w:rsidRPr="001602B2" w:rsidRDefault="00542725" w:rsidP="00E84DA6">
      <w:pPr>
        <w:pStyle w:val="BulletLtrManAFTER"/>
      </w:pPr>
      <w:r w:rsidRPr="001602B2">
        <w:t>a.</w:t>
      </w:r>
      <w:r w:rsidRPr="001602B2">
        <w:tab/>
        <w:t>Would the project convert</w:t>
      </w:r>
      <w:r w:rsidR="009C5806" w:rsidRPr="001602B2">
        <w:t xml:space="preserve"> Prime Farmland, Unique Farmland, </w:t>
      </w:r>
      <w:r w:rsidR="002A5569" w:rsidRPr="001602B2">
        <w:t xml:space="preserve">or </w:t>
      </w:r>
      <w:r w:rsidR="009C5806" w:rsidRPr="001602B2">
        <w:t>Farmland of Statewide Importance (Farmland), as shown on maps prepared pursuant to the Farmland Mapping and Monitoring Program of the California Resources Agency, to non-agricultural use?</w:t>
      </w:r>
    </w:p>
    <w:p w14:paraId="7B35AF22" w14:textId="6B673DF2" w:rsidR="001602B2" w:rsidRDefault="001602B2" w:rsidP="004527B0">
      <w:pPr>
        <w:pStyle w:val="Body"/>
        <w:rPr>
          <w:highlight w:val="lightGray"/>
        </w:rPr>
      </w:pPr>
      <w:r>
        <w:t xml:space="preserve">The project site is not designated as, is not adjacent to, and is not proximate to lands classified as Prime Farmland, Unique Farmland, or Farmland of Statewide Importance, as shown by maps prepared by the </w:t>
      </w:r>
      <w:r w:rsidR="00B843E1">
        <w:t>C</w:t>
      </w:r>
      <w:r>
        <w:t>DOC’s Farmland Mapping and Monitoring Program maps (</w:t>
      </w:r>
      <w:r w:rsidR="00B843E1">
        <w:t>C</w:t>
      </w:r>
      <w:r>
        <w:t>DOC 2016). The project would only modify the project site; therefore, no Prime Farmland, Unique Farmland, or Farmland of Statewide Importance would be affected by project implementation and no impact would occur</w:t>
      </w:r>
      <w:r w:rsidR="00615389">
        <w:t xml:space="preserve">. </w:t>
      </w:r>
    </w:p>
    <w:p w14:paraId="484BB9F4" w14:textId="728A0AAB" w:rsidR="009C1D64" w:rsidRPr="000E45CD" w:rsidRDefault="00817BC5" w:rsidP="00615389">
      <w:pPr>
        <w:tabs>
          <w:tab w:val="left" w:pos="1977"/>
        </w:tabs>
        <w:spacing w:before="120"/>
        <w:rPr>
          <w:rStyle w:val="DropdownList"/>
          <w:highlight w:val="lightGray"/>
        </w:rPr>
      </w:pPr>
      <w:sdt>
        <w:sdtPr>
          <w:rPr>
            <w:rStyle w:val="DropdownList"/>
            <w:highlight w:val="lightGray"/>
          </w:rPr>
          <w:alias w:val="1a"/>
          <w:tag w:val="dropdown"/>
          <w:id w:val="-1337919685"/>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highlight w:val="none"/>
          </w:rPr>
        </w:sdtEndPr>
        <w:sdtContent>
          <w:r w:rsidR="000E45CD" w:rsidRPr="000E45CD">
            <w:rPr>
              <w:rStyle w:val="DropdownList"/>
            </w:rPr>
            <w:t>No Impact</w:t>
          </w:r>
        </w:sdtContent>
      </w:sdt>
    </w:p>
    <w:p w14:paraId="1C29A8AE" w14:textId="77777777" w:rsidR="00542725" w:rsidRPr="001602B2" w:rsidRDefault="00542725" w:rsidP="00CC0EE3">
      <w:pPr>
        <w:pStyle w:val="BulletLtrManAFTER"/>
      </w:pPr>
      <w:r w:rsidRPr="001602B2">
        <w:t>b.</w:t>
      </w:r>
      <w:r w:rsidRPr="001602B2">
        <w:tab/>
        <w:t xml:space="preserve">Would the project </w:t>
      </w:r>
      <w:r w:rsidR="009C5806" w:rsidRPr="001602B2">
        <w:t>conflict with existing zoning for agricultural use or a Williamson Act contract?</w:t>
      </w:r>
    </w:p>
    <w:p w14:paraId="6429BF87" w14:textId="5A1224B2" w:rsidR="0083443D" w:rsidRPr="00C90D70" w:rsidRDefault="0083443D" w:rsidP="000D75C9">
      <w:pPr>
        <w:pStyle w:val="BodyText"/>
      </w:pPr>
      <w:r w:rsidRPr="00C90D70">
        <w:t>The project site and surrounding areas are not subject to Williamson Act contracts (</w:t>
      </w:r>
      <w:r w:rsidR="00200344" w:rsidRPr="00C90D70">
        <w:t xml:space="preserve">County of Santa Clara </w:t>
      </w:r>
      <w:r w:rsidR="00C90D70">
        <w:t>2021</w:t>
      </w:r>
      <w:r w:rsidRPr="00C90D70">
        <w:t>). The project would only involve construction and modification at the project site</w:t>
      </w:r>
      <w:r w:rsidR="00615389">
        <w:t>.</w:t>
      </w:r>
      <w:r w:rsidRPr="00C90D70">
        <w:t xml:space="preserve"> </w:t>
      </w:r>
      <w:r w:rsidR="00615389">
        <w:t>T</w:t>
      </w:r>
      <w:r w:rsidRPr="00C90D70">
        <w:t xml:space="preserve">herefore, no Williamson Act contracts would be affected by project implementation and no impact would occur. </w:t>
      </w:r>
    </w:p>
    <w:p w14:paraId="2E5F805E" w14:textId="77777777" w:rsidR="009C1D64" w:rsidRPr="000E45CD" w:rsidRDefault="00817BC5" w:rsidP="009C1D64">
      <w:pPr>
        <w:spacing w:before="120"/>
        <w:rPr>
          <w:rStyle w:val="DropdownList"/>
          <w:highlight w:val="lightGray"/>
        </w:rPr>
      </w:pPr>
      <w:sdt>
        <w:sdtPr>
          <w:rPr>
            <w:rStyle w:val="DropdownList"/>
            <w:highlight w:val="lightGray"/>
          </w:rPr>
          <w:alias w:val="1a"/>
          <w:tag w:val="dropdown"/>
          <w:id w:val="-1372072721"/>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highlight w:val="none"/>
          </w:rPr>
        </w:sdtEndPr>
        <w:sdtContent>
          <w:r w:rsidR="000E45CD" w:rsidRPr="000E45CD">
            <w:rPr>
              <w:rStyle w:val="DropdownList"/>
            </w:rPr>
            <w:t>No Impact</w:t>
          </w:r>
        </w:sdtContent>
      </w:sdt>
    </w:p>
    <w:p w14:paraId="20CC57B7" w14:textId="77777777" w:rsidR="00542725" w:rsidRPr="00C90D70" w:rsidRDefault="009C5806" w:rsidP="00147C30">
      <w:pPr>
        <w:pStyle w:val="BulletLtrManAFTER"/>
      </w:pPr>
      <w:r w:rsidRPr="00C90D70">
        <w:t>c.</w:t>
      </w:r>
      <w:r w:rsidRPr="00C90D70">
        <w:tab/>
        <w:t>Would the project conflict with existing zoning for, or cause rezoning of, forest land (as defined in Public Resources Code Section 12220(g)); timberland (as defined by Public Resources Code Section 4526); or timberland zoned Timberland Production (as defined by Government Code Section 51104(g))?</w:t>
      </w:r>
    </w:p>
    <w:p w14:paraId="2FFAB6AE" w14:textId="77777777" w:rsidR="0083443D" w:rsidRPr="00C90D70" w:rsidRDefault="0083443D" w:rsidP="00147C30">
      <w:pPr>
        <w:pStyle w:val="BulletLtrManAFTER"/>
        <w:pageBreakBefore/>
        <w:spacing w:before="120"/>
      </w:pPr>
      <w:r w:rsidRPr="00C90D70">
        <w:lastRenderedPageBreak/>
        <w:t>d.</w:t>
      </w:r>
      <w:r w:rsidRPr="00C90D70">
        <w:tab/>
        <w:t>Would the project result in the loss of forest land or conversion of forest land to non-forest use?</w:t>
      </w:r>
    </w:p>
    <w:p w14:paraId="2456ECA5" w14:textId="77777777" w:rsidR="0083443D" w:rsidRPr="00C90D70" w:rsidRDefault="0083443D" w:rsidP="00F060FF">
      <w:pPr>
        <w:pStyle w:val="BulletLtrManAFTER"/>
        <w:spacing w:before="120"/>
      </w:pPr>
      <w:r w:rsidRPr="00C90D70">
        <w:t>e.</w:t>
      </w:r>
      <w:r w:rsidRPr="00C90D70">
        <w:tab/>
        <w:t>Would the project involve other changes in the existing environment which, due to their location or nature, could result in conversion of Farmland to non-agricultural use or conversion of forest land to non-forest use?</w:t>
      </w:r>
    </w:p>
    <w:p w14:paraId="2322ACBE" w14:textId="2A6E9680" w:rsidR="0083443D" w:rsidRPr="00C90D70" w:rsidRDefault="0083443D" w:rsidP="000D75C9">
      <w:pPr>
        <w:pStyle w:val="BodyText"/>
      </w:pPr>
      <w:r w:rsidRPr="00C90D70">
        <w:t xml:space="preserve">While some </w:t>
      </w:r>
      <w:r w:rsidR="00772B68">
        <w:t>landscaping trees are</w:t>
      </w:r>
      <w:r w:rsidRPr="00C90D70">
        <w:t xml:space="preserve"> present on the project site, the site itself is</w:t>
      </w:r>
      <w:r w:rsidR="00964C58">
        <w:t xml:space="preserve"> not</w:t>
      </w:r>
      <w:r w:rsidR="00003657">
        <w:t xml:space="preserve"> considered</w:t>
      </w:r>
      <w:r w:rsidRPr="00C90D70">
        <w:t xml:space="preserve"> forest or timberland</w:t>
      </w:r>
      <w:r w:rsidR="00C800E7">
        <w:t xml:space="preserve"> (California Department of Fish and Wildlife 2021)</w:t>
      </w:r>
      <w:r w:rsidRPr="00C90D70">
        <w:t xml:space="preserve">. The project site does not </w:t>
      </w:r>
      <w:r w:rsidR="00003657">
        <w:t xml:space="preserve">currently </w:t>
      </w:r>
      <w:r w:rsidRPr="00C90D70">
        <w:t>provide forest and timber resources</w:t>
      </w:r>
      <w:r w:rsidR="00003657">
        <w:t xml:space="preserve"> and would not be used for forest and timber resources</w:t>
      </w:r>
      <w:r w:rsidRPr="00C90D70">
        <w:t xml:space="preserve">. As such, the project would not convert forest or timberland uses, and no impact would occur. </w:t>
      </w:r>
    </w:p>
    <w:p w14:paraId="2E9A91D9" w14:textId="77777777" w:rsidR="009C1D64" w:rsidRPr="000E45CD" w:rsidRDefault="00817BC5" w:rsidP="009C1D64">
      <w:pPr>
        <w:spacing w:before="120"/>
        <w:rPr>
          <w:rStyle w:val="DropdownList"/>
          <w:highlight w:val="lightGray"/>
        </w:rPr>
      </w:pPr>
      <w:sdt>
        <w:sdtPr>
          <w:rPr>
            <w:rStyle w:val="DropdownList"/>
            <w:highlight w:val="lightGray"/>
          </w:rPr>
          <w:alias w:val="1a"/>
          <w:tag w:val="dropdown"/>
          <w:id w:val="617185546"/>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highlight w:val="none"/>
          </w:rPr>
        </w:sdtEndPr>
        <w:sdtContent>
          <w:r w:rsidR="000E45CD" w:rsidRPr="000E45CD">
            <w:rPr>
              <w:rStyle w:val="DropdownList"/>
            </w:rPr>
            <w:t>No Impact</w:t>
          </w:r>
        </w:sdtContent>
      </w:sdt>
    </w:p>
    <w:p w14:paraId="4F4B474D" w14:textId="7FC6C123" w:rsidR="00F235A2" w:rsidRPr="000E45CD" w:rsidRDefault="00F235A2" w:rsidP="001F0449">
      <w:pPr>
        <w:pStyle w:val="BlankIntentionally"/>
        <w:rPr>
          <w:highlight w:val="lightGray"/>
        </w:rPr>
      </w:pPr>
    </w:p>
    <w:p w14:paraId="06EC648A" w14:textId="77777777" w:rsidR="00F235A2" w:rsidRPr="000E45CD" w:rsidRDefault="00F235A2" w:rsidP="001F0449">
      <w:pPr>
        <w:pStyle w:val="BlankIntentionally"/>
        <w:rPr>
          <w:highlight w:val="lightGray"/>
        </w:rPr>
      </w:pPr>
    </w:p>
    <w:p w14:paraId="15FB46B7" w14:textId="00A9BC0C" w:rsidR="00F235A2" w:rsidRPr="00615389" w:rsidRDefault="00F235A2" w:rsidP="001F0449">
      <w:pPr>
        <w:pStyle w:val="BlankIntentionally"/>
      </w:pPr>
      <w:r w:rsidRPr="00615389">
        <w:t>This page intentionally left blank.</w:t>
      </w:r>
    </w:p>
    <w:p w14:paraId="0E38170E" w14:textId="71428B7B" w:rsidR="008873CE" w:rsidRPr="0042529E" w:rsidRDefault="008873CE" w:rsidP="00275B75">
      <w:pPr>
        <w:pStyle w:val="Heading3CEQA"/>
      </w:pPr>
      <w:bookmarkStart w:id="138" w:name="_Toc453855765"/>
      <w:bookmarkStart w:id="139" w:name="_Toc475630712"/>
      <w:bookmarkStart w:id="140" w:name="_Toc112942428"/>
      <w:bookmarkStart w:id="141" w:name="_Toc453855766"/>
      <w:bookmarkStart w:id="142" w:name="_Toc475630713"/>
      <w:bookmarkStart w:id="143" w:name="_Toc453855767"/>
      <w:bookmarkStart w:id="144" w:name="_Toc475630714"/>
      <w:r w:rsidRPr="0042529E">
        <w:lastRenderedPageBreak/>
        <w:t>Air Quality</w:t>
      </w:r>
      <w:bookmarkEnd w:id="138"/>
      <w:bookmarkEnd w:id="139"/>
      <w:bookmarkEnd w:id="140"/>
    </w:p>
    <w:tbl>
      <w:tblPr>
        <w:tblW w:w="9037" w:type="dxa"/>
        <w:tblLayout w:type="fixed"/>
        <w:tblLook w:val="04A0" w:firstRow="1" w:lastRow="0" w:firstColumn="1" w:lastColumn="0" w:noHBand="0" w:noVBand="1"/>
      </w:tblPr>
      <w:tblGrid>
        <w:gridCol w:w="4339"/>
        <w:gridCol w:w="1184"/>
        <w:gridCol w:w="109"/>
        <w:gridCol w:w="1111"/>
        <w:gridCol w:w="24"/>
        <w:gridCol w:w="1086"/>
        <w:gridCol w:w="49"/>
        <w:gridCol w:w="1135"/>
      </w:tblGrid>
      <w:tr w:rsidR="008873CE" w:rsidRPr="0042529E" w14:paraId="5EC7A326" w14:textId="77777777" w:rsidTr="00C85545">
        <w:trPr>
          <w:tblHeader/>
        </w:trPr>
        <w:tc>
          <w:tcPr>
            <w:tcW w:w="4339" w:type="dxa"/>
            <w:tcBorders>
              <w:bottom w:val="single" w:sz="4" w:space="0" w:color="auto"/>
            </w:tcBorders>
            <w:shd w:val="clear" w:color="auto" w:fill="D9D9D9"/>
            <w:tcMar>
              <w:top w:w="20" w:type="dxa"/>
              <w:left w:w="115" w:type="dxa"/>
              <w:bottom w:w="20" w:type="dxa"/>
              <w:right w:w="115" w:type="dxa"/>
            </w:tcMar>
            <w:vAlign w:val="bottom"/>
          </w:tcPr>
          <w:p w14:paraId="18D93BB8" w14:textId="77777777" w:rsidR="008873CE" w:rsidRPr="0042529E" w:rsidRDefault="008873CE" w:rsidP="00C85545">
            <w:pPr>
              <w:pStyle w:val="TableHeadings"/>
              <w:jc w:val="center"/>
            </w:pPr>
          </w:p>
        </w:tc>
        <w:tc>
          <w:tcPr>
            <w:tcW w:w="1184" w:type="dxa"/>
            <w:tcBorders>
              <w:bottom w:val="single" w:sz="4" w:space="0" w:color="auto"/>
            </w:tcBorders>
            <w:shd w:val="clear" w:color="auto" w:fill="D9D9D9"/>
            <w:tcMar>
              <w:top w:w="20" w:type="dxa"/>
              <w:left w:w="115" w:type="dxa"/>
              <w:bottom w:w="20" w:type="dxa"/>
              <w:right w:w="115" w:type="dxa"/>
            </w:tcMar>
            <w:vAlign w:val="bottom"/>
            <w:hideMark/>
          </w:tcPr>
          <w:p w14:paraId="60D4CE32" w14:textId="77777777" w:rsidR="008873CE" w:rsidRPr="0042529E" w:rsidRDefault="008873CE" w:rsidP="00C85545">
            <w:pPr>
              <w:pStyle w:val="TableHeadings"/>
              <w:jc w:val="center"/>
            </w:pPr>
            <w:r w:rsidRPr="0042529E">
              <w:t>Potentially Significant Impact</w:t>
            </w:r>
          </w:p>
        </w:tc>
        <w:tc>
          <w:tcPr>
            <w:tcW w:w="1220" w:type="dxa"/>
            <w:gridSpan w:val="2"/>
            <w:tcBorders>
              <w:bottom w:val="single" w:sz="4" w:space="0" w:color="auto"/>
            </w:tcBorders>
            <w:shd w:val="clear" w:color="auto" w:fill="D9D9D9"/>
            <w:tcMar>
              <w:top w:w="20" w:type="dxa"/>
              <w:left w:w="115" w:type="dxa"/>
              <w:bottom w:w="20" w:type="dxa"/>
              <w:right w:w="115" w:type="dxa"/>
            </w:tcMar>
            <w:vAlign w:val="bottom"/>
            <w:hideMark/>
          </w:tcPr>
          <w:p w14:paraId="5EF73186" w14:textId="77777777" w:rsidR="008873CE" w:rsidRPr="0042529E" w:rsidRDefault="008873CE" w:rsidP="00C85545">
            <w:pPr>
              <w:pStyle w:val="TableHeadings"/>
              <w:jc w:val="center"/>
            </w:pPr>
            <w:r w:rsidRPr="0042529E">
              <w:t>Less than Significant with Mitigation Incorporated</w:t>
            </w:r>
          </w:p>
        </w:tc>
        <w:tc>
          <w:tcPr>
            <w:tcW w:w="1110" w:type="dxa"/>
            <w:gridSpan w:val="2"/>
            <w:tcBorders>
              <w:bottom w:val="single" w:sz="4" w:space="0" w:color="auto"/>
            </w:tcBorders>
            <w:shd w:val="clear" w:color="auto" w:fill="D9D9D9"/>
            <w:tcMar>
              <w:top w:w="20" w:type="dxa"/>
              <w:left w:w="115" w:type="dxa"/>
              <w:bottom w:w="20" w:type="dxa"/>
              <w:right w:w="115" w:type="dxa"/>
            </w:tcMar>
            <w:vAlign w:val="bottom"/>
            <w:hideMark/>
          </w:tcPr>
          <w:p w14:paraId="4C33C7F5" w14:textId="77777777" w:rsidR="008873CE" w:rsidRPr="0042529E" w:rsidRDefault="008873CE" w:rsidP="00C85545">
            <w:pPr>
              <w:pStyle w:val="TableHeadings"/>
              <w:jc w:val="center"/>
            </w:pPr>
            <w:r w:rsidRPr="0042529E">
              <w:t>Less than Significant Impact</w:t>
            </w:r>
          </w:p>
        </w:tc>
        <w:tc>
          <w:tcPr>
            <w:tcW w:w="1184" w:type="dxa"/>
            <w:gridSpan w:val="2"/>
            <w:tcBorders>
              <w:bottom w:val="single" w:sz="4" w:space="0" w:color="auto"/>
            </w:tcBorders>
            <w:shd w:val="clear" w:color="auto" w:fill="D9D9D9"/>
            <w:tcMar>
              <w:top w:w="20" w:type="dxa"/>
              <w:left w:w="115" w:type="dxa"/>
              <w:bottom w:w="20" w:type="dxa"/>
              <w:right w:w="115" w:type="dxa"/>
            </w:tcMar>
            <w:vAlign w:val="bottom"/>
            <w:hideMark/>
          </w:tcPr>
          <w:p w14:paraId="798AD984" w14:textId="77777777" w:rsidR="008873CE" w:rsidRPr="0042529E" w:rsidRDefault="008873CE" w:rsidP="00C85545">
            <w:pPr>
              <w:pStyle w:val="TableHeadings"/>
              <w:jc w:val="center"/>
            </w:pPr>
            <w:r w:rsidRPr="0042529E">
              <w:t>No Impact</w:t>
            </w:r>
          </w:p>
        </w:tc>
      </w:tr>
      <w:tr w:rsidR="008873CE" w:rsidRPr="0042529E" w14:paraId="1E717068" w14:textId="77777777" w:rsidTr="00C85545">
        <w:tc>
          <w:tcPr>
            <w:tcW w:w="9037" w:type="dxa"/>
            <w:gridSpan w:val="8"/>
            <w:tcBorders>
              <w:top w:val="single" w:sz="4" w:space="0" w:color="auto"/>
            </w:tcBorders>
            <w:tcMar>
              <w:top w:w="20" w:type="dxa"/>
              <w:left w:w="115" w:type="dxa"/>
              <w:bottom w:w="20" w:type="dxa"/>
              <w:right w:w="115" w:type="dxa"/>
            </w:tcMar>
            <w:vAlign w:val="bottom"/>
            <w:hideMark/>
          </w:tcPr>
          <w:p w14:paraId="2BCACEEF" w14:textId="77777777" w:rsidR="008873CE" w:rsidRPr="0042529E" w:rsidRDefault="008873CE" w:rsidP="00C85545">
            <w:pPr>
              <w:pStyle w:val="BodyText"/>
              <w:spacing w:before="60" w:after="60"/>
            </w:pPr>
            <w:r w:rsidRPr="0042529E">
              <w:t>Would the project:</w:t>
            </w:r>
          </w:p>
        </w:tc>
      </w:tr>
      <w:tr w:rsidR="008873CE" w:rsidRPr="0042529E" w14:paraId="4143209A" w14:textId="77777777" w:rsidTr="00C85545">
        <w:tc>
          <w:tcPr>
            <w:tcW w:w="4339" w:type="dxa"/>
            <w:tcMar>
              <w:top w:w="20" w:type="dxa"/>
              <w:left w:w="115" w:type="dxa"/>
              <w:bottom w:w="20" w:type="dxa"/>
              <w:right w:w="115" w:type="dxa"/>
            </w:tcMar>
            <w:vAlign w:val="bottom"/>
            <w:hideMark/>
          </w:tcPr>
          <w:p w14:paraId="00F2077F" w14:textId="77777777" w:rsidR="008873CE" w:rsidRPr="0042529E" w:rsidRDefault="008873CE" w:rsidP="009034F0">
            <w:pPr>
              <w:pStyle w:val="BulletListLettered"/>
              <w:numPr>
                <w:ilvl w:val="0"/>
                <w:numId w:val="102"/>
              </w:numPr>
            </w:pPr>
            <w:r w:rsidRPr="0042529E">
              <w:t>Conflict with or obstruct implementation of the applicable air quality plan?</w:t>
            </w:r>
          </w:p>
        </w:tc>
        <w:tc>
          <w:tcPr>
            <w:tcW w:w="1293" w:type="dxa"/>
            <w:gridSpan w:val="2"/>
            <w:tcMar>
              <w:top w:w="20" w:type="dxa"/>
              <w:left w:w="115" w:type="dxa"/>
              <w:bottom w:w="20" w:type="dxa"/>
              <w:right w:w="115" w:type="dxa"/>
            </w:tcMar>
            <w:vAlign w:val="bottom"/>
          </w:tcPr>
          <w:p w14:paraId="60165213" w14:textId="77777777" w:rsidR="008873CE" w:rsidRPr="0042529E" w:rsidRDefault="008873CE" w:rsidP="00C85545">
            <w:pPr>
              <w:spacing w:before="60" w:after="60"/>
              <w:jc w:val="center"/>
              <w:rPr>
                <w:sz w:val="28"/>
                <w:szCs w:val="28"/>
              </w:rPr>
            </w:pPr>
            <w:r w:rsidRPr="0042529E">
              <w:rPr>
                <w:rFonts w:ascii="Times New Roman" w:hAnsi="Times New Roman"/>
              </w:rPr>
              <w:t>□</w:t>
            </w:r>
          </w:p>
        </w:tc>
        <w:tc>
          <w:tcPr>
            <w:tcW w:w="1135" w:type="dxa"/>
            <w:gridSpan w:val="2"/>
            <w:tcMar>
              <w:top w:w="20" w:type="dxa"/>
              <w:left w:w="115" w:type="dxa"/>
              <w:bottom w:w="20" w:type="dxa"/>
              <w:right w:w="115" w:type="dxa"/>
            </w:tcMar>
            <w:vAlign w:val="bottom"/>
          </w:tcPr>
          <w:p w14:paraId="535792EC" w14:textId="13169D2B" w:rsidR="008873CE" w:rsidRPr="0042529E" w:rsidRDefault="00305086" w:rsidP="00C85545">
            <w:pPr>
              <w:spacing w:before="60" w:after="60"/>
              <w:jc w:val="center"/>
              <w:rPr>
                <w:sz w:val="28"/>
                <w:szCs w:val="28"/>
              </w:rPr>
            </w:pPr>
            <w:r w:rsidRPr="0042529E">
              <w:rPr>
                <w:rFonts w:ascii="Times New Roman" w:hAnsi="Times New Roman"/>
              </w:rPr>
              <w:t>□</w:t>
            </w:r>
          </w:p>
        </w:tc>
        <w:tc>
          <w:tcPr>
            <w:tcW w:w="1135" w:type="dxa"/>
            <w:gridSpan w:val="2"/>
            <w:tcMar>
              <w:top w:w="20" w:type="dxa"/>
              <w:left w:w="115" w:type="dxa"/>
              <w:bottom w:w="20" w:type="dxa"/>
              <w:right w:w="115" w:type="dxa"/>
            </w:tcMar>
            <w:vAlign w:val="bottom"/>
          </w:tcPr>
          <w:p w14:paraId="61AC3BE1" w14:textId="65983404" w:rsidR="008873CE" w:rsidRPr="0042529E" w:rsidRDefault="00305086" w:rsidP="00C85545">
            <w:pPr>
              <w:spacing w:before="60" w:after="60"/>
              <w:jc w:val="center"/>
              <w:rPr>
                <w:sz w:val="28"/>
                <w:szCs w:val="28"/>
              </w:rPr>
            </w:pPr>
            <w:r w:rsidRPr="0042529E">
              <w:rPr>
                <w:rFonts w:ascii="Times New Roman" w:hAnsi="Times New Roman"/>
              </w:rPr>
              <w:t>■</w:t>
            </w:r>
          </w:p>
        </w:tc>
        <w:tc>
          <w:tcPr>
            <w:tcW w:w="1135" w:type="dxa"/>
            <w:tcMar>
              <w:top w:w="20" w:type="dxa"/>
              <w:left w:w="115" w:type="dxa"/>
              <w:bottom w:w="20" w:type="dxa"/>
              <w:right w:w="115" w:type="dxa"/>
            </w:tcMar>
            <w:vAlign w:val="bottom"/>
          </w:tcPr>
          <w:p w14:paraId="2781FFE8" w14:textId="77777777" w:rsidR="008873CE" w:rsidRPr="0042529E" w:rsidRDefault="008873CE" w:rsidP="00C85545">
            <w:pPr>
              <w:spacing w:before="60" w:after="60"/>
              <w:jc w:val="center"/>
              <w:rPr>
                <w:sz w:val="28"/>
                <w:szCs w:val="28"/>
              </w:rPr>
            </w:pPr>
            <w:r w:rsidRPr="0042529E">
              <w:rPr>
                <w:rFonts w:ascii="Times New Roman" w:hAnsi="Times New Roman"/>
              </w:rPr>
              <w:t>□</w:t>
            </w:r>
          </w:p>
        </w:tc>
      </w:tr>
      <w:tr w:rsidR="008873CE" w:rsidRPr="0042529E" w14:paraId="6CC7A504" w14:textId="77777777" w:rsidTr="00C85545">
        <w:tc>
          <w:tcPr>
            <w:tcW w:w="4339" w:type="dxa"/>
            <w:tcMar>
              <w:top w:w="20" w:type="dxa"/>
              <w:left w:w="115" w:type="dxa"/>
              <w:bottom w:w="20" w:type="dxa"/>
              <w:right w:w="115" w:type="dxa"/>
            </w:tcMar>
            <w:vAlign w:val="bottom"/>
            <w:hideMark/>
          </w:tcPr>
          <w:p w14:paraId="47468C10" w14:textId="77777777" w:rsidR="008873CE" w:rsidRPr="0042529E" w:rsidRDefault="008873CE" w:rsidP="008873CE">
            <w:pPr>
              <w:pStyle w:val="BulletListLettered"/>
              <w:numPr>
                <w:ilvl w:val="0"/>
                <w:numId w:val="10"/>
              </w:numPr>
            </w:pPr>
            <w:r w:rsidRPr="0042529E">
              <w:t>Result in a cumulatively considerable net increase of any criteria pollutant for which the project region is non-attainment under an applicable federal or state ambient air quality standard?</w:t>
            </w:r>
          </w:p>
        </w:tc>
        <w:tc>
          <w:tcPr>
            <w:tcW w:w="1293" w:type="dxa"/>
            <w:gridSpan w:val="2"/>
            <w:tcMar>
              <w:top w:w="20" w:type="dxa"/>
              <w:left w:w="115" w:type="dxa"/>
              <w:bottom w:w="20" w:type="dxa"/>
              <w:right w:w="115" w:type="dxa"/>
            </w:tcMar>
            <w:vAlign w:val="bottom"/>
          </w:tcPr>
          <w:p w14:paraId="78780CAA" w14:textId="77777777" w:rsidR="008873CE" w:rsidRPr="0042529E" w:rsidRDefault="008873CE" w:rsidP="00C85545">
            <w:pPr>
              <w:spacing w:before="60" w:after="60"/>
              <w:jc w:val="center"/>
              <w:rPr>
                <w:sz w:val="28"/>
                <w:szCs w:val="28"/>
              </w:rPr>
            </w:pPr>
            <w:r w:rsidRPr="0042529E">
              <w:rPr>
                <w:rFonts w:ascii="Times New Roman" w:hAnsi="Times New Roman"/>
              </w:rPr>
              <w:t>□</w:t>
            </w:r>
          </w:p>
        </w:tc>
        <w:tc>
          <w:tcPr>
            <w:tcW w:w="1135" w:type="dxa"/>
            <w:gridSpan w:val="2"/>
            <w:tcMar>
              <w:top w:w="20" w:type="dxa"/>
              <w:left w:w="115" w:type="dxa"/>
              <w:bottom w:w="20" w:type="dxa"/>
              <w:right w:w="115" w:type="dxa"/>
            </w:tcMar>
            <w:vAlign w:val="bottom"/>
          </w:tcPr>
          <w:p w14:paraId="308AC135" w14:textId="77777777" w:rsidR="008873CE" w:rsidRPr="0042529E" w:rsidRDefault="008873CE" w:rsidP="00C85545">
            <w:pPr>
              <w:spacing w:before="60" w:after="60"/>
              <w:jc w:val="center"/>
              <w:rPr>
                <w:sz w:val="28"/>
                <w:szCs w:val="28"/>
              </w:rPr>
            </w:pPr>
            <w:r w:rsidRPr="0042529E">
              <w:rPr>
                <w:rFonts w:ascii="Times New Roman" w:hAnsi="Times New Roman"/>
              </w:rPr>
              <w:t>□</w:t>
            </w:r>
          </w:p>
        </w:tc>
        <w:tc>
          <w:tcPr>
            <w:tcW w:w="1135" w:type="dxa"/>
            <w:gridSpan w:val="2"/>
            <w:tcMar>
              <w:top w:w="20" w:type="dxa"/>
              <w:left w:w="115" w:type="dxa"/>
              <w:bottom w:w="20" w:type="dxa"/>
              <w:right w:w="115" w:type="dxa"/>
            </w:tcMar>
            <w:vAlign w:val="bottom"/>
          </w:tcPr>
          <w:p w14:paraId="5622D403" w14:textId="77777777" w:rsidR="008873CE" w:rsidRPr="0042529E" w:rsidRDefault="008873CE" w:rsidP="00C85545">
            <w:pPr>
              <w:spacing w:before="60" w:after="60"/>
              <w:jc w:val="center"/>
              <w:rPr>
                <w:sz w:val="28"/>
                <w:szCs w:val="28"/>
              </w:rPr>
            </w:pPr>
            <w:r w:rsidRPr="0042529E">
              <w:rPr>
                <w:rFonts w:ascii="Times New Roman" w:hAnsi="Times New Roman"/>
              </w:rPr>
              <w:t>■</w:t>
            </w:r>
          </w:p>
        </w:tc>
        <w:tc>
          <w:tcPr>
            <w:tcW w:w="1135" w:type="dxa"/>
            <w:tcMar>
              <w:top w:w="20" w:type="dxa"/>
              <w:left w:w="115" w:type="dxa"/>
              <w:bottom w:w="20" w:type="dxa"/>
              <w:right w:w="115" w:type="dxa"/>
            </w:tcMar>
            <w:vAlign w:val="bottom"/>
          </w:tcPr>
          <w:p w14:paraId="112C550E" w14:textId="77777777" w:rsidR="008873CE" w:rsidRPr="0042529E" w:rsidRDefault="008873CE" w:rsidP="00C85545">
            <w:pPr>
              <w:spacing w:before="60" w:after="60"/>
              <w:jc w:val="center"/>
              <w:rPr>
                <w:sz w:val="28"/>
                <w:szCs w:val="28"/>
              </w:rPr>
            </w:pPr>
            <w:r w:rsidRPr="0042529E">
              <w:rPr>
                <w:rFonts w:ascii="Times New Roman" w:hAnsi="Times New Roman"/>
              </w:rPr>
              <w:t>□</w:t>
            </w:r>
          </w:p>
        </w:tc>
      </w:tr>
      <w:tr w:rsidR="00305086" w:rsidRPr="0042529E" w14:paraId="24EA69B4" w14:textId="77777777" w:rsidTr="00C85545">
        <w:trPr>
          <w:trHeight w:val="196"/>
        </w:trPr>
        <w:tc>
          <w:tcPr>
            <w:tcW w:w="4339" w:type="dxa"/>
            <w:tcMar>
              <w:top w:w="20" w:type="dxa"/>
              <w:left w:w="115" w:type="dxa"/>
              <w:bottom w:w="20" w:type="dxa"/>
              <w:right w:w="115" w:type="dxa"/>
            </w:tcMar>
            <w:vAlign w:val="bottom"/>
            <w:hideMark/>
          </w:tcPr>
          <w:p w14:paraId="42128DBA" w14:textId="77777777" w:rsidR="00305086" w:rsidRPr="0042529E" w:rsidRDefault="00305086" w:rsidP="00305086">
            <w:pPr>
              <w:pStyle w:val="BulletListLettered"/>
              <w:numPr>
                <w:ilvl w:val="0"/>
                <w:numId w:val="10"/>
              </w:numPr>
            </w:pPr>
            <w:r w:rsidRPr="0042529E">
              <w:t>Expose sensitive receptors to substantial pollutant concentrations?</w:t>
            </w:r>
          </w:p>
        </w:tc>
        <w:tc>
          <w:tcPr>
            <w:tcW w:w="1293" w:type="dxa"/>
            <w:gridSpan w:val="2"/>
            <w:tcMar>
              <w:top w:w="20" w:type="dxa"/>
              <w:left w:w="115" w:type="dxa"/>
              <w:bottom w:w="20" w:type="dxa"/>
              <w:right w:w="115" w:type="dxa"/>
            </w:tcMar>
            <w:vAlign w:val="bottom"/>
          </w:tcPr>
          <w:p w14:paraId="5CD3FB66" w14:textId="77777777" w:rsidR="00305086" w:rsidRPr="0042529E" w:rsidRDefault="00305086" w:rsidP="00305086">
            <w:pPr>
              <w:spacing w:before="60" w:after="60"/>
              <w:jc w:val="center"/>
              <w:rPr>
                <w:sz w:val="28"/>
                <w:szCs w:val="28"/>
              </w:rPr>
            </w:pPr>
            <w:r w:rsidRPr="0042529E">
              <w:rPr>
                <w:rFonts w:ascii="Times New Roman" w:hAnsi="Times New Roman"/>
              </w:rPr>
              <w:t>□</w:t>
            </w:r>
          </w:p>
        </w:tc>
        <w:tc>
          <w:tcPr>
            <w:tcW w:w="1135" w:type="dxa"/>
            <w:gridSpan w:val="2"/>
            <w:tcMar>
              <w:top w:w="20" w:type="dxa"/>
              <w:left w:w="115" w:type="dxa"/>
              <w:bottom w:w="20" w:type="dxa"/>
              <w:right w:w="115" w:type="dxa"/>
            </w:tcMar>
            <w:vAlign w:val="bottom"/>
          </w:tcPr>
          <w:p w14:paraId="4B60684C" w14:textId="1B105C8A" w:rsidR="00305086" w:rsidRPr="0042529E" w:rsidRDefault="00305086" w:rsidP="00305086">
            <w:pPr>
              <w:spacing w:before="60" w:after="60"/>
              <w:jc w:val="center"/>
              <w:rPr>
                <w:sz w:val="28"/>
                <w:szCs w:val="28"/>
              </w:rPr>
            </w:pPr>
            <w:r w:rsidRPr="0042529E">
              <w:rPr>
                <w:rFonts w:ascii="Times New Roman" w:hAnsi="Times New Roman"/>
              </w:rPr>
              <w:t>□</w:t>
            </w:r>
          </w:p>
        </w:tc>
        <w:tc>
          <w:tcPr>
            <w:tcW w:w="1135" w:type="dxa"/>
            <w:gridSpan w:val="2"/>
            <w:tcMar>
              <w:top w:w="20" w:type="dxa"/>
              <w:left w:w="115" w:type="dxa"/>
              <w:bottom w:w="20" w:type="dxa"/>
              <w:right w:w="115" w:type="dxa"/>
            </w:tcMar>
            <w:vAlign w:val="bottom"/>
          </w:tcPr>
          <w:p w14:paraId="4C8E0932" w14:textId="5DBAE0DD" w:rsidR="00305086" w:rsidRPr="0042529E" w:rsidRDefault="00305086" w:rsidP="00305086">
            <w:pPr>
              <w:spacing w:before="60" w:after="60"/>
              <w:jc w:val="center"/>
              <w:rPr>
                <w:sz w:val="28"/>
                <w:szCs w:val="28"/>
              </w:rPr>
            </w:pPr>
            <w:r w:rsidRPr="0042529E">
              <w:rPr>
                <w:rFonts w:ascii="Times New Roman" w:hAnsi="Times New Roman"/>
              </w:rPr>
              <w:t>■</w:t>
            </w:r>
          </w:p>
        </w:tc>
        <w:tc>
          <w:tcPr>
            <w:tcW w:w="1135" w:type="dxa"/>
            <w:tcMar>
              <w:top w:w="20" w:type="dxa"/>
              <w:left w:w="115" w:type="dxa"/>
              <w:bottom w:w="20" w:type="dxa"/>
              <w:right w:w="115" w:type="dxa"/>
            </w:tcMar>
            <w:vAlign w:val="bottom"/>
          </w:tcPr>
          <w:p w14:paraId="000397FD" w14:textId="77777777" w:rsidR="00305086" w:rsidRPr="0042529E" w:rsidRDefault="00305086" w:rsidP="00305086">
            <w:pPr>
              <w:spacing w:before="60" w:after="60"/>
              <w:jc w:val="center"/>
              <w:rPr>
                <w:sz w:val="28"/>
                <w:szCs w:val="28"/>
              </w:rPr>
            </w:pPr>
            <w:r w:rsidRPr="0042529E">
              <w:rPr>
                <w:rFonts w:ascii="Times New Roman" w:hAnsi="Times New Roman"/>
              </w:rPr>
              <w:t>□</w:t>
            </w:r>
          </w:p>
        </w:tc>
      </w:tr>
      <w:tr w:rsidR="008873CE" w:rsidRPr="00E5753A" w14:paraId="015A2B1F" w14:textId="77777777" w:rsidTr="00C85545">
        <w:trPr>
          <w:trHeight w:val="196"/>
        </w:trPr>
        <w:tc>
          <w:tcPr>
            <w:tcW w:w="4339" w:type="dxa"/>
            <w:tcBorders>
              <w:bottom w:val="single" w:sz="4" w:space="0" w:color="auto"/>
            </w:tcBorders>
            <w:tcMar>
              <w:top w:w="20" w:type="dxa"/>
              <w:left w:w="115" w:type="dxa"/>
              <w:bottom w:w="20" w:type="dxa"/>
              <w:right w:w="115" w:type="dxa"/>
            </w:tcMar>
            <w:vAlign w:val="bottom"/>
            <w:hideMark/>
          </w:tcPr>
          <w:p w14:paraId="4FE5D8FC" w14:textId="77777777" w:rsidR="008873CE" w:rsidRPr="0042529E" w:rsidRDefault="008873CE" w:rsidP="00C85545">
            <w:pPr>
              <w:pStyle w:val="BulletListLettered"/>
              <w:numPr>
                <w:ilvl w:val="0"/>
                <w:numId w:val="5"/>
              </w:numPr>
            </w:pPr>
            <w:r w:rsidRPr="0042529E">
              <w:t>Result in other emissions (such as those leading to odors) adversely affecting a substantial number of people?</w:t>
            </w:r>
          </w:p>
        </w:tc>
        <w:tc>
          <w:tcPr>
            <w:tcW w:w="1293" w:type="dxa"/>
            <w:gridSpan w:val="2"/>
            <w:tcBorders>
              <w:bottom w:val="single" w:sz="4" w:space="0" w:color="auto"/>
            </w:tcBorders>
            <w:tcMar>
              <w:top w:w="20" w:type="dxa"/>
              <w:left w:w="115" w:type="dxa"/>
              <w:bottom w:w="20" w:type="dxa"/>
              <w:right w:w="115" w:type="dxa"/>
            </w:tcMar>
            <w:vAlign w:val="bottom"/>
          </w:tcPr>
          <w:p w14:paraId="3FC224DC" w14:textId="77777777" w:rsidR="008873CE" w:rsidRPr="0042529E" w:rsidRDefault="008873CE" w:rsidP="00C85545">
            <w:pPr>
              <w:spacing w:before="60" w:after="60"/>
              <w:jc w:val="center"/>
              <w:rPr>
                <w:sz w:val="28"/>
                <w:szCs w:val="28"/>
              </w:rPr>
            </w:pPr>
            <w:r w:rsidRPr="0042529E">
              <w:rPr>
                <w:rFonts w:ascii="Times New Roman" w:hAnsi="Times New Roman"/>
              </w:rPr>
              <w:t>□</w:t>
            </w:r>
          </w:p>
        </w:tc>
        <w:tc>
          <w:tcPr>
            <w:tcW w:w="1135" w:type="dxa"/>
            <w:gridSpan w:val="2"/>
            <w:tcBorders>
              <w:bottom w:val="single" w:sz="4" w:space="0" w:color="auto"/>
            </w:tcBorders>
            <w:tcMar>
              <w:top w:w="20" w:type="dxa"/>
              <w:left w:w="115" w:type="dxa"/>
              <w:bottom w:w="20" w:type="dxa"/>
              <w:right w:w="115" w:type="dxa"/>
            </w:tcMar>
            <w:vAlign w:val="bottom"/>
          </w:tcPr>
          <w:p w14:paraId="160CDDE5" w14:textId="77777777" w:rsidR="008873CE" w:rsidRPr="0042529E" w:rsidRDefault="008873CE" w:rsidP="00C85545">
            <w:pPr>
              <w:spacing w:before="60" w:after="60"/>
              <w:jc w:val="center"/>
              <w:rPr>
                <w:sz w:val="28"/>
                <w:szCs w:val="28"/>
              </w:rPr>
            </w:pPr>
            <w:r w:rsidRPr="0042529E">
              <w:rPr>
                <w:rFonts w:ascii="Times New Roman" w:hAnsi="Times New Roman"/>
              </w:rPr>
              <w:t>□</w:t>
            </w:r>
          </w:p>
        </w:tc>
        <w:tc>
          <w:tcPr>
            <w:tcW w:w="1135" w:type="dxa"/>
            <w:gridSpan w:val="2"/>
            <w:tcBorders>
              <w:bottom w:val="single" w:sz="4" w:space="0" w:color="auto"/>
            </w:tcBorders>
            <w:tcMar>
              <w:top w:w="20" w:type="dxa"/>
              <w:left w:w="115" w:type="dxa"/>
              <w:bottom w:w="20" w:type="dxa"/>
              <w:right w:w="115" w:type="dxa"/>
            </w:tcMar>
            <w:vAlign w:val="bottom"/>
          </w:tcPr>
          <w:p w14:paraId="06A96918" w14:textId="77777777" w:rsidR="008873CE" w:rsidRPr="0042529E" w:rsidRDefault="008873CE" w:rsidP="00C85545">
            <w:pPr>
              <w:spacing w:before="60" w:after="60"/>
              <w:jc w:val="center"/>
              <w:rPr>
                <w:sz w:val="28"/>
                <w:szCs w:val="28"/>
              </w:rPr>
            </w:pPr>
            <w:r w:rsidRPr="0042529E">
              <w:rPr>
                <w:rFonts w:ascii="Times New Roman" w:hAnsi="Times New Roman"/>
              </w:rPr>
              <w:t>■</w:t>
            </w:r>
          </w:p>
        </w:tc>
        <w:tc>
          <w:tcPr>
            <w:tcW w:w="1135" w:type="dxa"/>
            <w:tcBorders>
              <w:bottom w:val="single" w:sz="4" w:space="0" w:color="auto"/>
            </w:tcBorders>
            <w:tcMar>
              <w:top w:w="20" w:type="dxa"/>
              <w:left w:w="115" w:type="dxa"/>
              <w:bottom w:w="20" w:type="dxa"/>
              <w:right w:w="115" w:type="dxa"/>
            </w:tcMar>
            <w:vAlign w:val="bottom"/>
          </w:tcPr>
          <w:p w14:paraId="2C317B76" w14:textId="77777777" w:rsidR="008873CE" w:rsidRPr="0042529E" w:rsidRDefault="008873CE" w:rsidP="00C85545">
            <w:pPr>
              <w:spacing w:before="60" w:after="60"/>
              <w:jc w:val="center"/>
              <w:rPr>
                <w:sz w:val="28"/>
                <w:szCs w:val="28"/>
              </w:rPr>
            </w:pPr>
            <w:r w:rsidRPr="0042529E">
              <w:rPr>
                <w:rFonts w:ascii="Times New Roman" w:hAnsi="Times New Roman"/>
              </w:rPr>
              <w:t>□</w:t>
            </w:r>
          </w:p>
        </w:tc>
      </w:tr>
    </w:tbl>
    <w:p w14:paraId="7B350226" w14:textId="19E52D19" w:rsidR="008873CE" w:rsidRDefault="008873CE" w:rsidP="008873CE">
      <w:pPr>
        <w:pStyle w:val="Heading5"/>
      </w:pPr>
      <w:bookmarkStart w:id="145" w:name="_Hlk63934439"/>
      <w:r>
        <w:t>Overview of Air Pollution</w:t>
      </w:r>
    </w:p>
    <w:p w14:paraId="3BA06D5C" w14:textId="26B74752" w:rsidR="008873CE" w:rsidRDefault="008873CE" w:rsidP="008873CE">
      <w:pPr>
        <w:pStyle w:val="BodyText"/>
      </w:pPr>
      <w:bookmarkStart w:id="146" w:name="_Hlk63934428"/>
      <w:bookmarkStart w:id="147" w:name="_Hlk63929914"/>
      <w:bookmarkEnd w:id="145"/>
      <w:r>
        <w:t>The federal and State Clean Air Acts (CAA) mandate the control and reduction of certain air pollutants. Under these laws, the U.S. Environmental Protection Agency (USEPA) and the California Air Resources Board (CARB) have established the National Ambient Air Quality Standards (NAAQS) and the California Ambient Air Quality Standards (CAAQS) for “criteria pollutants” and other pollutants. Some pollutants are emitted directly from a source (e.g., vehicle tailpipe, an exhaust stack of a factory, etc.) into the atmosphere, including carbon monoxide, volatile organic compounds (VOC)/reactive organic gases (ROG),</w:t>
      </w:r>
      <w:r>
        <w:rPr>
          <w:rStyle w:val="FootnoteReference"/>
          <w:vertAlign w:val="superscript"/>
        </w:rPr>
        <w:footnoteReference w:id="3"/>
      </w:r>
      <w:r>
        <w:t xml:space="preserve"> nitrogen oxides (NO</w:t>
      </w:r>
      <w:r>
        <w:rPr>
          <w:vertAlign w:val="subscript"/>
        </w:rPr>
        <w:t>X</w:t>
      </w:r>
      <w:r>
        <w:t>), particulate matter with diameters of ten microns or less (PM</w:t>
      </w:r>
      <w:r>
        <w:rPr>
          <w:vertAlign w:val="subscript"/>
        </w:rPr>
        <w:t>10</w:t>
      </w:r>
      <w:r>
        <w:t>) and 2.5 microns or less (PM</w:t>
      </w:r>
      <w:r>
        <w:rPr>
          <w:vertAlign w:val="subscript"/>
        </w:rPr>
        <w:t>2.5</w:t>
      </w:r>
      <w:r>
        <w:t xml:space="preserve">), sulfur dioxide, and lead. Other pollutants are created indirectly through chemical reactions in the atmosphere, such as ozone, which is created by atmospheric chemical and photochemical reactions primarily between </w:t>
      </w:r>
      <w:r w:rsidRPr="00DA360F">
        <w:t>ROG</w:t>
      </w:r>
      <w:r>
        <w:t xml:space="preserve"> and NO</w:t>
      </w:r>
      <w:r>
        <w:rPr>
          <w:vertAlign w:val="subscript"/>
        </w:rPr>
        <w:t>X</w:t>
      </w:r>
      <w:r>
        <w:t>. Secondary pollutants include oxidants, ozone, and sulfate and nitrate particulates (smog).</w:t>
      </w:r>
      <w:bookmarkEnd w:id="146"/>
    </w:p>
    <w:p w14:paraId="149023B0" w14:textId="77777777" w:rsidR="008873CE" w:rsidRDefault="008873CE" w:rsidP="008873CE">
      <w:pPr>
        <w:pStyle w:val="BodyText"/>
      </w:pPr>
      <w:r>
        <w:t>Air pollutant emissions are generated primarily by stationary and mobile sources. Stationary sources can be divided into two major subcategories:</w:t>
      </w:r>
    </w:p>
    <w:p w14:paraId="78B5D26D" w14:textId="77777777" w:rsidR="008873CE" w:rsidRDefault="008873CE" w:rsidP="00275B75">
      <w:pPr>
        <w:pStyle w:val="BulletListLevel1"/>
      </w:pPr>
      <w:r>
        <w:t xml:space="preserve">Point sources occur at a specific location and are often identified by an exhaust vent or stack. Examples include boilers or combustion equipment that produce electricity or generate heat. </w:t>
      </w:r>
    </w:p>
    <w:p w14:paraId="7256A857" w14:textId="77777777" w:rsidR="008873CE" w:rsidRDefault="008873CE" w:rsidP="00275B75">
      <w:pPr>
        <w:pStyle w:val="BulletListLevel1"/>
      </w:pPr>
      <w:r>
        <w:lastRenderedPageBreak/>
        <w:t xml:space="preserve">Area sources are widely distributed and include such sources as residential and commercial water heaters, painting operations, lawn mowers, agricultural fields, landfills, and some consumer products. </w:t>
      </w:r>
    </w:p>
    <w:p w14:paraId="0184FE7B" w14:textId="77777777" w:rsidR="008873CE" w:rsidRDefault="008873CE" w:rsidP="008873CE">
      <w:pPr>
        <w:pStyle w:val="BodyTextaftertables"/>
      </w:pPr>
      <w:r>
        <w:t>Mobile sources refer to emissions from motor vehicles, including tailpipe and evaporative emissions, and can also be divided into two major subcategories:</w:t>
      </w:r>
    </w:p>
    <w:p w14:paraId="6623654F" w14:textId="77777777" w:rsidR="008873CE" w:rsidRDefault="008873CE" w:rsidP="00275B75">
      <w:pPr>
        <w:pStyle w:val="BulletListLevel1"/>
      </w:pPr>
      <w:r>
        <w:t xml:space="preserve">On-road sources that may be legally operated on roadways and highways. </w:t>
      </w:r>
    </w:p>
    <w:p w14:paraId="76F2837B" w14:textId="77777777" w:rsidR="008873CE" w:rsidRDefault="008873CE" w:rsidP="00275B75">
      <w:pPr>
        <w:pStyle w:val="BulletListLevel1"/>
      </w:pPr>
      <w:r>
        <w:t xml:space="preserve">Off-road sources include aircraft, ships, trains, and self-propelled construction equipment. </w:t>
      </w:r>
    </w:p>
    <w:p w14:paraId="50AAEDAF" w14:textId="77777777" w:rsidR="008873CE" w:rsidRDefault="008873CE" w:rsidP="008873CE">
      <w:pPr>
        <w:pStyle w:val="BodyTextAfterTable"/>
      </w:pPr>
      <w:r>
        <w:t>Air pollutants can also be generated by the natural environment, such as when high winds suspend fine dust particles.</w:t>
      </w:r>
      <w:bookmarkEnd w:id="147"/>
    </w:p>
    <w:p w14:paraId="486D30E9" w14:textId="77777777" w:rsidR="008873CE" w:rsidRDefault="008873CE" w:rsidP="008873CE">
      <w:pPr>
        <w:pStyle w:val="Heading5"/>
      </w:pPr>
      <w:r>
        <w:t>Air Quality Standards and Attainment</w:t>
      </w:r>
    </w:p>
    <w:p w14:paraId="1FFA286C" w14:textId="26CE7740" w:rsidR="008873CE" w:rsidRDefault="008873CE" w:rsidP="008873CE">
      <w:pPr>
        <w:pStyle w:val="BodyText"/>
      </w:pPr>
      <w:bookmarkStart w:id="148" w:name="3_Air_Quality"/>
      <w:bookmarkEnd w:id="148"/>
      <w:r>
        <w:t xml:space="preserve">The project site is located in the San Francisco Bay Area Air Basin, which is under the jurisdiction of the Bay Area Air Quality Management District (BAAQMD). </w:t>
      </w:r>
      <w:r w:rsidRPr="00516E0E">
        <w:t xml:space="preserve">BAAQMD has jurisdiction over much of the nine-county Bay Area, including </w:t>
      </w:r>
      <w:r>
        <w:t>Santa Clara</w:t>
      </w:r>
      <w:r w:rsidRPr="00516E0E">
        <w:t xml:space="preserve"> County.</w:t>
      </w:r>
      <w:r>
        <w:t xml:space="preserve"> As the local air quality management agency, BAAQMD is required to monitor air pollutant levels to ensure that the NAAQS and CAAQS are met and, if they are not met, to develop strategies to meet the standards. Depending on whether the standards are met or exceeded, the San Francisco Bay Area Air Basin is classified as being in “attainment” or “nonattainment.” In areas designated as non-attainment for one or more air pollutants, a cumulative air quality impact exists for those air pollutants, and the human health impacts associated with these criteria pollutants, presented in </w:t>
      </w:r>
      <w:r>
        <w:fldChar w:fldCharType="begin"/>
      </w:r>
      <w:r>
        <w:instrText xml:space="preserve"> REF _Ref90293914 \h </w:instrText>
      </w:r>
      <w:r>
        <w:fldChar w:fldCharType="separate"/>
      </w:r>
      <w:r w:rsidR="00FA55F1">
        <w:t xml:space="preserve">Table </w:t>
      </w:r>
      <w:r w:rsidR="00FA55F1">
        <w:rPr>
          <w:noProof/>
        </w:rPr>
        <w:t>5</w:t>
      </w:r>
      <w:r>
        <w:fldChar w:fldCharType="end"/>
      </w:r>
      <w:r>
        <w:t xml:space="preserve"> are already occurring in that area as part of the environmental baseline condition. </w:t>
      </w:r>
    </w:p>
    <w:p w14:paraId="5AED7F8A" w14:textId="6074608D" w:rsidR="008873CE" w:rsidRDefault="008873CE" w:rsidP="008873CE">
      <w:pPr>
        <w:pStyle w:val="TableCaption"/>
      </w:pPr>
      <w:bookmarkStart w:id="149" w:name="_Ref90293914"/>
      <w:bookmarkStart w:id="150" w:name="_Toc14784685"/>
      <w:bookmarkStart w:id="151" w:name="_Toc112942454"/>
      <w:r>
        <w:t xml:space="preserve">Table </w:t>
      </w:r>
      <w:fldSimple w:instr=" SEQ Table \* ARABIC ">
        <w:r w:rsidR="00FA55F1">
          <w:rPr>
            <w:noProof/>
          </w:rPr>
          <w:t>5</w:t>
        </w:r>
      </w:fldSimple>
      <w:bookmarkEnd w:id="149"/>
      <w:r>
        <w:tab/>
        <w:t>Health Effects Associated with Non-Attainment Criteria Pollutants</w:t>
      </w:r>
      <w:bookmarkEnd w:id="150"/>
      <w:bookmarkEnd w:id="151"/>
    </w:p>
    <w:tbl>
      <w:tblPr>
        <w:tblStyle w:val="TableGrid"/>
        <w:tblW w:w="90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7"/>
        <w:gridCol w:w="7086"/>
      </w:tblGrid>
      <w:tr w:rsidR="008873CE" w14:paraId="290F9987" w14:textId="77777777" w:rsidTr="00C85545">
        <w:trPr>
          <w:tblHeader/>
        </w:trPr>
        <w:tc>
          <w:tcPr>
            <w:tcW w:w="1957" w:type="dxa"/>
            <w:tcBorders>
              <w:top w:val="nil"/>
              <w:left w:val="nil"/>
              <w:bottom w:val="single" w:sz="6" w:space="0" w:color="auto"/>
              <w:right w:val="nil"/>
            </w:tcBorders>
            <w:shd w:val="clear" w:color="auto" w:fill="000000" w:themeFill="text1"/>
            <w:tcMar>
              <w:top w:w="58" w:type="dxa"/>
              <w:left w:w="115" w:type="dxa"/>
              <w:bottom w:w="58" w:type="dxa"/>
              <w:right w:w="115" w:type="dxa"/>
            </w:tcMar>
            <w:vAlign w:val="bottom"/>
            <w:hideMark/>
          </w:tcPr>
          <w:p w14:paraId="6442B5D6" w14:textId="77777777" w:rsidR="008873CE" w:rsidRDefault="008873CE" w:rsidP="00C85545">
            <w:pPr>
              <w:pStyle w:val="ISTableColumnHeadings"/>
              <w:spacing w:before="20" w:after="20"/>
              <w:rPr>
                <w:szCs w:val="18"/>
              </w:rPr>
            </w:pPr>
            <w:r>
              <w:rPr>
                <w:szCs w:val="18"/>
              </w:rPr>
              <w:t>Pollutant</w:t>
            </w:r>
          </w:p>
        </w:tc>
        <w:tc>
          <w:tcPr>
            <w:tcW w:w="7086" w:type="dxa"/>
            <w:tcBorders>
              <w:top w:val="nil"/>
              <w:left w:val="nil"/>
              <w:bottom w:val="single" w:sz="6" w:space="0" w:color="auto"/>
              <w:right w:val="nil"/>
            </w:tcBorders>
            <w:shd w:val="clear" w:color="auto" w:fill="000000" w:themeFill="text1"/>
            <w:tcMar>
              <w:top w:w="58" w:type="dxa"/>
              <w:left w:w="115" w:type="dxa"/>
              <w:bottom w:w="58" w:type="dxa"/>
              <w:right w:w="115" w:type="dxa"/>
            </w:tcMar>
            <w:vAlign w:val="bottom"/>
            <w:hideMark/>
          </w:tcPr>
          <w:p w14:paraId="6E46B160" w14:textId="77777777" w:rsidR="008873CE" w:rsidRDefault="008873CE" w:rsidP="00C85545">
            <w:pPr>
              <w:pStyle w:val="ISTableColumnHeadings"/>
              <w:spacing w:before="20" w:after="20"/>
              <w:rPr>
                <w:rFonts w:ascii="Calibri" w:hAnsi="Calibri"/>
                <w:szCs w:val="18"/>
              </w:rPr>
            </w:pPr>
            <w:r>
              <w:rPr>
                <w:szCs w:val="18"/>
              </w:rPr>
              <w:t>Adverse Effects</w:t>
            </w:r>
          </w:p>
        </w:tc>
      </w:tr>
      <w:tr w:rsidR="008873CE" w14:paraId="7159D2BD" w14:textId="77777777" w:rsidTr="00C85545">
        <w:tc>
          <w:tcPr>
            <w:tcW w:w="1957" w:type="dxa"/>
            <w:tcBorders>
              <w:top w:val="single" w:sz="6" w:space="0" w:color="auto"/>
              <w:left w:val="nil"/>
              <w:bottom w:val="single" w:sz="4" w:space="0" w:color="BFBFBF" w:themeColor="background1" w:themeShade="BF"/>
              <w:right w:val="nil"/>
            </w:tcBorders>
            <w:tcMar>
              <w:top w:w="58" w:type="dxa"/>
              <w:left w:w="115" w:type="dxa"/>
              <w:bottom w:w="58" w:type="dxa"/>
              <w:right w:w="115" w:type="dxa"/>
            </w:tcMar>
            <w:hideMark/>
          </w:tcPr>
          <w:p w14:paraId="56818803" w14:textId="77777777" w:rsidR="008873CE" w:rsidRDefault="008873CE" w:rsidP="00E84DA6">
            <w:pPr>
              <w:pStyle w:val="TableText"/>
              <w:spacing w:before="0" w:after="0"/>
              <w:rPr>
                <w:szCs w:val="18"/>
              </w:rPr>
            </w:pPr>
            <w:r>
              <w:t>Ozone</w:t>
            </w:r>
          </w:p>
        </w:tc>
        <w:tc>
          <w:tcPr>
            <w:tcW w:w="7086" w:type="dxa"/>
            <w:tcBorders>
              <w:top w:val="single" w:sz="6" w:space="0" w:color="auto"/>
              <w:left w:val="nil"/>
              <w:bottom w:val="single" w:sz="4" w:space="0" w:color="BFBFBF" w:themeColor="background1" w:themeShade="BF"/>
              <w:right w:val="nil"/>
            </w:tcBorders>
            <w:tcMar>
              <w:top w:w="58" w:type="dxa"/>
              <w:left w:w="115" w:type="dxa"/>
              <w:bottom w:w="58" w:type="dxa"/>
              <w:right w:w="115" w:type="dxa"/>
            </w:tcMar>
            <w:hideMark/>
          </w:tcPr>
          <w:p w14:paraId="424BCF3B" w14:textId="77777777" w:rsidR="008873CE" w:rsidRDefault="008873CE" w:rsidP="00E84DA6">
            <w:pPr>
              <w:pStyle w:val="TableText"/>
              <w:spacing w:before="0" w:after="0"/>
            </w:pPr>
            <w:r>
              <w:t>(1) Short-term exposures: (a) pulmonary function decrements and localized lung edema in humans and animals and (b) risk to public health implied by alterations in pulmonary morphology and host defense in animals; (2) long-term exposures: risk to public health implied by altered connective tissue metabolism and altered pulmonary morphology in animals after long-term exposures and pulmonary function decrements in chronically exposed humans; (3) vegetation damage; and (4) property damage.</w:t>
            </w:r>
          </w:p>
        </w:tc>
      </w:tr>
      <w:tr w:rsidR="008873CE" w14:paraId="31361185" w14:textId="77777777" w:rsidTr="00C85545">
        <w:tc>
          <w:tcPr>
            <w:tcW w:w="1957" w:type="dxa"/>
            <w:tcBorders>
              <w:top w:val="single" w:sz="4" w:space="0" w:color="BFBFBF" w:themeColor="background1" w:themeShade="BF"/>
              <w:left w:val="nil"/>
              <w:bottom w:val="single" w:sz="4" w:space="0" w:color="BFBFBF" w:themeColor="background1" w:themeShade="BF"/>
              <w:right w:val="nil"/>
            </w:tcBorders>
            <w:tcMar>
              <w:top w:w="58" w:type="dxa"/>
              <w:left w:w="115" w:type="dxa"/>
              <w:bottom w:w="58" w:type="dxa"/>
              <w:right w:w="115" w:type="dxa"/>
            </w:tcMar>
            <w:hideMark/>
          </w:tcPr>
          <w:p w14:paraId="1DF6815E" w14:textId="77777777" w:rsidR="008873CE" w:rsidRDefault="008873CE" w:rsidP="00E84DA6">
            <w:pPr>
              <w:pStyle w:val="ISTableText"/>
              <w:spacing w:before="0" w:after="0"/>
              <w:rPr>
                <w:rFonts w:asciiTheme="minorHAnsi" w:hAnsiTheme="minorHAnsi"/>
                <w:szCs w:val="18"/>
              </w:rPr>
            </w:pPr>
            <w:r>
              <w:rPr>
                <w:rFonts w:asciiTheme="minorHAnsi" w:hAnsiTheme="minorHAnsi"/>
                <w:szCs w:val="18"/>
              </w:rPr>
              <w:t>Suspended particulate matter (PM</w:t>
            </w:r>
            <w:r>
              <w:rPr>
                <w:rFonts w:asciiTheme="minorHAnsi" w:hAnsiTheme="minorHAnsi"/>
                <w:szCs w:val="18"/>
                <w:vertAlign w:val="subscript"/>
              </w:rPr>
              <w:t>10</w:t>
            </w:r>
            <w:r>
              <w:rPr>
                <w:rFonts w:asciiTheme="minorHAnsi" w:hAnsiTheme="minorHAnsi"/>
                <w:szCs w:val="18"/>
              </w:rPr>
              <w:t>)</w:t>
            </w:r>
          </w:p>
        </w:tc>
        <w:tc>
          <w:tcPr>
            <w:tcW w:w="7086" w:type="dxa"/>
            <w:tcBorders>
              <w:top w:val="single" w:sz="4" w:space="0" w:color="BFBFBF" w:themeColor="background1" w:themeShade="BF"/>
              <w:left w:val="nil"/>
              <w:bottom w:val="single" w:sz="4" w:space="0" w:color="BFBFBF" w:themeColor="background1" w:themeShade="BF"/>
              <w:right w:val="nil"/>
            </w:tcBorders>
            <w:tcMar>
              <w:top w:w="58" w:type="dxa"/>
              <w:left w:w="115" w:type="dxa"/>
              <w:bottom w:w="58" w:type="dxa"/>
              <w:right w:w="115" w:type="dxa"/>
            </w:tcMar>
            <w:hideMark/>
          </w:tcPr>
          <w:p w14:paraId="14CDAB6C" w14:textId="77777777" w:rsidR="008873CE" w:rsidRDefault="008873CE" w:rsidP="00E84DA6">
            <w:pPr>
              <w:pStyle w:val="ISTableText"/>
              <w:spacing w:before="0" w:after="0"/>
              <w:rPr>
                <w:rFonts w:asciiTheme="minorHAnsi" w:hAnsiTheme="minorHAnsi"/>
                <w:szCs w:val="18"/>
              </w:rPr>
            </w:pPr>
            <w:r>
              <w:rPr>
                <w:rFonts w:asciiTheme="minorHAnsi" w:hAnsiTheme="minorHAnsi"/>
                <w:szCs w:val="18"/>
              </w:rPr>
              <w:t>(1) Excess deaths from short-term and long-term exposures; (2) excess seasonal declines in pulmonary function, especially in children; (3) asthma exacerbation and possibly induction; (4) adverse birth outcomes including low birth weight; (5) increased infant mortality; (6) increased respiratory symptoms in children such as cough and bronchitis; and (7) increased hospitalization for both cardiovascular and respiratory disease (including asthma).</w:t>
            </w:r>
            <w:r>
              <w:rPr>
                <w:rFonts w:asciiTheme="minorHAnsi" w:hAnsiTheme="minorHAnsi"/>
                <w:szCs w:val="18"/>
                <w:vertAlign w:val="superscript"/>
              </w:rPr>
              <w:t>1</w:t>
            </w:r>
          </w:p>
        </w:tc>
      </w:tr>
      <w:tr w:rsidR="008873CE" w14:paraId="26798EF1" w14:textId="77777777" w:rsidTr="00C85545">
        <w:tc>
          <w:tcPr>
            <w:tcW w:w="1957" w:type="dxa"/>
            <w:tcBorders>
              <w:top w:val="single" w:sz="4" w:space="0" w:color="BFBFBF" w:themeColor="background1" w:themeShade="BF"/>
              <w:left w:val="nil"/>
              <w:bottom w:val="nil"/>
              <w:right w:val="nil"/>
            </w:tcBorders>
            <w:tcMar>
              <w:top w:w="58" w:type="dxa"/>
              <w:left w:w="115" w:type="dxa"/>
              <w:bottom w:w="58" w:type="dxa"/>
              <w:right w:w="115" w:type="dxa"/>
            </w:tcMar>
            <w:hideMark/>
          </w:tcPr>
          <w:p w14:paraId="024AF981" w14:textId="77777777" w:rsidR="008873CE" w:rsidRDefault="008873CE" w:rsidP="00E84DA6">
            <w:pPr>
              <w:pStyle w:val="ISTableText"/>
              <w:spacing w:before="0" w:after="0"/>
              <w:rPr>
                <w:rFonts w:asciiTheme="minorHAnsi" w:hAnsiTheme="minorHAnsi"/>
                <w:szCs w:val="18"/>
              </w:rPr>
            </w:pPr>
            <w:r>
              <w:rPr>
                <w:rFonts w:asciiTheme="minorHAnsi" w:hAnsiTheme="minorHAnsi"/>
                <w:szCs w:val="18"/>
              </w:rPr>
              <w:t>Suspended particulate matter (PM</w:t>
            </w:r>
            <w:r>
              <w:rPr>
                <w:rFonts w:asciiTheme="minorHAnsi" w:hAnsiTheme="minorHAnsi"/>
                <w:szCs w:val="18"/>
                <w:vertAlign w:val="subscript"/>
              </w:rPr>
              <w:t>2.5</w:t>
            </w:r>
            <w:r>
              <w:rPr>
                <w:rFonts w:asciiTheme="minorHAnsi" w:hAnsiTheme="minorHAnsi"/>
                <w:szCs w:val="18"/>
              </w:rPr>
              <w:t>)</w:t>
            </w:r>
          </w:p>
        </w:tc>
        <w:tc>
          <w:tcPr>
            <w:tcW w:w="7086" w:type="dxa"/>
            <w:tcBorders>
              <w:top w:val="single" w:sz="4" w:space="0" w:color="BFBFBF" w:themeColor="background1" w:themeShade="BF"/>
              <w:left w:val="nil"/>
              <w:bottom w:val="nil"/>
              <w:right w:val="nil"/>
            </w:tcBorders>
            <w:tcMar>
              <w:top w:w="58" w:type="dxa"/>
              <w:left w:w="115" w:type="dxa"/>
              <w:bottom w:w="58" w:type="dxa"/>
              <w:right w:w="115" w:type="dxa"/>
            </w:tcMar>
            <w:hideMark/>
          </w:tcPr>
          <w:p w14:paraId="115289B5" w14:textId="77777777" w:rsidR="008873CE" w:rsidRDefault="008873CE" w:rsidP="00E84DA6">
            <w:pPr>
              <w:pStyle w:val="ISTableText"/>
              <w:spacing w:before="0" w:after="0"/>
              <w:rPr>
                <w:rFonts w:asciiTheme="minorHAnsi" w:hAnsiTheme="minorHAnsi"/>
                <w:szCs w:val="18"/>
              </w:rPr>
            </w:pPr>
            <w:r>
              <w:rPr>
                <w:rFonts w:asciiTheme="minorHAnsi" w:hAnsiTheme="minorHAnsi"/>
                <w:szCs w:val="18"/>
              </w:rPr>
              <w:t>(1) Excess deaths from short- and long-term exposures; (2) excess seasonal declines in pulmonary function, especially in children; (3) asthma exacerbation and possibly induction; (4) adverse birth outcomes, including low birth weight; (5) increased infant mortality; (6) increased respiratory symptoms in children, such as cough and bronchitis; and (7) increased hospitalization for both cardiovascular and respiratory disease, including asthma.</w:t>
            </w:r>
          </w:p>
        </w:tc>
      </w:tr>
      <w:tr w:rsidR="008873CE" w14:paraId="250CD00E" w14:textId="77777777" w:rsidTr="00C85545">
        <w:tc>
          <w:tcPr>
            <w:tcW w:w="9043" w:type="dxa"/>
            <w:gridSpan w:val="2"/>
            <w:tcBorders>
              <w:top w:val="single" w:sz="4" w:space="0" w:color="auto"/>
              <w:left w:val="nil"/>
              <w:bottom w:val="single" w:sz="4" w:space="0" w:color="auto"/>
              <w:right w:val="nil"/>
            </w:tcBorders>
            <w:tcMar>
              <w:top w:w="58" w:type="dxa"/>
              <w:left w:w="115" w:type="dxa"/>
              <w:bottom w:w="58" w:type="dxa"/>
              <w:right w:w="115" w:type="dxa"/>
            </w:tcMar>
            <w:hideMark/>
          </w:tcPr>
          <w:p w14:paraId="206D8826" w14:textId="77777777" w:rsidR="008873CE" w:rsidRDefault="008873CE" w:rsidP="00E84DA6">
            <w:pPr>
              <w:pStyle w:val="ISTableNotes"/>
              <w:spacing w:before="20" w:after="20"/>
              <w:ind w:left="0" w:firstLine="0"/>
              <w:rPr>
                <w:rFonts w:asciiTheme="minorHAnsi" w:hAnsiTheme="minorHAnsi"/>
              </w:rPr>
            </w:pPr>
            <w:r>
              <w:rPr>
                <w:rFonts w:asciiTheme="minorHAnsi" w:hAnsiTheme="minorHAnsi"/>
              </w:rPr>
              <w:t>Source: United States Environmental Protection Agency 2021</w:t>
            </w:r>
          </w:p>
        </w:tc>
      </w:tr>
    </w:tbl>
    <w:p w14:paraId="0C3C21DF" w14:textId="000D066A" w:rsidR="007C2425" w:rsidRDefault="007C2425" w:rsidP="007D7D23">
      <w:pPr>
        <w:pStyle w:val="BodyTextAfterTable"/>
        <w:pageBreakBefore/>
      </w:pPr>
      <w:r>
        <w:lastRenderedPageBreak/>
        <w:t>Under state law, air districts are required to prepare a plan for air quality improvement for pollutants for which the district is in non-compliance. The San Francisco Bay Area Air Basin is designated a nonattainment area for the federal 8-hour ozone standard, federal PM</w:t>
      </w:r>
      <w:r>
        <w:rPr>
          <w:vertAlign w:val="subscript"/>
        </w:rPr>
        <w:t>2.5</w:t>
      </w:r>
      <w:r>
        <w:t xml:space="preserve"> 24-hour standard, state 8-hour and 1-hour ozone standards, state PM</w:t>
      </w:r>
      <w:r>
        <w:rPr>
          <w:vertAlign w:val="subscript"/>
        </w:rPr>
        <w:t>10</w:t>
      </w:r>
      <w:r>
        <w:t xml:space="preserve"> annual and 24-hour standards, and the state PM</w:t>
      </w:r>
      <w:r>
        <w:rPr>
          <w:vertAlign w:val="subscript"/>
        </w:rPr>
        <w:t>2.5</w:t>
      </w:r>
      <w:r>
        <w:t xml:space="preserve"> 24-hour standard (BAAQMD 2017a</w:t>
      </w:r>
      <w:r w:rsidR="0054726F">
        <w:t>)</w:t>
      </w:r>
      <w:r>
        <w:t>. This nonattainment status is a result of several factors, such as mobile sources, wood burning, industrial combustion, and dust, in the San Francisco Bay Area Air Basin.</w:t>
      </w:r>
    </w:p>
    <w:p w14:paraId="7796700A" w14:textId="3634C236" w:rsidR="008873CE" w:rsidRDefault="008873CE" w:rsidP="008873CE">
      <w:pPr>
        <w:pStyle w:val="Heading5"/>
      </w:pPr>
      <w:r>
        <w:t>Air Quality Management</w:t>
      </w:r>
    </w:p>
    <w:p w14:paraId="6155305C" w14:textId="77777777" w:rsidR="008873CE" w:rsidRPr="00993157" w:rsidRDefault="008873CE" w:rsidP="008873CE">
      <w:pPr>
        <w:pStyle w:val="BodyText"/>
      </w:pPr>
      <w:r w:rsidRPr="00993157">
        <w:t>Because the San Francisco Bay Area Air Basin currently exceeds the federal ozone and PM</w:t>
      </w:r>
      <w:r w:rsidRPr="00993157">
        <w:rPr>
          <w:vertAlign w:val="subscript"/>
        </w:rPr>
        <w:t>2.5</w:t>
      </w:r>
      <w:r w:rsidRPr="00993157">
        <w:rPr>
          <w:vertAlign w:val="subscript"/>
        </w:rPr>
        <w:softHyphen/>
        <w:t xml:space="preserve"> </w:t>
      </w:r>
      <w:r w:rsidRPr="00993157">
        <w:t>standards and the state ozone, PM</w:t>
      </w:r>
      <w:r w:rsidRPr="00993157">
        <w:rPr>
          <w:vertAlign w:val="subscript"/>
        </w:rPr>
        <w:t>10</w:t>
      </w:r>
      <w:r w:rsidRPr="00993157">
        <w:t>, and PM</w:t>
      </w:r>
      <w:r w:rsidRPr="00993157">
        <w:rPr>
          <w:vertAlign w:val="subscript"/>
        </w:rPr>
        <w:t>2.5</w:t>
      </w:r>
      <w:r w:rsidRPr="00993157">
        <w:t xml:space="preserve"> standards, BAAQMD is required to implement strategies to reduce pollutant levels to achieve attainment of the NAAQS and CAAQS.</w:t>
      </w:r>
      <w:r>
        <w:t xml:space="preserve"> </w:t>
      </w:r>
      <w:r w:rsidRPr="00993157">
        <w:t xml:space="preserve">BAAQMD adopted the 2017 Clean Air Plan (2017 Plan) as an update to the 2010 Clean Air Plan. The 2017 Plan provides a regional strategy to protect public health and the climate. Consistent with the greenhouse gas (GHG) reduction targets adopted by the state, the 2017 Plan lays the groundwork for a long-term effort to reduce Bay Area GHG emissions to 40 percent below 1990 levels by 2030 and 80 percent below 1990 levels by 2050. To fulfill state </w:t>
      </w:r>
      <w:r>
        <w:t>ozone</w:t>
      </w:r>
      <w:r w:rsidRPr="00993157">
        <w:t xml:space="preserve"> planning requirements, the 2017 control strategy includes all feasible measures to reduce emissions of </w:t>
      </w:r>
      <w:r>
        <w:t xml:space="preserve">ozone </w:t>
      </w:r>
      <w:r w:rsidRPr="00993157">
        <w:t>precursors</w:t>
      </w:r>
      <w:r>
        <w:t xml:space="preserve"> (</w:t>
      </w:r>
      <w:r w:rsidRPr="00993157">
        <w:t>ROG and NO</w:t>
      </w:r>
      <w:r w:rsidRPr="00993157">
        <w:rPr>
          <w:vertAlign w:val="subscript"/>
        </w:rPr>
        <w:t>X</w:t>
      </w:r>
      <w:r>
        <w:t xml:space="preserve">) </w:t>
      </w:r>
      <w:r w:rsidRPr="00993157">
        <w:t>and reduce transport of</w:t>
      </w:r>
      <w:r>
        <w:t xml:space="preserve"> ozone</w:t>
      </w:r>
      <w:r w:rsidRPr="00993157">
        <w:t xml:space="preserve"> and its precursors to neighboring air basins. In addition, the 2017 Plan builds upon and enhances BAAQMD’s efforts to reduce emissions of fine particulate matter and toxic air contaminants (TAC) (BAAQMD 2017</w:t>
      </w:r>
      <w:r>
        <w:t>a</w:t>
      </w:r>
      <w:r w:rsidRPr="00993157">
        <w:t>).</w:t>
      </w:r>
    </w:p>
    <w:p w14:paraId="1C2D15A9" w14:textId="77777777" w:rsidR="008873CE" w:rsidRDefault="008873CE" w:rsidP="008873CE">
      <w:pPr>
        <w:pStyle w:val="Heading5"/>
      </w:pPr>
      <w:r>
        <w:t>Air Pollutant Emission Thresholds</w:t>
      </w:r>
    </w:p>
    <w:p w14:paraId="08A4BEE1" w14:textId="77777777" w:rsidR="008873CE" w:rsidRDefault="008873CE" w:rsidP="008873CE">
      <w:pPr>
        <w:pStyle w:val="BodyText"/>
      </w:pPr>
      <w:r>
        <w:t>The BAAQMD has adopted guidelines for quantifying and determining the significance of air quality emissions in its</w:t>
      </w:r>
      <w:r>
        <w:rPr>
          <w:i/>
        </w:rPr>
        <w:t xml:space="preserve"> </w:t>
      </w:r>
      <w:r>
        <w:rPr>
          <w:i/>
          <w:iCs/>
        </w:rPr>
        <w:t>California Environmental Quality Act Air Quality Guidelines</w:t>
      </w:r>
      <w:r>
        <w:t xml:space="preserve"> (BAAQMD 2017b). </w:t>
      </w:r>
      <w:r w:rsidRPr="00516E0E">
        <w:t xml:space="preserve">BAAQMD recommends that lead agencies determine appropriate air quality emissions thresholds of significance based on substantial evidence in the record. BAAQMD’s significance thresholds in the updated May 2017 </w:t>
      </w:r>
      <w:r w:rsidRPr="000A23CE">
        <w:rPr>
          <w:i/>
          <w:iCs/>
        </w:rPr>
        <w:t>CEQA Air Quality Guidelines</w:t>
      </w:r>
      <w:r w:rsidRPr="00516E0E">
        <w:t xml:space="preserve"> for project operations within the </w:t>
      </w:r>
      <w:r>
        <w:t>San Francisco Bay Area Air Basin</w:t>
      </w:r>
      <w:r w:rsidRPr="00516E0E">
        <w:t xml:space="preserve"> are the most appropriate thresholds for use in determining air quality impacts of the project</w:t>
      </w:r>
      <w:r w:rsidRPr="00516E0E">
        <w:rPr>
          <w:rFonts w:cs="Book Antiqua"/>
          <w:color w:val="000000"/>
          <w:spacing w:val="-2"/>
        </w:rPr>
        <w:t xml:space="preserve">. </w:t>
      </w:r>
      <w:r w:rsidRPr="00516E0E">
        <w:t xml:space="preserve">BAAQMD developed screening criteria to provide lead agencies and project applicants with a conservative indication of whether a project could result in potentially significant air quality impacts. </w:t>
      </w:r>
    </w:p>
    <w:p w14:paraId="333B5FFB" w14:textId="0C9CEB1F" w:rsidR="008873CE" w:rsidRDefault="008873CE" w:rsidP="008873CE">
      <w:pPr>
        <w:pStyle w:val="BodyText"/>
      </w:pPr>
      <w:r>
        <w:fldChar w:fldCharType="begin"/>
      </w:r>
      <w:r>
        <w:instrText xml:space="preserve"> REF _Ref90299470 \h </w:instrText>
      </w:r>
      <w:r>
        <w:fldChar w:fldCharType="separate"/>
      </w:r>
      <w:r w:rsidR="00FA55F1" w:rsidRPr="00C47745">
        <w:t xml:space="preserve">Table </w:t>
      </w:r>
      <w:r w:rsidR="00FA55F1">
        <w:rPr>
          <w:noProof/>
        </w:rPr>
        <w:t>6</w:t>
      </w:r>
      <w:r>
        <w:fldChar w:fldCharType="end"/>
      </w:r>
      <w:r>
        <w:t xml:space="preserve"> </w:t>
      </w:r>
      <w:r w:rsidRPr="009A3B98">
        <w:t>presents the significance thresholds for construction and operational-related criteria air pollutant and precursor emissions used for the purposes of this analysis. These represent the levels at which a project</w:t>
      </w:r>
      <w:r>
        <w:t>’</w:t>
      </w:r>
      <w:r w:rsidRPr="009A3B98">
        <w:t xml:space="preserve">s individual emissions of criteria air pollutants or precursors would result in a cumulatively considerable contribution to the </w:t>
      </w:r>
      <w:r>
        <w:t>San Francisco Bay Area Air Basin</w:t>
      </w:r>
      <w:r w:rsidRPr="009A3B98">
        <w:t xml:space="preserve">’s existing air quality conditions. For the purposes of this analysis, the project would result in a significant impact if </w:t>
      </w:r>
      <w:r>
        <w:t xml:space="preserve">construction or </w:t>
      </w:r>
      <w:r w:rsidRPr="009A3B98">
        <w:t xml:space="preserve">operational emissions would exceed any of the thresholds shown in </w:t>
      </w:r>
      <w:r>
        <w:fldChar w:fldCharType="begin"/>
      </w:r>
      <w:r>
        <w:instrText xml:space="preserve"> REF _Ref90299470 \h </w:instrText>
      </w:r>
      <w:r>
        <w:fldChar w:fldCharType="separate"/>
      </w:r>
      <w:r w:rsidR="00FA55F1" w:rsidRPr="00C47745">
        <w:t xml:space="preserve">Table </w:t>
      </w:r>
      <w:r w:rsidR="00FA55F1">
        <w:rPr>
          <w:noProof/>
        </w:rPr>
        <w:t>6</w:t>
      </w:r>
      <w:r>
        <w:fldChar w:fldCharType="end"/>
      </w:r>
      <w:r>
        <w:t>.</w:t>
      </w:r>
    </w:p>
    <w:p w14:paraId="07DDFA67" w14:textId="3AB20742" w:rsidR="008873CE" w:rsidRPr="00C47745" w:rsidRDefault="008873CE" w:rsidP="007D7D23">
      <w:pPr>
        <w:pStyle w:val="TableCaption"/>
        <w:pageBreakBefore/>
        <w:rPr>
          <w:rFonts w:eastAsia="Arial Unicode MS"/>
        </w:rPr>
      </w:pPr>
      <w:bookmarkStart w:id="152" w:name="_Ref90299470"/>
      <w:bookmarkStart w:id="153" w:name="_Toc112942455"/>
      <w:r w:rsidRPr="00C47745">
        <w:lastRenderedPageBreak/>
        <w:t xml:space="preserve">Table </w:t>
      </w:r>
      <w:fldSimple w:instr=" SEQ Table \* ARABIC ">
        <w:r w:rsidR="00FA55F1">
          <w:rPr>
            <w:noProof/>
          </w:rPr>
          <w:t>6</w:t>
        </w:r>
      </w:fldSimple>
      <w:bookmarkEnd w:id="152"/>
      <w:r w:rsidR="001D4BBB">
        <w:tab/>
      </w:r>
      <w:r w:rsidRPr="00C47745">
        <w:rPr>
          <w:rFonts w:eastAsia="Arial Unicode MS"/>
        </w:rPr>
        <w:t>Criteria Air Pollutant Significance Thresholds</w:t>
      </w:r>
      <w:bookmarkEnd w:id="153"/>
    </w:p>
    <w:tbl>
      <w:tblPr>
        <w:tblW w:w="9036" w:type="dxa"/>
        <w:tblBorders>
          <w:top w:val="single" w:sz="4" w:space="0" w:color="000000"/>
          <w:left w:val="single" w:sz="4" w:space="0" w:color="auto"/>
          <w:bottom w:val="single" w:sz="4" w:space="0" w:color="000000"/>
          <w:right w:val="single" w:sz="4" w:space="0" w:color="auto"/>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3"/>
        <w:gridCol w:w="3337"/>
        <w:gridCol w:w="2147"/>
        <w:gridCol w:w="2029"/>
      </w:tblGrid>
      <w:tr w:rsidR="008873CE" w:rsidRPr="00C47745" w14:paraId="510A0C71" w14:textId="77777777" w:rsidTr="00C85545">
        <w:trPr>
          <w:trHeight w:val="70"/>
          <w:tblHeader/>
        </w:trPr>
        <w:tc>
          <w:tcPr>
            <w:tcW w:w="1523" w:type="dxa"/>
            <w:vMerge w:val="restart"/>
            <w:tcBorders>
              <w:top w:val="nil"/>
              <w:left w:val="nil"/>
              <w:bottom w:val="nil"/>
              <w:right w:val="nil"/>
            </w:tcBorders>
            <w:shd w:val="clear" w:color="auto" w:fill="000000" w:themeFill="text1"/>
            <w:vAlign w:val="bottom"/>
          </w:tcPr>
          <w:p w14:paraId="69DBE934" w14:textId="77777777" w:rsidR="008873CE" w:rsidRPr="00C47745" w:rsidRDefault="008873CE" w:rsidP="00C85545">
            <w:pPr>
              <w:overflowPunct w:val="0"/>
              <w:autoSpaceDE w:val="0"/>
              <w:autoSpaceDN w:val="0"/>
              <w:adjustRightInd w:val="0"/>
              <w:spacing w:before="40" w:after="40"/>
              <w:ind w:left="72"/>
              <w:textAlignment w:val="baseline"/>
              <w:rPr>
                <w:rFonts w:asciiTheme="minorHAnsi" w:eastAsiaTheme="minorHAnsi" w:hAnsiTheme="minorHAnsi" w:cstheme="minorBidi"/>
                <w:b/>
                <w:sz w:val="18"/>
                <w:szCs w:val="18"/>
              </w:rPr>
            </w:pPr>
            <w:r w:rsidRPr="00C47745">
              <w:rPr>
                <w:rFonts w:asciiTheme="minorHAnsi" w:eastAsiaTheme="minorHAnsi" w:hAnsiTheme="minorHAnsi" w:cstheme="minorBidi"/>
                <w:b/>
                <w:sz w:val="18"/>
                <w:szCs w:val="18"/>
              </w:rPr>
              <w:t>Pollutant</w:t>
            </w:r>
          </w:p>
        </w:tc>
        <w:tc>
          <w:tcPr>
            <w:tcW w:w="3337" w:type="dxa"/>
            <w:tcBorders>
              <w:top w:val="nil"/>
              <w:left w:val="nil"/>
              <w:bottom w:val="nil"/>
              <w:right w:val="nil"/>
            </w:tcBorders>
            <w:shd w:val="clear" w:color="auto" w:fill="000000" w:themeFill="text1"/>
            <w:vAlign w:val="bottom"/>
          </w:tcPr>
          <w:p w14:paraId="348E5B0A" w14:textId="77777777" w:rsidR="008873CE" w:rsidRPr="00C47745" w:rsidRDefault="008873CE" w:rsidP="00C85545">
            <w:pPr>
              <w:pBdr>
                <w:bottom w:val="single" w:sz="4" w:space="1" w:color="FFFFFF" w:themeColor="background1"/>
              </w:pBdr>
              <w:overflowPunct w:val="0"/>
              <w:autoSpaceDE w:val="0"/>
              <w:autoSpaceDN w:val="0"/>
              <w:adjustRightInd w:val="0"/>
              <w:spacing w:after="0"/>
              <w:ind w:right="144"/>
              <w:jc w:val="center"/>
              <w:textAlignment w:val="baseline"/>
              <w:rPr>
                <w:rFonts w:asciiTheme="minorHAnsi" w:eastAsiaTheme="minorHAnsi" w:hAnsiTheme="minorHAnsi" w:cstheme="minorBidi"/>
                <w:b/>
                <w:sz w:val="18"/>
                <w:szCs w:val="18"/>
              </w:rPr>
            </w:pPr>
            <w:r w:rsidRPr="00C47745">
              <w:rPr>
                <w:rFonts w:asciiTheme="minorHAnsi" w:eastAsiaTheme="minorHAnsi" w:hAnsiTheme="minorHAnsi" w:cstheme="minorBidi"/>
                <w:b/>
                <w:sz w:val="18"/>
                <w:szCs w:val="18"/>
              </w:rPr>
              <w:t>Construction Thresholds</w:t>
            </w:r>
          </w:p>
        </w:tc>
        <w:tc>
          <w:tcPr>
            <w:tcW w:w="4176" w:type="dxa"/>
            <w:gridSpan w:val="2"/>
            <w:tcBorders>
              <w:top w:val="nil"/>
              <w:left w:val="nil"/>
              <w:bottom w:val="nil"/>
              <w:right w:val="nil"/>
            </w:tcBorders>
            <w:shd w:val="clear" w:color="auto" w:fill="000000" w:themeFill="text1"/>
            <w:vAlign w:val="bottom"/>
          </w:tcPr>
          <w:p w14:paraId="54475EBB" w14:textId="77777777" w:rsidR="008873CE" w:rsidRPr="00C47745" w:rsidRDefault="008873CE" w:rsidP="00C85545">
            <w:pPr>
              <w:pBdr>
                <w:bottom w:val="single" w:sz="4" w:space="1" w:color="FFFFFF" w:themeColor="background1"/>
              </w:pBdr>
              <w:overflowPunct w:val="0"/>
              <w:autoSpaceDE w:val="0"/>
              <w:autoSpaceDN w:val="0"/>
              <w:adjustRightInd w:val="0"/>
              <w:spacing w:after="0"/>
              <w:ind w:left="130"/>
              <w:jc w:val="center"/>
              <w:textAlignment w:val="baseline"/>
              <w:rPr>
                <w:rFonts w:asciiTheme="minorHAnsi" w:eastAsiaTheme="minorHAnsi" w:hAnsiTheme="minorHAnsi" w:cstheme="minorBidi"/>
                <w:b/>
                <w:sz w:val="18"/>
                <w:szCs w:val="18"/>
              </w:rPr>
            </w:pPr>
            <w:r w:rsidRPr="00C47745">
              <w:rPr>
                <w:rFonts w:asciiTheme="minorHAnsi" w:eastAsiaTheme="minorHAnsi" w:hAnsiTheme="minorHAnsi" w:cstheme="minorBidi"/>
                <w:b/>
                <w:sz w:val="18"/>
                <w:szCs w:val="18"/>
              </w:rPr>
              <w:t>Operational Thresholds</w:t>
            </w:r>
          </w:p>
        </w:tc>
      </w:tr>
      <w:tr w:rsidR="008873CE" w:rsidRPr="00C47745" w14:paraId="1E01F7FC" w14:textId="77777777" w:rsidTr="00C85545">
        <w:trPr>
          <w:tblHeader/>
        </w:trPr>
        <w:tc>
          <w:tcPr>
            <w:tcW w:w="1523" w:type="dxa"/>
            <w:vMerge/>
            <w:tcBorders>
              <w:top w:val="single" w:sz="4" w:space="0" w:color="auto"/>
              <w:left w:val="nil"/>
              <w:bottom w:val="nil"/>
              <w:right w:val="nil"/>
            </w:tcBorders>
            <w:shd w:val="clear" w:color="auto" w:fill="000000" w:themeFill="text1"/>
            <w:vAlign w:val="bottom"/>
          </w:tcPr>
          <w:p w14:paraId="098C2318" w14:textId="77777777" w:rsidR="008873CE" w:rsidRPr="00C47745" w:rsidRDefault="008873CE" w:rsidP="00C85545">
            <w:pPr>
              <w:overflowPunct w:val="0"/>
              <w:autoSpaceDE w:val="0"/>
              <w:autoSpaceDN w:val="0"/>
              <w:adjustRightInd w:val="0"/>
              <w:spacing w:before="40" w:after="40"/>
              <w:ind w:left="72"/>
              <w:jc w:val="center"/>
              <w:textAlignment w:val="baseline"/>
              <w:rPr>
                <w:rFonts w:asciiTheme="minorHAnsi" w:eastAsiaTheme="minorHAnsi" w:hAnsiTheme="minorHAnsi" w:cstheme="minorBidi"/>
                <w:b/>
                <w:sz w:val="18"/>
                <w:szCs w:val="18"/>
              </w:rPr>
            </w:pPr>
          </w:p>
        </w:tc>
        <w:tc>
          <w:tcPr>
            <w:tcW w:w="3337" w:type="dxa"/>
            <w:tcBorders>
              <w:top w:val="nil"/>
              <w:left w:val="nil"/>
              <w:bottom w:val="nil"/>
              <w:right w:val="nil"/>
            </w:tcBorders>
            <w:shd w:val="clear" w:color="auto" w:fill="000000" w:themeFill="text1"/>
            <w:vAlign w:val="bottom"/>
          </w:tcPr>
          <w:p w14:paraId="602B139A" w14:textId="77777777" w:rsidR="008873CE" w:rsidRPr="00C47745" w:rsidRDefault="008873CE" w:rsidP="00C85545">
            <w:pPr>
              <w:overflowPunct w:val="0"/>
              <w:autoSpaceDE w:val="0"/>
              <w:autoSpaceDN w:val="0"/>
              <w:adjustRightInd w:val="0"/>
              <w:spacing w:before="40" w:after="40"/>
              <w:jc w:val="center"/>
              <w:textAlignment w:val="baseline"/>
              <w:rPr>
                <w:rFonts w:asciiTheme="minorHAnsi" w:eastAsiaTheme="minorHAnsi" w:hAnsiTheme="minorHAnsi" w:cstheme="minorBidi"/>
                <w:b/>
                <w:sz w:val="18"/>
                <w:szCs w:val="18"/>
              </w:rPr>
            </w:pPr>
            <w:r w:rsidRPr="00C47745">
              <w:rPr>
                <w:rFonts w:asciiTheme="minorHAnsi" w:eastAsiaTheme="minorHAnsi" w:hAnsiTheme="minorHAnsi" w:cstheme="minorBidi"/>
                <w:b/>
                <w:sz w:val="18"/>
                <w:szCs w:val="18"/>
              </w:rPr>
              <w:t>Average Daily Emissions (lbs/day)</w:t>
            </w:r>
          </w:p>
        </w:tc>
        <w:tc>
          <w:tcPr>
            <w:tcW w:w="2147" w:type="dxa"/>
            <w:tcBorders>
              <w:top w:val="nil"/>
              <w:left w:val="nil"/>
              <w:bottom w:val="nil"/>
              <w:right w:val="nil"/>
            </w:tcBorders>
            <w:shd w:val="clear" w:color="auto" w:fill="000000" w:themeFill="text1"/>
            <w:vAlign w:val="bottom"/>
          </w:tcPr>
          <w:p w14:paraId="6F9BEA83" w14:textId="77777777" w:rsidR="008873CE" w:rsidRPr="00C47745" w:rsidRDefault="008873CE" w:rsidP="00C85545">
            <w:pPr>
              <w:overflowPunct w:val="0"/>
              <w:autoSpaceDE w:val="0"/>
              <w:autoSpaceDN w:val="0"/>
              <w:adjustRightInd w:val="0"/>
              <w:spacing w:before="40" w:after="40"/>
              <w:jc w:val="center"/>
              <w:textAlignment w:val="baseline"/>
              <w:rPr>
                <w:rFonts w:asciiTheme="minorHAnsi" w:eastAsiaTheme="minorHAnsi" w:hAnsiTheme="minorHAnsi" w:cstheme="minorBidi"/>
                <w:b/>
                <w:sz w:val="18"/>
                <w:szCs w:val="18"/>
              </w:rPr>
            </w:pPr>
            <w:r w:rsidRPr="00C47745">
              <w:rPr>
                <w:rFonts w:asciiTheme="minorHAnsi" w:eastAsiaTheme="minorHAnsi" w:hAnsiTheme="minorHAnsi" w:cstheme="minorBidi"/>
                <w:b/>
                <w:sz w:val="18"/>
                <w:szCs w:val="18"/>
              </w:rPr>
              <w:t>Average Daily Emissions (lbs/day)</w:t>
            </w:r>
          </w:p>
        </w:tc>
        <w:tc>
          <w:tcPr>
            <w:tcW w:w="2029" w:type="dxa"/>
            <w:tcBorders>
              <w:top w:val="nil"/>
              <w:left w:val="nil"/>
              <w:bottom w:val="nil"/>
              <w:right w:val="nil"/>
            </w:tcBorders>
            <w:shd w:val="clear" w:color="auto" w:fill="000000" w:themeFill="text1"/>
            <w:vAlign w:val="bottom"/>
          </w:tcPr>
          <w:p w14:paraId="4B808F30" w14:textId="77777777" w:rsidR="008873CE" w:rsidRPr="00C47745" w:rsidRDefault="008873CE" w:rsidP="00C85545">
            <w:pPr>
              <w:overflowPunct w:val="0"/>
              <w:autoSpaceDE w:val="0"/>
              <w:autoSpaceDN w:val="0"/>
              <w:adjustRightInd w:val="0"/>
              <w:spacing w:before="40" w:after="40"/>
              <w:jc w:val="center"/>
              <w:textAlignment w:val="baseline"/>
              <w:rPr>
                <w:rFonts w:asciiTheme="minorHAnsi" w:eastAsiaTheme="minorHAnsi" w:hAnsiTheme="minorHAnsi" w:cstheme="minorBidi"/>
                <w:b/>
                <w:sz w:val="18"/>
                <w:szCs w:val="18"/>
              </w:rPr>
            </w:pPr>
            <w:r w:rsidRPr="00C47745">
              <w:rPr>
                <w:rFonts w:asciiTheme="minorHAnsi" w:eastAsiaTheme="minorHAnsi" w:hAnsiTheme="minorHAnsi" w:cstheme="minorBidi"/>
                <w:b/>
                <w:sz w:val="18"/>
                <w:szCs w:val="18"/>
              </w:rPr>
              <w:t>Maximum Annual Emissions (tons/year)</w:t>
            </w:r>
          </w:p>
        </w:tc>
      </w:tr>
      <w:tr w:rsidR="008873CE" w:rsidRPr="00C47745" w14:paraId="35A48C98" w14:textId="77777777" w:rsidTr="00C85545">
        <w:tc>
          <w:tcPr>
            <w:tcW w:w="1523" w:type="dxa"/>
            <w:tcBorders>
              <w:top w:val="nil"/>
              <w:left w:val="nil"/>
              <w:bottom w:val="single" w:sz="4" w:space="0" w:color="BFBFBF" w:themeColor="background1" w:themeShade="BF"/>
              <w:right w:val="nil"/>
            </w:tcBorders>
          </w:tcPr>
          <w:p w14:paraId="4C934654" w14:textId="77777777" w:rsidR="008873CE" w:rsidRPr="00C47745" w:rsidRDefault="008873CE" w:rsidP="00C85545">
            <w:pPr>
              <w:spacing w:before="40" w:after="40"/>
              <w:ind w:left="72"/>
              <w:rPr>
                <w:rFonts w:asciiTheme="minorHAnsi" w:hAnsiTheme="minorHAnsi"/>
                <w:bCs/>
                <w:sz w:val="18"/>
                <w:szCs w:val="21"/>
              </w:rPr>
            </w:pPr>
            <w:r w:rsidRPr="00C47745">
              <w:rPr>
                <w:rFonts w:asciiTheme="minorHAnsi" w:hAnsiTheme="minorHAnsi"/>
                <w:bCs/>
                <w:sz w:val="18"/>
                <w:szCs w:val="21"/>
              </w:rPr>
              <w:t>ROG</w:t>
            </w:r>
          </w:p>
        </w:tc>
        <w:tc>
          <w:tcPr>
            <w:tcW w:w="3337" w:type="dxa"/>
            <w:tcBorders>
              <w:top w:val="nil"/>
              <w:left w:val="nil"/>
              <w:bottom w:val="single" w:sz="4" w:space="0" w:color="BFBFBF" w:themeColor="background1" w:themeShade="BF"/>
              <w:right w:val="nil"/>
            </w:tcBorders>
          </w:tcPr>
          <w:p w14:paraId="48FDDECE" w14:textId="77777777" w:rsidR="008873CE" w:rsidRPr="00BD4A6E" w:rsidRDefault="008873CE" w:rsidP="00C85545">
            <w:pPr>
              <w:spacing w:before="40" w:after="40"/>
              <w:jc w:val="center"/>
              <w:rPr>
                <w:rFonts w:asciiTheme="minorHAnsi" w:hAnsiTheme="minorHAnsi"/>
                <w:bCs/>
                <w:sz w:val="18"/>
                <w:szCs w:val="21"/>
              </w:rPr>
            </w:pPr>
            <w:r w:rsidRPr="00BD4A6E">
              <w:rPr>
                <w:rFonts w:asciiTheme="minorHAnsi" w:hAnsiTheme="minorHAnsi"/>
                <w:bCs/>
                <w:sz w:val="18"/>
                <w:szCs w:val="21"/>
              </w:rPr>
              <w:t>54</w:t>
            </w:r>
          </w:p>
        </w:tc>
        <w:tc>
          <w:tcPr>
            <w:tcW w:w="2147" w:type="dxa"/>
            <w:tcBorders>
              <w:top w:val="nil"/>
              <w:left w:val="nil"/>
              <w:bottom w:val="single" w:sz="4" w:space="0" w:color="BFBFBF" w:themeColor="background1" w:themeShade="BF"/>
              <w:right w:val="nil"/>
            </w:tcBorders>
          </w:tcPr>
          <w:p w14:paraId="4E5959F4" w14:textId="77777777" w:rsidR="008873CE" w:rsidRPr="00BD4A6E" w:rsidRDefault="008873CE" w:rsidP="00C85545">
            <w:pPr>
              <w:spacing w:before="40" w:after="40"/>
              <w:jc w:val="center"/>
              <w:rPr>
                <w:rFonts w:asciiTheme="minorHAnsi" w:hAnsiTheme="minorHAnsi"/>
                <w:bCs/>
                <w:sz w:val="18"/>
                <w:szCs w:val="21"/>
              </w:rPr>
            </w:pPr>
            <w:r w:rsidRPr="00BD4A6E">
              <w:rPr>
                <w:rFonts w:asciiTheme="minorHAnsi" w:hAnsiTheme="minorHAnsi"/>
                <w:bCs/>
                <w:sz w:val="18"/>
                <w:szCs w:val="21"/>
              </w:rPr>
              <w:t>54</w:t>
            </w:r>
          </w:p>
        </w:tc>
        <w:tc>
          <w:tcPr>
            <w:tcW w:w="2029" w:type="dxa"/>
            <w:tcBorders>
              <w:top w:val="nil"/>
              <w:left w:val="nil"/>
              <w:bottom w:val="single" w:sz="4" w:space="0" w:color="BFBFBF" w:themeColor="background1" w:themeShade="BF"/>
              <w:right w:val="nil"/>
            </w:tcBorders>
          </w:tcPr>
          <w:p w14:paraId="54DCCCAB" w14:textId="77777777" w:rsidR="008873CE" w:rsidRPr="00BD4A6E" w:rsidRDefault="008873CE" w:rsidP="00C85545">
            <w:pPr>
              <w:spacing w:before="40" w:after="40"/>
              <w:jc w:val="center"/>
              <w:rPr>
                <w:rFonts w:asciiTheme="minorHAnsi" w:hAnsiTheme="minorHAnsi"/>
                <w:bCs/>
                <w:sz w:val="18"/>
                <w:szCs w:val="21"/>
              </w:rPr>
            </w:pPr>
            <w:r w:rsidRPr="00BD4A6E">
              <w:rPr>
                <w:rFonts w:asciiTheme="minorHAnsi" w:hAnsiTheme="minorHAnsi"/>
                <w:bCs/>
                <w:sz w:val="18"/>
                <w:szCs w:val="21"/>
              </w:rPr>
              <w:t>10</w:t>
            </w:r>
          </w:p>
        </w:tc>
      </w:tr>
      <w:tr w:rsidR="008873CE" w:rsidRPr="00C47745" w14:paraId="6E20C697" w14:textId="77777777" w:rsidTr="00C85545">
        <w:tc>
          <w:tcPr>
            <w:tcW w:w="1523" w:type="dxa"/>
            <w:tcBorders>
              <w:top w:val="single" w:sz="4" w:space="0" w:color="BFBFBF" w:themeColor="background1" w:themeShade="BF"/>
              <w:left w:val="nil"/>
              <w:bottom w:val="single" w:sz="4" w:space="0" w:color="BFBFBF" w:themeColor="background1" w:themeShade="BF"/>
              <w:right w:val="nil"/>
            </w:tcBorders>
          </w:tcPr>
          <w:p w14:paraId="04B28035" w14:textId="77777777" w:rsidR="008873CE" w:rsidRPr="00C47745" w:rsidRDefault="008873CE" w:rsidP="00C85545">
            <w:pPr>
              <w:spacing w:before="40" w:after="40"/>
              <w:ind w:left="72"/>
              <w:rPr>
                <w:rFonts w:asciiTheme="minorHAnsi" w:hAnsiTheme="minorHAnsi"/>
                <w:bCs/>
                <w:sz w:val="18"/>
                <w:szCs w:val="21"/>
              </w:rPr>
            </w:pPr>
            <w:r w:rsidRPr="00C47745">
              <w:rPr>
                <w:rFonts w:asciiTheme="minorHAnsi" w:hAnsiTheme="minorHAnsi"/>
                <w:bCs/>
                <w:sz w:val="18"/>
                <w:szCs w:val="21"/>
              </w:rPr>
              <w:t>NO</w:t>
            </w:r>
            <w:r w:rsidRPr="00C47745">
              <w:rPr>
                <w:rFonts w:asciiTheme="minorHAnsi" w:hAnsiTheme="minorHAnsi"/>
                <w:bCs/>
                <w:sz w:val="18"/>
                <w:szCs w:val="21"/>
                <w:vertAlign w:val="subscript"/>
              </w:rPr>
              <w:t>X</w:t>
            </w:r>
          </w:p>
        </w:tc>
        <w:tc>
          <w:tcPr>
            <w:tcW w:w="3337" w:type="dxa"/>
            <w:tcBorders>
              <w:top w:val="single" w:sz="4" w:space="0" w:color="BFBFBF" w:themeColor="background1" w:themeShade="BF"/>
              <w:left w:val="nil"/>
              <w:bottom w:val="single" w:sz="4" w:space="0" w:color="BFBFBF" w:themeColor="background1" w:themeShade="BF"/>
              <w:right w:val="nil"/>
            </w:tcBorders>
          </w:tcPr>
          <w:p w14:paraId="4EED34B0" w14:textId="77777777" w:rsidR="008873CE" w:rsidRPr="00BD4A6E" w:rsidRDefault="008873CE" w:rsidP="00C85545">
            <w:pPr>
              <w:spacing w:before="40" w:after="40"/>
              <w:jc w:val="center"/>
              <w:rPr>
                <w:rFonts w:asciiTheme="minorHAnsi" w:hAnsiTheme="minorHAnsi"/>
                <w:bCs/>
                <w:sz w:val="18"/>
                <w:szCs w:val="21"/>
              </w:rPr>
            </w:pPr>
            <w:r w:rsidRPr="00BD4A6E">
              <w:rPr>
                <w:rFonts w:asciiTheme="minorHAnsi" w:hAnsiTheme="minorHAnsi"/>
                <w:bCs/>
                <w:sz w:val="18"/>
                <w:szCs w:val="21"/>
              </w:rPr>
              <w:t>54</w:t>
            </w:r>
          </w:p>
        </w:tc>
        <w:tc>
          <w:tcPr>
            <w:tcW w:w="2147" w:type="dxa"/>
            <w:tcBorders>
              <w:top w:val="single" w:sz="4" w:space="0" w:color="BFBFBF" w:themeColor="background1" w:themeShade="BF"/>
              <w:left w:val="nil"/>
              <w:bottom w:val="single" w:sz="4" w:space="0" w:color="BFBFBF" w:themeColor="background1" w:themeShade="BF"/>
              <w:right w:val="nil"/>
            </w:tcBorders>
          </w:tcPr>
          <w:p w14:paraId="7D0B300E" w14:textId="77777777" w:rsidR="008873CE" w:rsidRPr="00BD4A6E" w:rsidRDefault="008873CE" w:rsidP="00C85545">
            <w:pPr>
              <w:spacing w:before="40" w:after="40"/>
              <w:jc w:val="center"/>
              <w:rPr>
                <w:rFonts w:asciiTheme="minorHAnsi" w:hAnsiTheme="minorHAnsi"/>
                <w:bCs/>
                <w:sz w:val="18"/>
                <w:szCs w:val="21"/>
              </w:rPr>
            </w:pPr>
            <w:r w:rsidRPr="00BD4A6E">
              <w:rPr>
                <w:rFonts w:asciiTheme="minorHAnsi" w:hAnsiTheme="minorHAnsi"/>
                <w:bCs/>
                <w:sz w:val="18"/>
                <w:szCs w:val="21"/>
              </w:rPr>
              <w:t>54</w:t>
            </w:r>
          </w:p>
        </w:tc>
        <w:tc>
          <w:tcPr>
            <w:tcW w:w="2029" w:type="dxa"/>
            <w:tcBorders>
              <w:top w:val="single" w:sz="4" w:space="0" w:color="BFBFBF" w:themeColor="background1" w:themeShade="BF"/>
              <w:left w:val="nil"/>
              <w:bottom w:val="single" w:sz="4" w:space="0" w:color="BFBFBF" w:themeColor="background1" w:themeShade="BF"/>
              <w:right w:val="nil"/>
            </w:tcBorders>
          </w:tcPr>
          <w:p w14:paraId="313F8D69" w14:textId="77777777" w:rsidR="008873CE" w:rsidRPr="00BD4A6E" w:rsidRDefault="008873CE" w:rsidP="00C85545">
            <w:pPr>
              <w:spacing w:before="40" w:after="40"/>
              <w:jc w:val="center"/>
              <w:rPr>
                <w:rFonts w:asciiTheme="minorHAnsi" w:hAnsiTheme="minorHAnsi"/>
                <w:bCs/>
                <w:sz w:val="18"/>
                <w:szCs w:val="21"/>
              </w:rPr>
            </w:pPr>
            <w:r w:rsidRPr="00BD4A6E">
              <w:rPr>
                <w:rFonts w:asciiTheme="minorHAnsi" w:hAnsiTheme="minorHAnsi"/>
                <w:bCs/>
                <w:sz w:val="18"/>
                <w:szCs w:val="21"/>
              </w:rPr>
              <w:t>10</w:t>
            </w:r>
          </w:p>
        </w:tc>
      </w:tr>
      <w:tr w:rsidR="008873CE" w:rsidRPr="00C47745" w14:paraId="5D266913" w14:textId="77777777" w:rsidTr="00C85545">
        <w:tc>
          <w:tcPr>
            <w:tcW w:w="1523" w:type="dxa"/>
            <w:tcBorders>
              <w:top w:val="single" w:sz="4" w:space="0" w:color="BFBFBF" w:themeColor="background1" w:themeShade="BF"/>
              <w:left w:val="nil"/>
              <w:bottom w:val="single" w:sz="4" w:space="0" w:color="BFBFBF" w:themeColor="background1" w:themeShade="BF"/>
              <w:right w:val="nil"/>
            </w:tcBorders>
          </w:tcPr>
          <w:p w14:paraId="7A6F79B3" w14:textId="77777777" w:rsidR="008873CE" w:rsidRPr="00C47745" w:rsidRDefault="008873CE" w:rsidP="00C85545">
            <w:pPr>
              <w:spacing w:before="40" w:after="40"/>
              <w:ind w:left="72"/>
              <w:rPr>
                <w:rFonts w:asciiTheme="minorHAnsi" w:hAnsiTheme="minorHAnsi"/>
                <w:bCs/>
                <w:sz w:val="18"/>
                <w:szCs w:val="21"/>
              </w:rPr>
            </w:pPr>
            <w:r w:rsidRPr="00C47745">
              <w:rPr>
                <w:rFonts w:asciiTheme="minorHAnsi" w:hAnsiTheme="minorHAnsi"/>
                <w:bCs/>
                <w:sz w:val="18"/>
                <w:szCs w:val="21"/>
              </w:rPr>
              <w:t>PM</w:t>
            </w:r>
            <w:r w:rsidRPr="00C47745">
              <w:rPr>
                <w:rFonts w:asciiTheme="minorHAnsi" w:hAnsiTheme="minorHAnsi"/>
                <w:bCs/>
                <w:sz w:val="18"/>
                <w:szCs w:val="21"/>
                <w:vertAlign w:val="subscript"/>
              </w:rPr>
              <w:t>10</w:t>
            </w:r>
          </w:p>
        </w:tc>
        <w:tc>
          <w:tcPr>
            <w:tcW w:w="3337" w:type="dxa"/>
            <w:tcBorders>
              <w:top w:val="single" w:sz="4" w:space="0" w:color="BFBFBF" w:themeColor="background1" w:themeShade="BF"/>
              <w:left w:val="nil"/>
              <w:bottom w:val="single" w:sz="4" w:space="0" w:color="BFBFBF" w:themeColor="background1" w:themeShade="BF"/>
              <w:right w:val="nil"/>
            </w:tcBorders>
          </w:tcPr>
          <w:p w14:paraId="219CC922" w14:textId="77777777" w:rsidR="008873CE" w:rsidRPr="00BD4A6E" w:rsidRDefault="008873CE" w:rsidP="00C85545">
            <w:pPr>
              <w:spacing w:before="40" w:after="40"/>
              <w:jc w:val="center"/>
              <w:rPr>
                <w:rFonts w:asciiTheme="minorHAnsi" w:hAnsiTheme="minorHAnsi"/>
                <w:bCs/>
                <w:sz w:val="18"/>
                <w:szCs w:val="21"/>
              </w:rPr>
            </w:pPr>
            <w:r w:rsidRPr="00BD4A6E">
              <w:rPr>
                <w:rFonts w:asciiTheme="minorHAnsi" w:hAnsiTheme="minorHAnsi"/>
                <w:bCs/>
                <w:sz w:val="18"/>
                <w:szCs w:val="21"/>
              </w:rPr>
              <w:t>82 (exhaust)</w:t>
            </w:r>
          </w:p>
        </w:tc>
        <w:tc>
          <w:tcPr>
            <w:tcW w:w="2147" w:type="dxa"/>
            <w:tcBorders>
              <w:top w:val="single" w:sz="4" w:space="0" w:color="BFBFBF" w:themeColor="background1" w:themeShade="BF"/>
              <w:left w:val="nil"/>
              <w:bottom w:val="single" w:sz="4" w:space="0" w:color="BFBFBF" w:themeColor="background1" w:themeShade="BF"/>
              <w:right w:val="nil"/>
            </w:tcBorders>
          </w:tcPr>
          <w:p w14:paraId="16DCCFA2" w14:textId="77777777" w:rsidR="008873CE" w:rsidRPr="00BD4A6E" w:rsidRDefault="008873CE" w:rsidP="00C85545">
            <w:pPr>
              <w:spacing w:before="40" w:after="40"/>
              <w:jc w:val="center"/>
              <w:rPr>
                <w:rFonts w:asciiTheme="minorHAnsi" w:hAnsiTheme="minorHAnsi"/>
                <w:bCs/>
                <w:sz w:val="18"/>
                <w:szCs w:val="21"/>
              </w:rPr>
            </w:pPr>
            <w:r w:rsidRPr="00BD4A6E">
              <w:rPr>
                <w:rFonts w:asciiTheme="minorHAnsi" w:hAnsiTheme="minorHAnsi"/>
                <w:bCs/>
                <w:sz w:val="18"/>
                <w:szCs w:val="21"/>
              </w:rPr>
              <w:t>82</w:t>
            </w:r>
          </w:p>
        </w:tc>
        <w:tc>
          <w:tcPr>
            <w:tcW w:w="2029" w:type="dxa"/>
            <w:tcBorders>
              <w:top w:val="single" w:sz="4" w:space="0" w:color="BFBFBF" w:themeColor="background1" w:themeShade="BF"/>
              <w:left w:val="nil"/>
              <w:bottom w:val="single" w:sz="4" w:space="0" w:color="BFBFBF" w:themeColor="background1" w:themeShade="BF"/>
              <w:right w:val="nil"/>
            </w:tcBorders>
          </w:tcPr>
          <w:p w14:paraId="301628C2" w14:textId="77777777" w:rsidR="008873CE" w:rsidRPr="00BD4A6E" w:rsidRDefault="008873CE" w:rsidP="00C85545">
            <w:pPr>
              <w:spacing w:before="40" w:after="40"/>
              <w:jc w:val="center"/>
              <w:rPr>
                <w:rFonts w:asciiTheme="minorHAnsi" w:hAnsiTheme="minorHAnsi"/>
                <w:bCs/>
                <w:sz w:val="18"/>
                <w:szCs w:val="21"/>
              </w:rPr>
            </w:pPr>
            <w:r w:rsidRPr="00BD4A6E">
              <w:rPr>
                <w:rFonts w:asciiTheme="minorHAnsi" w:hAnsiTheme="minorHAnsi"/>
                <w:bCs/>
                <w:sz w:val="18"/>
                <w:szCs w:val="21"/>
              </w:rPr>
              <w:t>15</w:t>
            </w:r>
          </w:p>
        </w:tc>
      </w:tr>
      <w:tr w:rsidR="008873CE" w:rsidRPr="00C47745" w14:paraId="0B83EC1B" w14:textId="77777777" w:rsidTr="00C85545">
        <w:tc>
          <w:tcPr>
            <w:tcW w:w="1523" w:type="dxa"/>
            <w:tcBorders>
              <w:top w:val="single" w:sz="4" w:space="0" w:color="BFBFBF" w:themeColor="background1" w:themeShade="BF"/>
              <w:left w:val="nil"/>
              <w:bottom w:val="single" w:sz="4" w:space="0" w:color="BFBFBF" w:themeColor="background1" w:themeShade="BF"/>
              <w:right w:val="nil"/>
            </w:tcBorders>
          </w:tcPr>
          <w:p w14:paraId="2599EC80" w14:textId="77777777" w:rsidR="008873CE" w:rsidRPr="00C47745" w:rsidRDefault="008873CE" w:rsidP="00C85545">
            <w:pPr>
              <w:spacing w:before="40" w:after="40"/>
              <w:ind w:left="72"/>
              <w:rPr>
                <w:rFonts w:asciiTheme="minorHAnsi" w:hAnsiTheme="minorHAnsi"/>
                <w:bCs/>
                <w:sz w:val="18"/>
                <w:szCs w:val="21"/>
              </w:rPr>
            </w:pPr>
            <w:r w:rsidRPr="00C47745">
              <w:rPr>
                <w:rFonts w:asciiTheme="minorHAnsi" w:hAnsiTheme="minorHAnsi"/>
                <w:bCs/>
                <w:sz w:val="18"/>
                <w:szCs w:val="21"/>
              </w:rPr>
              <w:t>PM</w:t>
            </w:r>
            <w:r w:rsidRPr="00C47745">
              <w:rPr>
                <w:rFonts w:asciiTheme="minorHAnsi" w:hAnsiTheme="minorHAnsi"/>
                <w:bCs/>
                <w:sz w:val="18"/>
                <w:szCs w:val="21"/>
                <w:vertAlign w:val="subscript"/>
              </w:rPr>
              <w:t>2.5</w:t>
            </w:r>
          </w:p>
        </w:tc>
        <w:tc>
          <w:tcPr>
            <w:tcW w:w="3337" w:type="dxa"/>
            <w:tcBorders>
              <w:top w:val="single" w:sz="4" w:space="0" w:color="BFBFBF" w:themeColor="background1" w:themeShade="BF"/>
              <w:left w:val="nil"/>
              <w:bottom w:val="single" w:sz="4" w:space="0" w:color="BFBFBF" w:themeColor="background1" w:themeShade="BF"/>
              <w:right w:val="nil"/>
            </w:tcBorders>
          </w:tcPr>
          <w:p w14:paraId="1D12A1E0" w14:textId="77777777" w:rsidR="008873CE" w:rsidRPr="00BD4A6E" w:rsidRDefault="008873CE" w:rsidP="00C85545">
            <w:pPr>
              <w:spacing w:before="40" w:after="40"/>
              <w:jc w:val="center"/>
              <w:rPr>
                <w:rFonts w:asciiTheme="minorHAnsi" w:hAnsiTheme="minorHAnsi"/>
                <w:bCs/>
                <w:sz w:val="18"/>
                <w:szCs w:val="21"/>
              </w:rPr>
            </w:pPr>
            <w:r w:rsidRPr="00BD4A6E">
              <w:rPr>
                <w:rFonts w:asciiTheme="minorHAnsi" w:hAnsiTheme="minorHAnsi"/>
                <w:bCs/>
                <w:sz w:val="18"/>
                <w:szCs w:val="21"/>
              </w:rPr>
              <w:t>54 (exhaust)</w:t>
            </w:r>
          </w:p>
        </w:tc>
        <w:tc>
          <w:tcPr>
            <w:tcW w:w="2147" w:type="dxa"/>
            <w:tcBorders>
              <w:top w:val="single" w:sz="4" w:space="0" w:color="BFBFBF" w:themeColor="background1" w:themeShade="BF"/>
              <w:left w:val="nil"/>
              <w:bottom w:val="single" w:sz="4" w:space="0" w:color="BFBFBF" w:themeColor="background1" w:themeShade="BF"/>
              <w:right w:val="nil"/>
            </w:tcBorders>
          </w:tcPr>
          <w:p w14:paraId="6ED8CAC4" w14:textId="77777777" w:rsidR="008873CE" w:rsidRPr="00BD4A6E" w:rsidRDefault="008873CE" w:rsidP="00C85545">
            <w:pPr>
              <w:spacing w:before="40" w:after="40"/>
              <w:jc w:val="center"/>
              <w:rPr>
                <w:rFonts w:asciiTheme="minorHAnsi" w:hAnsiTheme="minorHAnsi"/>
                <w:bCs/>
                <w:sz w:val="18"/>
                <w:szCs w:val="21"/>
              </w:rPr>
            </w:pPr>
            <w:r w:rsidRPr="00BD4A6E">
              <w:rPr>
                <w:rFonts w:asciiTheme="minorHAnsi" w:hAnsiTheme="minorHAnsi"/>
                <w:bCs/>
                <w:sz w:val="18"/>
                <w:szCs w:val="21"/>
              </w:rPr>
              <w:t>54</w:t>
            </w:r>
          </w:p>
        </w:tc>
        <w:tc>
          <w:tcPr>
            <w:tcW w:w="2029" w:type="dxa"/>
            <w:tcBorders>
              <w:top w:val="single" w:sz="4" w:space="0" w:color="BFBFBF" w:themeColor="background1" w:themeShade="BF"/>
              <w:left w:val="nil"/>
              <w:bottom w:val="single" w:sz="4" w:space="0" w:color="BFBFBF" w:themeColor="background1" w:themeShade="BF"/>
              <w:right w:val="nil"/>
            </w:tcBorders>
          </w:tcPr>
          <w:p w14:paraId="0DE7AA7B" w14:textId="77777777" w:rsidR="008873CE" w:rsidRPr="00BD4A6E" w:rsidRDefault="008873CE" w:rsidP="00C85545">
            <w:pPr>
              <w:spacing w:before="40" w:after="40"/>
              <w:jc w:val="center"/>
              <w:rPr>
                <w:rFonts w:asciiTheme="minorHAnsi" w:hAnsiTheme="minorHAnsi"/>
                <w:bCs/>
                <w:sz w:val="18"/>
                <w:szCs w:val="21"/>
              </w:rPr>
            </w:pPr>
            <w:r w:rsidRPr="00BD4A6E">
              <w:rPr>
                <w:rFonts w:asciiTheme="minorHAnsi" w:hAnsiTheme="minorHAnsi"/>
                <w:bCs/>
                <w:sz w:val="18"/>
                <w:szCs w:val="21"/>
              </w:rPr>
              <w:t>10</w:t>
            </w:r>
          </w:p>
        </w:tc>
      </w:tr>
      <w:tr w:rsidR="008873CE" w:rsidRPr="00C47745" w14:paraId="4807406F" w14:textId="77777777" w:rsidTr="00C85545">
        <w:tc>
          <w:tcPr>
            <w:tcW w:w="1523" w:type="dxa"/>
            <w:tcBorders>
              <w:top w:val="single" w:sz="4" w:space="0" w:color="BFBFBF" w:themeColor="background1" w:themeShade="BF"/>
              <w:left w:val="nil"/>
              <w:bottom w:val="single" w:sz="4" w:space="0" w:color="auto"/>
              <w:right w:val="nil"/>
            </w:tcBorders>
          </w:tcPr>
          <w:p w14:paraId="5F057CDB" w14:textId="77777777" w:rsidR="008873CE" w:rsidRPr="00C47745" w:rsidRDefault="008873CE" w:rsidP="00C85545">
            <w:pPr>
              <w:spacing w:before="40" w:after="40"/>
              <w:ind w:left="72"/>
              <w:rPr>
                <w:rFonts w:asciiTheme="minorHAnsi" w:hAnsiTheme="minorHAnsi"/>
                <w:bCs/>
                <w:sz w:val="18"/>
                <w:szCs w:val="21"/>
              </w:rPr>
            </w:pPr>
            <w:r w:rsidRPr="00C47745">
              <w:rPr>
                <w:rFonts w:asciiTheme="minorHAnsi" w:hAnsiTheme="minorHAnsi"/>
                <w:bCs/>
                <w:sz w:val="18"/>
                <w:szCs w:val="21"/>
              </w:rPr>
              <w:t>Fugitive Dust</w:t>
            </w:r>
          </w:p>
        </w:tc>
        <w:tc>
          <w:tcPr>
            <w:tcW w:w="3337" w:type="dxa"/>
            <w:tcBorders>
              <w:top w:val="single" w:sz="4" w:space="0" w:color="BFBFBF" w:themeColor="background1" w:themeShade="BF"/>
              <w:left w:val="nil"/>
              <w:bottom w:val="single" w:sz="4" w:space="0" w:color="auto"/>
              <w:right w:val="nil"/>
            </w:tcBorders>
          </w:tcPr>
          <w:p w14:paraId="7093CE79" w14:textId="77777777" w:rsidR="008873CE" w:rsidRPr="00BD4A6E" w:rsidRDefault="008873CE" w:rsidP="00C85545">
            <w:pPr>
              <w:spacing w:before="40" w:after="40"/>
              <w:jc w:val="center"/>
              <w:rPr>
                <w:rFonts w:asciiTheme="minorHAnsi" w:hAnsiTheme="minorHAnsi"/>
                <w:bCs/>
                <w:sz w:val="18"/>
                <w:szCs w:val="21"/>
              </w:rPr>
            </w:pPr>
            <w:r w:rsidRPr="00BD4A6E">
              <w:rPr>
                <w:rFonts w:asciiTheme="minorHAnsi" w:hAnsiTheme="minorHAnsi"/>
                <w:bCs/>
                <w:sz w:val="18"/>
                <w:szCs w:val="21"/>
              </w:rPr>
              <w:t>Construction Dust Ordinance or</w:t>
            </w:r>
            <w:r w:rsidRPr="00BD4A6E">
              <w:rPr>
                <w:rFonts w:asciiTheme="minorHAnsi" w:hAnsiTheme="minorHAnsi"/>
                <w:bCs/>
                <w:sz w:val="18"/>
                <w:szCs w:val="21"/>
              </w:rPr>
              <w:br/>
              <w:t>other Best Management Practices</w:t>
            </w:r>
          </w:p>
        </w:tc>
        <w:tc>
          <w:tcPr>
            <w:tcW w:w="4176" w:type="dxa"/>
            <w:gridSpan w:val="2"/>
            <w:tcBorders>
              <w:top w:val="single" w:sz="4" w:space="0" w:color="BFBFBF" w:themeColor="background1" w:themeShade="BF"/>
              <w:left w:val="nil"/>
              <w:bottom w:val="single" w:sz="4" w:space="0" w:color="auto"/>
              <w:right w:val="nil"/>
            </w:tcBorders>
          </w:tcPr>
          <w:p w14:paraId="7164EDE4" w14:textId="77777777" w:rsidR="008873CE" w:rsidRPr="00BD4A6E" w:rsidRDefault="008873CE" w:rsidP="00C85545">
            <w:pPr>
              <w:spacing w:before="40" w:after="40"/>
              <w:jc w:val="center"/>
              <w:rPr>
                <w:rFonts w:asciiTheme="minorHAnsi" w:hAnsiTheme="minorHAnsi"/>
                <w:bCs/>
                <w:sz w:val="18"/>
                <w:szCs w:val="21"/>
              </w:rPr>
            </w:pPr>
            <w:r w:rsidRPr="00BD4A6E">
              <w:rPr>
                <w:rFonts w:asciiTheme="minorHAnsi" w:hAnsiTheme="minorHAnsi"/>
                <w:bCs/>
                <w:sz w:val="18"/>
                <w:szCs w:val="21"/>
              </w:rPr>
              <w:t>Not Applicable</w:t>
            </w:r>
          </w:p>
        </w:tc>
      </w:tr>
      <w:tr w:rsidR="008873CE" w:rsidRPr="00E5753A" w14:paraId="7D89E445" w14:textId="77777777" w:rsidTr="00C85545">
        <w:tc>
          <w:tcPr>
            <w:tcW w:w="9036" w:type="dxa"/>
            <w:gridSpan w:val="4"/>
            <w:tcBorders>
              <w:top w:val="single" w:sz="4" w:space="0" w:color="auto"/>
              <w:left w:val="nil"/>
              <w:bottom w:val="single" w:sz="4" w:space="0" w:color="auto"/>
              <w:right w:val="nil"/>
            </w:tcBorders>
          </w:tcPr>
          <w:p w14:paraId="593FBEDC" w14:textId="77777777" w:rsidR="008873CE" w:rsidRPr="00C47745" w:rsidRDefault="008873CE" w:rsidP="007D7D23">
            <w:pPr>
              <w:spacing w:before="60" w:after="60"/>
              <w:ind w:left="72"/>
              <w:rPr>
                <w:rFonts w:asciiTheme="minorHAnsi" w:hAnsiTheme="minorHAnsi"/>
                <w:bCs/>
                <w:sz w:val="16"/>
                <w:szCs w:val="16"/>
              </w:rPr>
            </w:pPr>
            <w:r w:rsidRPr="00C47745">
              <w:rPr>
                <w:rFonts w:asciiTheme="minorHAnsi" w:hAnsiTheme="minorHAnsi"/>
                <w:bCs/>
                <w:sz w:val="16"/>
                <w:szCs w:val="16"/>
              </w:rPr>
              <w:t>Source: BAAQMD 2017b</w:t>
            </w:r>
          </w:p>
        </w:tc>
      </w:tr>
    </w:tbl>
    <w:p w14:paraId="26D41729" w14:textId="32005D0D" w:rsidR="00A25E94" w:rsidRPr="006E553E" w:rsidRDefault="008873CE" w:rsidP="0064015D">
      <w:pPr>
        <w:pStyle w:val="bodyafter"/>
      </w:pPr>
      <w:bookmarkStart w:id="154" w:name="_Ref458432244"/>
      <w:bookmarkStart w:id="155" w:name="_Toc462391491"/>
      <w:r w:rsidRPr="00162D3D">
        <w:rPr>
          <w:rStyle w:val="BodyTextChar0"/>
          <w:iCs/>
        </w:rPr>
        <w:t xml:space="preserve">BAAQMD does not have quantitative thresholds for fugitive dust emissions during construction. Instead, BAAQMD recommends </w:t>
      </w:r>
      <w:r w:rsidR="0035394B">
        <w:rPr>
          <w:rStyle w:val="BodyTextChar0"/>
          <w:iCs/>
        </w:rPr>
        <w:t xml:space="preserve">that the following </w:t>
      </w:r>
      <w:r w:rsidRPr="00162D3D">
        <w:rPr>
          <w:rStyle w:val="BodyTextChar0"/>
          <w:iCs/>
        </w:rPr>
        <w:t>Best Management Practices (BMPs) be implemented to reduce fugitive dust emissions</w:t>
      </w:r>
      <w:r w:rsidR="00275B75">
        <w:rPr>
          <w:rStyle w:val="BodyTextChar0"/>
          <w:iCs/>
        </w:rPr>
        <w:t xml:space="preserve">. </w:t>
      </w:r>
    </w:p>
    <w:p w14:paraId="4CB6EC14" w14:textId="14E503C8" w:rsidR="002E498C" w:rsidRDefault="00F441B7" w:rsidP="008E41C5">
      <w:pPr>
        <w:pStyle w:val="Heading6"/>
      </w:pPr>
      <w:r>
        <w:t>BAAQMD Basic Construction Mitigation Measures</w:t>
      </w:r>
    </w:p>
    <w:p w14:paraId="18C0E109" w14:textId="0619739A" w:rsidR="008E41C5" w:rsidRPr="008E41C5" w:rsidRDefault="008E41C5" w:rsidP="00AC1C51">
      <w:pPr>
        <w:pStyle w:val="body0"/>
      </w:pPr>
      <w:r w:rsidRPr="008E41C5">
        <w:t>The applicant shall require all construction</w:t>
      </w:r>
      <w:r>
        <w:t xml:space="preserve"> </w:t>
      </w:r>
      <w:r w:rsidRPr="008E41C5">
        <w:t xml:space="preserve">contractors to implement the basic construction mitigation measures recommended by </w:t>
      </w:r>
      <w:r>
        <w:t xml:space="preserve">BAAQMD </w:t>
      </w:r>
      <w:r w:rsidRPr="008E41C5">
        <w:t>to reduce fugitive dust emissions. Emission</w:t>
      </w:r>
      <w:r>
        <w:t xml:space="preserve"> </w:t>
      </w:r>
      <w:r w:rsidRPr="008E41C5">
        <w:t>reduction measures</w:t>
      </w:r>
      <w:r>
        <w:t xml:space="preserve"> </w:t>
      </w:r>
      <w:r w:rsidRPr="008E41C5">
        <w:t>will include, at a minimum, the following measures:</w:t>
      </w:r>
    </w:p>
    <w:p w14:paraId="64C5FFCB" w14:textId="77777777" w:rsidR="008873CE" w:rsidRPr="006F0AEA" w:rsidRDefault="008873CE" w:rsidP="007D7D23">
      <w:pPr>
        <w:pStyle w:val="BulletListNumbered"/>
        <w:numPr>
          <w:ilvl w:val="0"/>
          <w:numId w:val="38"/>
        </w:numPr>
        <w:ind w:left="360"/>
      </w:pPr>
      <w:r w:rsidRPr="006F0AEA">
        <w:t>All exposed surfaces (e.g., parking areas, staging areas, soil piles, graded areas, and unpaved access roads) shall be watered two times per day.</w:t>
      </w:r>
    </w:p>
    <w:p w14:paraId="1AF2FC25" w14:textId="77777777" w:rsidR="008873CE" w:rsidRPr="006F0AEA" w:rsidRDefault="008873CE" w:rsidP="007D7D23">
      <w:pPr>
        <w:pStyle w:val="BulletListNumbered"/>
        <w:ind w:left="360"/>
      </w:pPr>
      <w:r w:rsidRPr="006F0AEA">
        <w:t>All haul trucks transporting soil, sand, or other loose material off-site shall be covered or maintain at least two feet of freeboard.</w:t>
      </w:r>
    </w:p>
    <w:p w14:paraId="76BFD268" w14:textId="77777777" w:rsidR="008873CE" w:rsidRPr="006F0AEA" w:rsidRDefault="008873CE" w:rsidP="007D7D23">
      <w:pPr>
        <w:pStyle w:val="BulletListNumbered"/>
        <w:ind w:left="360"/>
      </w:pPr>
      <w:r w:rsidRPr="006F0AEA">
        <w:t>All visible mud or dirt track-out onto adjacent public roads shall be removed using wet power vacuum street sweepers at least once per day. The use of dry power sweeping is prohibited.</w:t>
      </w:r>
    </w:p>
    <w:p w14:paraId="37F7DE1C" w14:textId="77777777" w:rsidR="008873CE" w:rsidRPr="006F0AEA" w:rsidRDefault="008873CE" w:rsidP="007D7D23">
      <w:pPr>
        <w:pStyle w:val="BulletListNumbered"/>
        <w:ind w:left="360"/>
      </w:pPr>
      <w:r w:rsidRPr="006F0AEA">
        <w:t>All vehicle speeds on unpaved roads shall be limited to 15 mph.</w:t>
      </w:r>
    </w:p>
    <w:p w14:paraId="3B10BB9A" w14:textId="77777777" w:rsidR="008873CE" w:rsidRPr="006F0AEA" w:rsidRDefault="008873CE" w:rsidP="007D7D23">
      <w:pPr>
        <w:pStyle w:val="BulletListNumbered"/>
        <w:ind w:left="360"/>
      </w:pPr>
      <w:r w:rsidRPr="006F0AEA">
        <w:t>Enclose, cover, water daily or apply non-toxic soil binders to exposed stockpiles (dirt, sand, etc.)</w:t>
      </w:r>
    </w:p>
    <w:p w14:paraId="0BF9DE36" w14:textId="77777777" w:rsidR="008873CE" w:rsidRPr="006F0AEA" w:rsidRDefault="008873CE" w:rsidP="007D7D23">
      <w:pPr>
        <w:pStyle w:val="BulletListNumbered"/>
        <w:ind w:left="360"/>
      </w:pPr>
      <w:r w:rsidRPr="006F0AEA">
        <w:t>All roadways, driveways, and sidewalks to be paved shall be completed as soon as possible. Building pads shall be laid as soon as possible after grading unless seeding or soil binders are used.</w:t>
      </w:r>
    </w:p>
    <w:p w14:paraId="0BCE7A3D" w14:textId="77777777" w:rsidR="008873CE" w:rsidRPr="006F0AEA" w:rsidRDefault="008873CE" w:rsidP="007D7D23">
      <w:pPr>
        <w:pStyle w:val="BulletListNumbered"/>
        <w:ind w:left="360"/>
      </w:pPr>
      <w:r w:rsidRPr="006F0AEA">
        <w:t>Install sandbags or other erosion control measures to prevent silt runoff to public roadways.</w:t>
      </w:r>
    </w:p>
    <w:p w14:paraId="0B34279E" w14:textId="77777777" w:rsidR="008873CE" w:rsidRPr="006F0AEA" w:rsidRDefault="008873CE" w:rsidP="007D7D23">
      <w:pPr>
        <w:pStyle w:val="BulletListNumbered"/>
        <w:ind w:left="360"/>
      </w:pPr>
      <w:r w:rsidRPr="006F0AEA">
        <w:t>Idling times shall be minimized either by shutting equipment off when not in use or reducing the maximum idling time to 5 minutes (as required by the California airborne toxics control measure Title 13, Section 2485 of California Code of Regulations). Clear signage shall be provided for construction workers at all access points.</w:t>
      </w:r>
    </w:p>
    <w:p w14:paraId="6AE08760" w14:textId="77777777" w:rsidR="008873CE" w:rsidRPr="006F0AEA" w:rsidRDefault="008873CE" w:rsidP="007D7D23">
      <w:pPr>
        <w:pStyle w:val="BulletListNumbered"/>
        <w:ind w:left="360"/>
      </w:pPr>
      <w:r w:rsidRPr="006F0AEA">
        <w:t>All construction equipment shall be maintained and properly tuned in accordance with manufacturer’s specifications. All equipment shall be checked by a certified visible emissions evaluator.</w:t>
      </w:r>
    </w:p>
    <w:p w14:paraId="42B669CE" w14:textId="77777777" w:rsidR="008873CE" w:rsidRPr="006F0AEA" w:rsidRDefault="008873CE" w:rsidP="007D7D23">
      <w:pPr>
        <w:pStyle w:val="BulletListNumbered"/>
        <w:ind w:left="360"/>
      </w:pPr>
      <w:r w:rsidRPr="006F0AEA">
        <w:t>Post a publicly visible sign with the telephone number and person to contact at the lead agency regarding dust complaints. This person shall respond and take corrective action within 48 hours. The air district’s phone number shall also be visible to ensure compliance with applicable regulations.</w:t>
      </w:r>
    </w:p>
    <w:p w14:paraId="6B05EE75" w14:textId="77777777" w:rsidR="008873CE" w:rsidRPr="000A23CE" w:rsidRDefault="008873CE" w:rsidP="008873CE">
      <w:pPr>
        <w:pStyle w:val="bodyafter"/>
        <w:rPr>
          <w:noProof/>
        </w:rPr>
      </w:pPr>
      <w:r w:rsidRPr="000A23CE">
        <w:rPr>
          <w:noProof/>
        </w:rPr>
        <w:lastRenderedPageBreak/>
        <w:t xml:space="preserve">In the absence of a qualified Community Risk Reduction Plan, BAAQMD has established the following </w:t>
      </w:r>
      <w:r w:rsidRPr="000A23CE">
        <w:rPr>
          <w:i/>
          <w:noProof/>
        </w:rPr>
        <w:t>Thresholds of Significance</w:t>
      </w:r>
      <w:r w:rsidRPr="000A23CE">
        <w:rPr>
          <w:noProof/>
        </w:rPr>
        <w:t xml:space="preserve"> for local community risks and hazards associated with TACs and PM</w:t>
      </w:r>
      <w:r w:rsidRPr="000A23CE">
        <w:rPr>
          <w:noProof/>
          <w:vertAlign w:val="subscript"/>
        </w:rPr>
        <w:t xml:space="preserve">2.5 </w:t>
      </w:r>
      <w:r w:rsidRPr="000A23CE">
        <w:rPr>
          <w:noProof/>
        </w:rPr>
        <w:t>for assessing individual source impacts at a local level. Impacts would be significant if:</w:t>
      </w:r>
    </w:p>
    <w:p w14:paraId="5D99EA8D" w14:textId="77777777" w:rsidR="008873CE" w:rsidRPr="000A23CE" w:rsidRDefault="008873CE" w:rsidP="00275B75">
      <w:pPr>
        <w:pStyle w:val="BulletListLevel1"/>
      </w:pPr>
      <w:r w:rsidRPr="000A23CE">
        <w:t>The project would result in an increased cancer risk of &gt; 10 in one million</w:t>
      </w:r>
    </w:p>
    <w:p w14:paraId="74C7FA5D" w14:textId="77777777" w:rsidR="008873CE" w:rsidRPr="000A23CE" w:rsidRDefault="008873CE" w:rsidP="00275B75">
      <w:pPr>
        <w:pStyle w:val="BulletListLevel1"/>
      </w:pPr>
      <w:r w:rsidRPr="000A23CE">
        <w:t xml:space="preserve">The project would result in an increased non-cancer (i.e., Chronic or Acute) risk of &gt; 1.0 Hazard Index </w:t>
      </w:r>
    </w:p>
    <w:p w14:paraId="36DCA524" w14:textId="77777777" w:rsidR="008873CE" w:rsidRPr="000A23CE" w:rsidRDefault="008873CE" w:rsidP="00275B75">
      <w:pPr>
        <w:pStyle w:val="BulletListLevel1"/>
      </w:pPr>
      <w:r w:rsidRPr="000A23CE">
        <w:t>The project would result in an ambient PM</w:t>
      </w:r>
      <w:r w:rsidRPr="000A23CE">
        <w:rPr>
          <w:vertAlign w:val="subscript"/>
        </w:rPr>
        <w:t xml:space="preserve">2.5 </w:t>
      </w:r>
      <w:r w:rsidRPr="000A23CE">
        <w:t xml:space="preserve">concentration increase of &gt; 0.3 </w:t>
      </w:r>
      <w:r w:rsidRPr="000A23CE">
        <w:rPr>
          <w:rFonts w:cstheme="minorHAnsi"/>
        </w:rPr>
        <w:t>µ</w:t>
      </w:r>
      <w:r w:rsidRPr="000A23CE">
        <w:t>g/m</w:t>
      </w:r>
      <w:r w:rsidRPr="000A23CE">
        <w:rPr>
          <w:vertAlign w:val="superscript"/>
        </w:rPr>
        <w:t>3</w:t>
      </w:r>
      <w:r w:rsidRPr="000A23CE">
        <w:t xml:space="preserve"> annual average </w:t>
      </w:r>
    </w:p>
    <w:p w14:paraId="49B82A86" w14:textId="77777777" w:rsidR="008873CE" w:rsidRPr="000A23CE" w:rsidRDefault="008873CE" w:rsidP="008873CE">
      <w:pPr>
        <w:pStyle w:val="bodyafter"/>
      </w:pPr>
      <w:r w:rsidRPr="000A23CE">
        <w:t xml:space="preserve">A project would be considered to have a cumulatively considerable impact if the aggregate total of current and proposed TAC sources within a 1,000 feet radius of the project fence-line in addition to the project would exceed the </w:t>
      </w:r>
      <w:r w:rsidRPr="000A23CE">
        <w:rPr>
          <w:i/>
          <w:iCs/>
        </w:rPr>
        <w:t xml:space="preserve">Cumulative </w:t>
      </w:r>
      <w:r w:rsidRPr="000A23CE">
        <w:rPr>
          <w:i/>
        </w:rPr>
        <w:t>Thresholds of Significance</w:t>
      </w:r>
      <w:r w:rsidRPr="000A23CE">
        <w:t xml:space="preserve">. Impacts would be significant if: </w:t>
      </w:r>
    </w:p>
    <w:p w14:paraId="3944255B" w14:textId="77777777" w:rsidR="008873CE" w:rsidRPr="000A23CE" w:rsidRDefault="008873CE" w:rsidP="00275B75">
      <w:pPr>
        <w:pStyle w:val="BulletListLevel1"/>
      </w:pPr>
      <w:r w:rsidRPr="000A23CE">
        <w:t>The project would result in an increased cancer risk of &gt; 100 in one million</w:t>
      </w:r>
    </w:p>
    <w:p w14:paraId="0659E343" w14:textId="77777777" w:rsidR="008873CE" w:rsidRPr="000A23CE" w:rsidRDefault="008873CE" w:rsidP="00275B75">
      <w:pPr>
        <w:pStyle w:val="BulletListLevel1"/>
      </w:pPr>
      <w:r w:rsidRPr="000A23CE">
        <w:t xml:space="preserve">The project would result in an increased non-cancer (i.e., Chronic or Acute) risk of &gt; 10 Hazard Index </w:t>
      </w:r>
    </w:p>
    <w:p w14:paraId="41703497" w14:textId="77777777" w:rsidR="008873CE" w:rsidRPr="000A23CE" w:rsidRDefault="008873CE" w:rsidP="00275B75">
      <w:pPr>
        <w:pStyle w:val="BulletListLevel1"/>
      </w:pPr>
      <w:r w:rsidRPr="000A23CE">
        <w:t>The project would result in an ambient PM</w:t>
      </w:r>
      <w:r w:rsidRPr="000A23CE">
        <w:rPr>
          <w:vertAlign w:val="subscript"/>
        </w:rPr>
        <w:t xml:space="preserve">2.5 </w:t>
      </w:r>
      <w:r w:rsidRPr="000A23CE">
        <w:t xml:space="preserve">concentration increase of &gt; 0.8 </w:t>
      </w:r>
      <w:r w:rsidRPr="000A23CE">
        <w:rPr>
          <w:rFonts w:cstheme="minorHAnsi"/>
        </w:rPr>
        <w:t>µ</w:t>
      </w:r>
      <w:r w:rsidRPr="000A23CE">
        <w:t>g/m</w:t>
      </w:r>
      <w:r w:rsidRPr="000A23CE">
        <w:rPr>
          <w:vertAlign w:val="superscript"/>
        </w:rPr>
        <w:t>3</w:t>
      </w:r>
      <w:r w:rsidRPr="000A23CE">
        <w:t xml:space="preserve"> annual average </w:t>
      </w:r>
    </w:p>
    <w:p w14:paraId="089E67FD" w14:textId="77777777" w:rsidR="008873CE" w:rsidRPr="000A23CE" w:rsidRDefault="008873CE" w:rsidP="008873CE">
      <w:pPr>
        <w:pStyle w:val="bodyafter"/>
      </w:pPr>
      <w:r w:rsidRPr="000A23CE">
        <w:t xml:space="preserve">Excess cancer risks are defined as those occurring in excess of or above and beyond those risks that would normally be associated with a location or activity if toxic pollutants were not present. Non-carcinogenic health effects are expressed as a hazard index, which is the ratio of expected exposure levels to an acceptable reference exposure level. </w:t>
      </w:r>
    </w:p>
    <w:p w14:paraId="4008144D" w14:textId="42FE29A5" w:rsidR="008873CE" w:rsidRDefault="008873CE" w:rsidP="008873CE">
      <w:pPr>
        <w:pStyle w:val="BodyText0"/>
      </w:pPr>
      <w:r w:rsidRPr="000A23CE">
        <w:t>BAAQMD defines sensitive receptors as facilities or land uses that include members of the population that are particularly sensitive to the effects of air pollutants, such as children, the elderly, and the chronically ill. These facilities include residences, school playgrounds, child-care centers, retirement homes, and convalescent homes</w:t>
      </w:r>
      <w:r>
        <w:t xml:space="preserve"> (BAAQMD 2017b)</w:t>
      </w:r>
      <w:r w:rsidRPr="000A23CE">
        <w:t>.</w:t>
      </w:r>
    </w:p>
    <w:p w14:paraId="2B9072CA" w14:textId="3B9451AD" w:rsidR="00BB5E91" w:rsidRDefault="00BB5E91" w:rsidP="004C7545">
      <w:pPr>
        <w:pStyle w:val="bodyafter"/>
      </w:pPr>
      <w:r>
        <w:t xml:space="preserve">BAAQMD establishes operational screening criteria for criteria air pollutants and precursors. If a project meets the screening criteria outlined in Table 3-1 of the BAAQMD CEQA Guidelines (BAAQMD 2017b), the project would not result in the generation of operational-related criteria air pollutants and/or precursors that exceed the emissions thresholds shown in </w:t>
      </w:r>
      <w:r>
        <w:fldChar w:fldCharType="begin"/>
      </w:r>
      <w:r>
        <w:instrText xml:space="preserve"> REF _Ref90299470 \h </w:instrText>
      </w:r>
      <w:r>
        <w:fldChar w:fldCharType="separate"/>
      </w:r>
      <w:r w:rsidR="00FA55F1" w:rsidRPr="00C47745">
        <w:t xml:space="preserve">Table </w:t>
      </w:r>
      <w:r w:rsidR="00FA55F1">
        <w:rPr>
          <w:noProof/>
        </w:rPr>
        <w:t>6</w:t>
      </w:r>
      <w:r>
        <w:fldChar w:fldCharType="end"/>
      </w:r>
      <w:r>
        <w:t xml:space="preserve"> above. As described in the BAAQMD CEQA Guidelines, general office projects that are less than 346,000 square feet meet the screening criteria for operational air pollutants. The proposed office structure would be approximately 20,000 square feet; therefore, a detailed air quality analysis and quantification of operational project-generated air pollutants is not required. The following analysis of potential project impacts of operational air quality is provided for informational purposes only. </w:t>
      </w:r>
    </w:p>
    <w:p w14:paraId="10FF9B14" w14:textId="77777777" w:rsidR="008873CE" w:rsidRPr="003B68DE" w:rsidRDefault="008873CE" w:rsidP="008873CE">
      <w:pPr>
        <w:pStyle w:val="Heading5"/>
      </w:pPr>
      <w:r w:rsidRPr="003B68DE">
        <w:t>Methodology</w:t>
      </w:r>
    </w:p>
    <w:p w14:paraId="38ECFE38" w14:textId="77777777" w:rsidR="008873CE" w:rsidRPr="003B68DE" w:rsidRDefault="008873CE" w:rsidP="007D7D23">
      <w:pPr>
        <w:pStyle w:val="BodyText"/>
      </w:pPr>
      <w:r w:rsidRPr="003B68DE">
        <w:t xml:space="preserve">The project’s construction and operational emissions were estimated using the California Emissions Estimator Model (CalEEMod), version 2020.4.0. CalEEMod uses project-specific information including the project’s land uses, square footages for different uses (e.g., </w:t>
      </w:r>
      <w:r>
        <w:t>office building, parking lot,</w:t>
      </w:r>
      <w:r w:rsidRPr="003B68DE">
        <w:t xml:space="preserve"> </w:t>
      </w:r>
      <w:r>
        <w:t>and landscaped area</w:t>
      </w:r>
      <w:r w:rsidRPr="003B68DE">
        <w:t xml:space="preserve">), and location, to model a project’s construction and operational emissions. Calculations are included in </w:t>
      </w:r>
      <w:r w:rsidRPr="00BD4A6E">
        <w:t>Appendix AQ.</w:t>
      </w:r>
      <w:r w:rsidRPr="003B68DE">
        <w:t xml:space="preserve"> </w:t>
      </w:r>
    </w:p>
    <w:p w14:paraId="76E18DC5" w14:textId="3053F68D" w:rsidR="008873CE" w:rsidRPr="003B68DE" w:rsidRDefault="008873CE" w:rsidP="007D7D23">
      <w:pPr>
        <w:pStyle w:val="BodyText"/>
      </w:pPr>
      <w:r w:rsidRPr="003B68DE">
        <w:t xml:space="preserve">Construction emissions modeled include emissions generated by construction equipment used on site and emissions generated by vehicle trips associated with construction, such as workers and </w:t>
      </w:r>
      <w:r w:rsidRPr="003B68DE">
        <w:lastRenderedPageBreak/>
        <w:t xml:space="preserve">vendor trips. Project construction was analyzed based on the applicant-provided information regarding the construction schedule. Standardized assumptions were used where project-specific information was unknown. This analysis also includes all applicable regulatory standards the project </w:t>
      </w:r>
      <w:r w:rsidR="00985F82">
        <w:t>would be</w:t>
      </w:r>
      <w:r w:rsidRPr="003B68DE">
        <w:t xml:space="preserve"> required to comply with. In particular, the project would comply with the 2019 Building Energy Efficiency Standards (Energy Code), CalGreen, the City of Mountain View’s 2030 General Plan, and BAAQMD’s rules and regulations. Specifically, the project would comply with BAAQMD Regulation </w:t>
      </w:r>
      <w:r>
        <w:t>8</w:t>
      </w:r>
      <w:r w:rsidRPr="003B68DE">
        <w:t>, Rule 3</w:t>
      </w:r>
      <w:r>
        <w:t>.</w:t>
      </w:r>
      <w:r w:rsidRPr="003B68DE">
        <w:t xml:space="preserve"> </w:t>
      </w:r>
    </w:p>
    <w:p w14:paraId="4608C031" w14:textId="153EC950" w:rsidR="008873CE" w:rsidRPr="003B68DE" w:rsidRDefault="008873CE" w:rsidP="007D7D23">
      <w:pPr>
        <w:pStyle w:val="BodyText"/>
        <w:rPr>
          <w:rFonts w:eastAsia="Calibri"/>
        </w:rPr>
      </w:pPr>
      <w:r w:rsidRPr="003B68DE">
        <w:t xml:space="preserve">Operational emissions modeled include mobile source emissions (i.e., vehicle emissions), and area source emissions. Mobile source emissions are generated by vehicle trips to and from the project site. </w:t>
      </w:r>
      <w:bookmarkStart w:id="156" w:name="_Hlk36794557"/>
      <w:r w:rsidRPr="003B68DE">
        <w:t xml:space="preserve">The project’s trip generation rates are provided in the transportation analysis </w:t>
      </w:r>
      <w:r>
        <w:t xml:space="preserve">(Appendix TDM) </w:t>
      </w:r>
      <w:r w:rsidRPr="003B68DE">
        <w:t xml:space="preserve">prepared </w:t>
      </w:r>
      <w:r w:rsidRPr="000E7FF8">
        <w:t xml:space="preserve">by </w:t>
      </w:r>
      <w:r>
        <w:t>Hexagon Transportation Consultants, Inc. The project trip generation rates were based on</w:t>
      </w:r>
      <w:r w:rsidRPr="000E7FF8">
        <w:t xml:space="preserve"> the Institute of Transportation Engineers (ITE), </w:t>
      </w:r>
      <w:r w:rsidRPr="000E7FF8">
        <w:rPr>
          <w:i/>
          <w:iCs/>
        </w:rPr>
        <w:t>Trip Generation Manual, 10</w:t>
      </w:r>
      <w:r w:rsidRPr="000E7FF8">
        <w:rPr>
          <w:i/>
          <w:iCs/>
          <w:vertAlign w:val="superscript"/>
        </w:rPr>
        <w:t>th</w:t>
      </w:r>
      <w:r w:rsidRPr="000E7FF8">
        <w:rPr>
          <w:i/>
          <w:iCs/>
        </w:rPr>
        <w:t xml:space="preserve"> Edition</w:t>
      </w:r>
      <w:r w:rsidRPr="000E7FF8">
        <w:t xml:space="preserve">. </w:t>
      </w:r>
      <w:bookmarkEnd w:id="156"/>
      <w:r w:rsidRPr="008E16DB">
        <w:t>Area</w:t>
      </w:r>
      <w:r w:rsidRPr="003B68DE">
        <w:t xml:space="preserve"> source emissions are generated by landscape maintenance equipment, consumer products and architectural coatings. </w:t>
      </w:r>
      <w:r>
        <w:t>There would be no air quality emissions associated with energy sources since the project would not utilize natural gas</w:t>
      </w:r>
      <w:r w:rsidR="00275B75">
        <w:t xml:space="preserve">. </w:t>
      </w:r>
    </w:p>
    <w:bookmarkEnd w:id="154"/>
    <w:bookmarkEnd w:id="155"/>
    <w:p w14:paraId="58C1FAEE" w14:textId="77777777" w:rsidR="008873CE" w:rsidRPr="003B68DE" w:rsidRDefault="008873CE" w:rsidP="008873CE">
      <w:pPr>
        <w:pStyle w:val="Heading5"/>
      </w:pPr>
      <w:r w:rsidRPr="003B68DE">
        <w:t>Impact Analysis</w:t>
      </w:r>
    </w:p>
    <w:p w14:paraId="24C46237" w14:textId="77777777" w:rsidR="008873CE" w:rsidRPr="003B68DE" w:rsidRDefault="008873CE" w:rsidP="008873CE">
      <w:pPr>
        <w:pStyle w:val="BulletLtrManAFTER"/>
      </w:pPr>
      <w:r w:rsidRPr="003B68DE">
        <w:t>a.</w:t>
      </w:r>
      <w:r w:rsidRPr="003B68DE">
        <w:tab/>
        <w:t>Would the project conflict with or obstruct implementation of the applicable air quality plan?</w:t>
      </w:r>
    </w:p>
    <w:p w14:paraId="1CF8A516" w14:textId="77777777" w:rsidR="008873CE" w:rsidRPr="00402C6C" w:rsidRDefault="008873CE" w:rsidP="007D7D23">
      <w:pPr>
        <w:pStyle w:val="BodyText"/>
      </w:pPr>
      <w:r w:rsidRPr="003B68DE">
        <w:t xml:space="preserve">The California Clean Air Act requires that air districts create a Clean Air Plan that describes how the jurisdiction will meet air quality standards. The most recently adopted applicable air quality plan is BAAQMD’s 2017 Plan. As described in the </w:t>
      </w:r>
      <w:r w:rsidRPr="003B68DE">
        <w:rPr>
          <w:i/>
          <w:iCs/>
        </w:rPr>
        <w:t xml:space="preserve">Air Quality Management </w:t>
      </w:r>
      <w:r w:rsidRPr="003B68DE">
        <w:t>Section, the 2017 Plan updates the most recent Bay Area ozone plan, the 2010 Clean Air Plan</w:t>
      </w:r>
      <w:r>
        <w:t xml:space="preserve">. </w:t>
      </w:r>
      <w:r w:rsidRPr="00402C6C">
        <w:t xml:space="preserve">Pursuant to air quality planning requirements, the 2017 control strategy includes all feasible measures to reduce emissions of </w:t>
      </w:r>
      <w:r>
        <w:t>ozone</w:t>
      </w:r>
      <w:r w:rsidRPr="00402C6C">
        <w:rPr>
          <w:vertAlign w:val="superscript"/>
        </w:rPr>
        <w:t xml:space="preserve"> </w:t>
      </w:r>
      <w:r w:rsidRPr="00402C6C">
        <w:t>precursors – ROG and NO</w:t>
      </w:r>
      <w:r w:rsidRPr="00402C6C">
        <w:rPr>
          <w:vertAlign w:val="subscript"/>
        </w:rPr>
        <w:t xml:space="preserve">x </w:t>
      </w:r>
      <w:r w:rsidRPr="00402C6C">
        <w:t xml:space="preserve">– and reduce transport of </w:t>
      </w:r>
      <w:r>
        <w:t>ozone</w:t>
      </w:r>
      <w:r w:rsidRPr="00402C6C">
        <w:rPr>
          <w:vertAlign w:val="subscript"/>
        </w:rPr>
        <w:t xml:space="preserve"> </w:t>
      </w:r>
      <w:r w:rsidRPr="00402C6C">
        <w:t>and its precursors to neighboring air basins. The 2017 Plan builds upon and enhances BAAQMD’s efforts to reduce emissions of fine particulate matter and TACs. The 2017 Plan does not include control measures that apply directly to individual development projects. Instead, the control strategy includes control measures related to stationary sources, transportation, energy, buildings, agriculture, natural and working lands, waste management, water, and super GHG-pollutants. The 2017 Plan focuses on two goals:</w:t>
      </w:r>
    </w:p>
    <w:p w14:paraId="09E1ECF3" w14:textId="77777777" w:rsidR="008873CE" w:rsidRPr="00402C6C" w:rsidRDefault="008873CE" w:rsidP="00275B75">
      <w:pPr>
        <w:pStyle w:val="BulletListLevel1"/>
      </w:pPr>
      <w:r w:rsidRPr="00402C6C">
        <w:t>Protect air quality and health at the regional and local scale by attaining all national and state air quality standards and eliminating disparities among Bay Area communities in cancer health risk from TACs</w:t>
      </w:r>
    </w:p>
    <w:p w14:paraId="3B4BE358" w14:textId="77777777" w:rsidR="008873CE" w:rsidRPr="00402C6C" w:rsidRDefault="008873CE" w:rsidP="00275B75">
      <w:pPr>
        <w:pStyle w:val="BulletListLevel1"/>
      </w:pPr>
      <w:r w:rsidRPr="00402C6C">
        <w:t>Protect the climate by reducing Bay Area GHG emissions to 40 percent below 1990 levels by 2030, and 80 percent below 1990 levels by 2050</w:t>
      </w:r>
    </w:p>
    <w:p w14:paraId="695D823B" w14:textId="77777777" w:rsidR="008873CE" w:rsidRPr="00402C6C" w:rsidRDefault="008873CE" w:rsidP="008873CE">
      <w:pPr>
        <w:pStyle w:val="bodyafter"/>
      </w:pPr>
      <w:r w:rsidRPr="00402C6C">
        <w:t>Under BAAQMD’s methodology, a determination of consistency with the 2017 Plan should demonstrate that a project:</w:t>
      </w:r>
    </w:p>
    <w:p w14:paraId="4359F46A" w14:textId="77777777" w:rsidR="008873CE" w:rsidRPr="00402C6C" w:rsidRDefault="008873CE" w:rsidP="00275B75">
      <w:pPr>
        <w:pStyle w:val="BulletListLevel1"/>
      </w:pPr>
      <w:r w:rsidRPr="00402C6C">
        <w:t>Supports the primary goals of the air quality plan</w:t>
      </w:r>
    </w:p>
    <w:p w14:paraId="6D025E52" w14:textId="77777777" w:rsidR="008873CE" w:rsidRPr="00402C6C" w:rsidRDefault="008873CE" w:rsidP="00275B75">
      <w:pPr>
        <w:pStyle w:val="BulletListLevel1"/>
      </w:pPr>
      <w:r w:rsidRPr="00402C6C">
        <w:t>Includes applicable control measures from the air quality plan</w:t>
      </w:r>
    </w:p>
    <w:p w14:paraId="0EE96B80" w14:textId="77777777" w:rsidR="008873CE" w:rsidRPr="00402C6C" w:rsidRDefault="008873CE" w:rsidP="00275B75">
      <w:pPr>
        <w:pStyle w:val="BulletListLevel1"/>
      </w:pPr>
      <w:r w:rsidRPr="00402C6C">
        <w:t>Does not disrupt or hinder implementation of any air quality plan control measures</w:t>
      </w:r>
    </w:p>
    <w:p w14:paraId="0FF3EF2B" w14:textId="28D694F9" w:rsidR="00120642" w:rsidRDefault="008873CE" w:rsidP="007D7D23">
      <w:pPr>
        <w:pStyle w:val="bodyafter"/>
      </w:pPr>
      <w:r w:rsidRPr="00402C6C">
        <w:rPr>
          <w:rStyle w:val="BodyTextaftertablesChar"/>
        </w:rPr>
        <w:t>A project that would not support the 2017 Plan’s goals would not be considered consistent with the 2017 Plan. On an individual project basis, consistency with BAAQMD quantitative thresholds is interpreted as demonstrating support for the clean air plan’s goals.</w:t>
      </w:r>
      <w:r w:rsidRPr="00402C6C">
        <w:t xml:space="preserve"> </w:t>
      </w:r>
      <w:r>
        <w:t>A</w:t>
      </w:r>
      <w:r w:rsidRPr="00402C6C">
        <w:t xml:space="preserve">pplicable control measures such as green building construction, waste diversion, and water conservation would indicate </w:t>
      </w:r>
      <w:r w:rsidRPr="00402C6C">
        <w:lastRenderedPageBreak/>
        <w:t>support for the clean air plan goals on an individual project basis.</w:t>
      </w:r>
      <w:r>
        <w:t xml:space="preserve"> The proposed project would involve 12 electric vehicle charging points, 4,265 square feet of solar panels, and would be an all-electric development pursuant to Mountain View building code Section 101.10.1.2.2. </w:t>
      </w:r>
      <w:r w:rsidRPr="00402C6C">
        <w:t xml:space="preserve">As shown in the response to criteria b and c (see below), the proposed project would not result in exceedances of BAAQMD 2017 thresholds for criteria air pollutants and thus would not conflict with the 2017 Plan’s goal to attain air quality standards. Therefore, consistent with BAAQMD’s CEQA thresholds, the proposed project would not conflict with or obstruct the implementation of the 2017 Clean Air Plan. </w:t>
      </w:r>
      <w:r w:rsidR="00120642">
        <w:t xml:space="preserve">In addition, the project would be subject to the following standard conditions of approval to ensure consistency with City air quality regulations: </w:t>
      </w:r>
    </w:p>
    <w:p w14:paraId="196FC27E" w14:textId="02A7F25C" w:rsidR="00120642" w:rsidRDefault="00120642" w:rsidP="00120642">
      <w:pPr>
        <w:pStyle w:val="Heading6"/>
      </w:pPr>
      <w:r>
        <w:t xml:space="preserve">Standard Condition of Approval PL-37: Air Quality </w:t>
      </w:r>
    </w:p>
    <w:p w14:paraId="000972BE" w14:textId="09040652" w:rsidR="00120642" w:rsidRPr="00D127CF" w:rsidRDefault="00A617D1" w:rsidP="004C7545">
      <w:pPr>
        <w:pStyle w:val="BodyText"/>
      </w:pPr>
      <w:r w:rsidRPr="00A617D1">
        <w:t>The applicant is</w:t>
      </w:r>
      <w:r>
        <w:t xml:space="preserve"> </w:t>
      </w:r>
      <w:r w:rsidRPr="00A617D1">
        <w:t>required to secure a permit from the Bay Area Air Quality Management District</w:t>
      </w:r>
      <w:r w:rsidRPr="00A617D1">
        <w:br/>
        <w:t>or provide written assurance that no permit is required prior to issuance of a</w:t>
      </w:r>
      <w:r>
        <w:t xml:space="preserve"> </w:t>
      </w:r>
      <w:r w:rsidRPr="00A617D1">
        <w:t>building permit.</w:t>
      </w:r>
    </w:p>
    <w:p w14:paraId="73C26607" w14:textId="4CE6C09B" w:rsidR="00120642" w:rsidRDefault="00120642" w:rsidP="00120642">
      <w:pPr>
        <w:pStyle w:val="Heading6"/>
      </w:pPr>
      <w:r>
        <w:t>Standard Condition of Approval PL-197: Indoor Formaldehyde Reductions</w:t>
      </w:r>
      <w:r w:rsidR="00493D98">
        <w:t xml:space="preserve"> </w:t>
      </w:r>
    </w:p>
    <w:p w14:paraId="34B4AB41" w14:textId="0C52081D" w:rsidR="00120642" w:rsidRDefault="00A617D1" w:rsidP="004C7545">
      <w:pPr>
        <w:pStyle w:val="BodyText"/>
      </w:pPr>
      <w:r w:rsidRPr="00A617D1">
        <w:t>If the project utilizes composite wood materials (e.g., hardwood</w:t>
      </w:r>
      <w:r>
        <w:t xml:space="preserve"> </w:t>
      </w:r>
      <w:r w:rsidRPr="00A617D1">
        <w:t>plywood, medium density fiberboard, particleboard) for interior finishes, then</w:t>
      </w:r>
      <w:r>
        <w:t xml:space="preserve"> </w:t>
      </w:r>
      <w:r w:rsidRPr="00A617D1">
        <w:t>only composite wood materials that are made with CARB approved, no-added</w:t>
      </w:r>
      <w:r>
        <w:t xml:space="preserve"> </w:t>
      </w:r>
      <w:r w:rsidRPr="00A617D1">
        <w:t>formaldehyde (NAF) resins, or ultra-low emitting formaldehyde (ULEF) resins</w:t>
      </w:r>
      <w:r>
        <w:t xml:space="preserve"> </w:t>
      </w:r>
      <w:r w:rsidRPr="00A617D1">
        <w:t>shall be utilized (CARB, Airborne Toxic Control Measure to Reduce</w:t>
      </w:r>
      <w:r>
        <w:t xml:space="preserve"> </w:t>
      </w:r>
      <w:r w:rsidRPr="00A617D1">
        <w:t>Formaldehyde Emissions from Composite Wood Products, 17 CCR Section 93120,</w:t>
      </w:r>
      <w:r>
        <w:t xml:space="preserve"> </w:t>
      </w:r>
      <w:r w:rsidRPr="00A617D1">
        <w:t>et seq., 2009-2013).</w:t>
      </w:r>
    </w:p>
    <w:p w14:paraId="2BCDBCC8" w14:textId="2C3FCE89" w:rsidR="008873CE" w:rsidRPr="00402C6C" w:rsidRDefault="0076689C" w:rsidP="007D7D23">
      <w:pPr>
        <w:pStyle w:val="BodyText"/>
      </w:pPr>
      <w:r>
        <w:t>The project would be consistent with the 2017 Clean Air Plan and would be required to implement the above standard conditions of approval</w:t>
      </w:r>
      <w:r w:rsidR="00820FC0">
        <w:t xml:space="preserve"> to be consistent with City policies</w:t>
      </w:r>
      <w:r>
        <w:t xml:space="preserve">. </w:t>
      </w:r>
      <w:r w:rsidR="008873CE" w:rsidRPr="00402C6C">
        <w:t>Impacts would be less than significant</w:t>
      </w:r>
      <w:r w:rsidR="00565B8D">
        <w:t>.</w:t>
      </w:r>
    </w:p>
    <w:p w14:paraId="0ED00FBD" w14:textId="167CDB39" w:rsidR="008873CE" w:rsidRPr="00402C6C" w:rsidRDefault="00817BC5" w:rsidP="008873CE">
      <w:pPr>
        <w:spacing w:before="120"/>
        <w:rPr>
          <w:rStyle w:val="DropdownList"/>
        </w:rPr>
      </w:pPr>
      <w:sdt>
        <w:sdtPr>
          <w:rPr>
            <w:rStyle w:val="DropdownList"/>
          </w:rPr>
          <w:alias w:val="1a"/>
          <w:tag w:val="dropdown"/>
          <w:id w:val="1769890943"/>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rPr>
        </w:sdtEndPr>
        <w:sdtContent>
          <w:r w:rsidR="00565B8D">
            <w:rPr>
              <w:rStyle w:val="DropdownList"/>
            </w:rPr>
            <w:t>Less Than Significant Impact</w:t>
          </w:r>
        </w:sdtContent>
      </w:sdt>
    </w:p>
    <w:p w14:paraId="5EF87949" w14:textId="77777777" w:rsidR="008873CE" w:rsidRDefault="008873CE" w:rsidP="008873CE">
      <w:pPr>
        <w:pStyle w:val="BulletLtrManAFTER"/>
      </w:pPr>
      <w:r w:rsidRPr="008E16DB">
        <w:t>b.</w:t>
      </w:r>
      <w:r w:rsidRPr="008E16DB">
        <w:tab/>
        <w:t>Would the project result in a cumulatively considerable net increase of any criteria pollutant for which the project region is non-attainment under an applicable federal or state ambient air quality standard?</w:t>
      </w:r>
    </w:p>
    <w:p w14:paraId="7D51C520" w14:textId="52E75F0F" w:rsidR="008873CE" w:rsidRDefault="008873CE" w:rsidP="008873CE">
      <w:pPr>
        <w:pStyle w:val="BodyText"/>
      </w:pPr>
      <w:r>
        <w:t>The San Francisco Bay Area Air Basin is designated as a nonattainment area for the NAAQ</w:t>
      </w:r>
      <w:r w:rsidR="0069146E">
        <w:t>S</w:t>
      </w:r>
      <w:r>
        <w:t xml:space="preserve"> for ozone and PM 2.5, and the CAAQ</w:t>
      </w:r>
      <w:r w:rsidR="0069146E">
        <w:t>S</w:t>
      </w:r>
      <w:r>
        <w:t xml:space="preserve"> of ozone, PM</w:t>
      </w:r>
      <w:r>
        <w:rPr>
          <w:vertAlign w:val="subscript"/>
        </w:rPr>
        <w:t>10</w:t>
      </w:r>
      <w:r>
        <w:t xml:space="preserve"> and PM</w:t>
      </w:r>
      <w:r>
        <w:rPr>
          <w:vertAlign w:val="subscript"/>
        </w:rPr>
        <w:t>2.5</w:t>
      </w:r>
      <w:r>
        <w:t>. The following subsections discuss emissions associated with construction and operation of the proposed project.</w:t>
      </w:r>
    </w:p>
    <w:p w14:paraId="45045423" w14:textId="77777777" w:rsidR="008873CE" w:rsidRDefault="008873CE" w:rsidP="008873CE">
      <w:pPr>
        <w:pStyle w:val="Heading5"/>
      </w:pPr>
      <w:r>
        <w:t>Construction Emissions</w:t>
      </w:r>
    </w:p>
    <w:p w14:paraId="521C91C3" w14:textId="0A4B92E3" w:rsidR="00820FC0" w:rsidRDefault="008873CE" w:rsidP="008873CE">
      <w:pPr>
        <w:pStyle w:val="BodyText"/>
      </w:pPr>
      <w:r w:rsidRPr="004032F6">
        <w:t xml:space="preserve">Project construction would generate temporary air pollutant emissions associated with fugitive dust </w:t>
      </w:r>
      <w:bookmarkStart w:id="157" w:name="_Hlk63936272"/>
      <w:r w:rsidRPr="004032F6">
        <w:t>(PM</w:t>
      </w:r>
      <w:r w:rsidRPr="004032F6">
        <w:rPr>
          <w:vertAlign w:val="subscript"/>
        </w:rPr>
        <w:t>10</w:t>
      </w:r>
      <w:r w:rsidRPr="004032F6">
        <w:t xml:space="preserve"> and PM</w:t>
      </w:r>
      <w:r w:rsidRPr="004032F6">
        <w:rPr>
          <w:vertAlign w:val="subscript"/>
        </w:rPr>
        <w:t>2.5</w:t>
      </w:r>
      <w:r w:rsidRPr="004032F6">
        <w:t>)</w:t>
      </w:r>
      <w:bookmarkEnd w:id="157"/>
      <w:r w:rsidRPr="004032F6">
        <w:t xml:space="preserve"> and exhaust emissions from heavy construction equipment and construction vehicles in addition to ROG emissions that would be released during the drying phase of architectural coating. </w:t>
      </w:r>
      <w:r>
        <w:fldChar w:fldCharType="begin"/>
      </w:r>
      <w:r>
        <w:instrText xml:space="preserve"> REF _Ref90295299 \h </w:instrText>
      </w:r>
      <w:r>
        <w:fldChar w:fldCharType="separate"/>
      </w:r>
      <w:r w:rsidR="00FA55F1">
        <w:t xml:space="preserve">Table </w:t>
      </w:r>
      <w:r w:rsidR="00FA55F1">
        <w:rPr>
          <w:noProof/>
        </w:rPr>
        <w:t>7</w:t>
      </w:r>
      <w:r>
        <w:fldChar w:fldCharType="end"/>
      </w:r>
      <w:r w:rsidRPr="004032F6">
        <w:t xml:space="preserve"> summarizes the estimated maximum daily emissions of pollutants during project construction. </w:t>
      </w:r>
    </w:p>
    <w:p w14:paraId="2D10D7E2" w14:textId="13A1056A" w:rsidR="008873CE" w:rsidRDefault="008873CE" w:rsidP="007D7D23">
      <w:pPr>
        <w:pStyle w:val="TableCaption"/>
        <w:pageBreakBefore/>
      </w:pPr>
      <w:bookmarkStart w:id="158" w:name="_Ref90295299"/>
      <w:bookmarkStart w:id="159" w:name="_Toc112942456"/>
      <w:r>
        <w:lastRenderedPageBreak/>
        <w:t xml:space="preserve">Table </w:t>
      </w:r>
      <w:fldSimple w:instr=" SEQ Table \* ARABIC ">
        <w:r w:rsidR="00FA55F1">
          <w:rPr>
            <w:noProof/>
          </w:rPr>
          <w:t>7</w:t>
        </w:r>
      </w:fldSimple>
      <w:bookmarkEnd w:id="158"/>
      <w:r w:rsidR="001D4BBB">
        <w:tab/>
      </w:r>
      <w:r>
        <w:t>Estimated Daily Construction Emissions</w:t>
      </w:r>
      <w:bookmarkEnd w:id="159"/>
    </w:p>
    <w:tbl>
      <w:tblPr>
        <w:tblW w:w="9014" w:type="dxa"/>
        <w:tblLayout w:type="fixed"/>
        <w:tblCellMar>
          <w:top w:w="43" w:type="dxa"/>
          <w:left w:w="115" w:type="dxa"/>
          <w:bottom w:w="43" w:type="dxa"/>
          <w:right w:w="115" w:type="dxa"/>
        </w:tblCellMar>
        <w:tblLook w:val="04A0" w:firstRow="1" w:lastRow="0" w:firstColumn="1" w:lastColumn="0" w:noHBand="0" w:noVBand="1"/>
      </w:tblPr>
      <w:tblGrid>
        <w:gridCol w:w="2475"/>
        <w:gridCol w:w="1089"/>
        <w:gridCol w:w="1090"/>
        <w:gridCol w:w="1090"/>
        <w:gridCol w:w="1090"/>
        <w:gridCol w:w="1090"/>
        <w:gridCol w:w="1090"/>
      </w:tblGrid>
      <w:tr w:rsidR="008873CE" w:rsidRPr="00E5753A" w14:paraId="5A02118D" w14:textId="77777777" w:rsidTr="007D7D23">
        <w:trPr>
          <w:cantSplit/>
        </w:trPr>
        <w:tc>
          <w:tcPr>
            <w:tcW w:w="2475" w:type="dxa"/>
            <w:shd w:val="clear" w:color="auto" w:fill="000000" w:themeFill="text1"/>
            <w:vAlign w:val="center"/>
            <w:hideMark/>
          </w:tcPr>
          <w:p w14:paraId="7A36BE1B" w14:textId="77777777" w:rsidR="008873CE" w:rsidRPr="008873CE" w:rsidRDefault="008873CE" w:rsidP="007D7D23">
            <w:pPr>
              <w:overflowPunct w:val="0"/>
              <w:autoSpaceDE w:val="0"/>
              <w:autoSpaceDN w:val="0"/>
              <w:adjustRightInd w:val="0"/>
              <w:spacing w:after="0"/>
              <w:textAlignment w:val="baseline"/>
              <w:rPr>
                <w:rFonts w:asciiTheme="minorHAnsi" w:eastAsiaTheme="minorHAnsi" w:hAnsiTheme="minorHAnsi" w:cstheme="minorHAnsi"/>
                <w:b/>
                <w:sz w:val="18"/>
                <w:szCs w:val="14"/>
                <w:highlight w:val="lightGray"/>
              </w:rPr>
            </w:pPr>
          </w:p>
        </w:tc>
        <w:tc>
          <w:tcPr>
            <w:tcW w:w="1089" w:type="dxa"/>
            <w:shd w:val="clear" w:color="auto" w:fill="000000" w:themeFill="text1"/>
            <w:vAlign w:val="bottom"/>
            <w:hideMark/>
          </w:tcPr>
          <w:p w14:paraId="21281D2D" w14:textId="77777777" w:rsidR="008873CE" w:rsidRPr="001A030B" w:rsidRDefault="008873CE" w:rsidP="007D7D23">
            <w:pPr>
              <w:overflowPunct w:val="0"/>
              <w:autoSpaceDE w:val="0"/>
              <w:autoSpaceDN w:val="0"/>
              <w:adjustRightInd w:val="0"/>
              <w:spacing w:after="0"/>
              <w:jc w:val="center"/>
              <w:textAlignment w:val="baseline"/>
              <w:rPr>
                <w:rFonts w:asciiTheme="minorHAnsi" w:eastAsiaTheme="minorHAnsi" w:hAnsiTheme="minorHAnsi" w:cstheme="minorHAnsi"/>
                <w:b/>
                <w:sz w:val="18"/>
                <w:szCs w:val="14"/>
              </w:rPr>
            </w:pPr>
            <w:r w:rsidRPr="001A030B">
              <w:rPr>
                <w:rFonts w:asciiTheme="minorHAnsi" w:eastAsiaTheme="minorHAnsi" w:hAnsiTheme="minorHAnsi" w:cstheme="minorHAnsi"/>
                <w:b/>
                <w:sz w:val="18"/>
                <w:szCs w:val="14"/>
              </w:rPr>
              <w:t>ROG</w:t>
            </w:r>
          </w:p>
        </w:tc>
        <w:tc>
          <w:tcPr>
            <w:tcW w:w="1090" w:type="dxa"/>
            <w:shd w:val="clear" w:color="auto" w:fill="000000" w:themeFill="text1"/>
            <w:tcMar>
              <w:top w:w="86" w:type="dxa"/>
              <w:left w:w="115" w:type="dxa"/>
              <w:bottom w:w="86" w:type="dxa"/>
              <w:right w:w="115" w:type="dxa"/>
            </w:tcMar>
            <w:vAlign w:val="bottom"/>
            <w:hideMark/>
          </w:tcPr>
          <w:p w14:paraId="1AF41B7F" w14:textId="77777777" w:rsidR="008873CE" w:rsidRPr="001A030B" w:rsidRDefault="008873CE" w:rsidP="007D7D23">
            <w:pPr>
              <w:overflowPunct w:val="0"/>
              <w:autoSpaceDE w:val="0"/>
              <w:autoSpaceDN w:val="0"/>
              <w:adjustRightInd w:val="0"/>
              <w:spacing w:after="0"/>
              <w:jc w:val="center"/>
              <w:textAlignment w:val="baseline"/>
              <w:rPr>
                <w:rFonts w:asciiTheme="minorHAnsi" w:eastAsiaTheme="minorHAnsi" w:hAnsiTheme="minorHAnsi" w:cstheme="minorHAnsi"/>
                <w:b/>
                <w:sz w:val="18"/>
                <w:szCs w:val="14"/>
              </w:rPr>
            </w:pPr>
            <w:r w:rsidRPr="001A030B">
              <w:rPr>
                <w:rFonts w:asciiTheme="minorHAnsi" w:eastAsiaTheme="minorHAnsi" w:hAnsiTheme="minorHAnsi" w:cstheme="minorHAnsi"/>
                <w:b/>
                <w:sz w:val="18"/>
                <w:szCs w:val="14"/>
              </w:rPr>
              <w:t>NO</w:t>
            </w:r>
            <w:r w:rsidRPr="001A030B">
              <w:rPr>
                <w:rFonts w:asciiTheme="minorHAnsi" w:eastAsiaTheme="minorHAnsi" w:hAnsiTheme="minorHAnsi" w:cstheme="minorHAnsi"/>
                <w:b/>
                <w:sz w:val="18"/>
                <w:szCs w:val="14"/>
                <w:vertAlign w:val="subscript"/>
              </w:rPr>
              <w:t>X</w:t>
            </w:r>
          </w:p>
        </w:tc>
        <w:tc>
          <w:tcPr>
            <w:tcW w:w="1090" w:type="dxa"/>
            <w:shd w:val="clear" w:color="auto" w:fill="000000" w:themeFill="text1"/>
            <w:vAlign w:val="bottom"/>
            <w:hideMark/>
          </w:tcPr>
          <w:p w14:paraId="21CF89F1" w14:textId="77777777" w:rsidR="008873CE" w:rsidRPr="001A030B" w:rsidRDefault="008873CE" w:rsidP="007D7D23">
            <w:pPr>
              <w:overflowPunct w:val="0"/>
              <w:autoSpaceDE w:val="0"/>
              <w:autoSpaceDN w:val="0"/>
              <w:adjustRightInd w:val="0"/>
              <w:spacing w:after="0"/>
              <w:jc w:val="center"/>
              <w:textAlignment w:val="baseline"/>
              <w:rPr>
                <w:rFonts w:asciiTheme="minorHAnsi" w:eastAsiaTheme="minorHAnsi" w:hAnsiTheme="minorHAnsi" w:cstheme="minorHAnsi"/>
                <w:b/>
                <w:sz w:val="18"/>
                <w:szCs w:val="14"/>
              </w:rPr>
            </w:pPr>
            <w:r w:rsidRPr="001A030B">
              <w:rPr>
                <w:rFonts w:asciiTheme="minorHAnsi" w:eastAsiaTheme="minorHAnsi" w:hAnsiTheme="minorHAnsi" w:cstheme="minorHAnsi"/>
                <w:b/>
                <w:sz w:val="18"/>
                <w:szCs w:val="14"/>
              </w:rPr>
              <w:t>CO</w:t>
            </w:r>
          </w:p>
        </w:tc>
        <w:tc>
          <w:tcPr>
            <w:tcW w:w="1090" w:type="dxa"/>
            <w:shd w:val="clear" w:color="auto" w:fill="000000" w:themeFill="text1"/>
            <w:vAlign w:val="bottom"/>
            <w:hideMark/>
          </w:tcPr>
          <w:p w14:paraId="31EB9BDF" w14:textId="77777777" w:rsidR="008873CE" w:rsidRPr="001A030B" w:rsidRDefault="008873CE" w:rsidP="007D7D23">
            <w:pPr>
              <w:overflowPunct w:val="0"/>
              <w:autoSpaceDE w:val="0"/>
              <w:autoSpaceDN w:val="0"/>
              <w:adjustRightInd w:val="0"/>
              <w:spacing w:after="0"/>
              <w:jc w:val="center"/>
              <w:textAlignment w:val="baseline"/>
              <w:rPr>
                <w:rFonts w:asciiTheme="minorHAnsi" w:eastAsiaTheme="minorHAnsi" w:hAnsiTheme="minorHAnsi" w:cstheme="minorHAnsi"/>
                <w:b/>
                <w:sz w:val="18"/>
                <w:szCs w:val="14"/>
              </w:rPr>
            </w:pPr>
            <w:r w:rsidRPr="001A030B">
              <w:rPr>
                <w:rFonts w:asciiTheme="minorHAnsi" w:eastAsiaTheme="minorHAnsi" w:hAnsiTheme="minorHAnsi" w:cstheme="minorHAnsi"/>
                <w:b/>
                <w:sz w:val="18"/>
                <w:szCs w:val="14"/>
              </w:rPr>
              <w:t>SO</w:t>
            </w:r>
            <w:r w:rsidRPr="001A030B">
              <w:rPr>
                <w:rFonts w:asciiTheme="minorHAnsi" w:eastAsiaTheme="minorHAnsi" w:hAnsiTheme="minorHAnsi" w:cstheme="minorHAnsi"/>
                <w:b/>
                <w:sz w:val="18"/>
                <w:szCs w:val="14"/>
                <w:vertAlign w:val="subscript"/>
              </w:rPr>
              <w:t>2</w:t>
            </w:r>
          </w:p>
        </w:tc>
        <w:tc>
          <w:tcPr>
            <w:tcW w:w="1090" w:type="dxa"/>
            <w:shd w:val="clear" w:color="auto" w:fill="000000" w:themeFill="text1"/>
            <w:vAlign w:val="bottom"/>
            <w:hideMark/>
          </w:tcPr>
          <w:p w14:paraId="36C79221" w14:textId="77777777" w:rsidR="008873CE" w:rsidRPr="001A030B" w:rsidRDefault="008873CE" w:rsidP="007D7D23">
            <w:pPr>
              <w:overflowPunct w:val="0"/>
              <w:autoSpaceDE w:val="0"/>
              <w:autoSpaceDN w:val="0"/>
              <w:adjustRightInd w:val="0"/>
              <w:spacing w:after="0"/>
              <w:jc w:val="center"/>
              <w:textAlignment w:val="baseline"/>
              <w:rPr>
                <w:rFonts w:asciiTheme="minorHAnsi" w:eastAsiaTheme="minorHAnsi" w:hAnsiTheme="minorHAnsi" w:cstheme="minorHAnsi"/>
                <w:b/>
                <w:sz w:val="18"/>
                <w:szCs w:val="14"/>
              </w:rPr>
            </w:pPr>
            <w:r>
              <w:rPr>
                <w:rFonts w:asciiTheme="minorHAnsi" w:eastAsiaTheme="minorHAnsi" w:hAnsiTheme="minorHAnsi" w:cstheme="minorHAnsi"/>
                <w:b/>
                <w:sz w:val="18"/>
                <w:szCs w:val="14"/>
              </w:rPr>
              <w:t xml:space="preserve">Exhaust </w:t>
            </w:r>
            <w:r w:rsidRPr="001A030B">
              <w:rPr>
                <w:rFonts w:asciiTheme="minorHAnsi" w:eastAsiaTheme="minorHAnsi" w:hAnsiTheme="minorHAnsi" w:cstheme="minorHAnsi"/>
                <w:b/>
                <w:sz w:val="18"/>
                <w:szCs w:val="14"/>
              </w:rPr>
              <w:t>PM</w:t>
            </w:r>
            <w:r w:rsidRPr="001A030B">
              <w:rPr>
                <w:rFonts w:asciiTheme="minorHAnsi" w:eastAsiaTheme="minorHAnsi" w:hAnsiTheme="minorHAnsi" w:cstheme="minorHAnsi"/>
                <w:b/>
                <w:sz w:val="18"/>
                <w:szCs w:val="14"/>
                <w:vertAlign w:val="subscript"/>
              </w:rPr>
              <w:t>10</w:t>
            </w:r>
          </w:p>
        </w:tc>
        <w:tc>
          <w:tcPr>
            <w:tcW w:w="1090" w:type="dxa"/>
            <w:shd w:val="clear" w:color="auto" w:fill="000000" w:themeFill="text1"/>
            <w:vAlign w:val="bottom"/>
            <w:hideMark/>
          </w:tcPr>
          <w:p w14:paraId="213DC6D8" w14:textId="77777777" w:rsidR="008873CE" w:rsidRPr="001A030B" w:rsidRDefault="008873CE" w:rsidP="007D7D23">
            <w:pPr>
              <w:overflowPunct w:val="0"/>
              <w:autoSpaceDE w:val="0"/>
              <w:autoSpaceDN w:val="0"/>
              <w:adjustRightInd w:val="0"/>
              <w:spacing w:after="0"/>
              <w:jc w:val="center"/>
              <w:textAlignment w:val="baseline"/>
              <w:rPr>
                <w:rFonts w:asciiTheme="minorHAnsi" w:eastAsiaTheme="minorHAnsi" w:hAnsiTheme="minorHAnsi" w:cstheme="minorHAnsi"/>
                <w:b/>
                <w:sz w:val="18"/>
                <w:szCs w:val="14"/>
              </w:rPr>
            </w:pPr>
            <w:r>
              <w:rPr>
                <w:rFonts w:asciiTheme="minorHAnsi" w:eastAsiaTheme="minorHAnsi" w:hAnsiTheme="minorHAnsi" w:cstheme="minorHAnsi"/>
                <w:b/>
                <w:sz w:val="18"/>
                <w:szCs w:val="14"/>
              </w:rPr>
              <w:t xml:space="preserve">Exhaust </w:t>
            </w:r>
            <w:r w:rsidRPr="001A030B">
              <w:rPr>
                <w:rFonts w:asciiTheme="minorHAnsi" w:eastAsiaTheme="minorHAnsi" w:hAnsiTheme="minorHAnsi" w:cstheme="minorHAnsi"/>
                <w:b/>
                <w:sz w:val="18"/>
                <w:szCs w:val="14"/>
              </w:rPr>
              <w:t>PM</w:t>
            </w:r>
            <w:r w:rsidRPr="001A030B">
              <w:rPr>
                <w:rFonts w:asciiTheme="minorHAnsi" w:eastAsiaTheme="minorHAnsi" w:hAnsiTheme="minorHAnsi" w:cstheme="minorHAnsi"/>
                <w:b/>
                <w:sz w:val="18"/>
                <w:szCs w:val="14"/>
                <w:vertAlign w:val="subscript"/>
              </w:rPr>
              <w:t>2.5</w:t>
            </w:r>
          </w:p>
        </w:tc>
      </w:tr>
      <w:tr w:rsidR="008873CE" w:rsidRPr="007D7D23" w14:paraId="66427E83" w14:textId="77777777" w:rsidTr="007D7D23">
        <w:trPr>
          <w:cantSplit/>
        </w:trPr>
        <w:tc>
          <w:tcPr>
            <w:tcW w:w="2475" w:type="dxa"/>
            <w:tcBorders>
              <w:left w:val="nil"/>
              <w:right w:val="nil"/>
            </w:tcBorders>
            <w:vAlign w:val="center"/>
            <w:hideMark/>
          </w:tcPr>
          <w:p w14:paraId="1C683A32" w14:textId="77777777" w:rsidR="008873CE" w:rsidRPr="007D7D23" w:rsidRDefault="008873CE" w:rsidP="007D7D23">
            <w:pPr>
              <w:keepNext/>
              <w:tabs>
                <w:tab w:val="left" w:pos="270"/>
              </w:tabs>
              <w:spacing w:after="0"/>
              <w:rPr>
                <w:rFonts w:asciiTheme="minorHAnsi" w:hAnsiTheme="minorHAnsi" w:cstheme="minorHAnsi"/>
                <w:sz w:val="18"/>
                <w:szCs w:val="18"/>
                <w:highlight w:val="lightGray"/>
                <w:vertAlign w:val="superscript"/>
              </w:rPr>
            </w:pPr>
            <w:r w:rsidRPr="007D7D23">
              <w:rPr>
                <w:rFonts w:asciiTheme="minorHAnsi" w:hAnsiTheme="minorHAnsi" w:cstheme="minorHAnsi"/>
                <w:sz w:val="18"/>
                <w:szCs w:val="18"/>
              </w:rPr>
              <w:t>Maximum Daily Construction Emissions (lbs/day)</w:t>
            </w:r>
          </w:p>
        </w:tc>
        <w:tc>
          <w:tcPr>
            <w:tcW w:w="1089" w:type="dxa"/>
            <w:tcBorders>
              <w:left w:val="nil"/>
              <w:right w:val="nil"/>
            </w:tcBorders>
          </w:tcPr>
          <w:p w14:paraId="658D602F" w14:textId="77777777" w:rsidR="008873CE" w:rsidRPr="007D7D23" w:rsidRDefault="008873CE" w:rsidP="007D7D23">
            <w:pPr>
              <w:keepNext/>
              <w:tabs>
                <w:tab w:val="left" w:pos="720"/>
              </w:tabs>
              <w:spacing w:after="0"/>
              <w:jc w:val="center"/>
              <w:rPr>
                <w:rFonts w:asciiTheme="minorHAnsi" w:hAnsiTheme="minorHAnsi" w:cstheme="minorHAnsi"/>
                <w:sz w:val="18"/>
                <w:szCs w:val="18"/>
              </w:rPr>
            </w:pPr>
            <w:r w:rsidRPr="007D7D23">
              <w:rPr>
                <w:rFonts w:asciiTheme="minorHAnsi" w:hAnsiTheme="minorHAnsi" w:cstheme="minorHAnsi"/>
                <w:sz w:val="18"/>
                <w:szCs w:val="18"/>
              </w:rPr>
              <w:t>2</w:t>
            </w:r>
          </w:p>
        </w:tc>
        <w:tc>
          <w:tcPr>
            <w:tcW w:w="1090" w:type="dxa"/>
            <w:tcBorders>
              <w:left w:val="nil"/>
              <w:right w:val="nil"/>
            </w:tcBorders>
            <w:tcMar>
              <w:top w:w="86" w:type="dxa"/>
              <w:left w:w="115" w:type="dxa"/>
              <w:bottom w:w="86" w:type="dxa"/>
              <w:right w:w="115" w:type="dxa"/>
            </w:tcMar>
          </w:tcPr>
          <w:p w14:paraId="7BAFEAF9" w14:textId="77777777" w:rsidR="008873CE" w:rsidRPr="007D7D23" w:rsidRDefault="008873CE" w:rsidP="007D7D23">
            <w:pPr>
              <w:keepNext/>
              <w:tabs>
                <w:tab w:val="left" w:pos="720"/>
              </w:tabs>
              <w:spacing w:after="0"/>
              <w:jc w:val="center"/>
              <w:rPr>
                <w:rFonts w:asciiTheme="minorHAnsi" w:hAnsiTheme="minorHAnsi" w:cstheme="minorHAnsi"/>
                <w:sz w:val="18"/>
                <w:szCs w:val="18"/>
              </w:rPr>
            </w:pPr>
            <w:r w:rsidRPr="007D7D23">
              <w:rPr>
                <w:rFonts w:asciiTheme="minorHAnsi" w:hAnsiTheme="minorHAnsi" w:cstheme="minorHAnsi"/>
                <w:sz w:val="18"/>
                <w:szCs w:val="18"/>
              </w:rPr>
              <w:t>17</w:t>
            </w:r>
          </w:p>
        </w:tc>
        <w:tc>
          <w:tcPr>
            <w:tcW w:w="1090" w:type="dxa"/>
            <w:tcBorders>
              <w:left w:val="nil"/>
              <w:right w:val="nil"/>
            </w:tcBorders>
          </w:tcPr>
          <w:p w14:paraId="26D654FC" w14:textId="77777777" w:rsidR="008873CE" w:rsidRPr="007D7D23" w:rsidRDefault="008873CE" w:rsidP="007D7D23">
            <w:pPr>
              <w:keepNext/>
              <w:tabs>
                <w:tab w:val="left" w:pos="720"/>
              </w:tabs>
              <w:spacing w:after="0"/>
              <w:jc w:val="center"/>
              <w:rPr>
                <w:rFonts w:asciiTheme="minorHAnsi" w:hAnsiTheme="minorHAnsi" w:cstheme="minorHAnsi"/>
                <w:sz w:val="18"/>
                <w:szCs w:val="18"/>
              </w:rPr>
            </w:pPr>
            <w:r w:rsidRPr="007D7D23">
              <w:rPr>
                <w:rFonts w:asciiTheme="minorHAnsi" w:hAnsiTheme="minorHAnsi" w:cstheme="minorHAnsi"/>
                <w:sz w:val="18"/>
                <w:szCs w:val="18"/>
              </w:rPr>
              <w:t>28</w:t>
            </w:r>
          </w:p>
        </w:tc>
        <w:tc>
          <w:tcPr>
            <w:tcW w:w="1090" w:type="dxa"/>
            <w:tcBorders>
              <w:left w:val="nil"/>
              <w:right w:val="nil"/>
            </w:tcBorders>
          </w:tcPr>
          <w:p w14:paraId="07870B36" w14:textId="77777777" w:rsidR="008873CE" w:rsidRPr="007D7D23" w:rsidRDefault="008873CE" w:rsidP="007D7D23">
            <w:pPr>
              <w:keepNext/>
              <w:tabs>
                <w:tab w:val="left" w:pos="720"/>
              </w:tabs>
              <w:spacing w:after="0"/>
              <w:jc w:val="center"/>
              <w:rPr>
                <w:rFonts w:asciiTheme="minorHAnsi" w:hAnsiTheme="minorHAnsi" w:cstheme="minorHAnsi"/>
                <w:sz w:val="18"/>
                <w:szCs w:val="18"/>
              </w:rPr>
            </w:pPr>
            <w:r w:rsidRPr="007D7D23">
              <w:rPr>
                <w:rFonts w:asciiTheme="minorHAnsi" w:hAnsiTheme="minorHAnsi" w:cstheme="minorHAnsi"/>
                <w:sz w:val="18"/>
                <w:szCs w:val="18"/>
              </w:rPr>
              <w:t>&lt;1</w:t>
            </w:r>
          </w:p>
        </w:tc>
        <w:tc>
          <w:tcPr>
            <w:tcW w:w="1090" w:type="dxa"/>
            <w:tcBorders>
              <w:left w:val="nil"/>
              <w:right w:val="nil"/>
            </w:tcBorders>
          </w:tcPr>
          <w:p w14:paraId="62C5CAEA" w14:textId="77777777" w:rsidR="008873CE" w:rsidRPr="007D7D23" w:rsidRDefault="008873CE" w:rsidP="007D7D23">
            <w:pPr>
              <w:keepNext/>
              <w:tabs>
                <w:tab w:val="left" w:pos="720"/>
              </w:tabs>
              <w:spacing w:after="0"/>
              <w:jc w:val="center"/>
              <w:rPr>
                <w:rFonts w:asciiTheme="minorHAnsi" w:hAnsiTheme="minorHAnsi" w:cstheme="minorHAnsi"/>
                <w:sz w:val="18"/>
                <w:szCs w:val="18"/>
              </w:rPr>
            </w:pPr>
            <w:r w:rsidRPr="007D7D23">
              <w:rPr>
                <w:rFonts w:asciiTheme="minorHAnsi" w:hAnsiTheme="minorHAnsi" w:cstheme="minorHAnsi"/>
                <w:sz w:val="18"/>
                <w:szCs w:val="18"/>
              </w:rPr>
              <w:t>&lt;1</w:t>
            </w:r>
          </w:p>
        </w:tc>
        <w:tc>
          <w:tcPr>
            <w:tcW w:w="1090" w:type="dxa"/>
            <w:tcBorders>
              <w:left w:val="nil"/>
              <w:right w:val="nil"/>
            </w:tcBorders>
          </w:tcPr>
          <w:p w14:paraId="59066AF8" w14:textId="77777777" w:rsidR="008873CE" w:rsidRPr="007D7D23" w:rsidRDefault="008873CE" w:rsidP="007D7D23">
            <w:pPr>
              <w:keepNext/>
              <w:tabs>
                <w:tab w:val="left" w:pos="720"/>
              </w:tabs>
              <w:spacing w:after="0"/>
              <w:jc w:val="center"/>
              <w:rPr>
                <w:rFonts w:asciiTheme="minorHAnsi" w:hAnsiTheme="minorHAnsi" w:cstheme="minorHAnsi"/>
                <w:sz w:val="18"/>
                <w:szCs w:val="18"/>
              </w:rPr>
            </w:pPr>
            <w:r w:rsidRPr="007D7D23">
              <w:rPr>
                <w:rFonts w:asciiTheme="minorHAnsi" w:hAnsiTheme="minorHAnsi" w:cstheme="minorHAnsi"/>
                <w:sz w:val="18"/>
                <w:szCs w:val="18"/>
              </w:rPr>
              <w:t>&lt;1</w:t>
            </w:r>
          </w:p>
        </w:tc>
      </w:tr>
      <w:tr w:rsidR="008873CE" w:rsidRPr="007D7D23" w14:paraId="625333A3" w14:textId="77777777" w:rsidTr="007D7D23">
        <w:trPr>
          <w:cantSplit/>
        </w:trPr>
        <w:tc>
          <w:tcPr>
            <w:tcW w:w="2475" w:type="dxa"/>
            <w:tcBorders>
              <w:top w:val="single" w:sz="4" w:space="0" w:color="BFBFBF" w:themeColor="background1" w:themeShade="BF"/>
              <w:left w:val="nil"/>
              <w:bottom w:val="single" w:sz="4" w:space="0" w:color="BFBFBF" w:themeColor="background1" w:themeShade="BF"/>
              <w:right w:val="nil"/>
            </w:tcBorders>
            <w:vAlign w:val="center"/>
            <w:hideMark/>
          </w:tcPr>
          <w:p w14:paraId="1FFC604D" w14:textId="77777777" w:rsidR="008873CE" w:rsidRPr="007D7D23" w:rsidRDefault="008873CE" w:rsidP="007D7D23">
            <w:pPr>
              <w:keepNext/>
              <w:tabs>
                <w:tab w:val="left" w:pos="270"/>
              </w:tabs>
              <w:spacing w:after="0"/>
              <w:rPr>
                <w:rFonts w:asciiTheme="minorHAnsi" w:hAnsiTheme="minorHAnsi" w:cstheme="minorHAnsi"/>
                <w:b/>
                <w:bCs/>
                <w:sz w:val="18"/>
                <w:szCs w:val="18"/>
              </w:rPr>
            </w:pPr>
            <w:r w:rsidRPr="007D7D23">
              <w:rPr>
                <w:rFonts w:asciiTheme="minorHAnsi" w:hAnsiTheme="minorHAnsi" w:cs="Arial"/>
                <w:b/>
                <w:bCs/>
                <w:iCs/>
                <w:sz w:val="18"/>
                <w:szCs w:val="18"/>
              </w:rPr>
              <w:t>BAAQMD Thresholds</w:t>
            </w:r>
          </w:p>
        </w:tc>
        <w:tc>
          <w:tcPr>
            <w:tcW w:w="1089" w:type="dxa"/>
            <w:tcBorders>
              <w:top w:val="single" w:sz="4" w:space="0" w:color="BFBFBF" w:themeColor="background1" w:themeShade="BF"/>
              <w:left w:val="nil"/>
              <w:bottom w:val="single" w:sz="4" w:space="0" w:color="BFBFBF" w:themeColor="background1" w:themeShade="BF"/>
              <w:right w:val="nil"/>
            </w:tcBorders>
            <w:vAlign w:val="center"/>
            <w:hideMark/>
          </w:tcPr>
          <w:p w14:paraId="3007355A" w14:textId="77777777" w:rsidR="008873CE" w:rsidRPr="007D7D23" w:rsidRDefault="008873CE" w:rsidP="007D7D23">
            <w:pPr>
              <w:keepNext/>
              <w:tabs>
                <w:tab w:val="left" w:pos="720"/>
              </w:tabs>
              <w:spacing w:after="0"/>
              <w:jc w:val="center"/>
              <w:rPr>
                <w:rFonts w:asciiTheme="minorHAnsi" w:hAnsiTheme="minorHAnsi" w:cstheme="minorHAnsi"/>
                <w:b/>
                <w:bCs/>
                <w:sz w:val="18"/>
                <w:szCs w:val="18"/>
              </w:rPr>
            </w:pPr>
            <w:r w:rsidRPr="007D7D23">
              <w:rPr>
                <w:rFonts w:asciiTheme="minorHAnsi" w:hAnsiTheme="minorHAnsi" w:cs="Arial"/>
                <w:b/>
                <w:bCs/>
                <w:sz w:val="18"/>
                <w:szCs w:val="18"/>
              </w:rPr>
              <w:t>54</w:t>
            </w:r>
          </w:p>
        </w:tc>
        <w:tc>
          <w:tcPr>
            <w:tcW w:w="1090" w:type="dxa"/>
            <w:tcBorders>
              <w:top w:val="single" w:sz="4" w:space="0" w:color="BFBFBF" w:themeColor="background1" w:themeShade="BF"/>
              <w:left w:val="nil"/>
              <w:bottom w:val="single" w:sz="4" w:space="0" w:color="BFBFBF" w:themeColor="background1" w:themeShade="BF"/>
              <w:right w:val="nil"/>
            </w:tcBorders>
            <w:tcMar>
              <w:top w:w="86" w:type="dxa"/>
              <w:left w:w="115" w:type="dxa"/>
              <w:bottom w:w="86" w:type="dxa"/>
              <w:right w:w="115" w:type="dxa"/>
            </w:tcMar>
            <w:vAlign w:val="center"/>
            <w:hideMark/>
          </w:tcPr>
          <w:p w14:paraId="1F968D32" w14:textId="77777777" w:rsidR="008873CE" w:rsidRPr="007D7D23" w:rsidRDefault="008873CE" w:rsidP="007D7D23">
            <w:pPr>
              <w:keepNext/>
              <w:tabs>
                <w:tab w:val="left" w:pos="720"/>
              </w:tabs>
              <w:spacing w:after="0"/>
              <w:jc w:val="center"/>
              <w:rPr>
                <w:rFonts w:asciiTheme="minorHAnsi" w:hAnsiTheme="minorHAnsi" w:cstheme="minorHAnsi"/>
                <w:b/>
                <w:bCs/>
                <w:sz w:val="18"/>
                <w:szCs w:val="18"/>
              </w:rPr>
            </w:pPr>
            <w:r w:rsidRPr="007D7D23">
              <w:rPr>
                <w:rFonts w:asciiTheme="minorHAnsi" w:hAnsiTheme="minorHAnsi" w:cs="Arial"/>
                <w:b/>
                <w:bCs/>
                <w:sz w:val="18"/>
                <w:szCs w:val="18"/>
              </w:rPr>
              <w:t>54</w:t>
            </w:r>
          </w:p>
        </w:tc>
        <w:tc>
          <w:tcPr>
            <w:tcW w:w="1090" w:type="dxa"/>
            <w:tcBorders>
              <w:top w:val="single" w:sz="4" w:space="0" w:color="BFBFBF" w:themeColor="background1" w:themeShade="BF"/>
              <w:left w:val="nil"/>
              <w:bottom w:val="single" w:sz="4" w:space="0" w:color="BFBFBF" w:themeColor="background1" w:themeShade="BF"/>
              <w:right w:val="nil"/>
            </w:tcBorders>
            <w:vAlign w:val="center"/>
            <w:hideMark/>
          </w:tcPr>
          <w:p w14:paraId="6DB38649" w14:textId="77777777" w:rsidR="008873CE" w:rsidRPr="007D7D23" w:rsidRDefault="008873CE" w:rsidP="007D7D23">
            <w:pPr>
              <w:keepNext/>
              <w:tabs>
                <w:tab w:val="left" w:pos="720"/>
              </w:tabs>
              <w:spacing w:after="0"/>
              <w:jc w:val="center"/>
              <w:rPr>
                <w:rFonts w:asciiTheme="minorHAnsi" w:hAnsiTheme="minorHAnsi" w:cstheme="minorHAnsi"/>
                <w:b/>
                <w:bCs/>
                <w:sz w:val="18"/>
                <w:szCs w:val="18"/>
              </w:rPr>
            </w:pPr>
            <w:r w:rsidRPr="007D7D23">
              <w:rPr>
                <w:rFonts w:asciiTheme="minorHAnsi" w:hAnsiTheme="minorHAnsi" w:cs="Arial"/>
                <w:b/>
                <w:bCs/>
                <w:sz w:val="18"/>
                <w:szCs w:val="18"/>
              </w:rPr>
              <w:t>N/A</w:t>
            </w:r>
          </w:p>
        </w:tc>
        <w:tc>
          <w:tcPr>
            <w:tcW w:w="1090" w:type="dxa"/>
            <w:tcBorders>
              <w:top w:val="single" w:sz="4" w:space="0" w:color="BFBFBF" w:themeColor="background1" w:themeShade="BF"/>
              <w:left w:val="nil"/>
              <w:bottom w:val="single" w:sz="4" w:space="0" w:color="BFBFBF" w:themeColor="background1" w:themeShade="BF"/>
              <w:right w:val="nil"/>
            </w:tcBorders>
            <w:vAlign w:val="center"/>
            <w:hideMark/>
          </w:tcPr>
          <w:p w14:paraId="1B339788" w14:textId="77777777" w:rsidR="008873CE" w:rsidRPr="007D7D23" w:rsidRDefault="008873CE" w:rsidP="007D7D23">
            <w:pPr>
              <w:keepNext/>
              <w:tabs>
                <w:tab w:val="left" w:pos="720"/>
              </w:tabs>
              <w:spacing w:after="0"/>
              <w:jc w:val="center"/>
              <w:rPr>
                <w:rFonts w:asciiTheme="minorHAnsi" w:hAnsiTheme="minorHAnsi" w:cstheme="minorHAnsi"/>
                <w:b/>
                <w:bCs/>
                <w:sz w:val="18"/>
                <w:szCs w:val="18"/>
              </w:rPr>
            </w:pPr>
            <w:r w:rsidRPr="007D7D23">
              <w:rPr>
                <w:rFonts w:asciiTheme="minorHAnsi" w:hAnsiTheme="minorHAnsi" w:cs="Arial"/>
                <w:b/>
                <w:bCs/>
                <w:sz w:val="18"/>
                <w:szCs w:val="18"/>
              </w:rPr>
              <w:t>N/A</w:t>
            </w:r>
          </w:p>
        </w:tc>
        <w:tc>
          <w:tcPr>
            <w:tcW w:w="1090" w:type="dxa"/>
            <w:tcBorders>
              <w:top w:val="single" w:sz="4" w:space="0" w:color="BFBFBF" w:themeColor="background1" w:themeShade="BF"/>
              <w:left w:val="nil"/>
              <w:bottom w:val="single" w:sz="4" w:space="0" w:color="BFBFBF" w:themeColor="background1" w:themeShade="BF"/>
              <w:right w:val="nil"/>
            </w:tcBorders>
            <w:vAlign w:val="center"/>
            <w:hideMark/>
          </w:tcPr>
          <w:p w14:paraId="2548FD5F" w14:textId="77777777" w:rsidR="008873CE" w:rsidRPr="007D7D23" w:rsidRDefault="008873CE" w:rsidP="007D7D23">
            <w:pPr>
              <w:keepNext/>
              <w:tabs>
                <w:tab w:val="left" w:pos="720"/>
              </w:tabs>
              <w:spacing w:after="0"/>
              <w:jc w:val="center"/>
              <w:rPr>
                <w:rFonts w:asciiTheme="minorHAnsi" w:hAnsiTheme="minorHAnsi" w:cstheme="minorHAnsi"/>
                <w:b/>
                <w:bCs/>
                <w:sz w:val="18"/>
                <w:szCs w:val="18"/>
              </w:rPr>
            </w:pPr>
            <w:r w:rsidRPr="007D7D23">
              <w:rPr>
                <w:rFonts w:asciiTheme="minorHAnsi" w:hAnsiTheme="minorHAnsi" w:cs="Arial"/>
                <w:b/>
                <w:bCs/>
                <w:sz w:val="18"/>
                <w:szCs w:val="18"/>
              </w:rPr>
              <w:t>82</w:t>
            </w:r>
          </w:p>
        </w:tc>
        <w:tc>
          <w:tcPr>
            <w:tcW w:w="1090" w:type="dxa"/>
            <w:tcBorders>
              <w:top w:val="single" w:sz="4" w:space="0" w:color="BFBFBF" w:themeColor="background1" w:themeShade="BF"/>
              <w:left w:val="nil"/>
              <w:bottom w:val="single" w:sz="4" w:space="0" w:color="BFBFBF" w:themeColor="background1" w:themeShade="BF"/>
              <w:right w:val="nil"/>
            </w:tcBorders>
            <w:vAlign w:val="center"/>
            <w:hideMark/>
          </w:tcPr>
          <w:p w14:paraId="7C2CEB7E" w14:textId="77777777" w:rsidR="008873CE" w:rsidRPr="007D7D23" w:rsidRDefault="008873CE" w:rsidP="007D7D23">
            <w:pPr>
              <w:keepNext/>
              <w:tabs>
                <w:tab w:val="left" w:pos="720"/>
              </w:tabs>
              <w:spacing w:after="0"/>
              <w:jc w:val="center"/>
              <w:rPr>
                <w:rFonts w:asciiTheme="minorHAnsi" w:hAnsiTheme="minorHAnsi" w:cstheme="minorHAnsi"/>
                <w:b/>
                <w:bCs/>
                <w:sz w:val="18"/>
                <w:szCs w:val="18"/>
              </w:rPr>
            </w:pPr>
            <w:r w:rsidRPr="007D7D23">
              <w:rPr>
                <w:rFonts w:asciiTheme="minorHAnsi" w:hAnsiTheme="minorHAnsi" w:cs="Arial"/>
                <w:b/>
                <w:bCs/>
                <w:sz w:val="18"/>
                <w:szCs w:val="18"/>
              </w:rPr>
              <w:t>54</w:t>
            </w:r>
          </w:p>
        </w:tc>
      </w:tr>
      <w:tr w:rsidR="008873CE" w:rsidRPr="007D7D23" w14:paraId="3A9B7690" w14:textId="77777777" w:rsidTr="007D7D23">
        <w:trPr>
          <w:cantSplit/>
        </w:trPr>
        <w:tc>
          <w:tcPr>
            <w:tcW w:w="2475" w:type="dxa"/>
            <w:tcBorders>
              <w:top w:val="single" w:sz="4" w:space="0" w:color="BFBFBF" w:themeColor="background1" w:themeShade="BF"/>
              <w:left w:val="nil"/>
              <w:right w:val="nil"/>
            </w:tcBorders>
            <w:vAlign w:val="center"/>
            <w:hideMark/>
          </w:tcPr>
          <w:p w14:paraId="2CF0DF97" w14:textId="77777777" w:rsidR="008873CE" w:rsidRPr="007D7D23" w:rsidRDefault="008873CE" w:rsidP="007D7D23">
            <w:pPr>
              <w:keepNext/>
              <w:tabs>
                <w:tab w:val="left" w:pos="270"/>
              </w:tabs>
              <w:spacing w:after="0"/>
              <w:rPr>
                <w:rFonts w:asciiTheme="minorHAnsi" w:hAnsiTheme="minorHAnsi" w:cstheme="minorHAnsi"/>
                <w:bCs/>
                <w:sz w:val="18"/>
                <w:szCs w:val="18"/>
              </w:rPr>
            </w:pPr>
            <w:r w:rsidRPr="007D7D23">
              <w:rPr>
                <w:rFonts w:asciiTheme="minorHAnsi" w:hAnsiTheme="minorHAnsi" w:cs="Arial"/>
                <w:bCs/>
                <w:iCs/>
                <w:sz w:val="18"/>
                <w:szCs w:val="18"/>
              </w:rPr>
              <w:t>Threshold Exceeded?</w:t>
            </w:r>
          </w:p>
        </w:tc>
        <w:tc>
          <w:tcPr>
            <w:tcW w:w="1089" w:type="dxa"/>
            <w:tcBorders>
              <w:top w:val="single" w:sz="4" w:space="0" w:color="BFBFBF" w:themeColor="background1" w:themeShade="BF"/>
              <w:left w:val="nil"/>
              <w:right w:val="nil"/>
            </w:tcBorders>
            <w:vAlign w:val="center"/>
            <w:hideMark/>
          </w:tcPr>
          <w:p w14:paraId="2FBE627F" w14:textId="77777777" w:rsidR="008873CE" w:rsidRPr="007D7D23" w:rsidRDefault="008873CE" w:rsidP="007D7D23">
            <w:pPr>
              <w:keepNext/>
              <w:tabs>
                <w:tab w:val="left" w:pos="720"/>
              </w:tabs>
              <w:spacing w:after="0"/>
              <w:jc w:val="center"/>
              <w:rPr>
                <w:rFonts w:asciiTheme="minorHAnsi" w:hAnsiTheme="minorHAnsi" w:cstheme="minorHAnsi"/>
                <w:bCs/>
                <w:sz w:val="18"/>
                <w:szCs w:val="18"/>
              </w:rPr>
            </w:pPr>
            <w:r w:rsidRPr="007D7D23">
              <w:rPr>
                <w:rFonts w:asciiTheme="minorHAnsi" w:hAnsiTheme="minorHAnsi" w:cstheme="minorHAnsi"/>
                <w:bCs/>
                <w:sz w:val="18"/>
                <w:szCs w:val="18"/>
              </w:rPr>
              <w:t>No</w:t>
            </w:r>
          </w:p>
        </w:tc>
        <w:tc>
          <w:tcPr>
            <w:tcW w:w="1090" w:type="dxa"/>
            <w:tcBorders>
              <w:top w:val="single" w:sz="4" w:space="0" w:color="BFBFBF" w:themeColor="background1" w:themeShade="BF"/>
              <w:left w:val="nil"/>
              <w:right w:val="nil"/>
            </w:tcBorders>
            <w:tcMar>
              <w:top w:w="86" w:type="dxa"/>
              <w:left w:w="115" w:type="dxa"/>
              <w:bottom w:w="86" w:type="dxa"/>
              <w:right w:w="115" w:type="dxa"/>
            </w:tcMar>
            <w:vAlign w:val="center"/>
            <w:hideMark/>
          </w:tcPr>
          <w:p w14:paraId="35D57648" w14:textId="77777777" w:rsidR="008873CE" w:rsidRPr="007D7D23" w:rsidRDefault="008873CE" w:rsidP="007D7D23">
            <w:pPr>
              <w:keepNext/>
              <w:tabs>
                <w:tab w:val="left" w:pos="720"/>
              </w:tabs>
              <w:spacing w:after="0"/>
              <w:jc w:val="center"/>
              <w:rPr>
                <w:rFonts w:asciiTheme="minorHAnsi" w:hAnsiTheme="minorHAnsi" w:cstheme="minorHAnsi"/>
                <w:bCs/>
                <w:sz w:val="18"/>
                <w:szCs w:val="18"/>
              </w:rPr>
            </w:pPr>
            <w:r w:rsidRPr="007D7D23">
              <w:rPr>
                <w:rFonts w:asciiTheme="minorHAnsi" w:hAnsiTheme="minorHAnsi" w:cstheme="minorHAnsi"/>
                <w:bCs/>
                <w:sz w:val="18"/>
                <w:szCs w:val="18"/>
              </w:rPr>
              <w:t>No</w:t>
            </w:r>
          </w:p>
        </w:tc>
        <w:tc>
          <w:tcPr>
            <w:tcW w:w="1090" w:type="dxa"/>
            <w:tcBorders>
              <w:top w:val="single" w:sz="4" w:space="0" w:color="BFBFBF" w:themeColor="background1" w:themeShade="BF"/>
              <w:left w:val="nil"/>
              <w:right w:val="nil"/>
            </w:tcBorders>
            <w:vAlign w:val="center"/>
            <w:hideMark/>
          </w:tcPr>
          <w:p w14:paraId="59278152" w14:textId="77777777" w:rsidR="008873CE" w:rsidRPr="007D7D23" w:rsidRDefault="008873CE" w:rsidP="007D7D23">
            <w:pPr>
              <w:keepNext/>
              <w:tabs>
                <w:tab w:val="left" w:pos="720"/>
              </w:tabs>
              <w:spacing w:after="0"/>
              <w:jc w:val="center"/>
              <w:rPr>
                <w:rFonts w:asciiTheme="minorHAnsi" w:hAnsiTheme="minorHAnsi" w:cstheme="minorHAnsi"/>
                <w:bCs/>
                <w:sz w:val="18"/>
                <w:szCs w:val="18"/>
              </w:rPr>
            </w:pPr>
            <w:r w:rsidRPr="007D7D23">
              <w:rPr>
                <w:rFonts w:asciiTheme="minorHAnsi" w:hAnsiTheme="minorHAnsi" w:cs="Arial"/>
                <w:bCs/>
                <w:sz w:val="18"/>
                <w:szCs w:val="18"/>
              </w:rPr>
              <w:t>N/A</w:t>
            </w:r>
          </w:p>
        </w:tc>
        <w:tc>
          <w:tcPr>
            <w:tcW w:w="1090" w:type="dxa"/>
            <w:tcBorders>
              <w:top w:val="single" w:sz="4" w:space="0" w:color="BFBFBF" w:themeColor="background1" w:themeShade="BF"/>
              <w:left w:val="nil"/>
              <w:right w:val="nil"/>
            </w:tcBorders>
            <w:vAlign w:val="center"/>
            <w:hideMark/>
          </w:tcPr>
          <w:p w14:paraId="5B990679" w14:textId="77777777" w:rsidR="008873CE" w:rsidRPr="007D7D23" w:rsidRDefault="008873CE" w:rsidP="007D7D23">
            <w:pPr>
              <w:keepNext/>
              <w:tabs>
                <w:tab w:val="left" w:pos="720"/>
              </w:tabs>
              <w:spacing w:after="0"/>
              <w:jc w:val="center"/>
              <w:rPr>
                <w:rFonts w:asciiTheme="minorHAnsi" w:hAnsiTheme="minorHAnsi" w:cstheme="minorHAnsi"/>
                <w:bCs/>
                <w:sz w:val="18"/>
                <w:szCs w:val="18"/>
              </w:rPr>
            </w:pPr>
            <w:r w:rsidRPr="007D7D23">
              <w:rPr>
                <w:rFonts w:asciiTheme="minorHAnsi" w:hAnsiTheme="minorHAnsi" w:cs="Arial"/>
                <w:bCs/>
                <w:sz w:val="18"/>
                <w:szCs w:val="18"/>
              </w:rPr>
              <w:t>N/A</w:t>
            </w:r>
          </w:p>
        </w:tc>
        <w:tc>
          <w:tcPr>
            <w:tcW w:w="1090" w:type="dxa"/>
            <w:tcBorders>
              <w:top w:val="single" w:sz="4" w:space="0" w:color="BFBFBF" w:themeColor="background1" w:themeShade="BF"/>
              <w:left w:val="nil"/>
              <w:right w:val="nil"/>
            </w:tcBorders>
            <w:vAlign w:val="center"/>
            <w:hideMark/>
          </w:tcPr>
          <w:p w14:paraId="189A2813" w14:textId="77777777" w:rsidR="008873CE" w:rsidRPr="007D7D23" w:rsidRDefault="008873CE" w:rsidP="007D7D23">
            <w:pPr>
              <w:keepNext/>
              <w:tabs>
                <w:tab w:val="left" w:pos="720"/>
              </w:tabs>
              <w:spacing w:after="0"/>
              <w:jc w:val="center"/>
              <w:rPr>
                <w:rFonts w:asciiTheme="minorHAnsi" w:hAnsiTheme="minorHAnsi" w:cstheme="minorHAnsi"/>
                <w:bCs/>
                <w:sz w:val="18"/>
                <w:szCs w:val="18"/>
              </w:rPr>
            </w:pPr>
            <w:r w:rsidRPr="007D7D23">
              <w:rPr>
                <w:rFonts w:asciiTheme="minorHAnsi" w:hAnsiTheme="minorHAnsi" w:cs="Arial"/>
                <w:bCs/>
                <w:sz w:val="18"/>
                <w:szCs w:val="18"/>
              </w:rPr>
              <w:t>No</w:t>
            </w:r>
          </w:p>
        </w:tc>
        <w:tc>
          <w:tcPr>
            <w:tcW w:w="1090" w:type="dxa"/>
            <w:tcBorders>
              <w:top w:val="single" w:sz="4" w:space="0" w:color="BFBFBF" w:themeColor="background1" w:themeShade="BF"/>
              <w:left w:val="nil"/>
              <w:right w:val="nil"/>
            </w:tcBorders>
            <w:vAlign w:val="center"/>
            <w:hideMark/>
          </w:tcPr>
          <w:p w14:paraId="6D002BC1" w14:textId="77777777" w:rsidR="008873CE" w:rsidRPr="007D7D23" w:rsidRDefault="008873CE" w:rsidP="007D7D23">
            <w:pPr>
              <w:keepNext/>
              <w:tabs>
                <w:tab w:val="left" w:pos="720"/>
              </w:tabs>
              <w:spacing w:after="0"/>
              <w:jc w:val="center"/>
              <w:rPr>
                <w:rFonts w:asciiTheme="minorHAnsi" w:hAnsiTheme="minorHAnsi" w:cstheme="minorHAnsi"/>
                <w:bCs/>
                <w:sz w:val="18"/>
                <w:szCs w:val="18"/>
              </w:rPr>
            </w:pPr>
            <w:r w:rsidRPr="007D7D23">
              <w:rPr>
                <w:rFonts w:asciiTheme="minorHAnsi" w:hAnsiTheme="minorHAnsi" w:cs="Arial"/>
                <w:bCs/>
                <w:sz w:val="18"/>
                <w:szCs w:val="18"/>
              </w:rPr>
              <w:t>No</w:t>
            </w:r>
          </w:p>
        </w:tc>
      </w:tr>
      <w:tr w:rsidR="008873CE" w:rsidRPr="00E5753A" w14:paraId="1393F9C4" w14:textId="77777777" w:rsidTr="007D7D23">
        <w:trPr>
          <w:cantSplit/>
        </w:trPr>
        <w:tc>
          <w:tcPr>
            <w:tcW w:w="9014" w:type="dxa"/>
            <w:gridSpan w:val="7"/>
            <w:tcBorders>
              <w:top w:val="single" w:sz="4" w:space="0" w:color="auto"/>
              <w:left w:val="nil"/>
              <w:bottom w:val="single" w:sz="4" w:space="0" w:color="auto"/>
              <w:right w:val="nil"/>
            </w:tcBorders>
            <w:vAlign w:val="center"/>
            <w:hideMark/>
          </w:tcPr>
          <w:p w14:paraId="79203811" w14:textId="77777777" w:rsidR="008873CE" w:rsidRPr="008E16DB" w:rsidRDefault="008873CE" w:rsidP="00C85545">
            <w:pPr>
              <w:tabs>
                <w:tab w:val="left" w:pos="0"/>
              </w:tabs>
              <w:spacing w:before="60" w:after="60"/>
              <w:rPr>
                <w:rFonts w:ascii="Calibri" w:hAnsi="Calibri"/>
                <w:sz w:val="16"/>
                <w:szCs w:val="16"/>
              </w:rPr>
            </w:pPr>
            <w:r w:rsidRPr="008E16DB">
              <w:rPr>
                <w:rFonts w:ascii="Calibri" w:hAnsi="Calibri"/>
                <w:sz w:val="16"/>
                <w:szCs w:val="16"/>
              </w:rPr>
              <w:t>ROG = reactive organic gases, NO</w:t>
            </w:r>
            <w:r w:rsidRPr="008E16DB">
              <w:rPr>
                <w:rFonts w:ascii="Calibri" w:hAnsi="Calibri"/>
                <w:sz w:val="16"/>
                <w:szCs w:val="16"/>
                <w:vertAlign w:val="subscript"/>
              </w:rPr>
              <w:t>X</w:t>
            </w:r>
            <w:r w:rsidRPr="008E16DB">
              <w:rPr>
                <w:rFonts w:ascii="Calibri" w:hAnsi="Calibri"/>
                <w:sz w:val="16"/>
                <w:szCs w:val="16"/>
              </w:rPr>
              <w:t xml:space="preserve"> = nitrogen oxides, CO = carbon monoxide, SO</w:t>
            </w:r>
            <w:r w:rsidRPr="008E16DB">
              <w:rPr>
                <w:rFonts w:ascii="Calibri" w:hAnsi="Calibri"/>
                <w:sz w:val="16"/>
                <w:szCs w:val="16"/>
                <w:vertAlign w:val="subscript"/>
              </w:rPr>
              <w:t>2</w:t>
            </w:r>
            <w:r w:rsidRPr="008E16DB">
              <w:rPr>
                <w:rFonts w:ascii="Calibri" w:hAnsi="Calibri"/>
                <w:sz w:val="16"/>
                <w:szCs w:val="16"/>
              </w:rPr>
              <w:t xml:space="preserve"> = sulfur dioxide, PM</w:t>
            </w:r>
            <w:r w:rsidRPr="008E16DB">
              <w:rPr>
                <w:rFonts w:ascii="Calibri" w:hAnsi="Calibri"/>
                <w:sz w:val="16"/>
                <w:szCs w:val="16"/>
                <w:vertAlign w:val="subscript"/>
              </w:rPr>
              <w:t>10</w:t>
            </w:r>
            <w:r w:rsidRPr="008E16DB">
              <w:rPr>
                <w:rFonts w:ascii="Calibri" w:hAnsi="Calibri"/>
                <w:sz w:val="16"/>
                <w:szCs w:val="16"/>
              </w:rPr>
              <w:t xml:space="preserve"> = particulate matter 10 microns in diameter or less, PM</w:t>
            </w:r>
            <w:r w:rsidRPr="008E16DB">
              <w:rPr>
                <w:rFonts w:ascii="Calibri" w:hAnsi="Calibri"/>
                <w:sz w:val="16"/>
                <w:szCs w:val="16"/>
                <w:vertAlign w:val="subscript"/>
              </w:rPr>
              <w:t>2.5</w:t>
            </w:r>
            <w:r w:rsidRPr="008E16DB">
              <w:rPr>
                <w:rFonts w:ascii="Calibri" w:hAnsi="Calibri"/>
                <w:sz w:val="16"/>
                <w:szCs w:val="16"/>
              </w:rPr>
              <w:t xml:space="preserve"> = particulate matter 2.5 microns</w:t>
            </w:r>
            <w:r>
              <w:rPr>
                <w:rFonts w:ascii="Calibri" w:hAnsi="Calibri"/>
                <w:sz w:val="16"/>
                <w:szCs w:val="16"/>
              </w:rPr>
              <w:t xml:space="preserve"> in </w:t>
            </w:r>
            <w:r w:rsidRPr="008E16DB">
              <w:rPr>
                <w:rFonts w:ascii="Calibri" w:hAnsi="Calibri"/>
                <w:sz w:val="16"/>
                <w:szCs w:val="16"/>
              </w:rPr>
              <w:t>diameter</w:t>
            </w:r>
            <w:r>
              <w:rPr>
                <w:rFonts w:ascii="Calibri" w:hAnsi="Calibri"/>
                <w:sz w:val="16"/>
                <w:szCs w:val="16"/>
              </w:rPr>
              <w:t xml:space="preserve"> or less</w:t>
            </w:r>
            <w:r w:rsidRPr="008E16DB">
              <w:rPr>
                <w:rFonts w:ascii="Calibri" w:hAnsi="Calibri"/>
                <w:sz w:val="16"/>
                <w:szCs w:val="16"/>
              </w:rPr>
              <w:t>; lbs/day = pounds per day, BAAQMD = Bay Area Air Quality Management District</w:t>
            </w:r>
          </w:p>
          <w:p w14:paraId="6413E87F" w14:textId="77777777" w:rsidR="008873CE" w:rsidRPr="008E16DB" w:rsidRDefault="008873CE" w:rsidP="00C85545">
            <w:pPr>
              <w:tabs>
                <w:tab w:val="left" w:pos="0"/>
              </w:tabs>
              <w:spacing w:before="60" w:after="60"/>
              <w:rPr>
                <w:rFonts w:ascii="Calibri" w:hAnsi="Calibri"/>
                <w:sz w:val="16"/>
                <w:szCs w:val="16"/>
              </w:rPr>
            </w:pPr>
            <w:r w:rsidRPr="008E16DB">
              <w:rPr>
                <w:rFonts w:ascii="Calibri" w:hAnsi="Calibri"/>
                <w:sz w:val="16"/>
                <w:szCs w:val="16"/>
              </w:rPr>
              <w:t>N/A =</w:t>
            </w:r>
            <w:r w:rsidRPr="008E16DB">
              <w:rPr>
                <w:rFonts w:asciiTheme="minorHAnsi" w:hAnsiTheme="minorHAnsi"/>
                <w:sz w:val="16"/>
                <w:szCs w:val="16"/>
              </w:rPr>
              <w:t xml:space="preserve"> Not available. </w:t>
            </w:r>
            <w:r w:rsidRPr="008E16DB">
              <w:rPr>
                <w:rFonts w:ascii="Calibri" w:hAnsi="Calibri"/>
                <w:sz w:val="16"/>
                <w:szCs w:val="16"/>
              </w:rPr>
              <w:t>BAAQMD has not established recommended quantitative thresholds for CO and SO</w:t>
            </w:r>
            <w:r w:rsidRPr="008E16DB">
              <w:rPr>
                <w:rFonts w:ascii="Calibri" w:hAnsi="Calibri"/>
                <w:sz w:val="16"/>
                <w:szCs w:val="16"/>
                <w:vertAlign w:val="subscript"/>
              </w:rPr>
              <w:t>2</w:t>
            </w:r>
            <w:r w:rsidRPr="008E16DB">
              <w:rPr>
                <w:rFonts w:ascii="Calibri" w:hAnsi="Calibri"/>
                <w:sz w:val="16"/>
                <w:szCs w:val="16"/>
              </w:rPr>
              <w:t xml:space="preserve">. </w:t>
            </w:r>
          </w:p>
          <w:p w14:paraId="6ACB47F2" w14:textId="77777777" w:rsidR="008873CE" w:rsidRPr="008873CE" w:rsidRDefault="008873CE" w:rsidP="00C85545">
            <w:pPr>
              <w:tabs>
                <w:tab w:val="left" w:pos="0"/>
              </w:tabs>
              <w:spacing w:before="60" w:after="60"/>
              <w:rPr>
                <w:rFonts w:asciiTheme="minorHAnsi" w:hAnsiTheme="minorHAnsi" w:cs="Tahoma"/>
                <w:sz w:val="16"/>
                <w:szCs w:val="16"/>
                <w:highlight w:val="lightGray"/>
                <w:lang w:eastAsia="ar-SA"/>
              </w:rPr>
            </w:pPr>
            <w:r w:rsidRPr="008E16DB">
              <w:rPr>
                <w:rFonts w:ascii="Calibri" w:hAnsi="Calibri"/>
                <w:sz w:val="16"/>
                <w:szCs w:val="16"/>
              </w:rPr>
              <w:t xml:space="preserve">Notes: All emissions modeling was completed using CalEEMod in accordance with applicant-provided information and data. </w:t>
            </w:r>
            <w:r w:rsidRPr="008E16DB">
              <w:rPr>
                <w:rFonts w:asciiTheme="minorHAnsi" w:hAnsiTheme="minorHAnsi" w:cs="Tahoma"/>
                <w:sz w:val="16"/>
                <w:szCs w:val="16"/>
                <w:lang w:eastAsia="ar-SA"/>
              </w:rPr>
              <w:t>Emissions presented are the highest of the winter and summer modeled emissions. See Appendix AQ for model output results.</w:t>
            </w:r>
          </w:p>
        </w:tc>
      </w:tr>
    </w:tbl>
    <w:p w14:paraId="056CBA72" w14:textId="58B8D194" w:rsidR="0069146E" w:rsidRDefault="0069146E" w:rsidP="007D7D23">
      <w:pPr>
        <w:pStyle w:val="bodyafter"/>
      </w:pPr>
      <w:r w:rsidRPr="004032F6">
        <w:t xml:space="preserve">As shown </w:t>
      </w:r>
      <w:r w:rsidR="00FC6841">
        <w:t xml:space="preserve">in </w:t>
      </w:r>
      <w:r w:rsidR="00FC6841">
        <w:fldChar w:fldCharType="begin"/>
      </w:r>
      <w:r w:rsidR="00FC6841">
        <w:instrText xml:space="preserve"> REF _Ref90295299 \h </w:instrText>
      </w:r>
      <w:r w:rsidR="00FC6841">
        <w:fldChar w:fldCharType="separate"/>
      </w:r>
      <w:r w:rsidR="00FA55F1">
        <w:t xml:space="preserve">Table </w:t>
      </w:r>
      <w:r w:rsidR="00FA55F1">
        <w:rPr>
          <w:noProof/>
        </w:rPr>
        <w:t>7</w:t>
      </w:r>
      <w:r w:rsidR="00FC6841">
        <w:fldChar w:fldCharType="end"/>
      </w:r>
      <w:r w:rsidRPr="004032F6">
        <w:t xml:space="preserve">, construction-related emissions would not exceed </w:t>
      </w:r>
      <w:r>
        <w:t>BAAQMD</w:t>
      </w:r>
      <w:r w:rsidRPr="004032F6">
        <w:t xml:space="preserve"> thresholds. Therefore, project construction would not result in a cumulatively considerable net increase of any criteria pollutant for which the project region is non-attainment under an applicable federal or state ambient air quality standard. Impacts would be less than significant.</w:t>
      </w:r>
    </w:p>
    <w:p w14:paraId="2EE18894" w14:textId="3942E7AD" w:rsidR="008873CE" w:rsidRPr="00BD4A6E" w:rsidRDefault="008873CE" w:rsidP="008873CE">
      <w:pPr>
        <w:pStyle w:val="Heading6"/>
        <w:rPr>
          <w:rFonts w:ascii="Calibri" w:hAnsi="Calibri"/>
          <w:sz w:val="21"/>
        </w:rPr>
      </w:pPr>
      <w:r w:rsidRPr="008E16DB">
        <w:t>Fugitive Dust</w:t>
      </w:r>
    </w:p>
    <w:p w14:paraId="457C6436" w14:textId="5A0758BC" w:rsidR="008774FB" w:rsidRPr="0045794B" w:rsidRDefault="008873CE" w:rsidP="00C60C90">
      <w:pPr>
        <w:pStyle w:val="body0"/>
      </w:pPr>
      <w:r w:rsidRPr="008E16DB">
        <w:t xml:space="preserve">Site preparation and grading may cause wind-blown dust that could contribute particulate matter into the local atmosphere. </w:t>
      </w:r>
      <w:r w:rsidR="00C60C90" w:rsidRPr="00F036A3">
        <w:t xml:space="preserve">BAAQMD does not have quantitative thresholds for fugitive dust emissions during construction. Instead, BAAQMD recommends Best Management Practices (BMPs) be implemented to reduce fugitive dust emissions. </w:t>
      </w:r>
      <w:r w:rsidR="00F441B7" w:rsidRPr="00996B7E">
        <w:rPr>
          <w:rStyle w:val="BodyTextChar0"/>
          <w:iCs/>
        </w:rPr>
        <w:t>The project applicant would be required to implement th</w:t>
      </w:r>
      <w:r w:rsidR="00F441B7">
        <w:rPr>
          <w:rStyle w:val="BodyTextChar0"/>
          <w:iCs/>
        </w:rPr>
        <w:t>e</w:t>
      </w:r>
      <w:r w:rsidR="00F441B7" w:rsidRPr="00996B7E">
        <w:rPr>
          <w:rStyle w:val="BodyTextChar0"/>
          <w:iCs/>
        </w:rPr>
        <w:t xml:space="preserve"> BAAQMD Basic Construction Mitigation Measures pursuant to the City of Mountain View standard condition of approval</w:t>
      </w:r>
      <w:r w:rsidR="00F441B7">
        <w:rPr>
          <w:rStyle w:val="BodyTextChar0"/>
          <w:iCs/>
        </w:rPr>
        <w:t xml:space="preserve"> (PL-192)</w:t>
      </w:r>
      <w:r w:rsidR="00F441B7" w:rsidRPr="00996B7E">
        <w:rPr>
          <w:rStyle w:val="BodyTextChar0"/>
          <w:iCs/>
        </w:rPr>
        <w:t xml:space="preserve"> to reduce fugitive dust emissions</w:t>
      </w:r>
      <w:r w:rsidR="00F441B7">
        <w:rPr>
          <w:rStyle w:val="BodyTextChar0"/>
          <w:i/>
          <w:iCs/>
        </w:rPr>
        <w:t xml:space="preserve"> </w:t>
      </w:r>
      <w:r w:rsidR="00F441B7" w:rsidRPr="006E553E">
        <w:rPr>
          <w:rStyle w:val="BodyTextChar0"/>
        </w:rPr>
        <w:t>from construction activities</w:t>
      </w:r>
      <w:r w:rsidR="00FC6841">
        <w:rPr>
          <w:iCs/>
        </w:rPr>
        <w:t xml:space="preserve">. </w:t>
      </w:r>
      <w:r w:rsidR="008774FB">
        <w:t xml:space="preserve">The BAAQMD CEQA Air Quality Guidelines consider construction criteria air pollutant emissions impacts </w:t>
      </w:r>
      <w:r w:rsidR="0045794B">
        <w:t>that are below BAAQMD thresholds to be less than significant with the incorporation of BAAQMD BMPs</w:t>
      </w:r>
      <w:r w:rsidR="00E96906">
        <w:t>. Impacts would be less than significant.</w:t>
      </w:r>
      <w:r w:rsidR="0045794B">
        <w:t xml:space="preserve"> </w:t>
      </w:r>
    </w:p>
    <w:p w14:paraId="4BE4A28E" w14:textId="77777777" w:rsidR="008873CE" w:rsidRDefault="008873CE" w:rsidP="008873CE">
      <w:pPr>
        <w:pStyle w:val="Heading5"/>
      </w:pPr>
      <w:r>
        <w:t>Operational Emissions</w:t>
      </w:r>
    </w:p>
    <w:p w14:paraId="1D3CECBE" w14:textId="0E85FEDA" w:rsidR="00820FC0" w:rsidRDefault="008873CE" w:rsidP="008873CE">
      <w:pPr>
        <w:pStyle w:val="BodyText"/>
      </w:pPr>
      <w:bookmarkStart w:id="160" w:name="_Hlk63936825"/>
      <w:r w:rsidRPr="004032F6">
        <w:t xml:space="preserve">Operation of the project would generate criteria air pollutant emissions associated with area sources (e.g., architectural coatings, consumer products, and landscaping equipment), energy sources (i.e., </w:t>
      </w:r>
      <w:r>
        <w:t xml:space="preserve">nonrenewable energy sources) </w:t>
      </w:r>
      <w:r w:rsidRPr="004032F6">
        <w:t xml:space="preserve">and mobile sources (i.e., vehicle trips to and from the project site). </w:t>
      </w:r>
      <w:bookmarkEnd w:id="160"/>
      <w:r>
        <w:fldChar w:fldCharType="begin"/>
      </w:r>
      <w:r>
        <w:instrText xml:space="preserve"> REF _Ref90295428 \h </w:instrText>
      </w:r>
      <w:r>
        <w:fldChar w:fldCharType="separate"/>
      </w:r>
      <w:r w:rsidR="00FA55F1" w:rsidRPr="008F1792">
        <w:t xml:space="preserve">Table </w:t>
      </w:r>
      <w:r w:rsidR="00FA55F1">
        <w:rPr>
          <w:noProof/>
        </w:rPr>
        <w:t>8</w:t>
      </w:r>
      <w:r>
        <w:fldChar w:fldCharType="end"/>
      </w:r>
      <w:r>
        <w:t xml:space="preserve"> </w:t>
      </w:r>
      <w:r w:rsidRPr="004032F6">
        <w:t>summarizes the project’s maximum daily operational emissions by emission source</w:t>
      </w:r>
      <w:r>
        <w:t xml:space="preserve">, and </w:t>
      </w:r>
      <w:r>
        <w:fldChar w:fldCharType="begin"/>
      </w:r>
      <w:r>
        <w:instrText xml:space="preserve"> REF _Ref90295441 \h </w:instrText>
      </w:r>
      <w:r>
        <w:fldChar w:fldCharType="separate"/>
      </w:r>
      <w:r w:rsidR="00FA55F1" w:rsidRPr="00820FC0">
        <w:t xml:space="preserve">Table </w:t>
      </w:r>
      <w:r w:rsidR="00FA55F1">
        <w:rPr>
          <w:noProof/>
        </w:rPr>
        <w:t>9</w:t>
      </w:r>
      <w:r>
        <w:fldChar w:fldCharType="end"/>
      </w:r>
      <w:r>
        <w:t xml:space="preserve"> summarizes the project’s maximum annual operational emissions by emission source</w:t>
      </w:r>
      <w:r w:rsidRPr="004032F6">
        <w:t xml:space="preserve">. </w:t>
      </w:r>
    </w:p>
    <w:p w14:paraId="4552EF9E" w14:textId="2F5CE1F7" w:rsidR="008873CE" w:rsidRPr="008F1792" w:rsidRDefault="008873CE" w:rsidP="00E207B4">
      <w:pPr>
        <w:pStyle w:val="TableCaption"/>
        <w:pageBreakBefore/>
      </w:pPr>
      <w:bookmarkStart w:id="161" w:name="_Ref90295428"/>
      <w:bookmarkStart w:id="162" w:name="_Toc112942457"/>
      <w:r w:rsidRPr="008F1792">
        <w:lastRenderedPageBreak/>
        <w:t xml:space="preserve">Table </w:t>
      </w:r>
      <w:fldSimple w:instr=" SEQ Table \* ARABIC ">
        <w:r w:rsidR="00FA55F1">
          <w:rPr>
            <w:noProof/>
          </w:rPr>
          <w:t>8</w:t>
        </w:r>
      </w:fldSimple>
      <w:bookmarkEnd w:id="161"/>
      <w:r w:rsidRPr="008F1792">
        <w:tab/>
        <w:t>Estimated Daily Operational Emissions</w:t>
      </w:r>
      <w:bookmarkEnd w:id="162"/>
    </w:p>
    <w:tbl>
      <w:tblPr>
        <w:tblW w:w="9014" w:type="dxa"/>
        <w:tblLayout w:type="fixed"/>
        <w:tblLook w:val="04A0" w:firstRow="1" w:lastRow="0" w:firstColumn="1" w:lastColumn="0" w:noHBand="0" w:noVBand="1"/>
      </w:tblPr>
      <w:tblGrid>
        <w:gridCol w:w="2017"/>
        <w:gridCol w:w="1166"/>
        <w:gridCol w:w="1166"/>
        <w:gridCol w:w="1166"/>
        <w:gridCol w:w="1166"/>
        <w:gridCol w:w="1166"/>
        <w:gridCol w:w="1167"/>
      </w:tblGrid>
      <w:tr w:rsidR="008873CE" w:rsidRPr="00E5753A" w14:paraId="5141895D" w14:textId="77777777" w:rsidTr="00C85545">
        <w:trPr>
          <w:cantSplit/>
        </w:trPr>
        <w:tc>
          <w:tcPr>
            <w:tcW w:w="2017" w:type="dxa"/>
            <w:shd w:val="clear" w:color="auto" w:fill="000000" w:themeFill="text1"/>
            <w:tcMar>
              <w:top w:w="86" w:type="dxa"/>
              <w:left w:w="115" w:type="dxa"/>
              <w:bottom w:w="86" w:type="dxa"/>
              <w:right w:w="115" w:type="dxa"/>
            </w:tcMar>
            <w:vAlign w:val="bottom"/>
          </w:tcPr>
          <w:p w14:paraId="19BF5BE3" w14:textId="77777777" w:rsidR="008873CE" w:rsidRPr="008873CE" w:rsidRDefault="008873CE" w:rsidP="0064015D">
            <w:pPr>
              <w:tabs>
                <w:tab w:val="left" w:pos="0"/>
              </w:tabs>
              <w:spacing w:before="20" w:after="20"/>
              <w:rPr>
                <w:rFonts w:asciiTheme="minorHAnsi" w:hAnsiTheme="minorHAnsi"/>
                <w:b/>
                <w:sz w:val="18"/>
                <w:szCs w:val="18"/>
                <w:highlight w:val="lightGray"/>
              </w:rPr>
            </w:pPr>
          </w:p>
        </w:tc>
        <w:tc>
          <w:tcPr>
            <w:tcW w:w="6997" w:type="dxa"/>
            <w:gridSpan w:val="6"/>
            <w:tcBorders>
              <w:top w:val="nil"/>
              <w:left w:val="nil"/>
              <w:right w:val="nil"/>
            </w:tcBorders>
            <w:shd w:val="clear" w:color="auto" w:fill="000000" w:themeFill="text1"/>
            <w:vAlign w:val="center"/>
            <w:hideMark/>
          </w:tcPr>
          <w:p w14:paraId="5D34E4FC" w14:textId="77777777" w:rsidR="008873CE" w:rsidRPr="00E177DA" w:rsidRDefault="008873CE" w:rsidP="0064015D">
            <w:pPr>
              <w:pBdr>
                <w:bottom w:val="single" w:sz="4" w:space="1" w:color="FFFFFF" w:themeColor="background1"/>
              </w:pBdr>
              <w:tabs>
                <w:tab w:val="left" w:pos="0"/>
              </w:tabs>
              <w:spacing w:before="20" w:after="20"/>
              <w:jc w:val="center"/>
              <w:rPr>
                <w:rFonts w:asciiTheme="minorHAnsi" w:hAnsiTheme="minorHAnsi"/>
                <w:b/>
                <w:sz w:val="18"/>
                <w:szCs w:val="18"/>
              </w:rPr>
            </w:pPr>
            <w:r w:rsidRPr="00E177DA">
              <w:rPr>
                <w:rFonts w:asciiTheme="minorHAnsi" w:hAnsiTheme="minorHAnsi"/>
                <w:b/>
                <w:sz w:val="18"/>
                <w:szCs w:val="18"/>
              </w:rPr>
              <w:t>Maximum Daily Emissions (lbs/day)</w:t>
            </w:r>
          </w:p>
        </w:tc>
      </w:tr>
      <w:tr w:rsidR="008873CE" w:rsidRPr="00E5753A" w14:paraId="1C68DAFE" w14:textId="77777777" w:rsidTr="00C85545">
        <w:trPr>
          <w:cantSplit/>
        </w:trPr>
        <w:tc>
          <w:tcPr>
            <w:tcW w:w="2017" w:type="dxa"/>
            <w:shd w:val="clear" w:color="auto" w:fill="000000" w:themeFill="text1"/>
            <w:vAlign w:val="bottom"/>
            <w:hideMark/>
          </w:tcPr>
          <w:p w14:paraId="5A3F8B40" w14:textId="77777777" w:rsidR="008873CE" w:rsidRPr="00E177DA" w:rsidRDefault="008873CE" w:rsidP="0064015D">
            <w:pPr>
              <w:tabs>
                <w:tab w:val="left" w:pos="0"/>
              </w:tabs>
              <w:spacing w:before="20" w:after="20"/>
              <w:rPr>
                <w:rFonts w:asciiTheme="minorHAnsi" w:hAnsiTheme="minorHAnsi"/>
                <w:b/>
                <w:sz w:val="18"/>
                <w:szCs w:val="18"/>
              </w:rPr>
            </w:pPr>
            <w:r w:rsidRPr="00E177DA">
              <w:rPr>
                <w:rFonts w:asciiTheme="minorHAnsi" w:hAnsiTheme="minorHAnsi"/>
                <w:b/>
                <w:sz w:val="18"/>
                <w:szCs w:val="18"/>
              </w:rPr>
              <w:t>Emissions Source</w:t>
            </w:r>
          </w:p>
        </w:tc>
        <w:tc>
          <w:tcPr>
            <w:tcW w:w="1166" w:type="dxa"/>
            <w:tcBorders>
              <w:left w:val="nil"/>
              <w:right w:val="nil"/>
            </w:tcBorders>
            <w:shd w:val="clear" w:color="auto" w:fill="000000" w:themeFill="text1"/>
            <w:tcMar>
              <w:top w:w="0" w:type="dxa"/>
              <w:left w:w="115" w:type="dxa"/>
              <w:bottom w:w="0" w:type="dxa"/>
              <w:right w:w="115" w:type="dxa"/>
            </w:tcMar>
            <w:vAlign w:val="bottom"/>
            <w:hideMark/>
          </w:tcPr>
          <w:p w14:paraId="52CE079E" w14:textId="77777777" w:rsidR="008873CE" w:rsidRPr="00E177DA" w:rsidRDefault="008873CE" w:rsidP="0064015D">
            <w:pPr>
              <w:tabs>
                <w:tab w:val="left" w:pos="0"/>
              </w:tabs>
              <w:spacing w:before="20" w:after="20"/>
              <w:jc w:val="center"/>
              <w:rPr>
                <w:rFonts w:asciiTheme="minorHAnsi" w:hAnsiTheme="minorHAnsi"/>
                <w:b/>
                <w:sz w:val="18"/>
                <w:szCs w:val="18"/>
              </w:rPr>
            </w:pPr>
            <w:r w:rsidRPr="00E177DA">
              <w:rPr>
                <w:rFonts w:asciiTheme="minorHAnsi" w:hAnsiTheme="minorHAnsi"/>
                <w:b/>
                <w:sz w:val="18"/>
                <w:szCs w:val="18"/>
              </w:rPr>
              <w:t>ROG</w:t>
            </w:r>
          </w:p>
        </w:tc>
        <w:tc>
          <w:tcPr>
            <w:tcW w:w="1166" w:type="dxa"/>
            <w:tcBorders>
              <w:left w:val="nil"/>
              <w:right w:val="nil"/>
            </w:tcBorders>
            <w:shd w:val="clear" w:color="auto" w:fill="000000" w:themeFill="text1"/>
            <w:tcMar>
              <w:top w:w="86" w:type="dxa"/>
              <w:left w:w="115" w:type="dxa"/>
              <w:bottom w:w="86" w:type="dxa"/>
              <w:right w:w="115" w:type="dxa"/>
            </w:tcMar>
            <w:vAlign w:val="bottom"/>
            <w:hideMark/>
          </w:tcPr>
          <w:p w14:paraId="45070B6B" w14:textId="77777777" w:rsidR="008873CE" w:rsidRPr="00E177DA" w:rsidRDefault="008873CE" w:rsidP="0064015D">
            <w:pPr>
              <w:tabs>
                <w:tab w:val="left" w:pos="0"/>
              </w:tabs>
              <w:spacing w:before="20" w:after="20"/>
              <w:jc w:val="center"/>
              <w:rPr>
                <w:rFonts w:asciiTheme="minorHAnsi" w:hAnsiTheme="minorHAnsi"/>
                <w:b/>
                <w:sz w:val="18"/>
                <w:szCs w:val="18"/>
              </w:rPr>
            </w:pPr>
            <w:r w:rsidRPr="00E177DA">
              <w:rPr>
                <w:rFonts w:asciiTheme="minorHAnsi" w:hAnsiTheme="minorHAnsi"/>
                <w:b/>
                <w:sz w:val="18"/>
                <w:szCs w:val="18"/>
              </w:rPr>
              <w:t>NO</w:t>
            </w:r>
            <w:r w:rsidRPr="00E177DA">
              <w:rPr>
                <w:rFonts w:asciiTheme="minorHAnsi" w:hAnsiTheme="minorHAnsi"/>
                <w:b/>
                <w:sz w:val="18"/>
                <w:szCs w:val="18"/>
                <w:vertAlign w:val="subscript"/>
              </w:rPr>
              <w:t>x</w:t>
            </w:r>
          </w:p>
        </w:tc>
        <w:tc>
          <w:tcPr>
            <w:tcW w:w="1166" w:type="dxa"/>
            <w:tcBorders>
              <w:left w:val="nil"/>
              <w:right w:val="nil"/>
            </w:tcBorders>
            <w:shd w:val="clear" w:color="auto" w:fill="000000" w:themeFill="text1"/>
            <w:vAlign w:val="bottom"/>
            <w:hideMark/>
          </w:tcPr>
          <w:p w14:paraId="3A4DEB9A" w14:textId="77777777" w:rsidR="008873CE" w:rsidRPr="00E177DA" w:rsidRDefault="008873CE" w:rsidP="0064015D">
            <w:pPr>
              <w:tabs>
                <w:tab w:val="left" w:pos="0"/>
              </w:tabs>
              <w:spacing w:before="20" w:after="20"/>
              <w:jc w:val="center"/>
              <w:rPr>
                <w:rFonts w:asciiTheme="minorHAnsi" w:hAnsiTheme="minorHAnsi"/>
                <w:b/>
                <w:sz w:val="18"/>
                <w:szCs w:val="18"/>
              </w:rPr>
            </w:pPr>
            <w:r w:rsidRPr="00E177DA">
              <w:rPr>
                <w:rFonts w:asciiTheme="minorHAnsi" w:hAnsiTheme="minorHAnsi"/>
                <w:b/>
                <w:sz w:val="18"/>
                <w:szCs w:val="18"/>
              </w:rPr>
              <w:t>CO</w:t>
            </w:r>
          </w:p>
        </w:tc>
        <w:tc>
          <w:tcPr>
            <w:tcW w:w="1166" w:type="dxa"/>
            <w:tcBorders>
              <w:left w:val="nil"/>
              <w:right w:val="nil"/>
            </w:tcBorders>
            <w:shd w:val="clear" w:color="auto" w:fill="000000" w:themeFill="text1"/>
            <w:vAlign w:val="bottom"/>
            <w:hideMark/>
          </w:tcPr>
          <w:p w14:paraId="5A5443B7" w14:textId="77777777" w:rsidR="008873CE" w:rsidRPr="00E177DA" w:rsidRDefault="008873CE" w:rsidP="0064015D">
            <w:pPr>
              <w:tabs>
                <w:tab w:val="left" w:pos="0"/>
              </w:tabs>
              <w:spacing w:before="20" w:after="20"/>
              <w:jc w:val="center"/>
              <w:rPr>
                <w:rFonts w:asciiTheme="minorHAnsi" w:hAnsiTheme="minorHAnsi"/>
                <w:b/>
                <w:sz w:val="18"/>
                <w:szCs w:val="18"/>
              </w:rPr>
            </w:pPr>
            <w:r w:rsidRPr="00E177DA">
              <w:rPr>
                <w:rFonts w:asciiTheme="minorHAnsi" w:hAnsiTheme="minorHAnsi"/>
                <w:b/>
                <w:sz w:val="18"/>
                <w:szCs w:val="18"/>
              </w:rPr>
              <w:t>SO</w:t>
            </w:r>
            <w:r w:rsidRPr="00E177DA">
              <w:rPr>
                <w:rFonts w:asciiTheme="minorHAnsi" w:hAnsiTheme="minorHAnsi"/>
                <w:b/>
                <w:sz w:val="18"/>
                <w:szCs w:val="18"/>
                <w:vertAlign w:val="subscript"/>
              </w:rPr>
              <w:t>2</w:t>
            </w:r>
          </w:p>
        </w:tc>
        <w:tc>
          <w:tcPr>
            <w:tcW w:w="1166" w:type="dxa"/>
            <w:tcBorders>
              <w:left w:val="nil"/>
              <w:right w:val="nil"/>
            </w:tcBorders>
            <w:shd w:val="clear" w:color="auto" w:fill="000000" w:themeFill="text1"/>
            <w:tcMar>
              <w:top w:w="0" w:type="dxa"/>
              <w:left w:w="115" w:type="dxa"/>
              <w:bottom w:w="0" w:type="dxa"/>
              <w:right w:w="115" w:type="dxa"/>
            </w:tcMar>
            <w:vAlign w:val="bottom"/>
            <w:hideMark/>
          </w:tcPr>
          <w:p w14:paraId="6DB6BC56" w14:textId="77777777" w:rsidR="008873CE" w:rsidRPr="00E177DA" w:rsidRDefault="008873CE" w:rsidP="0064015D">
            <w:pPr>
              <w:tabs>
                <w:tab w:val="left" w:pos="0"/>
              </w:tabs>
              <w:spacing w:before="20" w:after="20"/>
              <w:jc w:val="center"/>
              <w:rPr>
                <w:rFonts w:asciiTheme="minorHAnsi" w:hAnsiTheme="minorHAnsi"/>
                <w:b/>
                <w:sz w:val="18"/>
                <w:szCs w:val="18"/>
              </w:rPr>
            </w:pPr>
            <w:r w:rsidRPr="00E177DA">
              <w:rPr>
                <w:rFonts w:asciiTheme="minorHAnsi" w:hAnsiTheme="minorHAnsi"/>
                <w:b/>
                <w:sz w:val="18"/>
                <w:szCs w:val="18"/>
              </w:rPr>
              <w:t>PM</w:t>
            </w:r>
            <w:r w:rsidRPr="00E177DA">
              <w:rPr>
                <w:rFonts w:asciiTheme="minorHAnsi" w:hAnsiTheme="minorHAnsi"/>
                <w:b/>
                <w:sz w:val="18"/>
                <w:szCs w:val="18"/>
                <w:vertAlign w:val="subscript"/>
              </w:rPr>
              <w:t>10</w:t>
            </w:r>
          </w:p>
        </w:tc>
        <w:tc>
          <w:tcPr>
            <w:tcW w:w="1167" w:type="dxa"/>
            <w:tcBorders>
              <w:left w:val="nil"/>
              <w:right w:val="nil"/>
            </w:tcBorders>
            <w:shd w:val="clear" w:color="auto" w:fill="000000" w:themeFill="text1"/>
            <w:vAlign w:val="bottom"/>
            <w:hideMark/>
          </w:tcPr>
          <w:p w14:paraId="16642EEC" w14:textId="77777777" w:rsidR="008873CE" w:rsidRPr="00E177DA" w:rsidRDefault="008873CE" w:rsidP="0064015D">
            <w:pPr>
              <w:tabs>
                <w:tab w:val="left" w:pos="0"/>
              </w:tabs>
              <w:spacing w:before="20" w:after="20"/>
              <w:jc w:val="center"/>
              <w:rPr>
                <w:rFonts w:asciiTheme="minorHAnsi" w:hAnsiTheme="minorHAnsi"/>
                <w:b/>
                <w:sz w:val="18"/>
                <w:szCs w:val="18"/>
              </w:rPr>
            </w:pPr>
            <w:r w:rsidRPr="00E177DA">
              <w:rPr>
                <w:rFonts w:asciiTheme="minorHAnsi" w:hAnsiTheme="minorHAnsi"/>
                <w:b/>
                <w:sz w:val="18"/>
                <w:szCs w:val="18"/>
              </w:rPr>
              <w:t>PM</w:t>
            </w:r>
            <w:r w:rsidRPr="00E177DA">
              <w:rPr>
                <w:rFonts w:asciiTheme="minorHAnsi" w:hAnsiTheme="minorHAnsi"/>
                <w:b/>
                <w:sz w:val="18"/>
                <w:szCs w:val="18"/>
                <w:vertAlign w:val="subscript"/>
              </w:rPr>
              <w:t>2.5</w:t>
            </w:r>
          </w:p>
        </w:tc>
      </w:tr>
      <w:tr w:rsidR="008873CE" w:rsidRPr="00E5753A" w14:paraId="67FEDAEB" w14:textId="77777777" w:rsidTr="00C85545">
        <w:trPr>
          <w:cantSplit/>
        </w:trPr>
        <w:tc>
          <w:tcPr>
            <w:tcW w:w="2017" w:type="dxa"/>
            <w:tcBorders>
              <w:left w:val="nil"/>
              <w:right w:val="nil"/>
            </w:tcBorders>
            <w:vAlign w:val="center"/>
          </w:tcPr>
          <w:p w14:paraId="7DA61225" w14:textId="77777777" w:rsidR="008873CE" w:rsidRPr="00E177DA" w:rsidRDefault="008873CE" w:rsidP="0064015D">
            <w:pPr>
              <w:tabs>
                <w:tab w:val="left" w:pos="468"/>
              </w:tabs>
              <w:spacing w:after="0"/>
              <w:outlineLvl w:val="4"/>
              <w:rPr>
                <w:rFonts w:asciiTheme="minorHAnsi" w:hAnsiTheme="minorHAnsi" w:cs="Arial"/>
                <w:sz w:val="18"/>
                <w:szCs w:val="18"/>
                <w:vertAlign w:val="superscript"/>
              </w:rPr>
            </w:pPr>
            <w:r w:rsidRPr="00E177DA">
              <w:rPr>
                <w:rFonts w:asciiTheme="minorHAnsi" w:hAnsiTheme="minorHAnsi" w:cs="Arial"/>
                <w:sz w:val="18"/>
                <w:szCs w:val="18"/>
              </w:rPr>
              <w:t>Area</w:t>
            </w:r>
          </w:p>
        </w:tc>
        <w:tc>
          <w:tcPr>
            <w:tcW w:w="1166" w:type="dxa"/>
            <w:tcBorders>
              <w:left w:val="nil"/>
              <w:right w:val="nil"/>
            </w:tcBorders>
            <w:tcMar>
              <w:top w:w="0" w:type="dxa"/>
              <w:left w:w="115" w:type="dxa"/>
              <w:bottom w:w="0" w:type="dxa"/>
              <w:right w:w="115" w:type="dxa"/>
            </w:tcMar>
          </w:tcPr>
          <w:p w14:paraId="67130768" w14:textId="77777777" w:rsidR="008873CE" w:rsidRPr="00E177DA" w:rsidRDefault="008873CE" w:rsidP="0064015D">
            <w:pPr>
              <w:spacing w:after="0"/>
              <w:jc w:val="center"/>
              <w:rPr>
                <w:rFonts w:asciiTheme="minorHAnsi" w:eastAsiaTheme="minorHAnsi" w:hAnsiTheme="minorHAnsi" w:cstheme="minorBidi"/>
                <w:sz w:val="18"/>
                <w:szCs w:val="18"/>
              </w:rPr>
            </w:pPr>
            <w:r>
              <w:rPr>
                <w:rFonts w:asciiTheme="minorHAnsi" w:eastAsiaTheme="minorHAnsi" w:hAnsiTheme="minorHAnsi" w:cstheme="minorBidi"/>
                <w:sz w:val="18"/>
                <w:szCs w:val="18"/>
              </w:rPr>
              <w:t>1</w:t>
            </w:r>
          </w:p>
        </w:tc>
        <w:tc>
          <w:tcPr>
            <w:tcW w:w="1166" w:type="dxa"/>
            <w:tcBorders>
              <w:left w:val="nil"/>
              <w:right w:val="nil"/>
            </w:tcBorders>
            <w:tcMar>
              <w:top w:w="86" w:type="dxa"/>
              <w:left w:w="115" w:type="dxa"/>
              <w:bottom w:w="86" w:type="dxa"/>
              <w:right w:w="115" w:type="dxa"/>
            </w:tcMar>
          </w:tcPr>
          <w:p w14:paraId="60100542" w14:textId="77777777" w:rsidR="008873CE" w:rsidRPr="00E177DA" w:rsidRDefault="008873CE" w:rsidP="0064015D">
            <w:pPr>
              <w:spacing w:after="0"/>
              <w:jc w:val="center"/>
              <w:rPr>
                <w:rFonts w:asciiTheme="minorHAnsi" w:eastAsiaTheme="minorHAnsi" w:hAnsiTheme="minorHAnsi" w:cstheme="minorBidi"/>
                <w:sz w:val="18"/>
                <w:szCs w:val="18"/>
              </w:rPr>
            </w:pPr>
            <w:r>
              <w:rPr>
                <w:rFonts w:asciiTheme="minorHAnsi" w:eastAsiaTheme="minorHAnsi" w:hAnsiTheme="minorHAnsi" w:cstheme="minorBidi"/>
                <w:sz w:val="18"/>
                <w:szCs w:val="18"/>
              </w:rPr>
              <w:t>&lt;1</w:t>
            </w:r>
          </w:p>
        </w:tc>
        <w:tc>
          <w:tcPr>
            <w:tcW w:w="1166" w:type="dxa"/>
            <w:tcBorders>
              <w:left w:val="nil"/>
              <w:right w:val="nil"/>
            </w:tcBorders>
          </w:tcPr>
          <w:p w14:paraId="61A6A511" w14:textId="77777777" w:rsidR="008873CE" w:rsidRPr="00E177DA" w:rsidRDefault="008873CE" w:rsidP="0064015D">
            <w:pPr>
              <w:spacing w:after="0"/>
              <w:jc w:val="center"/>
              <w:rPr>
                <w:rFonts w:asciiTheme="minorHAnsi" w:eastAsiaTheme="minorHAnsi" w:hAnsiTheme="minorHAnsi" w:cstheme="minorBidi"/>
                <w:sz w:val="18"/>
                <w:szCs w:val="18"/>
              </w:rPr>
            </w:pPr>
            <w:r>
              <w:rPr>
                <w:rFonts w:asciiTheme="minorHAnsi" w:eastAsiaTheme="minorHAnsi" w:hAnsiTheme="minorHAnsi" w:cstheme="minorBidi"/>
                <w:sz w:val="18"/>
                <w:szCs w:val="18"/>
              </w:rPr>
              <w:t>&lt;1</w:t>
            </w:r>
          </w:p>
        </w:tc>
        <w:tc>
          <w:tcPr>
            <w:tcW w:w="1166" w:type="dxa"/>
            <w:tcBorders>
              <w:left w:val="nil"/>
              <w:right w:val="nil"/>
            </w:tcBorders>
          </w:tcPr>
          <w:p w14:paraId="51177330" w14:textId="77777777" w:rsidR="008873CE" w:rsidRPr="00E177DA" w:rsidRDefault="008873CE" w:rsidP="0064015D">
            <w:pPr>
              <w:spacing w:after="0"/>
              <w:jc w:val="center"/>
              <w:rPr>
                <w:rFonts w:asciiTheme="minorHAnsi" w:eastAsiaTheme="minorHAnsi" w:hAnsiTheme="minorHAnsi" w:cstheme="minorBidi"/>
                <w:sz w:val="18"/>
                <w:szCs w:val="18"/>
              </w:rPr>
            </w:pPr>
            <w:r>
              <w:rPr>
                <w:rFonts w:asciiTheme="minorHAnsi" w:eastAsiaTheme="minorHAnsi" w:hAnsiTheme="minorHAnsi" w:cstheme="minorBidi"/>
                <w:sz w:val="18"/>
                <w:szCs w:val="18"/>
              </w:rPr>
              <w:t>0</w:t>
            </w:r>
          </w:p>
        </w:tc>
        <w:tc>
          <w:tcPr>
            <w:tcW w:w="1166" w:type="dxa"/>
            <w:tcBorders>
              <w:left w:val="nil"/>
              <w:right w:val="nil"/>
            </w:tcBorders>
            <w:tcMar>
              <w:top w:w="0" w:type="dxa"/>
              <w:left w:w="115" w:type="dxa"/>
              <w:bottom w:w="0" w:type="dxa"/>
              <w:right w:w="115" w:type="dxa"/>
            </w:tcMar>
          </w:tcPr>
          <w:p w14:paraId="0BAAD581" w14:textId="77777777" w:rsidR="008873CE" w:rsidRPr="00E177DA" w:rsidRDefault="008873CE" w:rsidP="0064015D">
            <w:pPr>
              <w:spacing w:after="0"/>
              <w:jc w:val="center"/>
              <w:rPr>
                <w:rFonts w:asciiTheme="minorHAnsi" w:eastAsiaTheme="minorHAnsi" w:hAnsiTheme="minorHAnsi" w:cstheme="minorBidi"/>
                <w:sz w:val="18"/>
                <w:szCs w:val="18"/>
              </w:rPr>
            </w:pPr>
            <w:r>
              <w:rPr>
                <w:rFonts w:asciiTheme="minorHAnsi" w:eastAsiaTheme="minorHAnsi" w:hAnsiTheme="minorHAnsi" w:cstheme="minorBidi"/>
                <w:sz w:val="18"/>
                <w:szCs w:val="18"/>
              </w:rPr>
              <w:t>&lt;1</w:t>
            </w:r>
          </w:p>
        </w:tc>
        <w:tc>
          <w:tcPr>
            <w:tcW w:w="1167" w:type="dxa"/>
            <w:tcBorders>
              <w:left w:val="nil"/>
              <w:right w:val="nil"/>
            </w:tcBorders>
          </w:tcPr>
          <w:p w14:paraId="33CD59E8" w14:textId="77777777" w:rsidR="008873CE" w:rsidRPr="00E177DA" w:rsidRDefault="008873CE" w:rsidP="0064015D">
            <w:pPr>
              <w:spacing w:after="0"/>
              <w:jc w:val="center"/>
              <w:rPr>
                <w:rFonts w:asciiTheme="minorHAnsi" w:eastAsiaTheme="minorHAnsi" w:hAnsiTheme="minorHAnsi" w:cstheme="minorBidi"/>
                <w:sz w:val="18"/>
                <w:szCs w:val="18"/>
              </w:rPr>
            </w:pPr>
            <w:r>
              <w:rPr>
                <w:rFonts w:asciiTheme="minorHAnsi" w:eastAsiaTheme="minorHAnsi" w:hAnsiTheme="minorHAnsi" w:cstheme="minorBidi"/>
                <w:sz w:val="18"/>
                <w:szCs w:val="18"/>
              </w:rPr>
              <w:t>&lt;1</w:t>
            </w:r>
          </w:p>
        </w:tc>
      </w:tr>
      <w:tr w:rsidR="008873CE" w:rsidRPr="00E5753A" w14:paraId="7C14E238" w14:textId="77777777" w:rsidTr="00C85545">
        <w:trPr>
          <w:cantSplit/>
        </w:trPr>
        <w:tc>
          <w:tcPr>
            <w:tcW w:w="2017" w:type="dxa"/>
            <w:tcBorders>
              <w:left w:val="nil"/>
              <w:bottom w:val="single" w:sz="4" w:space="0" w:color="BFBFBF" w:themeColor="background1" w:themeShade="BF"/>
              <w:right w:val="nil"/>
            </w:tcBorders>
            <w:vAlign w:val="center"/>
          </w:tcPr>
          <w:p w14:paraId="372147B5" w14:textId="77777777" w:rsidR="008873CE" w:rsidRPr="00E177DA" w:rsidRDefault="008873CE" w:rsidP="0064015D">
            <w:pPr>
              <w:tabs>
                <w:tab w:val="left" w:pos="468"/>
              </w:tabs>
              <w:spacing w:after="0"/>
              <w:outlineLvl w:val="4"/>
              <w:rPr>
                <w:rFonts w:asciiTheme="minorHAnsi" w:hAnsiTheme="minorHAnsi" w:cs="Arial"/>
                <w:sz w:val="18"/>
                <w:szCs w:val="18"/>
                <w:vertAlign w:val="superscript"/>
              </w:rPr>
            </w:pPr>
            <w:r w:rsidRPr="00E177DA">
              <w:rPr>
                <w:rFonts w:asciiTheme="minorHAnsi" w:hAnsiTheme="minorHAnsi" w:cs="Arial"/>
                <w:sz w:val="18"/>
                <w:szCs w:val="18"/>
              </w:rPr>
              <w:t>Mobile</w:t>
            </w:r>
          </w:p>
        </w:tc>
        <w:tc>
          <w:tcPr>
            <w:tcW w:w="1166" w:type="dxa"/>
            <w:tcBorders>
              <w:left w:val="nil"/>
              <w:bottom w:val="single" w:sz="4" w:space="0" w:color="BFBFBF" w:themeColor="background1" w:themeShade="BF"/>
              <w:right w:val="nil"/>
            </w:tcBorders>
            <w:tcMar>
              <w:top w:w="0" w:type="dxa"/>
              <w:left w:w="115" w:type="dxa"/>
              <w:bottom w:w="0" w:type="dxa"/>
              <w:right w:w="115" w:type="dxa"/>
            </w:tcMar>
          </w:tcPr>
          <w:p w14:paraId="12C8B888" w14:textId="77777777" w:rsidR="008873CE" w:rsidRPr="00E177DA" w:rsidRDefault="008873CE" w:rsidP="0064015D">
            <w:pPr>
              <w:spacing w:after="0"/>
              <w:jc w:val="center"/>
              <w:rPr>
                <w:rFonts w:asciiTheme="minorHAnsi" w:eastAsiaTheme="minorHAnsi" w:hAnsiTheme="minorHAnsi" w:cstheme="minorBidi"/>
                <w:sz w:val="18"/>
                <w:szCs w:val="18"/>
              </w:rPr>
            </w:pPr>
            <w:r>
              <w:rPr>
                <w:rFonts w:asciiTheme="minorHAnsi" w:eastAsiaTheme="minorHAnsi" w:hAnsiTheme="minorHAnsi" w:cstheme="minorBidi"/>
                <w:sz w:val="18"/>
                <w:szCs w:val="18"/>
              </w:rPr>
              <w:t>&lt;1</w:t>
            </w:r>
          </w:p>
        </w:tc>
        <w:tc>
          <w:tcPr>
            <w:tcW w:w="1166" w:type="dxa"/>
            <w:tcBorders>
              <w:left w:val="nil"/>
              <w:bottom w:val="single" w:sz="4" w:space="0" w:color="BFBFBF" w:themeColor="background1" w:themeShade="BF"/>
              <w:right w:val="nil"/>
            </w:tcBorders>
            <w:tcMar>
              <w:top w:w="86" w:type="dxa"/>
              <w:left w:w="115" w:type="dxa"/>
              <w:bottom w:w="86" w:type="dxa"/>
              <w:right w:w="115" w:type="dxa"/>
            </w:tcMar>
          </w:tcPr>
          <w:p w14:paraId="395C01B6" w14:textId="77777777" w:rsidR="008873CE" w:rsidRPr="00E177DA" w:rsidRDefault="008873CE" w:rsidP="0064015D">
            <w:pPr>
              <w:spacing w:after="0"/>
              <w:jc w:val="center"/>
              <w:rPr>
                <w:rFonts w:asciiTheme="minorHAnsi" w:eastAsiaTheme="minorHAnsi" w:hAnsiTheme="minorHAnsi" w:cstheme="minorBidi"/>
                <w:sz w:val="18"/>
                <w:szCs w:val="18"/>
              </w:rPr>
            </w:pPr>
            <w:r>
              <w:rPr>
                <w:rFonts w:asciiTheme="minorHAnsi" w:eastAsiaTheme="minorHAnsi" w:hAnsiTheme="minorHAnsi" w:cstheme="minorBidi"/>
                <w:sz w:val="18"/>
                <w:szCs w:val="18"/>
              </w:rPr>
              <w:t>&lt;1</w:t>
            </w:r>
          </w:p>
        </w:tc>
        <w:tc>
          <w:tcPr>
            <w:tcW w:w="1166" w:type="dxa"/>
            <w:tcBorders>
              <w:left w:val="nil"/>
              <w:bottom w:val="single" w:sz="4" w:space="0" w:color="BFBFBF" w:themeColor="background1" w:themeShade="BF"/>
              <w:right w:val="nil"/>
            </w:tcBorders>
          </w:tcPr>
          <w:p w14:paraId="19BA87D3" w14:textId="77777777" w:rsidR="008873CE" w:rsidRPr="00E177DA" w:rsidRDefault="008873CE" w:rsidP="0064015D">
            <w:pPr>
              <w:spacing w:after="0"/>
              <w:jc w:val="center"/>
              <w:rPr>
                <w:rFonts w:asciiTheme="minorHAnsi" w:eastAsiaTheme="minorHAnsi" w:hAnsiTheme="minorHAnsi" w:cstheme="minorBidi"/>
                <w:sz w:val="18"/>
                <w:szCs w:val="18"/>
              </w:rPr>
            </w:pPr>
            <w:r>
              <w:rPr>
                <w:rFonts w:asciiTheme="minorHAnsi" w:eastAsiaTheme="minorHAnsi" w:hAnsiTheme="minorHAnsi" w:cstheme="minorBidi"/>
                <w:sz w:val="18"/>
                <w:szCs w:val="18"/>
              </w:rPr>
              <w:t>4</w:t>
            </w:r>
          </w:p>
        </w:tc>
        <w:tc>
          <w:tcPr>
            <w:tcW w:w="1166" w:type="dxa"/>
            <w:tcBorders>
              <w:left w:val="nil"/>
              <w:bottom w:val="single" w:sz="4" w:space="0" w:color="BFBFBF" w:themeColor="background1" w:themeShade="BF"/>
              <w:right w:val="nil"/>
            </w:tcBorders>
          </w:tcPr>
          <w:p w14:paraId="23F961ED" w14:textId="77777777" w:rsidR="008873CE" w:rsidRPr="00E177DA" w:rsidRDefault="008873CE" w:rsidP="0064015D">
            <w:pPr>
              <w:spacing w:after="0"/>
              <w:jc w:val="center"/>
              <w:rPr>
                <w:rFonts w:asciiTheme="minorHAnsi" w:eastAsiaTheme="minorHAnsi" w:hAnsiTheme="minorHAnsi" w:cstheme="minorBidi"/>
                <w:sz w:val="18"/>
                <w:szCs w:val="18"/>
              </w:rPr>
            </w:pPr>
            <w:r>
              <w:rPr>
                <w:rFonts w:asciiTheme="minorHAnsi" w:eastAsiaTheme="minorHAnsi" w:hAnsiTheme="minorHAnsi" w:cstheme="minorBidi"/>
                <w:sz w:val="18"/>
                <w:szCs w:val="18"/>
              </w:rPr>
              <w:t>&lt;1</w:t>
            </w:r>
          </w:p>
        </w:tc>
        <w:tc>
          <w:tcPr>
            <w:tcW w:w="1166" w:type="dxa"/>
            <w:tcBorders>
              <w:left w:val="nil"/>
              <w:bottom w:val="single" w:sz="4" w:space="0" w:color="BFBFBF" w:themeColor="background1" w:themeShade="BF"/>
              <w:right w:val="nil"/>
            </w:tcBorders>
            <w:tcMar>
              <w:top w:w="0" w:type="dxa"/>
              <w:left w:w="115" w:type="dxa"/>
              <w:bottom w:w="0" w:type="dxa"/>
              <w:right w:w="115" w:type="dxa"/>
            </w:tcMar>
          </w:tcPr>
          <w:p w14:paraId="312E8462" w14:textId="77777777" w:rsidR="008873CE" w:rsidRPr="00E177DA" w:rsidRDefault="008873CE" w:rsidP="0064015D">
            <w:pPr>
              <w:spacing w:after="0"/>
              <w:jc w:val="center"/>
              <w:rPr>
                <w:rFonts w:asciiTheme="minorHAnsi" w:eastAsiaTheme="minorHAnsi" w:hAnsiTheme="minorHAnsi" w:cstheme="minorBidi"/>
                <w:sz w:val="18"/>
                <w:szCs w:val="18"/>
              </w:rPr>
            </w:pPr>
            <w:r>
              <w:rPr>
                <w:rFonts w:asciiTheme="minorHAnsi" w:eastAsiaTheme="minorHAnsi" w:hAnsiTheme="minorHAnsi" w:cstheme="minorBidi"/>
                <w:sz w:val="18"/>
                <w:szCs w:val="18"/>
              </w:rPr>
              <w:t>&lt;1</w:t>
            </w:r>
          </w:p>
        </w:tc>
        <w:tc>
          <w:tcPr>
            <w:tcW w:w="1167" w:type="dxa"/>
            <w:tcBorders>
              <w:left w:val="nil"/>
              <w:bottom w:val="single" w:sz="4" w:space="0" w:color="BFBFBF" w:themeColor="background1" w:themeShade="BF"/>
              <w:right w:val="nil"/>
            </w:tcBorders>
          </w:tcPr>
          <w:p w14:paraId="609981C9" w14:textId="77777777" w:rsidR="008873CE" w:rsidRPr="00E177DA" w:rsidRDefault="008873CE" w:rsidP="0064015D">
            <w:pPr>
              <w:spacing w:after="0"/>
              <w:jc w:val="center"/>
              <w:rPr>
                <w:rFonts w:asciiTheme="minorHAnsi" w:eastAsiaTheme="minorHAnsi" w:hAnsiTheme="minorHAnsi" w:cstheme="minorBidi"/>
                <w:sz w:val="18"/>
                <w:szCs w:val="18"/>
              </w:rPr>
            </w:pPr>
            <w:r>
              <w:rPr>
                <w:rFonts w:asciiTheme="minorHAnsi" w:eastAsiaTheme="minorHAnsi" w:hAnsiTheme="minorHAnsi" w:cstheme="minorBidi"/>
                <w:sz w:val="18"/>
                <w:szCs w:val="18"/>
              </w:rPr>
              <w:t>&lt;1</w:t>
            </w:r>
          </w:p>
        </w:tc>
      </w:tr>
      <w:tr w:rsidR="008873CE" w:rsidRPr="004853A6" w14:paraId="380AA087" w14:textId="77777777" w:rsidTr="00C85545">
        <w:trPr>
          <w:cantSplit/>
        </w:trPr>
        <w:tc>
          <w:tcPr>
            <w:tcW w:w="2017" w:type="dxa"/>
            <w:tcBorders>
              <w:top w:val="single" w:sz="4" w:space="0" w:color="BFBFBF" w:themeColor="background1" w:themeShade="BF"/>
              <w:left w:val="nil"/>
              <w:bottom w:val="nil"/>
              <w:right w:val="nil"/>
            </w:tcBorders>
            <w:vAlign w:val="center"/>
          </w:tcPr>
          <w:p w14:paraId="48377541" w14:textId="77777777" w:rsidR="008873CE" w:rsidRPr="008873CE" w:rsidRDefault="008873CE" w:rsidP="0064015D">
            <w:pPr>
              <w:tabs>
                <w:tab w:val="left" w:pos="468"/>
              </w:tabs>
              <w:spacing w:after="0"/>
              <w:outlineLvl w:val="4"/>
              <w:rPr>
                <w:rFonts w:asciiTheme="minorHAnsi" w:hAnsiTheme="minorHAnsi" w:cs="Arial"/>
                <w:b/>
                <w:sz w:val="18"/>
                <w:szCs w:val="18"/>
                <w:highlight w:val="lightGray"/>
              </w:rPr>
            </w:pPr>
            <w:r w:rsidRPr="004853A6">
              <w:rPr>
                <w:rFonts w:asciiTheme="minorHAnsi" w:hAnsiTheme="minorHAnsi" w:cs="Arial"/>
                <w:b/>
                <w:sz w:val="18"/>
                <w:szCs w:val="18"/>
              </w:rPr>
              <w:t>Total Emissions</w:t>
            </w:r>
          </w:p>
        </w:tc>
        <w:tc>
          <w:tcPr>
            <w:tcW w:w="1166" w:type="dxa"/>
            <w:tcBorders>
              <w:top w:val="single" w:sz="4" w:space="0" w:color="BFBFBF" w:themeColor="background1" w:themeShade="BF"/>
              <w:left w:val="nil"/>
              <w:bottom w:val="nil"/>
              <w:right w:val="nil"/>
            </w:tcBorders>
            <w:tcMar>
              <w:top w:w="0" w:type="dxa"/>
              <w:left w:w="115" w:type="dxa"/>
              <w:bottom w:w="0" w:type="dxa"/>
              <w:right w:w="115" w:type="dxa"/>
            </w:tcMar>
          </w:tcPr>
          <w:p w14:paraId="129A22A5" w14:textId="77777777" w:rsidR="008873CE" w:rsidRPr="004853A6" w:rsidRDefault="008873CE" w:rsidP="0064015D">
            <w:pPr>
              <w:spacing w:after="0"/>
              <w:jc w:val="center"/>
              <w:rPr>
                <w:rFonts w:asciiTheme="minorHAnsi" w:eastAsiaTheme="minorHAnsi" w:hAnsiTheme="minorHAnsi" w:cstheme="minorBidi"/>
                <w:b/>
                <w:sz w:val="18"/>
                <w:szCs w:val="18"/>
              </w:rPr>
            </w:pPr>
            <w:r>
              <w:rPr>
                <w:rFonts w:asciiTheme="minorHAnsi" w:eastAsiaTheme="minorHAnsi" w:hAnsiTheme="minorHAnsi" w:cstheme="minorBidi"/>
                <w:b/>
                <w:sz w:val="18"/>
                <w:szCs w:val="18"/>
              </w:rPr>
              <w:t>1</w:t>
            </w:r>
          </w:p>
        </w:tc>
        <w:tc>
          <w:tcPr>
            <w:tcW w:w="1166" w:type="dxa"/>
            <w:tcBorders>
              <w:top w:val="single" w:sz="4" w:space="0" w:color="BFBFBF" w:themeColor="background1" w:themeShade="BF"/>
              <w:left w:val="nil"/>
              <w:bottom w:val="nil"/>
              <w:right w:val="nil"/>
            </w:tcBorders>
            <w:tcMar>
              <w:top w:w="86" w:type="dxa"/>
              <w:left w:w="115" w:type="dxa"/>
              <w:bottom w:w="86" w:type="dxa"/>
              <w:right w:w="115" w:type="dxa"/>
            </w:tcMar>
          </w:tcPr>
          <w:p w14:paraId="3E2FDA39" w14:textId="77777777" w:rsidR="008873CE" w:rsidRPr="004853A6" w:rsidRDefault="008873CE" w:rsidP="0064015D">
            <w:pPr>
              <w:spacing w:after="0"/>
              <w:jc w:val="center"/>
              <w:rPr>
                <w:rFonts w:asciiTheme="minorHAnsi" w:eastAsiaTheme="minorHAnsi" w:hAnsiTheme="minorHAnsi" w:cstheme="minorBidi"/>
                <w:b/>
                <w:sz w:val="18"/>
                <w:szCs w:val="18"/>
              </w:rPr>
            </w:pPr>
            <w:r>
              <w:rPr>
                <w:rFonts w:asciiTheme="minorHAnsi" w:eastAsiaTheme="minorHAnsi" w:hAnsiTheme="minorHAnsi" w:cstheme="minorBidi"/>
                <w:b/>
                <w:sz w:val="18"/>
                <w:szCs w:val="18"/>
              </w:rPr>
              <w:t>&lt;1</w:t>
            </w:r>
          </w:p>
        </w:tc>
        <w:tc>
          <w:tcPr>
            <w:tcW w:w="1166" w:type="dxa"/>
            <w:tcBorders>
              <w:top w:val="single" w:sz="4" w:space="0" w:color="BFBFBF" w:themeColor="background1" w:themeShade="BF"/>
              <w:left w:val="nil"/>
              <w:bottom w:val="nil"/>
              <w:right w:val="nil"/>
            </w:tcBorders>
          </w:tcPr>
          <w:p w14:paraId="4CD3A515" w14:textId="77777777" w:rsidR="008873CE" w:rsidRPr="004853A6" w:rsidRDefault="008873CE" w:rsidP="0064015D">
            <w:pPr>
              <w:spacing w:after="0"/>
              <w:jc w:val="center"/>
              <w:rPr>
                <w:rFonts w:asciiTheme="minorHAnsi" w:eastAsiaTheme="minorHAnsi" w:hAnsiTheme="minorHAnsi" w:cstheme="minorBidi"/>
                <w:b/>
                <w:sz w:val="18"/>
                <w:szCs w:val="18"/>
              </w:rPr>
            </w:pPr>
            <w:r>
              <w:rPr>
                <w:rFonts w:asciiTheme="minorHAnsi" w:eastAsiaTheme="minorHAnsi" w:hAnsiTheme="minorHAnsi" w:cstheme="minorBidi"/>
                <w:b/>
                <w:sz w:val="18"/>
                <w:szCs w:val="18"/>
              </w:rPr>
              <w:t>4</w:t>
            </w:r>
          </w:p>
        </w:tc>
        <w:tc>
          <w:tcPr>
            <w:tcW w:w="1166" w:type="dxa"/>
            <w:tcBorders>
              <w:top w:val="single" w:sz="4" w:space="0" w:color="BFBFBF" w:themeColor="background1" w:themeShade="BF"/>
              <w:left w:val="nil"/>
              <w:bottom w:val="nil"/>
              <w:right w:val="nil"/>
            </w:tcBorders>
          </w:tcPr>
          <w:p w14:paraId="6E70F171" w14:textId="77777777" w:rsidR="008873CE" w:rsidRPr="004853A6" w:rsidRDefault="008873CE" w:rsidP="0064015D">
            <w:pPr>
              <w:spacing w:after="0"/>
              <w:jc w:val="center"/>
              <w:rPr>
                <w:rFonts w:asciiTheme="minorHAnsi" w:eastAsiaTheme="minorHAnsi" w:hAnsiTheme="minorHAnsi" w:cstheme="minorBidi"/>
                <w:b/>
                <w:sz w:val="18"/>
                <w:szCs w:val="18"/>
              </w:rPr>
            </w:pPr>
            <w:r>
              <w:rPr>
                <w:rFonts w:asciiTheme="minorHAnsi" w:eastAsiaTheme="minorHAnsi" w:hAnsiTheme="minorHAnsi" w:cstheme="minorBidi"/>
                <w:b/>
                <w:sz w:val="18"/>
                <w:szCs w:val="18"/>
              </w:rPr>
              <w:t>&lt;1</w:t>
            </w:r>
          </w:p>
        </w:tc>
        <w:tc>
          <w:tcPr>
            <w:tcW w:w="1166" w:type="dxa"/>
            <w:tcBorders>
              <w:top w:val="single" w:sz="4" w:space="0" w:color="BFBFBF" w:themeColor="background1" w:themeShade="BF"/>
              <w:left w:val="nil"/>
              <w:bottom w:val="nil"/>
              <w:right w:val="nil"/>
            </w:tcBorders>
            <w:tcMar>
              <w:top w:w="0" w:type="dxa"/>
              <w:left w:w="115" w:type="dxa"/>
              <w:bottom w:w="0" w:type="dxa"/>
              <w:right w:w="115" w:type="dxa"/>
            </w:tcMar>
          </w:tcPr>
          <w:p w14:paraId="7DEB5B95" w14:textId="77777777" w:rsidR="008873CE" w:rsidRPr="004853A6" w:rsidRDefault="008873CE" w:rsidP="0064015D">
            <w:pPr>
              <w:spacing w:after="0"/>
              <w:jc w:val="center"/>
              <w:rPr>
                <w:rFonts w:asciiTheme="minorHAnsi" w:eastAsiaTheme="minorHAnsi" w:hAnsiTheme="minorHAnsi" w:cstheme="minorBidi"/>
                <w:b/>
                <w:sz w:val="18"/>
                <w:szCs w:val="18"/>
              </w:rPr>
            </w:pPr>
            <w:r>
              <w:rPr>
                <w:rFonts w:asciiTheme="minorHAnsi" w:eastAsiaTheme="minorHAnsi" w:hAnsiTheme="minorHAnsi" w:cstheme="minorBidi"/>
                <w:b/>
                <w:sz w:val="18"/>
                <w:szCs w:val="18"/>
              </w:rPr>
              <w:t>&lt;1</w:t>
            </w:r>
          </w:p>
        </w:tc>
        <w:tc>
          <w:tcPr>
            <w:tcW w:w="1167" w:type="dxa"/>
            <w:tcBorders>
              <w:top w:val="single" w:sz="4" w:space="0" w:color="BFBFBF" w:themeColor="background1" w:themeShade="BF"/>
              <w:left w:val="nil"/>
              <w:bottom w:val="nil"/>
              <w:right w:val="nil"/>
            </w:tcBorders>
          </w:tcPr>
          <w:p w14:paraId="492553BF" w14:textId="77777777" w:rsidR="008873CE" w:rsidRPr="004853A6" w:rsidRDefault="008873CE" w:rsidP="0064015D">
            <w:pPr>
              <w:spacing w:after="0"/>
              <w:jc w:val="center"/>
              <w:rPr>
                <w:rFonts w:asciiTheme="minorHAnsi" w:eastAsiaTheme="minorHAnsi" w:hAnsiTheme="minorHAnsi" w:cstheme="minorBidi"/>
                <w:b/>
                <w:sz w:val="18"/>
                <w:szCs w:val="18"/>
              </w:rPr>
            </w:pPr>
            <w:r>
              <w:rPr>
                <w:rFonts w:asciiTheme="minorHAnsi" w:eastAsiaTheme="minorHAnsi" w:hAnsiTheme="minorHAnsi" w:cstheme="minorBidi"/>
                <w:b/>
                <w:sz w:val="18"/>
                <w:szCs w:val="18"/>
              </w:rPr>
              <w:t>&lt;1</w:t>
            </w:r>
          </w:p>
        </w:tc>
      </w:tr>
      <w:tr w:rsidR="008873CE" w:rsidRPr="00E5753A" w14:paraId="3F881018" w14:textId="77777777" w:rsidTr="00C85545">
        <w:trPr>
          <w:cantSplit/>
        </w:trPr>
        <w:tc>
          <w:tcPr>
            <w:tcW w:w="2017" w:type="dxa"/>
            <w:vAlign w:val="center"/>
            <w:hideMark/>
          </w:tcPr>
          <w:p w14:paraId="0ABD223A" w14:textId="77777777" w:rsidR="008873CE" w:rsidRPr="004853A6" w:rsidRDefault="008873CE" w:rsidP="0064015D">
            <w:pPr>
              <w:spacing w:after="0"/>
              <w:rPr>
                <w:rFonts w:asciiTheme="minorHAnsi" w:hAnsiTheme="minorHAnsi"/>
                <w:sz w:val="18"/>
                <w:szCs w:val="18"/>
              </w:rPr>
            </w:pPr>
            <w:r w:rsidRPr="004853A6">
              <w:rPr>
                <w:rFonts w:asciiTheme="minorHAnsi" w:hAnsiTheme="minorHAnsi"/>
                <w:sz w:val="18"/>
                <w:szCs w:val="18"/>
              </w:rPr>
              <w:t>BAAQMD Thresholds</w:t>
            </w:r>
          </w:p>
        </w:tc>
        <w:tc>
          <w:tcPr>
            <w:tcW w:w="1166" w:type="dxa"/>
            <w:tcMar>
              <w:top w:w="0" w:type="dxa"/>
              <w:left w:w="115" w:type="dxa"/>
              <w:bottom w:w="0" w:type="dxa"/>
              <w:right w:w="115" w:type="dxa"/>
            </w:tcMar>
            <w:hideMark/>
          </w:tcPr>
          <w:p w14:paraId="14D6D3FA" w14:textId="77777777" w:rsidR="008873CE" w:rsidRPr="004853A6" w:rsidRDefault="008873CE" w:rsidP="0064015D">
            <w:pPr>
              <w:spacing w:after="0"/>
              <w:jc w:val="center"/>
              <w:rPr>
                <w:rFonts w:asciiTheme="minorHAnsi" w:hAnsiTheme="minorHAnsi"/>
                <w:sz w:val="18"/>
                <w:szCs w:val="18"/>
              </w:rPr>
            </w:pPr>
            <w:r w:rsidRPr="004853A6">
              <w:rPr>
                <w:rFonts w:asciiTheme="minorHAnsi" w:hAnsiTheme="minorHAnsi"/>
                <w:sz w:val="18"/>
                <w:szCs w:val="18"/>
              </w:rPr>
              <w:t>54</w:t>
            </w:r>
          </w:p>
        </w:tc>
        <w:tc>
          <w:tcPr>
            <w:tcW w:w="1166" w:type="dxa"/>
            <w:tcMar>
              <w:top w:w="86" w:type="dxa"/>
              <w:left w:w="115" w:type="dxa"/>
              <w:bottom w:w="86" w:type="dxa"/>
              <w:right w:w="115" w:type="dxa"/>
            </w:tcMar>
            <w:hideMark/>
          </w:tcPr>
          <w:p w14:paraId="108EED8C" w14:textId="77777777" w:rsidR="008873CE" w:rsidRPr="004853A6" w:rsidRDefault="008873CE" w:rsidP="0064015D">
            <w:pPr>
              <w:spacing w:after="0"/>
              <w:jc w:val="center"/>
              <w:rPr>
                <w:rFonts w:asciiTheme="minorHAnsi" w:hAnsiTheme="minorHAnsi"/>
                <w:sz w:val="18"/>
                <w:szCs w:val="18"/>
              </w:rPr>
            </w:pPr>
            <w:r w:rsidRPr="004853A6">
              <w:rPr>
                <w:rFonts w:asciiTheme="minorHAnsi" w:hAnsiTheme="minorHAnsi"/>
                <w:sz w:val="18"/>
                <w:szCs w:val="18"/>
              </w:rPr>
              <w:t>54</w:t>
            </w:r>
          </w:p>
        </w:tc>
        <w:tc>
          <w:tcPr>
            <w:tcW w:w="1166" w:type="dxa"/>
            <w:hideMark/>
          </w:tcPr>
          <w:p w14:paraId="563BD186" w14:textId="77777777" w:rsidR="008873CE" w:rsidRPr="004853A6" w:rsidRDefault="008873CE" w:rsidP="0064015D">
            <w:pPr>
              <w:spacing w:after="0"/>
              <w:jc w:val="center"/>
              <w:rPr>
                <w:rFonts w:asciiTheme="minorHAnsi" w:hAnsiTheme="minorHAnsi"/>
                <w:sz w:val="18"/>
                <w:szCs w:val="18"/>
              </w:rPr>
            </w:pPr>
            <w:r w:rsidRPr="004853A6">
              <w:rPr>
                <w:rFonts w:asciiTheme="minorHAnsi" w:hAnsiTheme="minorHAnsi"/>
                <w:sz w:val="18"/>
                <w:szCs w:val="18"/>
              </w:rPr>
              <w:t>N/A</w:t>
            </w:r>
          </w:p>
        </w:tc>
        <w:tc>
          <w:tcPr>
            <w:tcW w:w="1166" w:type="dxa"/>
            <w:hideMark/>
          </w:tcPr>
          <w:p w14:paraId="4FE1EE53" w14:textId="77777777" w:rsidR="008873CE" w:rsidRPr="004853A6" w:rsidRDefault="008873CE" w:rsidP="0064015D">
            <w:pPr>
              <w:spacing w:after="0"/>
              <w:jc w:val="center"/>
              <w:rPr>
                <w:rFonts w:asciiTheme="minorHAnsi" w:hAnsiTheme="minorHAnsi"/>
                <w:sz w:val="18"/>
                <w:szCs w:val="18"/>
              </w:rPr>
            </w:pPr>
            <w:r w:rsidRPr="004853A6">
              <w:rPr>
                <w:rFonts w:asciiTheme="minorHAnsi" w:hAnsiTheme="minorHAnsi"/>
                <w:sz w:val="18"/>
                <w:szCs w:val="18"/>
              </w:rPr>
              <w:t>N/A</w:t>
            </w:r>
          </w:p>
        </w:tc>
        <w:tc>
          <w:tcPr>
            <w:tcW w:w="1166" w:type="dxa"/>
            <w:tcMar>
              <w:top w:w="0" w:type="dxa"/>
              <w:left w:w="115" w:type="dxa"/>
              <w:bottom w:w="0" w:type="dxa"/>
              <w:right w:w="115" w:type="dxa"/>
            </w:tcMar>
            <w:hideMark/>
          </w:tcPr>
          <w:p w14:paraId="2980CE87" w14:textId="77777777" w:rsidR="008873CE" w:rsidRPr="004853A6" w:rsidRDefault="008873CE" w:rsidP="0064015D">
            <w:pPr>
              <w:spacing w:after="0"/>
              <w:jc w:val="center"/>
              <w:rPr>
                <w:rFonts w:asciiTheme="minorHAnsi" w:hAnsiTheme="minorHAnsi"/>
                <w:sz w:val="18"/>
                <w:szCs w:val="18"/>
              </w:rPr>
            </w:pPr>
            <w:r w:rsidRPr="004853A6">
              <w:rPr>
                <w:rFonts w:asciiTheme="minorHAnsi" w:hAnsiTheme="minorHAnsi"/>
                <w:sz w:val="18"/>
                <w:szCs w:val="18"/>
              </w:rPr>
              <w:t>82</w:t>
            </w:r>
          </w:p>
        </w:tc>
        <w:tc>
          <w:tcPr>
            <w:tcW w:w="1167" w:type="dxa"/>
            <w:hideMark/>
          </w:tcPr>
          <w:p w14:paraId="4D7FEBDB" w14:textId="77777777" w:rsidR="008873CE" w:rsidRPr="004853A6" w:rsidRDefault="008873CE" w:rsidP="0064015D">
            <w:pPr>
              <w:spacing w:after="0"/>
              <w:jc w:val="center"/>
              <w:rPr>
                <w:rFonts w:asciiTheme="minorHAnsi" w:hAnsiTheme="minorHAnsi"/>
                <w:sz w:val="18"/>
                <w:szCs w:val="18"/>
              </w:rPr>
            </w:pPr>
            <w:r w:rsidRPr="004853A6">
              <w:rPr>
                <w:rFonts w:asciiTheme="minorHAnsi" w:hAnsiTheme="minorHAnsi"/>
                <w:sz w:val="18"/>
                <w:szCs w:val="18"/>
              </w:rPr>
              <w:t>54</w:t>
            </w:r>
          </w:p>
        </w:tc>
      </w:tr>
      <w:tr w:rsidR="008873CE" w:rsidRPr="00E5753A" w14:paraId="5E699735" w14:textId="77777777" w:rsidTr="00C85545">
        <w:trPr>
          <w:cantSplit/>
        </w:trPr>
        <w:tc>
          <w:tcPr>
            <w:tcW w:w="2017" w:type="dxa"/>
            <w:vAlign w:val="center"/>
            <w:hideMark/>
          </w:tcPr>
          <w:p w14:paraId="61DE32E5" w14:textId="77777777" w:rsidR="008873CE" w:rsidRPr="004853A6" w:rsidRDefault="008873CE" w:rsidP="0064015D">
            <w:pPr>
              <w:spacing w:after="0"/>
              <w:rPr>
                <w:rFonts w:asciiTheme="minorHAnsi" w:hAnsiTheme="minorHAnsi"/>
                <w:sz w:val="18"/>
                <w:szCs w:val="18"/>
              </w:rPr>
            </w:pPr>
            <w:r w:rsidRPr="004853A6">
              <w:rPr>
                <w:rFonts w:asciiTheme="minorHAnsi" w:hAnsiTheme="minorHAnsi"/>
                <w:sz w:val="18"/>
                <w:szCs w:val="18"/>
              </w:rPr>
              <w:t>Threshold Exceeded?</w:t>
            </w:r>
          </w:p>
        </w:tc>
        <w:tc>
          <w:tcPr>
            <w:tcW w:w="1166" w:type="dxa"/>
            <w:tcMar>
              <w:top w:w="0" w:type="dxa"/>
              <w:left w:w="115" w:type="dxa"/>
              <w:bottom w:w="0" w:type="dxa"/>
              <w:right w:w="115" w:type="dxa"/>
            </w:tcMar>
            <w:hideMark/>
          </w:tcPr>
          <w:p w14:paraId="245374A7" w14:textId="77777777" w:rsidR="008873CE" w:rsidRPr="004853A6" w:rsidRDefault="008873CE" w:rsidP="0064015D">
            <w:pPr>
              <w:spacing w:after="0"/>
              <w:jc w:val="center"/>
              <w:rPr>
                <w:rFonts w:asciiTheme="minorHAnsi" w:hAnsiTheme="minorHAnsi"/>
                <w:sz w:val="18"/>
                <w:szCs w:val="18"/>
              </w:rPr>
            </w:pPr>
            <w:r w:rsidRPr="004853A6">
              <w:rPr>
                <w:rFonts w:asciiTheme="minorHAnsi" w:hAnsiTheme="minorHAnsi"/>
                <w:sz w:val="18"/>
                <w:szCs w:val="18"/>
              </w:rPr>
              <w:t>No</w:t>
            </w:r>
          </w:p>
        </w:tc>
        <w:tc>
          <w:tcPr>
            <w:tcW w:w="1166" w:type="dxa"/>
            <w:tcMar>
              <w:top w:w="86" w:type="dxa"/>
              <w:left w:w="115" w:type="dxa"/>
              <w:bottom w:w="86" w:type="dxa"/>
              <w:right w:w="115" w:type="dxa"/>
            </w:tcMar>
            <w:hideMark/>
          </w:tcPr>
          <w:p w14:paraId="30AEEF01" w14:textId="77777777" w:rsidR="008873CE" w:rsidRPr="004853A6" w:rsidRDefault="008873CE" w:rsidP="0064015D">
            <w:pPr>
              <w:spacing w:after="0"/>
              <w:jc w:val="center"/>
              <w:rPr>
                <w:rFonts w:asciiTheme="minorHAnsi" w:hAnsiTheme="minorHAnsi"/>
                <w:sz w:val="18"/>
                <w:szCs w:val="18"/>
              </w:rPr>
            </w:pPr>
            <w:r w:rsidRPr="004853A6">
              <w:rPr>
                <w:rFonts w:asciiTheme="minorHAnsi" w:hAnsiTheme="minorHAnsi"/>
                <w:sz w:val="18"/>
                <w:szCs w:val="18"/>
              </w:rPr>
              <w:t>No</w:t>
            </w:r>
          </w:p>
        </w:tc>
        <w:tc>
          <w:tcPr>
            <w:tcW w:w="1166" w:type="dxa"/>
            <w:hideMark/>
          </w:tcPr>
          <w:p w14:paraId="4213C604" w14:textId="77777777" w:rsidR="008873CE" w:rsidRPr="004853A6" w:rsidRDefault="008873CE" w:rsidP="0064015D">
            <w:pPr>
              <w:spacing w:after="0"/>
              <w:jc w:val="center"/>
              <w:rPr>
                <w:rFonts w:asciiTheme="minorHAnsi" w:hAnsiTheme="minorHAnsi"/>
                <w:sz w:val="18"/>
                <w:szCs w:val="18"/>
              </w:rPr>
            </w:pPr>
            <w:r w:rsidRPr="004853A6">
              <w:rPr>
                <w:rFonts w:asciiTheme="minorHAnsi" w:hAnsiTheme="minorHAnsi"/>
                <w:sz w:val="18"/>
                <w:szCs w:val="18"/>
              </w:rPr>
              <w:t>N/A</w:t>
            </w:r>
          </w:p>
        </w:tc>
        <w:tc>
          <w:tcPr>
            <w:tcW w:w="1166" w:type="dxa"/>
            <w:hideMark/>
          </w:tcPr>
          <w:p w14:paraId="0BA05A54" w14:textId="77777777" w:rsidR="008873CE" w:rsidRPr="004853A6" w:rsidRDefault="008873CE" w:rsidP="0064015D">
            <w:pPr>
              <w:spacing w:after="0"/>
              <w:jc w:val="center"/>
              <w:rPr>
                <w:rFonts w:asciiTheme="minorHAnsi" w:hAnsiTheme="minorHAnsi"/>
                <w:sz w:val="18"/>
                <w:szCs w:val="18"/>
              </w:rPr>
            </w:pPr>
            <w:r w:rsidRPr="004853A6">
              <w:rPr>
                <w:rFonts w:asciiTheme="minorHAnsi" w:hAnsiTheme="minorHAnsi"/>
                <w:sz w:val="18"/>
                <w:szCs w:val="18"/>
              </w:rPr>
              <w:t>N/A</w:t>
            </w:r>
          </w:p>
        </w:tc>
        <w:tc>
          <w:tcPr>
            <w:tcW w:w="1166" w:type="dxa"/>
            <w:tcMar>
              <w:top w:w="0" w:type="dxa"/>
              <w:left w:w="115" w:type="dxa"/>
              <w:bottom w:w="0" w:type="dxa"/>
              <w:right w:w="115" w:type="dxa"/>
            </w:tcMar>
          </w:tcPr>
          <w:p w14:paraId="21B5F7F3" w14:textId="77777777" w:rsidR="008873CE" w:rsidRPr="004853A6" w:rsidRDefault="008873CE" w:rsidP="0064015D">
            <w:pPr>
              <w:spacing w:after="0"/>
              <w:jc w:val="center"/>
              <w:rPr>
                <w:rFonts w:asciiTheme="minorHAnsi" w:hAnsiTheme="minorHAnsi"/>
                <w:sz w:val="18"/>
                <w:szCs w:val="18"/>
              </w:rPr>
            </w:pPr>
            <w:r w:rsidRPr="004853A6">
              <w:rPr>
                <w:rFonts w:asciiTheme="minorHAnsi" w:hAnsiTheme="minorHAnsi"/>
                <w:sz w:val="18"/>
                <w:szCs w:val="18"/>
              </w:rPr>
              <w:t>No</w:t>
            </w:r>
          </w:p>
        </w:tc>
        <w:tc>
          <w:tcPr>
            <w:tcW w:w="1167" w:type="dxa"/>
          </w:tcPr>
          <w:p w14:paraId="5CF5D7ED" w14:textId="77777777" w:rsidR="008873CE" w:rsidRPr="004853A6" w:rsidRDefault="008873CE" w:rsidP="0064015D">
            <w:pPr>
              <w:spacing w:after="0"/>
              <w:jc w:val="center"/>
              <w:rPr>
                <w:rFonts w:asciiTheme="minorHAnsi" w:hAnsiTheme="minorHAnsi"/>
                <w:sz w:val="18"/>
                <w:szCs w:val="18"/>
              </w:rPr>
            </w:pPr>
            <w:r w:rsidRPr="004853A6">
              <w:rPr>
                <w:rFonts w:asciiTheme="minorHAnsi" w:hAnsiTheme="minorHAnsi"/>
                <w:sz w:val="18"/>
                <w:szCs w:val="18"/>
              </w:rPr>
              <w:t>No</w:t>
            </w:r>
          </w:p>
        </w:tc>
      </w:tr>
      <w:tr w:rsidR="008873CE" w:rsidRPr="008F1792" w14:paraId="1E52C166" w14:textId="77777777" w:rsidTr="00C85545">
        <w:trPr>
          <w:cantSplit/>
        </w:trPr>
        <w:tc>
          <w:tcPr>
            <w:tcW w:w="9014" w:type="dxa"/>
            <w:gridSpan w:val="7"/>
            <w:tcBorders>
              <w:top w:val="single" w:sz="4" w:space="0" w:color="auto"/>
              <w:left w:val="nil"/>
              <w:bottom w:val="single" w:sz="4" w:space="0" w:color="auto"/>
              <w:right w:val="nil"/>
            </w:tcBorders>
            <w:vAlign w:val="center"/>
            <w:hideMark/>
          </w:tcPr>
          <w:p w14:paraId="13DAAC9D" w14:textId="77777777" w:rsidR="008873CE" w:rsidRPr="008F1792" w:rsidRDefault="008873CE" w:rsidP="0064015D">
            <w:pPr>
              <w:tabs>
                <w:tab w:val="left" w:pos="0"/>
              </w:tabs>
              <w:spacing w:before="60" w:after="60"/>
              <w:rPr>
                <w:rFonts w:ascii="Calibri" w:hAnsi="Calibri"/>
                <w:sz w:val="16"/>
                <w:szCs w:val="16"/>
              </w:rPr>
            </w:pPr>
            <w:r w:rsidRPr="008F1792">
              <w:rPr>
                <w:rFonts w:ascii="Calibri" w:hAnsi="Calibri"/>
                <w:sz w:val="16"/>
                <w:szCs w:val="16"/>
              </w:rPr>
              <w:t>ROG = reactive organic gases, NO</w:t>
            </w:r>
            <w:r w:rsidRPr="008F1792">
              <w:rPr>
                <w:rFonts w:ascii="Calibri" w:hAnsi="Calibri"/>
                <w:sz w:val="16"/>
                <w:szCs w:val="16"/>
                <w:vertAlign w:val="subscript"/>
              </w:rPr>
              <w:t>X</w:t>
            </w:r>
            <w:r w:rsidRPr="008F1792">
              <w:rPr>
                <w:rFonts w:ascii="Calibri" w:hAnsi="Calibri"/>
                <w:sz w:val="16"/>
                <w:szCs w:val="16"/>
              </w:rPr>
              <w:t xml:space="preserve"> = nitrogen oxides, CO = carbon monoxide, SO</w:t>
            </w:r>
            <w:r w:rsidRPr="008F1792">
              <w:rPr>
                <w:rFonts w:ascii="Calibri" w:hAnsi="Calibri"/>
                <w:sz w:val="16"/>
                <w:szCs w:val="16"/>
                <w:vertAlign w:val="subscript"/>
              </w:rPr>
              <w:t>2</w:t>
            </w:r>
            <w:r w:rsidRPr="008F1792">
              <w:rPr>
                <w:rFonts w:ascii="Calibri" w:hAnsi="Calibri"/>
                <w:sz w:val="16"/>
                <w:szCs w:val="16"/>
              </w:rPr>
              <w:t xml:space="preserve"> = sulfur dioxide, PM</w:t>
            </w:r>
            <w:r w:rsidRPr="008F1792">
              <w:rPr>
                <w:rFonts w:ascii="Calibri" w:hAnsi="Calibri"/>
                <w:sz w:val="16"/>
                <w:szCs w:val="16"/>
                <w:vertAlign w:val="subscript"/>
              </w:rPr>
              <w:t>10</w:t>
            </w:r>
            <w:r w:rsidRPr="008F1792">
              <w:rPr>
                <w:rFonts w:ascii="Calibri" w:hAnsi="Calibri"/>
                <w:sz w:val="16"/>
                <w:szCs w:val="16"/>
              </w:rPr>
              <w:t xml:space="preserve"> = particulate matter 10 microns in diameter or less, PM</w:t>
            </w:r>
            <w:r w:rsidRPr="008F1792">
              <w:rPr>
                <w:rFonts w:ascii="Calibri" w:hAnsi="Calibri"/>
                <w:sz w:val="16"/>
                <w:szCs w:val="16"/>
                <w:vertAlign w:val="subscript"/>
              </w:rPr>
              <w:t>2.5</w:t>
            </w:r>
            <w:r w:rsidRPr="008F1792">
              <w:rPr>
                <w:rFonts w:ascii="Calibri" w:hAnsi="Calibri"/>
                <w:sz w:val="16"/>
                <w:szCs w:val="16"/>
              </w:rPr>
              <w:t xml:space="preserve"> = particulate matter 2.5 microns or less in diameter; lbs/day = pounds per day, BAAQMD = Bay Area Air Quality Management District</w:t>
            </w:r>
          </w:p>
          <w:p w14:paraId="471CCD24" w14:textId="77777777" w:rsidR="008873CE" w:rsidRPr="008F1792" w:rsidRDefault="008873CE" w:rsidP="0064015D">
            <w:pPr>
              <w:tabs>
                <w:tab w:val="left" w:pos="0"/>
              </w:tabs>
              <w:spacing w:before="60" w:after="60"/>
              <w:rPr>
                <w:rFonts w:asciiTheme="minorHAnsi" w:hAnsiTheme="minorHAnsi"/>
                <w:sz w:val="16"/>
                <w:szCs w:val="16"/>
              </w:rPr>
            </w:pPr>
            <w:r w:rsidRPr="008F1792">
              <w:rPr>
                <w:rFonts w:asciiTheme="minorHAnsi" w:hAnsiTheme="minorHAnsi"/>
                <w:sz w:val="16"/>
                <w:szCs w:val="16"/>
              </w:rPr>
              <w:t xml:space="preserve">N/A = Not available. </w:t>
            </w:r>
            <w:r w:rsidRPr="008F1792">
              <w:rPr>
                <w:rFonts w:ascii="Calibri" w:hAnsi="Calibri"/>
                <w:sz w:val="16"/>
                <w:szCs w:val="16"/>
              </w:rPr>
              <w:t>BAAQMD has not established recommended quantitative thresholds for CO and SO</w:t>
            </w:r>
            <w:r w:rsidRPr="008F1792">
              <w:rPr>
                <w:rFonts w:ascii="Calibri" w:hAnsi="Calibri"/>
                <w:sz w:val="16"/>
                <w:szCs w:val="16"/>
                <w:vertAlign w:val="subscript"/>
              </w:rPr>
              <w:t>2</w:t>
            </w:r>
            <w:r w:rsidRPr="008F1792">
              <w:rPr>
                <w:rFonts w:ascii="Calibri" w:hAnsi="Calibri"/>
                <w:sz w:val="16"/>
                <w:szCs w:val="16"/>
              </w:rPr>
              <w:t>.</w:t>
            </w:r>
          </w:p>
          <w:p w14:paraId="36F6AA35" w14:textId="77777777" w:rsidR="008873CE" w:rsidRPr="008F1792" w:rsidRDefault="008873CE" w:rsidP="0064015D">
            <w:pPr>
              <w:tabs>
                <w:tab w:val="left" w:pos="0"/>
              </w:tabs>
              <w:spacing w:before="60" w:after="60"/>
              <w:rPr>
                <w:rFonts w:asciiTheme="minorHAnsi" w:hAnsiTheme="minorHAnsi" w:cs="Tahoma"/>
                <w:sz w:val="16"/>
                <w:szCs w:val="16"/>
                <w:lang w:eastAsia="ar-SA"/>
              </w:rPr>
            </w:pPr>
            <w:r w:rsidRPr="008F1792">
              <w:rPr>
                <w:rFonts w:asciiTheme="minorHAnsi" w:hAnsiTheme="minorHAnsi"/>
                <w:sz w:val="16"/>
                <w:szCs w:val="16"/>
              </w:rPr>
              <w:t xml:space="preserve">Note: </w:t>
            </w:r>
            <w:r w:rsidRPr="008F1792">
              <w:rPr>
                <w:rFonts w:ascii="Calibri" w:hAnsi="Calibri"/>
                <w:sz w:val="16"/>
                <w:szCs w:val="16"/>
              </w:rPr>
              <w:t xml:space="preserve">All emissions modeling was completed made using the CalEEMod in accordance with applicant-provided information and data. </w:t>
            </w:r>
            <w:r w:rsidRPr="008F1792">
              <w:rPr>
                <w:rFonts w:asciiTheme="minorHAnsi" w:hAnsiTheme="minorHAnsi" w:cs="Tahoma"/>
                <w:sz w:val="16"/>
                <w:szCs w:val="16"/>
                <w:lang w:eastAsia="ar-SA"/>
              </w:rPr>
              <w:t>Some numbers may not add up due to rounding. Emissions presented are the highest of the winter and summer modeled emissions.</w:t>
            </w:r>
          </w:p>
          <w:p w14:paraId="2FEC7BB6" w14:textId="77777777" w:rsidR="008873CE" w:rsidRPr="008F1792" w:rsidRDefault="008873CE" w:rsidP="0064015D">
            <w:pPr>
              <w:tabs>
                <w:tab w:val="left" w:pos="0"/>
              </w:tabs>
              <w:spacing w:before="60" w:after="60"/>
              <w:rPr>
                <w:rFonts w:asciiTheme="minorHAnsi" w:hAnsiTheme="minorHAnsi" w:cs="Tahoma"/>
                <w:sz w:val="16"/>
                <w:szCs w:val="16"/>
                <w:lang w:eastAsia="ar-SA"/>
              </w:rPr>
            </w:pPr>
            <w:r w:rsidRPr="008F1792">
              <w:rPr>
                <w:rFonts w:asciiTheme="minorHAnsi" w:hAnsiTheme="minorHAnsi" w:cs="Tahoma"/>
                <w:sz w:val="16"/>
                <w:szCs w:val="16"/>
                <w:lang w:eastAsia="ar-SA"/>
              </w:rPr>
              <w:t>See Appendix AQ for model output results.</w:t>
            </w:r>
          </w:p>
        </w:tc>
      </w:tr>
    </w:tbl>
    <w:p w14:paraId="67D21615" w14:textId="2BD3D775" w:rsidR="008873CE" w:rsidRPr="00820FC0" w:rsidRDefault="008873CE" w:rsidP="00BB5E91">
      <w:pPr>
        <w:pStyle w:val="TableCaption"/>
      </w:pPr>
      <w:bookmarkStart w:id="163" w:name="_Ref90295441"/>
      <w:bookmarkStart w:id="164" w:name="_Toc112942458"/>
      <w:r w:rsidRPr="00820FC0">
        <w:t xml:space="preserve">Table </w:t>
      </w:r>
      <w:r w:rsidR="00817BC5">
        <w:fldChar w:fldCharType="begin"/>
      </w:r>
      <w:r w:rsidR="00817BC5">
        <w:instrText xml:space="preserve"> SEQ Table \* ARABIC </w:instrText>
      </w:r>
      <w:r w:rsidR="00817BC5">
        <w:fldChar w:fldCharType="separate"/>
      </w:r>
      <w:r w:rsidR="00FA55F1">
        <w:rPr>
          <w:noProof/>
        </w:rPr>
        <w:t>9</w:t>
      </w:r>
      <w:r w:rsidR="00817BC5">
        <w:rPr>
          <w:noProof/>
        </w:rPr>
        <w:fldChar w:fldCharType="end"/>
      </w:r>
      <w:bookmarkEnd w:id="163"/>
      <w:r w:rsidRPr="00820FC0">
        <w:tab/>
        <w:t>Estimated Annual Operational Emissions</w:t>
      </w:r>
      <w:bookmarkEnd w:id="164"/>
    </w:p>
    <w:tbl>
      <w:tblPr>
        <w:tblW w:w="9028" w:type="dxa"/>
        <w:tblLayout w:type="fixed"/>
        <w:tblLook w:val="04A0" w:firstRow="1" w:lastRow="0" w:firstColumn="1" w:lastColumn="0" w:noHBand="0" w:noVBand="1"/>
      </w:tblPr>
      <w:tblGrid>
        <w:gridCol w:w="2019"/>
        <w:gridCol w:w="1168"/>
        <w:gridCol w:w="1168"/>
        <w:gridCol w:w="1168"/>
        <w:gridCol w:w="1252"/>
        <w:gridCol w:w="1084"/>
        <w:gridCol w:w="1169"/>
      </w:tblGrid>
      <w:tr w:rsidR="008873CE" w:rsidRPr="00E5753A" w14:paraId="549B91EE" w14:textId="77777777" w:rsidTr="00C85545">
        <w:trPr>
          <w:cantSplit/>
          <w:tblHeader/>
        </w:trPr>
        <w:tc>
          <w:tcPr>
            <w:tcW w:w="2019" w:type="dxa"/>
            <w:shd w:val="clear" w:color="auto" w:fill="000000" w:themeFill="text1"/>
            <w:tcMar>
              <w:top w:w="86" w:type="dxa"/>
              <w:left w:w="115" w:type="dxa"/>
              <w:bottom w:w="86" w:type="dxa"/>
              <w:right w:w="115" w:type="dxa"/>
            </w:tcMar>
            <w:vAlign w:val="bottom"/>
          </w:tcPr>
          <w:p w14:paraId="01A60E08" w14:textId="77777777" w:rsidR="008873CE" w:rsidRPr="008873CE" w:rsidRDefault="008873CE" w:rsidP="00C85545">
            <w:pPr>
              <w:tabs>
                <w:tab w:val="left" w:pos="0"/>
              </w:tabs>
              <w:spacing w:before="20" w:after="20"/>
              <w:rPr>
                <w:rFonts w:asciiTheme="minorHAnsi" w:hAnsiTheme="minorHAnsi"/>
                <w:b/>
                <w:sz w:val="18"/>
                <w:szCs w:val="18"/>
                <w:highlight w:val="lightGray"/>
              </w:rPr>
            </w:pPr>
          </w:p>
        </w:tc>
        <w:tc>
          <w:tcPr>
            <w:tcW w:w="7009" w:type="dxa"/>
            <w:gridSpan w:val="6"/>
            <w:tcBorders>
              <w:top w:val="nil"/>
              <w:left w:val="nil"/>
              <w:bottom w:val="single" w:sz="4" w:space="0" w:color="FFFFFF" w:themeColor="background1"/>
              <w:right w:val="nil"/>
            </w:tcBorders>
            <w:shd w:val="clear" w:color="auto" w:fill="000000" w:themeFill="text1"/>
            <w:vAlign w:val="center"/>
            <w:hideMark/>
          </w:tcPr>
          <w:p w14:paraId="5A74F9AF" w14:textId="77777777" w:rsidR="008873CE" w:rsidRPr="004853A6" w:rsidRDefault="008873CE" w:rsidP="00C85545">
            <w:pPr>
              <w:tabs>
                <w:tab w:val="left" w:pos="0"/>
              </w:tabs>
              <w:spacing w:before="20" w:after="20"/>
              <w:jc w:val="center"/>
              <w:rPr>
                <w:rFonts w:asciiTheme="minorHAnsi" w:hAnsiTheme="minorHAnsi"/>
                <w:b/>
                <w:sz w:val="18"/>
                <w:szCs w:val="18"/>
              </w:rPr>
            </w:pPr>
            <w:r w:rsidRPr="004853A6">
              <w:rPr>
                <w:rFonts w:asciiTheme="minorHAnsi" w:hAnsiTheme="minorHAnsi"/>
                <w:b/>
                <w:sz w:val="18"/>
                <w:szCs w:val="18"/>
              </w:rPr>
              <w:t>Maximum Annual Emissions (tons/y</w:t>
            </w:r>
            <w:r>
              <w:rPr>
                <w:rFonts w:asciiTheme="minorHAnsi" w:hAnsiTheme="minorHAnsi"/>
                <w:b/>
                <w:sz w:val="18"/>
                <w:szCs w:val="18"/>
              </w:rPr>
              <w:t>ea</w:t>
            </w:r>
            <w:r w:rsidRPr="004853A6">
              <w:rPr>
                <w:rFonts w:asciiTheme="minorHAnsi" w:hAnsiTheme="minorHAnsi"/>
                <w:b/>
                <w:sz w:val="18"/>
                <w:szCs w:val="18"/>
              </w:rPr>
              <w:t>r)</w:t>
            </w:r>
          </w:p>
        </w:tc>
      </w:tr>
      <w:tr w:rsidR="008873CE" w:rsidRPr="004853A6" w14:paraId="5CA99BA1" w14:textId="77777777" w:rsidTr="00C85545">
        <w:trPr>
          <w:cantSplit/>
          <w:tblHeader/>
        </w:trPr>
        <w:tc>
          <w:tcPr>
            <w:tcW w:w="2019" w:type="dxa"/>
            <w:shd w:val="clear" w:color="auto" w:fill="000000" w:themeFill="text1"/>
            <w:vAlign w:val="bottom"/>
            <w:hideMark/>
          </w:tcPr>
          <w:p w14:paraId="6F3A3737" w14:textId="77777777" w:rsidR="008873CE" w:rsidRPr="004853A6" w:rsidRDefault="008873CE" w:rsidP="00C85545">
            <w:pPr>
              <w:tabs>
                <w:tab w:val="left" w:pos="0"/>
              </w:tabs>
              <w:spacing w:before="20" w:after="20"/>
              <w:rPr>
                <w:rFonts w:asciiTheme="minorHAnsi" w:hAnsiTheme="minorHAnsi"/>
                <w:b/>
                <w:sz w:val="18"/>
                <w:szCs w:val="18"/>
              </w:rPr>
            </w:pPr>
            <w:r w:rsidRPr="004853A6">
              <w:rPr>
                <w:rFonts w:asciiTheme="minorHAnsi" w:hAnsiTheme="minorHAnsi"/>
                <w:b/>
                <w:sz w:val="18"/>
                <w:szCs w:val="18"/>
              </w:rPr>
              <w:t>Emissions Source</w:t>
            </w:r>
          </w:p>
        </w:tc>
        <w:tc>
          <w:tcPr>
            <w:tcW w:w="1168" w:type="dxa"/>
            <w:tcBorders>
              <w:top w:val="single" w:sz="4" w:space="0" w:color="FFFFFF" w:themeColor="background1"/>
              <w:left w:val="nil"/>
              <w:right w:val="nil"/>
            </w:tcBorders>
            <w:shd w:val="clear" w:color="auto" w:fill="000000" w:themeFill="text1"/>
            <w:tcMar>
              <w:top w:w="0" w:type="dxa"/>
              <w:left w:w="115" w:type="dxa"/>
              <w:bottom w:w="0" w:type="dxa"/>
              <w:right w:w="115" w:type="dxa"/>
            </w:tcMar>
            <w:vAlign w:val="bottom"/>
            <w:hideMark/>
          </w:tcPr>
          <w:p w14:paraId="27653E6E" w14:textId="77777777" w:rsidR="008873CE" w:rsidRPr="004853A6" w:rsidRDefault="008873CE" w:rsidP="00C85545">
            <w:pPr>
              <w:tabs>
                <w:tab w:val="left" w:pos="0"/>
              </w:tabs>
              <w:spacing w:before="20" w:after="20"/>
              <w:jc w:val="center"/>
              <w:rPr>
                <w:rFonts w:asciiTheme="minorHAnsi" w:hAnsiTheme="minorHAnsi"/>
                <w:b/>
                <w:sz w:val="18"/>
                <w:szCs w:val="18"/>
              </w:rPr>
            </w:pPr>
            <w:r w:rsidRPr="004853A6">
              <w:rPr>
                <w:rFonts w:asciiTheme="minorHAnsi" w:hAnsiTheme="minorHAnsi"/>
                <w:b/>
                <w:sz w:val="18"/>
                <w:szCs w:val="18"/>
              </w:rPr>
              <w:t>ROG</w:t>
            </w:r>
          </w:p>
        </w:tc>
        <w:tc>
          <w:tcPr>
            <w:tcW w:w="1168" w:type="dxa"/>
            <w:tcBorders>
              <w:top w:val="single" w:sz="4" w:space="0" w:color="FFFFFF" w:themeColor="background1"/>
              <w:left w:val="nil"/>
              <w:right w:val="nil"/>
            </w:tcBorders>
            <w:shd w:val="clear" w:color="auto" w:fill="000000" w:themeFill="text1"/>
            <w:tcMar>
              <w:top w:w="86" w:type="dxa"/>
              <w:left w:w="115" w:type="dxa"/>
              <w:bottom w:w="86" w:type="dxa"/>
              <w:right w:w="115" w:type="dxa"/>
            </w:tcMar>
            <w:vAlign w:val="bottom"/>
            <w:hideMark/>
          </w:tcPr>
          <w:p w14:paraId="7218C8C4" w14:textId="77777777" w:rsidR="008873CE" w:rsidRPr="004853A6" w:rsidRDefault="008873CE" w:rsidP="00C85545">
            <w:pPr>
              <w:tabs>
                <w:tab w:val="left" w:pos="0"/>
              </w:tabs>
              <w:spacing w:before="20" w:after="20"/>
              <w:jc w:val="center"/>
              <w:rPr>
                <w:rFonts w:asciiTheme="minorHAnsi" w:hAnsiTheme="minorHAnsi"/>
                <w:b/>
                <w:sz w:val="18"/>
                <w:szCs w:val="18"/>
              </w:rPr>
            </w:pPr>
            <w:r w:rsidRPr="004853A6">
              <w:rPr>
                <w:rFonts w:asciiTheme="minorHAnsi" w:hAnsiTheme="minorHAnsi"/>
                <w:b/>
                <w:sz w:val="18"/>
                <w:szCs w:val="18"/>
              </w:rPr>
              <w:t>NO</w:t>
            </w:r>
            <w:r w:rsidRPr="004853A6">
              <w:rPr>
                <w:rFonts w:asciiTheme="minorHAnsi" w:hAnsiTheme="minorHAnsi"/>
                <w:b/>
                <w:sz w:val="18"/>
                <w:szCs w:val="18"/>
                <w:vertAlign w:val="subscript"/>
              </w:rPr>
              <w:t>x</w:t>
            </w:r>
          </w:p>
        </w:tc>
        <w:tc>
          <w:tcPr>
            <w:tcW w:w="1168" w:type="dxa"/>
            <w:tcBorders>
              <w:top w:val="single" w:sz="4" w:space="0" w:color="FFFFFF" w:themeColor="background1"/>
              <w:left w:val="nil"/>
              <w:right w:val="nil"/>
            </w:tcBorders>
            <w:shd w:val="clear" w:color="auto" w:fill="000000" w:themeFill="text1"/>
            <w:vAlign w:val="bottom"/>
            <w:hideMark/>
          </w:tcPr>
          <w:p w14:paraId="3BDAF9FE" w14:textId="77777777" w:rsidR="008873CE" w:rsidRPr="004853A6" w:rsidRDefault="008873CE" w:rsidP="00C85545">
            <w:pPr>
              <w:tabs>
                <w:tab w:val="left" w:pos="0"/>
              </w:tabs>
              <w:spacing w:before="20" w:after="20"/>
              <w:jc w:val="center"/>
              <w:rPr>
                <w:rFonts w:asciiTheme="minorHAnsi" w:hAnsiTheme="minorHAnsi"/>
                <w:b/>
                <w:sz w:val="18"/>
                <w:szCs w:val="18"/>
              </w:rPr>
            </w:pPr>
            <w:r w:rsidRPr="004853A6">
              <w:rPr>
                <w:rFonts w:asciiTheme="minorHAnsi" w:hAnsiTheme="minorHAnsi"/>
                <w:b/>
                <w:sz w:val="18"/>
                <w:szCs w:val="18"/>
              </w:rPr>
              <w:t>CO</w:t>
            </w:r>
          </w:p>
        </w:tc>
        <w:tc>
          <w:tcPr>
            <w:tcW w:w="1252" w:type="dxa"/>
            <w:tcBorders>
              <w:top w:val="single" w:sz="4" w:space="0" w:color="FFFFFF" w:themeColor="background1"/>
              <w:left w:val="nil"/>
              <w:right w:val="nil"/>
            </w:tcBorders>
            <w:shd w:val="clear" w:color="auto" w:fill="000000" w:themeFill="text1"/>
            <w:vAlign w:val="bottom"/>
            <w:hideMark/>
          </w:tcPr>
          <w:p w14:paraId="5AB5699A" w14:textId="77777777" w:rsidR="008873CE" w:rsidRPr="004853A6" w:rsidRDefault="008873CE" w:rsidP="00C85545">
            <w:pPr>
              <w:tabs>
                <w:tab w:val="left" w:pos="0"/>
              </w:tabs>
              <w:spacing w:before="20" w:after="20"/>
              <w:jc w:val="center"/>
              <w:rPr>
                <w:rFonts w:asciiTheme="minorHAnsi" w:hAnsiTheme="minorHAnsi"/>
                <w:b/>
                <w:sz w:val="18"/>
                <w:szCs w:val="18"/>
              </w:rPr>
            </w:pPr>
            <w:r w:rsidRPr="004853A6">
              <w:rPr>
                <w:rFonts w:asciiTheme="minorHAnsi" w:hAnsiTheme="minorHAnsi"/>
                <w:b/>
                <w:sz w:val="18"/>
                <w:szCs w:val="18"/>
              </w:rPr>
              <w:t>SO</w:t>
            </w:r>
            <w:r w:rsidRPr="004853A6">
              <w:rPr>
                <w:rFonts w:asciiTheme="minorHAnsi" w:hAnsiTheme="minorHAnsi"/>
                <w:b/>
                <w:sz w:val="18"/>
                <w:szCs w:val="18"/>
                <w:vertAlign w:val="subscript"/>
              </w:rPr>
              <w:t>2</w:t>
            </w:r>
          </w:p>
        </w:tc>
        <w:tc>
          <w:tcPr>
            <w:tcW w:w="1084" w:type="dxa"/>
            <w:tcBorders>
              <w:top w:val="single" w:sz="4" w:space="0" w:color="FFFFFF" w:themeColor="background1"/>
              <w:left w:val="nil"/>
              <w:right w:val="nil"/>
            </w:tcBorders>
            <w:shd w:val="clear" w:color="auto" w:fill="000000" w:themeFill="text1"/>
            <w:tcMar>
              <w:top w:w="0" w:type="dxa"/>
              <w:left w:w="115" w:type="dxa"/>
              <w:bottom w:w="0" w:type="dxa"/>
              <w:right w:w="115" w:type="dxa"/>
            </w:tcMar>
            <w:vAlign w:val="bottom"/>
            <w:hideMark/>
          </w:tcPr>
          <w:p w14:paraId="7CA11B19" w14:textId="77777777" w:rsidR="008873CE" w:rsidRPr="004853A6" w:rsidRDefault="008873CE" w:rsidP="00C85545">
            <w:pPr>
              <w:tabs>
                <w:tab w:val="left" w:pos="0"/>
              </w:tabs>
              <w:spacing w:before="20" w:after="20"/>
              <w:jc w:val="center"/>
              <w:rPr>
                <w:rFonts w:asciiTheme="minorHAnsi" w:hAnsiTheme="minorHAnsi"/>
                <w:b/>
                <w:sz w:val="18"/>
                <w:szCs w:val="18"/>
              </w:rPr>
            </w:pPr>
            <w:r w:rsidRPr="004853A6">
              <w:rPr>
                <w:rFonts w:asciiTheme="minorHAnsi" w:hAnsiTheme="minorHAnsi"/>
                <w:b/>
                <w:sz w:val="18"/>
                <w:szCs w:val="18"/>
              </w:rPr>
              <w:t>PM</w:t>
            </w:r>
            <w:r w:rsidRPr="004853A6">
              <w:rPr>
                <w:rFonts w:asciiTheme="minorHAnsi" w:hAnsiTheme="minorHAnsi"/>
                <w:b/>
                <w:sz w:val="18"/>
                <w:szCs w:val="18"/>
                <w:vertAlign w:val="subscript"/>
              </w:rPr>
              <w:t>10</w:t>
            </w:r>
          </w:p>
        </w:tc>
        <w:tc>
          <w:tcPr>
            <w:tcW w:w="1169" w:type="dxa"/>
            <w:tcBorders>
              <w:top w:val="single" w:sz="4" w:space="0" w:color="FFFFFF" w:themeColor="background1"/>
              <w:left w:val="nil"/>
              <w:right w:val="nil"/>
            </w:tcBorders>
            <w:shd w:val="clear" w:color="auto" w:fill="000000" w:themeFill="text1"/>
            <w:vAlign w:val="bottom"/>
            <w:hideMark/>
          </w:tcPr>
          <w:p w14:paraId="4B998C56" w14:textId="77777777" w:rsidR="008873CE" w:rsidRPr="004853A6" w:rsidRDefault="008873CE" w:rsidP="00C85545">
            <w:pPr>
              <w:tabs>
                <w:tab w:val="left" w:pos="0"/>
              </w:tabs>
              <w:spacing w:before="20" w:after="20"/>
              <w:jc w:val="center"/>
              <w:rPr>
                <w:rFonts w:asciiTheme="minorHAnsi" w:hAnsiTheme="minorHAnsi"/>
                <w:b/>
                <w:sz w:val="18"/>
                <w:szCs w:val="18"/>
              </w:rPr>
            </w:pPr>
            <w:r w:rsidRPr="004853A6">
              <w:rPr>
                <w:rFonts w:asciiTheme="minorHAnsi" w:hAnsiTheme="minorHAnsi"/>
                <w:b/>
                <w:sz w:val="18"/>
                <w:szCs w:val="18"/>
              </w:rPr>
              <w:t>PM</w:t>
            </w:r>
            <w:r w:rsidRPr="004853A6">
              <w:rPr>
                <w:rFonts w:asciiTheme="minorHAnsi" w:hAnsiTheme="minorHAnsi"/>
                <w:b/>
                <w:sz w:val="18"/>
                <w:szCs w:val="18"/>
                <w:vertAlign w:val="subscript"/>
              </w:rPr>
              <w:t>2.5</w:t>
            </w:r>
          </w:p>
        </w:tc>
      </w:tr>
      <w:tr w:rsidR="008873CE" w:rsidRPr="004853A6" w14:paraId="15E78AAB" w14:textId="77777777" w:rsidTr="00C85545">
        <w:trPr>
          <w:cantSplit/>
        </w:trPr>
        <w:tc>
          <w:tcPr>
            <w:tcW w:w="2019" w:type="dxa"/>
            <w:tcBorders>
              <w:left w:val="nil"/>
              <w:right w:val="nil"/>
            </w:tcBorders>
            <w:vAlign w:val="center"/>
          </w:tcPr>
          <w:p w14:paraId="71C447E7" w14:textId="77777777" w:rsidR="008873CE" w:rsidRPr="004853A6" w:rsidRDefault="008873CE" w:rsidP="00C85545">
            <w:pPr>
              <w:tabs>
                <w:tab w:val="left" w:pos="468"/>
              </w:tabs>
              <w:spacing w:after="0"/>
              <w:outlineLvl w:val="4"/>
              <w:rPr>
                <w:rFonts w:asciiTheme="minorHAnsi" w:hAnsiTheme="minorHAnsi" w:cs="Arial"/>
                <w:sz w:val="18"/>
                <w:szCs w:val="18"/>
                <w:vertAlign w:val="superscript"/>
              </w:rPr>
            </w:pPr>
            <w:r w:rsidRPr="004853A6">
              <w:rPr>
                <w:rFonts w:asciiTheme="minorHAnsi" w:hAnsiTheme="minorHAnsi" w:cs="Arial"/>
                <w:sz w:val="18"/>
                <w:szCs w:val="18"/>
              </w:rPr>
              <w:t>Area</w:t>
            </w:r>
          </w:p>
        </w:tc>
        <w:tc>
          <w:tcPr>
            <w:tcW w:w="1168" w:type="dxa"/>
            <w:tcBorders>
              <w:left w:val="nil"/>
              <w:right w:val="nil"/>
            </w:tcBorders>
            <w:tcMar>
              <w:top w:w="0" w:type="dxa"/>
              <w:left w:w="115" w:type="dxa"/>
              <w:bottom w:w="0" w:type="dxa"/>
              <w:right w:w="115" w:type="dxa"/>
            </w:tcMar>
            <w:vAlign w:val="center"/>
          </w:tcPr>
          <w:p w14:paraId="12074FA6" w14:textId="77777777" w:rsidR="008873CE" w:rsidRPr="004853A6" w:rsidRDefault="008873CE" w:rsidP="00C85545">
            <w:pPr>
              <w:spacing w:after="0"/>
              <w:jc w:val="center"/>
              <w:rPr>
                <w:rFonts w:asciiTheme="minorHAnsi" w:eastAsiaTheme="minorHAnsi" w:hAnsiTheme="minorHAnsi" w:cstheme="minorBidi"/>
                <w:sz w:val="18"/>
                <w:szCs w:val="18"/>
              </w:rPr>
            </w:pPr>
            <w:r>
              <w:rPr>
                <w:rFonts w:asciiTheme="minorHAnsi" w:eastAsiaTheme="minorHAnsi" w:hAnsiTheme="minorHAnsi" w:cstheme="minorBidi"/>
                <w:sz w:val="18"/>
                <w:szCs w:val="18"/>
              </w:rPr>
              <w:t>&lt;1</w:t>
            </w:r>
          </w:p>
        </w:tc>
        <w:tc>
          <w:tcPr>
            <w:tcW w:w="1168" w:type="dxa"/>
            <w:tcBorders>
              <w:left w:val="nil"/>
              <w:right w:val="nil"/>
            </w:tcBorders>
            <w:tcMar>
              <w:top w:w="86" w:type="dxa"/>
              <w:left w:w="115" w:type="dxa"/>
              <w:bottom w:w="86" w:type="dxa"/>
              <w:right w:w="115" w:type="dxa"/>
            </w:tcMar>
            <w:vAlign w:val="center"/>
          </w:tcPr>
          <w:p w14:paraId="3D8747FB" w14:textId="77777777" w:rsidR="008873CE" w:rsidRPr="004853A6" w:rsidRDefault="008873CE" w:rsidP="00C85545">
            <w:pPr>
              <w:spacing w:after="0"/>
              <w:jc w:val="center"/>
              <w:rPr>
                <w:rFonts w:asciiTheme="minorHAnsi" w:eastAsiaTheme="minorHAnsi" w:hAnsiTheme="minorHAnsi" w:cstheme="minorBidi"/>
                <w:sz w:val="18"/>
                <w:szCs w:val="18"/>
              </w:rPr>
            </w:pPr>
            <w:r>
              <w:rPr>
                <w:rFonts w:asciiTheme="minorHAnsi" w:eastAsiaTheme="minorHAnsi" w:hAnsiTheme="minorHAnsi" w:cstheme="minorBidi"/>
                <w:sz w:val="18"/>
                <w:szCs w:val="18"/>
              </w:rPr>
              <w:t>&lt;1</w:t>
            </w:r>
          </w:p>
        </w:tc>
        <w:tc>
          <w:tcPr>
            <w:tcW w:w="1168" w:type="dxa"/>
            <w:tcBorders>
              <w:left w:val="nil"/>
              <w:right w:val="nil"/>
            </w:tcBorders>
            <w:vAlign w:val="center"/>
          </w:tcPr>
          <w:p w14:paraId="09E13643" w14:textId="77777777" w:rsidR="008873CE" w:rsidRPr="004853A6" w:rsidRDefault="008873CE" w:rsidP="00C85545">
            <w:pPr>
              <w:spacing w:after="0"/>
              <w:jc w:val="center"/>
              <w:rPr>
                <w:rFonts w:asciiTheme="minorHAnsi" w:eastAsiaTheme="minorHAnsi" w:hAnsiTheme="minorHAnsi" w:cstheme="minorBidi"/>
                <w:sz w:val="18"/>
                <w:szCs w:val="18"/>
              </w:rPr>
            </w:pPr>
            <w:r>
              <w:rPr>
                <w:rFonts w:asciiTheme="minorHAnsi" w:eastAsiaTheme="minorHAnsi" w:hAnsiTheme="minorHAnsi" w:cstheme="minorBidi"/>
                <w:sz w:val="18"/>
                <w:szCs w:val="18"/>
              </w:rPr>
              <w:t>&lt;1</w:t>
            </w:r>
          </w:p>
        </w:tc>
        <w:tc>
          <w:tcPr>
            <w:tcW w:w="1252" w:type="dxa"/>
            <w:tcBorders>
              <w:left w:val="nil"/>
              <w:right w:val="nil"/>
            </w:tcBorders>
            <w:vAlign w:val="center"/>
          </w:tcPr>
          <w:p w14:paraId="1FEB6628" w14:textId="77777777" w:rsidR="008873CE" w:rsidRPr="004853A6" w:rsidRDefault="008873CE" w:rsidP="00C85545">
            <w:pPr>
              <w:spacing w:after="0"/>
              <w:jc w:val="center"/>
              <w:rPr>
                <w:rFonts w:asciiTheme="minorHAnsi" w:eastAsiaTheme="minorHAnsi" w:hAnsiTheme="minorHAnsi" w:cstheme="minorBidi"/>
                <w:sz w:val="18"/>
                <w:szCs w:val="18"/>
              </w:rPr>
            </w:pPr>
            <w:r>
              <w:rPr>
                <w:rFonts w:asciiTheme="minorHAnsi" w:eastAsiaTheme="minorHAnsi" w:hAnsiTheme="minorHAnsi" w:cstheme="minorBidi"/>
                <w:sz w:val="18"/>
                <w:szCs w:val="18"/>
              </w:rPr>
              <w:t>&lt;1</w:t>
            </w:r>
          </w:p>
        </w:tc>
        <w:tc>
          <w:tcPr>
            <w:tcW w:w="1084" w:type="dxa"/>
            <w:tcBorders>
              <w:left w:val="nil"/>
              <w:right w:val="nil"/>
            </w:tcBorders>
            <w:tcMar>
              <w:top w:w="0" w:type="dxa"/>
              <w:left w:w="115" w:type="dxa"/>
              <w:bottom w:w="0" w:type="dxa"/>
              <w:right w:w="115" w:type="dxa"/>
            </w:tcMar>
            <w:vAlign w:val="center"/>
          </w:tcPr>
          <w:p w14:paraId="24BAE0C1" w14:textId="77777777" w:rsidR="008873CE" w:rsidRPr="004853A6" w:rsidRDefault="008873CE" w:rsidP="00C85545">
            <w:pPr>
              <w:spacing w:after="0"/>
              <w:jc w:val="center"/>
              <w:rPr>
                <w:rFonts w:asciiTheme="minorHAnsi" w:eastAsiaTheme="minorHAnsi" w:hAnsiTheme="minorHAnsi" w:cstheme="minorBidi"/>
                <w:sz w:val="18"/>
                <w:szCs w:val="18"/>
              </w:rPr>
            </w:pPr>
            <w:r>
              <w:rPr>
                <w:rFonts w:asciiTheme="minorHAnsi" w:eastAsiaTheme="minorHAnsi" w:hAnsiTheme="minorHAnsi" w:cstheme="minorBidi"/>
                <w:sz w:val="18"/>
                <w:szCs w:val="18"/>
              </w:rPr>
              <w:t>&lt;1</w:t>
            </w:r>
          </w:p>
        </w:tc>
        <w:tc>
          <w:tcPr>
            <w:tcW w:w="1169" w:type="dxa"/>
            <w:tcBorders>
              <w:left w:val="nil"/>
              <w:right w:val="nil"/>
            </w:tcBorders>
            <w:vAlign w:val="center"/>
          </w:tcPr>
          <w:p w14:paraId="304D05E2" w14:textId="77777777" w:rsidR="008873CE" w:rsidRPr="004853A6" w:rsidRDefault="008873CE" w:rsidP="00C85545">
            <w:pPr>
              <w:spacing w:after="0"/>
              <w:jc w:val="center"/>
              <w:rPr>
                <w:rFonts w:asciiTheme="minorHAnsi" w:eastAsiaTheme="minorHAnsi" w:hAnsiTheme="minorHAnsi" w:cstheme="minorBidi"/>
                <w:sz w:val="18"/>
                <w:szCs w:val="18"/>
              </w:rPr>
            </w:pPr>
            <w:r>
              <w:rPr>
                <w:rFonts w:asciiTheme="minorHAnsi" w:eastAsiaTheme="minorHAnsi" w:hAnsiTheme="minorHAnsi" w:cstheme="minorBidi"/>
                <w:sz w:val="18"/>
                <w:szCs w:val="18"/>
              </w:rPr>
              <w:t>&lt;1</w:t>
            </w:r>
          </w:p>
        </w:tc>
      </w:tr>
      <w:tr w:rsidR="008873CE" w:rsidRPr="004853A6" w14:paraId="799E2B19" w14:textId="77777777" w:rsidTr="00C85545">
        <w:trPr>
          <w:cantSplit/>
        </w:trPr>
        <w:tc>
          <w:tcPr>
            <w:tcW w:w="2019" w:type="dxa"/>
            <w:tcBorders>
              <w:left w:val="nil"/>
              <w:right w:val="nil"/>
            </w:tcBorders>
            <w:vAlign w:val="center"/>
            <w:hideMark/>
          </w:tcPr>
          <w:p w14:paraId="6EBF743F" w14:textId="77777777" w:rsidR="008873CE" w:rsidRPr="004853A6" w:rsidRDefault="008873CE" w:rsidP="00C85545">
            <w:pPr>
              <w:tabs>
                <w:tab w:val="left" w:pos="468"/>
              </w:tabs>
              <w:spacing w:after="0"/>
              <w:outlineLvl w:val="4"/>
              <w:rPr>
                <w:rFonts w:asciiTheme="minorHAnsi" w:hAnsiTheme="minorHAnsi" w:cs="Arial"/>
                <w:sz w:val="18"/>
                <w:szCs w:val="18"/>
                <w:vertAlign w:val="superscript"/>
              </w:rPr>
            </w:pPr>
            <w:r w:rsidRPr="004853A6">
              <w:rPr>
                <w:rFonts w:asciiTheme="minorHAnsi" w:hAnsiTheme="minorHAnsi" w:cs="Arial"/>
                <w:sz w:val="18"/>
                <w:szCs w:val="18"/>
              </w:rPr>
              <w:t>Energy</w:t>
            </w:r>
          </w:p>
        </w:tc>
        <w:tc>
          <w:tcPr>
            <w:tcW w:w="1168" w:type="dxa"/>
            <w:tcBorders>
              <w:left w:val="nil"/>
              <w:right w:val="nil"/>
            </w:tcBorders>
            <w:tcMar>
              <w:top w:w="0" w:type="dxa"/>
              <w:left w:w="115" w:type="dxa"/>
              <w:bottom w:w="0" w:type="dxa"/>
              <w:right w:w="115" w:type="dxa"/>
            </w:tcMar>
            <w:vAlign w:val="center"/>
          </w:tcPr>
          <w:p w14:paraId="41DB8295" w14:textId="77777777" w:rsidR="008873CE" w:rsidRPr="004853A6" w:rsidRDefault="008873CE" w:rsidP="00C85545">
            <w:pPr>
              <w:spacing w:after="0"/>
              <w:jc w:val="center"/>
              <w:rPr>
                <w:rFonts w:asciiTheme="minorHAnsi" w:eastAsiaTheme="minorHAnsi" w:hAnsiTheme="minorHAnsi" w:cstheme="minorBidi"/>
                <w:sz w:val="18"/>
                <w:szCs w:val="18"/>
              </w:rPr>
            </w:pPr>
            <w:r>
              <w:rPr>
                <w:rFonts w:asciiTheme="minorHAnsi" w:eastAsiaTheme="minorHAnsi" w:hAnsiTheme="minorHAnsi" w:cstheme="minorBidi"/>
                <w:sz w:val="18"/>
                <w:szCs w:val="18"/>
              </w:rPr>
              <w:t>&lt;1</w:t>
            </w:r>
          </w:p>
        </w:tc>
        <w:tc>
          <w:tcPr>
            <w:tcW w:w="1168" w:type="dxa"/>
            <w:tcBorders>
              <w:left w:val="nil"/>
              <w:right w:val="nil"/>
            </w:tcBorders>
            <w:tcMar>
              <w:top w:w="86" w:type="dxa"/>
              <w:left w:w="115" w:type="dxa"/>
              <w:bottom w:w="86" w:type="dxa"/>
              <w:right w:w="115" w:type="dxa"/>
            </w:tcMar>
            <w:vAlign w:val="center"/>
          </w:tcPr>
          <w:p w14:paraId="1D2D64F9" w14:textId="77777777" w:rsidR="008873CE" w:rsidRPr="004853A6" w:rsidRDefault="008873CE" w:rsidP="00C85545">
            <w:pPr>
              <w:spacing w:after="0"/>
              <w:jc w:val="center"/>
              <w:rPr>
                <w:rFonts w:asciiTheme="minorHAnsi" w:eastAsiaTheme="minorHAnsi" w:hAnsiTheme="minorHAnsi" w:cstheme="minorBidi"/>
                <w:sz w:val="18"/>
                <w:szCs w:val="18"/>
              </w:rPr>
            </w:pPr>
            <w:r>
              <w:rPr>
                <w:rFonts w:asciiTheme="minorHAnsi" w:eastAsiaTheme="minorHAnsi" w:hAnsiTheme="minorHAnsi" w:cstheme="minorBidi"/>
                <w:sz w:val="18"/>
                <w:szCs w:val="18"/>
              </w:rPr>
              <w:t>&lt;1</w:t>
            </w:r>
          </w:p>
        </w:tc>
        <w:tc>
          <w:tcPr>
            <w:tcW w:w="1168" w:type="dxa"/>
            <w:tcBorders>
              <w:left w:val="nil"/>
              <w:right w:val="nil"/>
            </w:tcBorders>
            <w:vAlign w:val="center"/>
          </w:tcPr>
          <w:p w14:paraId="71876BF0" w14:textId="77777777" w:rsidR="008873CE" w:rsidRPr="004853A6" w:rsidRDefault="008873CE" w:rsidP="00C85545">
            <w:pPr>
              <w:spacing w:after="0"/>
              <w:jc w:val="center"/>
              <w:rPr>
                <w:rFonts w:asciiTheme="minorHAnsi" w:eastAsiaTheme="minorHAnsi" w:hAnsiTheme="minorHAnsi" w:cstheme="minorBidi"/>
                <w:sz w:val="18"/>
                <w:szCs w:val="18"/>
              </w:rPr>
            </w:pPr>
            <w:r>
              <w:rPr>
                <w:rFonts w:asciiTheme="minorHAnsi" w:eastAsiaTheme="minorHAnsi" w:hAnsiTheme="minorHAnsi" w:cstheme="minorBidi"/>
                <w:sz w:val="18"/>
                <w:szCs w:val="18"/>
              </w:rPr>
              <w:t>&lt;1</w:t>
            </w:r>
          </w:p>
        </w:tc>
        <w:tc>
          <w:tcPr>
            <w:tcW w:w="1252" w:type="dxa"/>
            <w:tcBorders>
              <w:left w:val="nil"/>
              <w:right w:val="nil"/>
            </w:tcBorders>
            <w:vAlign w:val="center"/>
          </w:tcPr>
          <w:p w14:paraId="7344BAF7" w14:textId="77777777" w:rsidR="008873CE" w:rsidRPr="004853A6" w:rsidRDefault="008873CE" w:rsidP="00C85545">
            <w:pPr>
              <w:spacing w:after="0"/>
              <w:jc w:val="center"/>
              <w:rPr>
                <w:rFonts w:asciiTheme="minorHAnsi" w:eastAsiaTheme="minorHAnsi" w:hAnsiTheme="minorHAnsi" w:cstheme="minorBidi"/>
                <w:sz w:val="18"/>
                <w:szCs w:val="18"/>
              </w:rPr>
            </w:pPr>
            <w:r>
              <w:rPr>
                <w:rFonts w:asciiTheme="minorHAnsi" w:eastAsiaTheme="minorHAnsi" w:hAnsiTheme="minorHAnsi" w:cstheme="minorBidi"/>
                <w:sz w:val="18"/>
                <w:szCs w:val="18"/>
              </w:rPr>
              <w:t>&lt;1</w:t>
            </w:r>
          </w:p>
        </w:tc>
        <w:tc>
          <w:tcPr>
            <w:tcW w:w="1084" w:type="dxa"/>
            <w:tcBorders>
              <w:left w:val="nil"/>
              <w:right w:val="nil"/>
            </w:tcBorders>
            <w:tcMar>
              <w:top w:w="0" w:type="dxa"/>
              <w:left w:w="115" w:type="dxa"/>
              <w:bottom w:w="0" w:type="dxa"/>
              <w:right w:w="115" w:type="dxa"/>
            </w:tcMar>
            <w:vAlign w:val="center"/>
          </w:tcPr>
          <w:p w14:paraId="2EC57B69" w14:textId="77777777" w:rsidR="008873CE" w:rsidRPr="004853A6" w:rsidRDefault="008873CE" w:rsidP="00C85545">
            <w:pPr>
              <w:spacing w:after="0"/>
              <w:jc w:val="center"/>
              <w:rPr>
                <w:rFonts w:asciiTheme="minorHAnsi" w:eastAsiaTheme="minorHAnsi" w:hAnsiTheme="minorHAnsi" w:cstheme="minorBidi"/>
                <w:sz w:val="18"/>
                <w:szCs w:val="18"/>
              </w:rPr>
            </w:pPr>
            <w:r>
              <w:rPr>
                <w:rFonts w:asciiTheme="minorHAnsi" w:eastAsiaTheme="minorHAnsi" w:hAnsiTheme="minorHAnsi" w:cstheme="minorBidi"/>
                <w:sz w:val="18"/>
                <w:szCs w:val="18"/>
              </w:rPr>
              <w:t>&lt;1</w:t>
            </w:r>
          </w:p>
        </w:tc>
        <w:tc>
          <w:tcPr>
            <w:tcW w:w="1169" w:type="dxa"/>
            <w:tcBorders>
              <w:left w:val="nil"/>
              <w:right w:val="nil"/>
            </w:tcBorders>
            <w:vAlign w:val="center"/>
          </w:tcPr>
          <w:p w14:paraId="691C315A" w14:textId="77777777" w:rsidR="008873CE" w:rsidRPr="004853A6" w:rsidRDefault="008873CE" w:rsidP="00C85545">
            <w:pPr>
              <w:spacing w:after="0"/>
              <w:jc w:val="center"/>
              <w:rPr>
                <w:rFonts w:asciiTheme="minorHAnsi" w:eastAsiaTheme="minorHAnsi" w:hAnsiTheme="minorHAnsi" w:cstheme="minorBidi"/>
                <w:sz w:val="18"/>
                <w:szCs w:val="18"/>
              </w:rPr>
            </w:pPr>
            <w:r>
              <w:rPr>
                <w:rFonts w:asciiTheme="minorHAnsi" w:eastAsiaTheme="minorHAnsi" w:hAnsiTheme="minorHAnsi" w:cstheme="minorBidi"/>
                <w:sz w:val="18"/>
                <w:szCs w:val="18"/>
              </w:rPr>
              <w:t>&lt;1</w:t>
            </w:r>
          </w:p>
        </w:tc>
      </w:tr>
      <w:tr w:rsidR="008873CE" w:rsidRPr="004853A6" w14:paraId="61D71F51" w14:textId="77777777" w:rsidTr="00C85545">
        <w:trPr>
          <w:cantSplit/>
        </w:trPr>
        <w:tc>
          <w:tcPr>
            <w:tcW w:w="2019" w:type="dxa"/>
            <w:tcBorders>
              <w:left w:val="nil"/>
              <w:bottom w:val="single" w:sz="4" w:space="0" w:color="BFBFBF" w:themeColor="background1" w:themeShade="BF"/>
              <w:right w:val="nil"/>
            </w:tcBorders>
            <w:vAlign w:val="center"/>
          </w:tcPr>
          <w:p w14:paraId="43E86361" w14:textId="77777777" w:rsidR="008873CE" w:rsidRPr="004853A6" w:rsidRDefault="008873CE" w:rsidP="00C85545">
            <w:pPr>
              <w:tabs>
                <w:tab w:val="left" w:pos="468"/>
              </w:tabs>
              <w:spacing w:after="0"/>
              <w:outlineLvl w:val="4"/>
              <w:rPr>
                <w:rFonts w:asciiTheme="minorHAnsi" w:hAnsiTheme="minorHAnsi" w:cs="Arial"/>
                <w:sz w:val="18"/>
                <w:szCs w:val="18"/>
                <w:vertAlign w:val="superscript"/>
              </w:rPr>
            </w:pPr>
            <w:r w:rsidRPr="00A56FEE">
              <w:rPr>
                <w:rFonts w:asciiTheme="minorHAnsi" w:hAnsiTheme="minorHAnsi" w:cs="Arial"/>
                <w:sz w:val="18"/>
                <w:szCs w:val="18"/>
              </w:rPr>
              <w:t>Mobile</w:t>
            </w:r>
          </w:p>
        </w:tc>
        <w:tc>
          <w:tcPr>
            <w:tcW w:w="1168" w:type="dxa"/>
            <w:tcBorders>
              <w:left w:val="nil"/>
              <w:bottom w:val="single" w:sz="4" w:space="0" w:color="BFBFBF" w:themeColor="background1" w:themeShade="BF"/>
              <w:right w:val="nil"/>
            </w:tcBorders>
            <w:tcMar>
              <w:top w:w="0" w:type="dxa"/>
              <w:left w:w="115" w:type="dxa"/>
              <w:bottom w:w="0" w:type="dxa"/>
              <w:right w:w="115" w:type="dxa"/>
            </w:tcMar>
            <w:vAlign w:val="center"/>
          </w:tcPr>
          <w:p w14:paraId="45395F79" w14:textId="77777777" w:rsidR="008873CE" w:rsidRPr="004853A6" w:rsidRDefault="008873CE" w:rsidP="00C85545">
            <w:pPr>
              <w:spacing w:after="0"/>
              <w:jc w:val="center"/>
              <w:rPr>
                <w:rFonts w:asciiTheme="minorHAnsi" w:eastAsiaTheme="minorHAnsi" w:hAnsiTheme="minorHAnsi" w:cstheme="minorBidi"/>
                <w:sz w:val="18"/>
                <w:szCs w:val="18"/>
              </w:rPr>
            </w:pPr>
            <w:r>
              <w:rPr>
                <w:rFonts w:asciiTheme="minorHAnsi" w:eastAsiaTheme="minorHAnsi" w:hAnsiTheme="minorHAnsi" w:cstheme="minorBidi"/>
                <w:sz w:val="18"/>
                <w:szCs w:val="18"/>
              </w:rPr>
              <w:t>&lt;1</w:t>
            </w:r>
          </w:p>
        </w:tc>
        <w:tc>
          <w:tcPr>
            <w:tcW w:w="1168" w:type="dxa"/>
            <w:tcBorders>
              <w:left w:val="nil"/>
              <w:bottom w:val="single" w:sz="4" w:space="0" w:color="BFBFBF" w:themeColor="background1" w:themeShade="BF"/>
              <w:right w:val="nil"/>
            </w:tcBorders>
            <w:tcMar>
              <w:top w:w="86" w:type="dxa"/>
              <w:left w:w="115" w:type="dxa"/>
              <w:bottom w:w="86" w:type="dxa"/>
              <w:right w:w="115" w:type="dxa"/>
            </w:tcMar>
            <w:vAlign w:val="center"/>
          </w:tcPr>
          <w:p w14:paraId="451079A0" w14:textId="77777777" w:rsidR="008873CE" w:rsidRPr="004853A6" w:rsidRDefault="008873CE" w:rsidP="00C85545">
            <w:pPr>
              <w:spacing w:after="0"/>
              <w:jc w:val="center"/>
              <w:rPr>
                <w:rFonts w:asciiTheme="minorHAnsi" w:eastAsiaTheme="minorHAnsi" w:hAnsiTheme="minorHAnsi" w:cstheme="minorBidi"/>
                <w:sz w:val="18"/>
                <w:szCs w:val="18"/>
              </w:rPr>
            </w:pPr>
            <w:r>
              <w:rPr>
                <w:rFonts w:asciiTheme="minorHAnsi" w:eastAsiaTheme="minorHAnsi" w:hAnsiTheme="minorHAnsi" w:cstheme="minorBidi"/>
                <w:sz w:val="18"/>
                <w:szCs w:val="18"/>
              </w:rPr>
              <w:t>&lt;1</w:t>
            </w:r>
          </w:p>
        </w:tc>
        <w:tc>
          <w:tcPr>
            <w:tcW w:w="1168" w:type="dxa"/>
            <w:tcBorders>
              <w:left w:val="nil"/>
              <w:bottom w:val="single" w:sz="4" w:space="0" w:color="BFBFBF" w:themeColor="background1" w:themeShade="BF"/>
              <w:right w:val="nil"/>
            </w:tcBorders>
            <w:vAlign w:val="center"/>
          </w:tcPr>
          <w:p w14:paraId="2416D2B5" w14:textId="77777777" w:rsidR="008873CE" w:rsidRPr="004853A6" w:rsidRDefault="008873CE" w:rsidP="00C85545">
            <w:pPr>
              <w:spacing w:after="0"/>
              <w:jc w:val="center"/>
              <w:rPr>
                <w:rFonts w:asciiTheme="minorHAnsi" w:eastAsiaTheme="minorHAnsi" w:hAnsiTheme="minorHAnsi" w:cstheme="minorBidi"/>
                <w:sz w:val="18"/>
                <w:szCs w:val="18"/>
              </w:rPr>
            </w:pPr>
            <w:r>
              <w:rPr>
                <w:rFonts w:asciiTheme="minorHAnsi" w:eastAsiaTheme="minorHAnsi" w:hAnsiTheme="minorHAnsi" w:cstheme="minorBidi"/>
                <w:sz w:val="18"/>
                <w:szCs w:val="18"/>
              </w:rPr>
              <w:t>1</w:t>
            </w:r>
          </w:p>
        </w:tc>
        <w:tc>
          <w:tcPr>
            <w:tcW w:w="1252" w:type="dxa"/>
            <w:tcBorders>
              <w:left w:val="nil"/>
              <w:bottom w:val="single" w:sz="4" w:space="0" w:color="BFBFBF" w:themeColor="background1" w:themeShade="BF"/>
              <w:right w:val="nil"/>
            </w:tcBorders>
            <w:vAlign w:val="center"/>
          </w:tcPr>
          <w:p w14:paraId="1A9E2C98" w14:textId="77777777" w:rsidR="008873CE" w:rsidRPr="004853A6" w:rsidRDefault="008873CE" w:rsidP="00C85545">
            <w:pPr>
              <w:spacing w:after="0"/>
              <w:jc w:val="center"/>
              <w:rPr>
                <w:rFonts w:asciiTheme="minorHAnsi" w:eastAsiaTheme="minorHAnsi" w:hAnsiTheme="minorHAnsi" w:cstheme="minorBidi"/>
                <w:sz w:val="18"/>
                <w:szCs w:val="18"/>
              </w:rPr>
            </w:pPr>
            <w:r>
              <w:rPr>
                <w:rFonts w:asciiTheme="minorHAnsi" w:eastAsiaTheme="minorHAnsi" w:hAnsiTheme="minorHAnsi" w:cstheme="minorBidi"/>
                <w:sz w:val="18"/>
                <w:szCs w:val="18"/>
              </w:rPr>
              <w:t>&lt;1</w:t>
            </w:r>
          </w:p>
        </w:tc>
        <w:tc>
          <w:tcPr>
            <w:tcW w:w="1084" w:type="dxa"/>
            <w:tcBorders>
              <w:left w:val="nil"/>
              <w:bottom w:val="single" w:sz="4" w:space="0" w:color="BFBFBF" w:themeColor="background1" w:themeShade="BF"/>
              <w:right w:val="nil"/>
            </w:tcBorders>
            <w:tcMar>
              <w:top w:w="0" w:type="dxa"/>
              <w:left w:w="115" w:type="dxa"/>
              <w:bottom w:w="0" w:type="dxa"/>
              <w:right w:w="115" w:type="dxa"/>
            </w:tcMar>
            <w:vAlign w:val="center"/>
          </w:tcPr>
          <w:p w14:paraId="41217798" w14:textId="77777777" w:rsidR="008873CE" w:rsidRPr="004853A6" w:rsidRDefault="008873CE" w:rsidP="00C85545">
            <w:pPr>
              <w:spacing w:after="0"/>
              <w:jc w:val="center"/>
              <w:rPr>
                <w:rFonts w:asciiTheme="minorHAnsi" w:eastAsiaTheme="minorHAnsi" w:hAnsiTheme="minorHAnsi" w:cstheme="minorBidi"/>
                <w:sz w:val="18"/>
                <w:szCs w:val="18"/>
              </w:rPr>
            </w:pPr>
            <w:r>
              <w:rPr>
                <w:rFonts w:asciiTheme="minorHAnsi" w:eastAsiaTheme="minorHAnsi" w:hAnsiTheme="minorHAnsi" w:cstheme="minorBidi"/>
                <w:sz w:val="18"/>
                <w:szCs w:val="18"/>
              </w:rPr>
              <w:t>&lt;1</w:t>
            </w:r>
          </w:p>
        </w:tc>
        <w:tc>
          <w:tcPr>
            <w:tcW w:w="1169" w:type="dxa"/>
            <w:tcBorders>
              <w:left w:val="nil"/>
              <w:bottom w:val="single" w:sz="4" w:space="0" w:color="BFBFBF" w:themeColor="background1" w:themeShade="BF"/>
              <w:right w:val="nil"/>
            </w:tcBorders>
            <w:vAlign w:val="center"/>
          </w:tcPr>
          <w:p w14:paraId="3BF5DAC9" w14:textId="77777777" w:rsidR="008873CE" w:rsidRPr="004853A6" w:rsidRDefault="008873CE" w:rsidP="00C85545">
            <w:pPr>
              <w:spacing w:after="0"/>
              <w:jc w:val="center"/>
              <w:rPr>
                <w:rFonts w:asciiTheme="minorHAnsi" w:eastAsiaTheme="minorHAnsi" w:hAnsiTheme="minorHAnsi" w:cstheme="minorBidi"/>
                <w:sz w:val="18"/>
                <w:szCs w:val="18"/>
              </w:rPr>
            </w:pPr>
            <w:r>
              <w:rPr>
                <w:rFonts w:asciiTheme="minorHAnsi" w:eastAsiaTheme="minorHAnsi" w:hAnsiTheme="minorHAnsi" w:cstheme="minorBidi"/>
                <w:sz w:val="18"/>
                <w:szCs w:val="18"/>
              </w:rPr>
              <w:t>&lt;1</w:t>
            </w:r>
          </w:p>
        </w:tc>
      </w:tr>
      <w:tr w:rsidR="008873CE" w:rsidRPr="004853A6" w14:paraId="273135AA" w14:textId="77777777" w:rsidTr="00C85545">
        <w:trPr>
          <w:cantSplit/>
        </w:trPr>
        <w:tc>
          <w:tcPr>
            <w:tcW w:w="2019" w:type="dxa"/>
            <w:tcBorders>
              <w:top w:val="single" w:sz="4" w:space="0" w:color="BFBFBF" w:themeColor="background1" w:themeShade="BF"/>
              <w:left w:val="nil"/>
              <w:bottom w:val="nil"/>
              <w:right w:val="nil"/>
            </w:tcBorders>
            <w:vAlign w:val="center"/>
          </w:tcPr>
          <w:p w14:paraId="14D95F83" w14:textId="77777777" w:rsidR="008873CE" w:rsidRPr="004853A6" w:rsidRDefault="008873CE" w:rsidP="00C85545">
            <w:pPr>
              <w:tabs>
                <w:tab w:val="left" w:pos="468"/>
              </w:tabs>
              <w:spacing w:after="0"/>
              <w:outlineLvl w:val="4"/>
              <w:rPr>
                <w:rFonts w:asciiTheme="minorHAnsi" w:hAnsiTheme="minorHAnsi" w:cs="Arial"/>
                <w:b/>
                <w:sz w:val="18"/>
                <w:szCs w:val="18"/>
              </w:rPr>
            </w:pPr>
            <w:r w:rsidRPr="004853A6">
              <w:rPr>
                <w:rFonts w:asciiTheme="minorHAnsi" w:hAnsiTheme="minorHAnsi" w:cs="Arial"/>
                <w:b/>
                <w:sz w:val="18"/>
                <w:szCs w:val="18"/>
              </w:rPr>
              <w:t>Total</w:t>
            </w:r>
          </w:p>
        </w:tc>
        <w:tc>
          <w:tcPr>
            <w:tcW w:w="1168" w:type="dxa"/>
            <w:tcBorders>
              <w:top w:val="single" w:sz="4" w:space="0" w:color="BFBFBF" w:themeColor="background1" w:themeShade="BF"/>
              <w:left w:val="nil"/>
              <w:bottom w:val="nil"/>
              <w:right w:val="nil"/>
            </w:tcBorders>
            <w:tcMar>
              <w:top w:w="0" w:type="dxa"/>
              <w:left w:w="115" w:type="dxa"/>
              <w:bottom w:w="0" w:type="dxa"/>
              <w:right w:w="115" w:type="dxa"/>
            </w:tcMar>
            <w:vAlign w:val="center"/>
          </w:tcPr>
          <w:p w14:paraId="7231EC71" w14:textId="77777777" w:rsidR="008873CE" w:rsidRPr="004853A6" w:rsidRDefault="008873CE" w:rsidP="00C85545">
            <w:pPr>
              <w:spacing w:after="0"/>
              <w:jc w:val="center"/>
              <w:rPr>
                <w:rFonts w:asciiTheme="minorHAnsi" w:eastAsiaTheme="minorHAnsi" w:hAnsiTheme="minorHAnsi" w:cstheme="minorBidi"/>
                <w:b/>
                <w:sz w:val="18"/>
                <w:szCs w:val="18"/>
              </w:rPr>
            </w:pPr>
            <w:r>
              <w:rPr>
                <w:rFonts w:asciiTheme="minorHAnsi" w:eastAsiaTheme="minorHAnsi" w:hAnsiTheme="minorHAnsi" w:cstheme="minorBidi"/>
                <w:b/>
                <w:sz w:val="18"/>
                <w:szCs w:val="18"/>
              </w:rPr>
              <w:t>&lt;1</w:t>
            </w:r>
          </w:p>
        </w:tc>
        <w:tc>
          <w:tcPr>
            <w:tcW w:w="1168" w:type="dxa"/>
            <w:tcBorders>
              <w:top w:val="single" w:sz="4" w:space="0" w:color="BFBFBF" w:themeColor="background1" w:themeShade="BF"/>
              <w:left w:val="nil"/>
              <w:bottom w:val="nil"/>
              <w:right w:val="nil"/>
            </w:tcBorders>
            <w:tcMar>
              <w:top w:w="86" w:type="dxa"/>
              <w:left w:w="115" w:type="dxa"/>
              <w:bottom w:w="86" w:type="dxa"/>
              <w:right w:w="115" w:type="dxa"/>
            </w:tcMar>
            <w:vAlign w:val="center"/>
          </w:tcPr>
          <w:p w14:paraId="0048B2AD" w14:textId="77777777" w:rsidR="008873CE" w:rsidRPr="004853A6" w:rsidRDefault="008873CE" w:rsidP="00C85545">
            <w:pPr>
              <w:spacing w:after="0"/>
              <w:jc w:val="center"/>
              <w:rPr>
                <w:rFonts w:asciiTheme="minorHAnsi" w:eastAsiaTheme="minorHAnsi" w:hAnsiTheme="minorHAnsi" w:cstheme="minorBidi"/>
                <w:b/>
                <w:sz w:val="18"/>
                <w:szCs w:val="18"/>
              </w:rPr>
            </w:pPr>
            <w:r>
              <w:rPr>
                <w:rFonts w:asciiTheme="minorHAnsi" w:eastAsiaTheme="minorHAnsi" w:hAnsiTheme="minorHAnsi" w:cstheme="minorBidi"/>
                <w:b/>
                <w:sz w:val="18"/>
                <w:szCs w:val="18"/>
              </w:rPr>
              <w:t>&lt;1</w:t>
            </w:r>
          </w:p>
        </w:tc>
        <w:tc>
          <w:tcPr>
            <w:tcW w:w="1168" w:type="dxa"/>
            <w:tcBorders>
              <w:top w:val="single" w:sz="4" w:space="0" w:color="BFBFBF" w:themeColor="background1" w:themeShade="BF"/>
              <w:left w:val="nil"/>
              <w:bottom w:val="nil"/>
              <w:right w:val="nil"/>
            </w:tcBorders>
            <w:vAlign w:val="center"/>
          </w:tcPr>
          <w:p w14:paraId="7FFB41A1" w14:textId="77777777" w:rsidR="008873CE" w:rsidRPr="004853A6" w:rsidRDefault="008873CE" w:rsidP="00C85545">
            <w:pPr>
              <w:spacing w:after="0"/>
              <w:jc w:val="center"/>
              <w:rPr>
                <w:rFonts w:asciiTheme="minorHAnsi" w:eastAsiaTheme="minorHAnsi" w:hAnsiTheme="minorHAnsi" w:cstheme="minorBidi"/>
                <w:b/>
                <w:sz w:val="18"/>
                <w:szCs w:val="18"/>
              </w:rPr>
            </w:pPr>
            <w:r>
              <w:rPr>
                <w:rFonts w:asciiTheme="minorHAnsi" w:eastAsiaTheme="minorHAnsi" w:hAnsiTheme="minorHAnsi" w:cstheme="minorBidi"/>
                <w:b/>
                <w:sz w:val="18"/>
                <w:szCs w:val="18"/>
              </w:rPr>
              <w:t>&lt;1</w:t>
            </w:r>
          </w:p>
        </w:tc>
        <w:tc>
          <w:tcPr>
            <w:tcW w:w="1252" w:type="dxa"/>
            <w:tcBorders>
              <w:top w:val="single" w:sz="4" w:space="0" w:color="BFBFBF" w:themeColor="background1" w:themeShade="BF"/>
              <w:left w:val="nil"/>
              <w:bottom w:val="nil"/>
              <w:right w:val="nil"/>
            </w:tcBorders>
            <w:vAlign w:val="center"/>
          </w:tcPr>
          <w:p w14:paraId="6511B2D3" w14:textId="77777777" w:rsidR="008873CE" w:rsidRPr="004853A6" w:rsidRDefault="008873CE" w:rsidP="00C85545">
            <w:pPr>
              <w:spacing w:after="0"/>
              <w:jc w:val="center"/>
              <w:rPr>
                <w:rFonts w:asciiTheme="minorHAnsi" w:eastAsiaTheme="minorHAnsi" w:hAnsiTheme="minorHAnsi" w:cstheme="minorBidi"/>
                <w:b/>
                <w:sz w:val="18"/>
                <w:szCs w:val="18"/>
              </w:rPr>
            </w:pPr>
            <w:r>
              <w:rPr>
                <w:rFonts w:asciiTheme="minorHAnsi" w:eastAsiaTheme="minorHAnsi" w:hAnsiTheme="minorHAnsi" w:cstheme="minorBidi"/>
                <w:b/>
                <w:sz w:val="18"/>
                <w:szCs w:val="18"/>
              </w:rPr>
              <w:t>&lt;1</w:t>
            </w:r>
          </w:p>
        </w:tc>
        <w:tc>
          <w:tcPr>
            <w:tcW w:w="1084" w:type="dxa"/>
            <w:tcBorders>
              <w:top w:val="single" w:sz="4" w:space="0" w:color="BFBFBF" w:themeColor="background1" w:themeShade="BF"/>
              <w:left w:val="nil"/>
              <w:bottom w:val="nil"/>
              <w:right w:val="nil"/>
            </w:tcBorders>
            <w:tcMar>
              <w:top w:w="0" w:type="dxa"/>
              <w:left w:w="115" w:type="dxa"/>
              <w:bottom w:w="0" w:type="dxa"/>
              <w:right w:w="115" w:type="dxa"/>
            </w:tcMar>
            <w:vAlign w:val="center"/>
          </w:tcPr>
          <w:p w14:paraId="7306421C" w14:textId="77777777" w:rsidR="008873CE" w:rsidRPr="004853A6" w:rsidRDefault="008873CE" w:rsidP="00C85545">
            <w:pPr>
              <w:spacing w:after="0"/>
              <w:jc w:val="center"/>
              <w:rPr>
                <w:rFonts w:asciiTheme="minorHAnsi" w:eastAsiaTheme="minorHAnsi" w:hAnsiTheme="minorHAnsi" w:cstheme="minorBidi"/>
                <w:b/>
                <w:sz w:val="18"/>
                <w:szCs w:val="18"/>
              </w:rPr>
            </w:pPr>
            <w:r>
              <w:rPr>
                <w:rFonts w:asciiTheme="minorHAnsi" w:eastAsiaTheme="minorHAnsi" w:hAnsiTheme="minorHAnsi" w:cstheme="minorBidi"/>
                <w:b/>
                <w:sz w:val="18"/>
                <w:szCs w:val="18"/>
              </w:rPr>
              <w:t>&lt;1</w:t>
            </w:r>
          </w:p>
        </w:tc>
        <w:tc>
          <w:tcPr>
            <w:tcW w:w="1169" w:type="dxa"/>
            <w:tcBorders>
              <w:top w:val="single" w:sz="4" w:space="0" w:color="BFBFBF" w:themeColor="background1" w:themeShade="BF"/>
              <w:left w:val="nil"/>
              <w:bottom w:val="nil"/>
              <w:right w:val="nil"/>
            </w:tcBorders>
            <w:vAlign w:val="center"/>
          </w:tcPr>
          <w:p w14:paraId="522316DE" w14:textId="77777777" w:rsidR="008873CE" w:rsidRPr="004853A6" w:rsidRDefault="008873CE" w:rsidP="00C85545">
            <w:pPr>
              <w:spacing w:after="0"/>
              <w:jc w:val="center"/>
              <w:rPr>
                <w:rFonts w:asciiTheme="minorHAnsi" w:eastAsiaTheme="minorHAnsi" w:hAnsiTheme="minorHAnsi" w:cstheme="minorBidi"/>
                <w:b/>
                <w:sz w:val="18"/>
                <w:szCs w:val="18"/>
              </w:rPr>
            </w:pPr>
            <w:r>
              <w:rPr>
                <w:rFonts w:asciiTheme="minorHAnsi" w:eastAsiaTheme="minorHAnsi" w:hAnsiTheme="minorHAnsi" w:cstheme="minorBidi"/>
                <w:b/>
                <w:sz w:val="18"/>
                <w:szCs w:val="18"/>
              </w:rPr>
              <w:t>&lt;1</w:t>
            </w:r>
          </w:p>
        </w:tc>
      </w:tr>
      <w:tr w:rsidR="008873CE" w:rsidRPr="004853A6" w14:paraId="0859C31D" w14:textId="77777777" w:rsidTr="00C85545">
        <w:trPr>
          <w:cantSplit/>
        </w:trPr>
        <w:tc>
          <w:tcPr>
            <w:tcW w:w="2019" w:type="dxa"/>
            <w:vAlign w:val="center"/>
            <w:hideMark/>
          </w:tcPr>
          <w:p w14:paraId="25E48DA1" w14:textId="77777777" w:rsidR="008873CE" w:rsidRPr="004853A6" w:rsidRDefault="008873CE" w:rsidP="00C85545">
            <w:pPr>
              <w:spacing w:after="0"/>
              <w:rPr>
                <w:rFonts w:asciiTheme="minorHAnsi" w:hAnsiTheme="minorHAnsi"/>
                <w:sz w:val="18"/>
                <w:szCs w:val="18"/>
              </w:rPr>
            </w:pPr>
            <w:r w:rsidRPr="004853A6">
              <w:rPr>
                <w:rFonts w:asciiTheme="minorHAnsi" w:hAnsiTheme="minorHAnsi"/>
                <w:sz w:val="18"/>
                <w:szCs w:val="18"/>
              </w:rPr>
              <w:t>BAAQMD Thresholds</w:t>
            </w:r>
          </w:p>
        </w:tc>
        <w:tc>
          <w:tcPr>
            <w:tcW w:w="1168" w:type="dxa"/>
            <w:tcMar>
              <w:top w:w="0" w:type="dxa"/>
              <w:left w:w="115" w:type="dxa"/>
              <w:bottom w:w="0" w:type="dxa"/>
              <w:right w:w="115" w:type="dxa"/>
            </w:tcMar>
            <w:vAlign w:val="center"/>
            <w:hideMark/>
          </w:tcPr>
          <w:p w14:paraId="4C1A2F48" w14:textId="77777777" w:rsidR="008873CE" w:rsidRPr="004853A6" w:rsidRDefault="008873CE" w:rsidP="00C85545">
            <w:pPr>
              <w:spacing w:after="0"/>
              <w:jc w:val="center"/>
              <w:rPr>
                <w:rFonts w:asciiTheme="minorHAnsi" w:hAnsiTheme="minorHAnsi"/>
                <w:sz w:val="18"/>
                <w:szCs w:val="18"/>
              </w:rPr>
            </w:pPr>
            <w:r w:rsidRPr="004853A6">
              <w:rPr>
                <w:rFonts w:asciiTheme="minorHAnsi" w:hAnsiTheme="minorHAnsi"/>
                <w:sz w:val="18"/>
                <w:szCs w:val="18"/>
              </w:rPr>
              <w:t>10</w:t>
            </w:r>
          </w:p>
        </w:tc>
        <w:tc>
          <w:tcPr>
            <w:tcW w:w="1168" w:type="dxa"/>
            <w:tcMar>
              <w:top w:w="86" w:type="dxa"/>
              <w:left w:w="115" w:type="dxa"/>
              <w:bottom w:w="86" w:type="dxa"/>
              <w:right w:w="115" w:type="dxa"/>
            </w:tcMar>
            <w:vAlign w:val="center"/>
            <w:hideMark/>
          </w:tcPr>
          <w:p w14:paraId="2394B62C" w14:textId="77777777" w:rsidR="008873CE" w:rsidRPr="004853A6" w:rsidRDefault="008873CE" w:rsidP="00C85545">
            <w:pPr>
              <w:spacing w:after="0"/>
              <w:jc w:val="center"/>
              <w:rPr>
                <w:rFonts w:asciiTheme="minorHAnsi" w:hAnsiTheme="minorHAnsi"/>
                <w:sz w:val="18"/>
                <w:szCs w:val="18"/>
              </w:rPr>
            </w:pPr>
            <w:r w:rsidRPr="004853A6">
              <w:rPr>
                <w:rFonts w:asciiTheme="minorHAnsi" w:hAnsiTheme="minorHAnsi"/>
                <w:sz w:val="18"/>
                <w:szCs w:val="18"/>
              </w:rPr>
              <w:t>10</w:t>
            </w:r>
          </w:p>
        </w:tc>
        <w:tc>
          <w:tcPr>
            <w:tcW w:w="1168" w:type="dxa"/>
            <w:vAlign w:val="center"/>
            <w:hideMark/>
          </w:tcPr>
          <w:p w14:paraId="1B1D87BC" w14:textId="77777777" w:rsidR="008873CE" w:rsidRPr="004853A6" w:rsidRDefault="008873CE" w:rsidP="00C85545">
            <w:pPr>
              <w:spacing w:after="0"/>
              <w:jc w:val="center"/>
              <w:rPr>
                <w:rFonts w:asciiTheme="minorHAnsi" w:hAnsiTheme="minorHAnsi"/>
                <w:sz w:val="18"/>
                <w:szCs w:val="18"/>
              </w:rPr>
            </w:pPr>
            <w:r w:rsidRPr="004853A6">
              <w:rPr>
                <w:rFonts w:asciiTheme="minorHAnsi" w:hAnsiTheme="minorHAnsi"/>
                <w:sz w:val="18"/>
                <w:szCs w:val="18"/>
              </w:rPr>
              <w:t>N/A</w:t>
            </w:r>
          </w:p>
        </w:tc>
        <w:tc>
          <w:tcPr>
            <w:tcW w:w="1252" w:type="dxa"/>
            <w:vAlign w:val="center"/>
            <w:hideMark/>
          </w:tcPr>
          <w:p w14:paraId="56ECF14A" w14:textId="77777777" w:rsidR="008873CE" w:rsidRPr="004853A6" w:rsidRDefault="008873CE" w:rsidP="00C85545">
            <w:pPr>
              <w:spacing w:after="0"/>
              <w:jc w:val="center"/>
              <w:rPr>
                <w:rFonts w:asciiTheme="minorHAnsi" w:hAnsiTheme="minorHAnsi"/>
                <w:sz w:val="18"/>
                <w:szCs w:val="18"/>
              </w:rPr>
            </w:pPr>
            <w:r w:rsidRPr="004853A6">
              <w:rPr>
                <w:rFonts w:asciiTheme="minorHAnsi" w:hAnsiTheme="minorHAnsi"/>
                <w:sz w:val="18"/>
                <w:szCs w:val="18"/>
              </w:rPr>
              <w:t>N/A</w:t>
            </w:r>
          </w:p>
        </w:tc>
        <w:tc>
          <w:tcPr>
            <w:tcW w:w="1084" w:type="dxa"/>
            <w:tcMar>
              <w:top w:w="0" w:type="dxa"/>
              <w:left w:w="115" w:type="dxa"/>
              <w:bottom w:w="0" w:type="dxa"/>
              <w:right w:w="115" w:type="dxa"/>
            </w:tcMar>
            <w:vAlign w:val="center"/>
            <w:hideMark/>
          </w:tcPr>
          <w:p w14:paraId="5AF19459" w14:textId="77777777" w:rsidR="008873CE" w:rsidRPr="004853A6" w:rsidRDefault="008873CE" w:rsidP="00C85545">
            <w:pPr>
              <w:spacing w:after="0"/>
              <w:jc w:val="center"/>
              <w:rPr>
                <w:rFonts w:asciiTheme="minorHAnsi" w:hAnsiTheme="minorHAnsi"/>
                <w:sz w:val="18"/>
                <w:szCs w:val="18"/>
              </w:rPr>
            </w:pPr>
            <w:r w:rsidRPr="004853A6">
              <w:rPr>
                <w:rFonts w:asciiTheme="minorHAnsi" w:hAnsiTheme="minorHAnsi"/>
                <w:sz w:val="18"/>
                <w:szCs w:val="18"/>
              </w:rPr>
              <w:t>15</w:t>
            </w:r>
          </w:p>
        </w:tc>
        <w:tc>
          <w:tcPr>
            <w:tcW w:w="1169" w:type="dxa"/>
            <w:vAlign w:val="center"/>
            <w:hideMark/>
          </w:tcPr>
          <w:p w14:paraId="00D50CD4" w14:textId="77777777" w:rsidR="008873CE" w:rsidRPr="004853A6" w:rsidRDefault="008873CE" w:rsidP="00C85545">
            <w:pPr>
              <w:spacing w:after="0"/>
              <w:jc w:val="center"/>
              <w:rPr>
                <w:rFonts w:asciiTheme="minorHAnsi" w:hAnsiTheme="minorHAnsi"/>
                <w:sz w:val="18"/>
                <w:szCs w:val="18"/>
              </w:rPr>
            </w:pPr>
            <w:r w:rsidRPr="004853A6">
              <w:rPr>
                <w:rFonts w:asciiTheme="minorHAnsi" w:hAnsiTheme="minorHAnsi"/>
                <w:sz w:val="18"/>
                <w:szCs w:val="18"/>
              </w:rPr>
              <w:t>10</w:t>
            </w:r>
          </w:p>
        </w:tc>
      </w:tr>
      <w:tr w:rsidR="008873CE" w:rsidRPr="004853A6" w14:paraId="40FC12B7" w14:textId="77777777" w:rsidTr="00C85545">
        <w:trPr>
          <w:cantSplit/>
        </w:trPr>
        <w:tc>
          <w:tcPr>
            <w:tcW w:w="2019" w:type="dxa"/>
            <w:vAlign w:val="center"/>
            <w:hideMark/>
          </w:tcPr>
          <w:p w14:paraId="769ED572" w14:textId="77777777" w:rsidR="008873CE" w:rsidRPr="004853A6" w:rsidRDefault="008873CE" w:rsidP="00C85545">
            <w:pPr>
              <w:spacing w:after="0"/>
              <w:rPr>
                <w:rFonts w:asciiTheme="minorHAnsi" w:hAnsiTheme="minorHAnsi"/>
                <w:sz w:val="18"/>
                <w:szCs w:val="18"/>
              </w:rPr>
            </w:pPr>
            <w:r w:rsidRPr="004853A6">
              <w:rPr>
                <w:rFonts w:asciiTheme="minorHAnsi" w:hAnsiTheme="minorHAnsi"/>
                <w:sz w:val="18"/>
                <w:szCs w:val="18"/>
              </w:rPr>
              <w:t>Threshold Exceeded?</w:t>
            </w:r>
          </w:p>
        </w:tc>
        <w:tc>
          <w:tcPr>
            <w:tcW w:w="1168" w:type="dxa"/>
            <w:tcMar>
              <w:top w:w="0" w:type="dxa"/>
              <w:left w:w="115" w:type="dxa"/>
              <w:bottom w:w="0" w:type="dxa"/>
              <w:right w:w="115" w:type="dxa"/>
            </w:tcMar>
            <w:vAlign w:val="center"/>
            <w:hideMark/>
          </w:tcPr>
          <w:p w14:paraId="466F7EAC" w14:textId="77777777" w:rsidR="008873CE" w:rsidRPr="004853A6" w:rsidRDefault="008873CE" w:rsidP="00C85545">
            <w:pPr>
              <w:spacing w:after="0"/>
              <w:jc w:val="center"/>
              <w:rPr>
                <w:rFonts w:asciiTheme="minorHAnsi" w:hAnsiTheme="minorHAnsi"/>
                <w:sz w:val="18"/>
                <w:szCs w:val="18"/>
              </w:rPr>
            </w:pPr>
            <w:r w:rsidRPr="004853A6">
              <w:rPr>
                <w:rFonts w:asciiTheme="minorHAnsi" w:hAnsiTheme="minorHAnsi"/>
                <w:sz w:val="18"/>
                <w:szCs w:val="18"/>
              </w:rPr>
              <w:t>No</w:t>
            </w:r>
          </w:p>
        </w:tc>
        <w:tc>
          <w:tcPr>
            <w:tcW w:w="1168" w:type="dxa"/>
            <w:tcMar>
              <w:top w:w="86" w:type="dxa"/>
              <w:left w:w="115" w:type="dxa"/>
              <w:bottom w:w="86" w:type="dxa"/>
              <w:right w:w="115" w:type="dxa"/>
            </w:tcMar>
            <w:vAlign w:val="center"/>
            <w:hideMark/>
          </w:tcPr>
          <w:p w14:paraId="3E5B5F48" w14:textId="77777777" w:rsidR="008873CE" w:rsidRPr="004853A6" w:rsidRDefault="008873CE" w:rsidP="00C85545">
            <w:pPr>
              <w:spacing w:after="0"/>
              <w:jc w:val="center"/>
              <w:rPr>
                <w:rFonts w:asciiTheme="minorHAnsi" w:hAnsiTheme="minorHAnsi"/>
                <w:sz w:val="18"/>
                <w:szCs w:val="18"/>
              </w:rPr>
            </w:pPr>
            <w:r w:rsidRPr="004853A6">
              <w:rPr>
                <w:rFonts w:asciiTheme="minorHAnsi" w:hAnsiTheme="minorHAnsi"/>
                <w:sz w:val="18"/>
                <w:szCs w:val="18"/>
              </w:rPr>
              <w:t>No</w:t>
            </w:r>
          </w:p>
        </w:tc>
        <w:tc>
          <w:tcPr>
            <w:tcW w:w="1168" w:type="dxa"/>
            <w:vAlign w:val="center"/>
            <w:hideMark/>
          </w:tcPr>
          <w:p w14:paraId="52631BFB" w14:textId="77777777" w:rsidR="008873CE" w:rsidRPr="004853A6" w:rsidRDefault="008873CE" w:rsidP="00C85545">
            <w:pPr>
              <w:spacing w:after="0"/>
              <w:jc w:val="center"/>
              <w:rPr>
                <w:rFonts w:asciiTheme="minorHAnsi" w:hAnsiTheme="minorHAnsi"/>
                <w:sz w:val="18"/>
                <w:szCs w:val="18"/>
              </w:rPr>
            </w:pPr>
            <w:r w:rsidRPr="004853A6">
              <w:rPr>
                <w:rFonts w:asciiTheme="minorHAnsi" w:hAnsiTheme="minorHAnsi"/>
                <w:sz w:val="18"/>
                <w:szCs w:val="18"/>
              </w:rPr>
              <w:t>N/A</w:t>
            </w:r>
          </w:p>
        </w:tc>
        <w:tc>
          <w:tcPr>
            <w:tcW w:w="1252" w:type="dxa"/>
            <w:vAlign w:val="center"/>
            <w:hideMark/>
          </w:tcPr>
          <w:p w14:paraId="3F354952" w14:textId="77777777" w:rsidR="008873CE" w:rsidRPr="004853A6" w:rsidRDefault="008873CE" w:rsidP="00C85545">
            <w:pPr>
              <w:spacing w:after="0"/>
              <w:jc w:val="center"/>
              <w:rPr>
                <w:rFonts w:asciiTheme="minorHAnsi" w:hAnsiTheme="minorHAnsi"/>
                <w:sz w:val="18"/>
                <w:szCs w:val="18"/>
              </w:rPr>
            </w:pPr>
            <w:r w:rsidRPr="004853A6">
              <w:rPr>
                <w:rFonts w:asciiTheme="minorHAnsi" w:hAnsiTheme="minorHAnsi"/>
                <w:sz w:val="18"/>
                <w:szCs w:val="18"/>
              </w:rPr>
              <w:t>N/A</w:t>
            </w:r>
          </w:p>
        </w:tc>
        <w:tc>
          <w:tcPr>
            <w:tcW w:w="1084" w:type="dxa"/>
            <w:tcMar>
              <w:top w:w="0" w:type="dxa"/>
              <w:left w:w="115" w:type="dxa"/>
              <w:bottom w:w="0" w:type="dxa"/>
              <w:right w:w="115" w:type="dxa"/>
            </w:tcMar>
            <w:vAlign w:val="center"/>
            <w:hideMark/>
          </w:tcPr>
          <w:p w14:paraId="7A4AA028" w14:textId="77777777" w:rsidR="008873CE" w:rsidRPr="004853A6" w:rsidRDefault="008873CE" w:rsidP="00C85545">
            <w:pPr>
              <w:spacing w:after="0"/>
              <w:jc w:val="center"/>
              <w:rPr>
                <w:rFonts w:asciiTheme="minorHAnsi" w:hAnsiTheme="minorHAnsi"/>
                <w:sz w:val="18"/>
                <w:szCs w:val="18"/>
              </w:rPr>
            </w:pPr>
            <w:r w:rsidRPr="004853A6">
              <w:rPr>
                <w:rFonts w:asciiTheme="minorHAnsi" w:hAnsiTheme="minorHAnsi"/>
                <w:sz w:val="18"/>
                <w:szCs w:val="18"/>
              </w:rPr>
              <w:t>N/A</w:t>
            </w:r>
          </w:p>
        </w:tc>
        <w:tc>
          <w:tcPr>
            <w:tcW w:w="1169" w:type="dxa"/>
            <w:vAlign w:val="center"/>
            <w:hideMark/>
          </w:tcPr>
          <w:p w14:paraId="1BEF28C7" w14:textId="77777777" w:rsidR="008873CE" w:rsidRPr="004853A6" w:rsidRDefault="008873CE" w:rsidP="00C85545">
            <w:pPr>
              <w:spacing w:after="0"/>
              <w:jc w:val="center"/>
              <w:rPr>
                <w:rFonts w:asciiTheme="minorHAnsi" w:hAnsiTheme="minorHAnsi"/>
                <w:sz w:val="18"/>
                <w:szCs w:val="18"/>
              </w:rPr>
            </w:pPr>
            <w:r w:rsidRPr="004853A6">
              <w:rPr>
                <w:rFonts w:asciiTheme="minorHAnsi" w:hAnsiTheme="minorHAnsi"/>
                <w:sz w:val="18"/>
                <w:szCs w:val="18"/>
              </w:rPr>
              <w:t>N/A</w:t>
            </w:r>
          </w:p>
        </w:tc>
      </w:tr>
      <w:tr w:rsidR="008873CE" w:rsidRPr="00E5753A" w14:paraId="2C1A6007" w14:textId="77777777" w:rsidTr="00C85545">
        <w:trPr>
          <w:cantSplit/>
        </w:trPr>
        <w:tc>
          <w:tcPr>
            <w:tcW w:w="9028" w:type="dxa"/>
            <w:gridSpan w:val="7"/>
            <w:tcBorders>
              <w:top w:val="single" w:sz="4" w:space="0" w:color="auto"/>
              <w:left w:val="nil"/>
              <w:bottom w:val="single" w:sz="4" w:space="0" w:color="auto"/>
              <w:right w:val="nil"/>
            </w:tcBorders>
            <w:vAlign w:val="center"/>
            <w:hideMark/>
          </w:tcPr>
          <w:p w14:paraId="2166C7B4" w14:textId="77777777" w:rsidR="008873CE" w:rsidRPr="008F1792" w:rsidRDefault="008873CE" w:rsidP="00C85545">
            <w:pPr>
              <w:tabs>
                <w:tab w:val="left" w:pos="0"/>
              </w:tabs>
              <w:spacing w:before="60" w:after="60"/>
              <w:rPr>
                <w:rFonts w:ascii="Calibri" w:hAnsi="Calibri"/>
                <w:sz w:val="16"/>
                <w:szCs w:val="16"/>
              </w:rPr>
            </w:pPr>
            <w:r w:rsidRPr="008F1792">
              <w:rPr>
                <w:rFonts w:ascii="Calibri" w:hAnsi="Calibri"/>
                <w:sz w:val="16"/>
                <w:szCs w:val="16"/>
              </w:rPr>
              <w:t>ROG = reactive organic gases, NO</w:t>
            </w:r>
            <w:r w:rsidRPr="008F1792">
              <w:rPr>
                <w:rFonts w:ascii="Calibri" w:hAnsi="Calibri"/>
                <w:sz w:val="16"/>
                <w:szCs w:val="16"/>
                <w:vertAlign w:val="subscript"/>
              </w:rPr>
              <w:t>X</w:t>
            </w:r>
            <w:r w:rsidRPr="008F1792">
              <w:rPr>
                <w:rFonts w:ascii="Calibri" w:hAnsi="Calibri"/>
                <w:sz w:val="16"/>
                <w:szCs w:val="16"/>
              </w:rPr>
              <w:t xml:space="preserve"> = nitrogen oxides, CO = carbon monoxide, SO</w:t>
            </w:r>
            <w:r w:rsidRPr="008F1792">
              <w:rPr>
                <w:rFonts w:ascii="Calibri" w:hAnsi="Calibri"/>
                <w:sz w:val="16"/>
                <w:szCs w:val="16"/>
                <w:vertAlign w:val="subscript"/>
              </w:rPr>
              <w:t>2</w:t>
            </w:r>
            <w:r w:rsidRPr="008F1792">
              <w:rPr>
                <w:rFonts w:ascii="Calibri" w:hAnsi="Calibri"/>
                <w:sz w:val="16"/>
                <w:szCs w:val="16"/>
              </w:rPr>
              <w:t xml:space="preserve"> = sulfur dioxide, PM</w:t>
            </w:r>
            <w:r w:rsidRPr="008F1792">
              <w:rPr>
                <w:rFonts w:ascii="Calibri" w:hAnsi="Calibri"/>
                <w:sz w:val="16"/>
                <w:szCs w:val="16"/>
                <w:vertAlign w:val="subscript"/>
              </w:rPr>
              <w:t>10</w:t>
            </w:r>
            <w:r w:rsidRPr="008F1792">
              <w:rPr>
                <w:rFonts w:ascii="Calibri" w:hAnsi="Calibri"/>
                <w:sz w:val="16"/>
                <w:szCs w:val="16"/>
              </w:rPr>
              <w:t xml:space="preserve"> = particulate matter 10 microns in diameter or less, PM</w:t>
            </w:r>
            <w:r w:rsidRPr="008F1792">
              <w:rPr>
                <w:rFonts w:ascii="Calibri" w:hAnsi="Calibri"/>
                <w:sz w:val="16"/>
                <w:szCs w:val="16"/>
                <w:vertAlign w:val="subscript"/>
              </w:rPr>
              <w:t>2.5</w:t>
            </w:r>
            <w:r w:rsidRPr="008F1792">
              <w:rPr>
                <w:rFonts w:ascii="Calibri" w:hAnsi="Calibri"/>
                <w:sz w:val="16"/>
                <w:szCs w:val="16"/>
              </w:rPr>
              <w:t xml:space="preserve"> = particulate matter 2.5 microns or less in diameter;, BAAQMD = Bay Area Air Quality Management District</w:t>
            </w:r>
          </w:p>
          <w:p w14:paraId="7F081A54" w14:textId="77777777" w:rsidR="008873CE" w:rsidRPr="008F1792" w:rsidRDefault="008873CE" w:rsidP="00C85545">
            <w:pPr>
              <w:tabs>
                <w:tab w:val="left" w:pos="0"/>
              </w:tabs>
              <w:spacing w:before="60" w:after="60"/>
              <w:rPr>
                <w:rFonts w:asciiTheme="minorHAnsi" w:hAnsiTheme="minorHAnsi"/>
                <w:sz w:val="16"/>
                <w:szCs w:val="16"/>
              </w:rPr>
            </w:pPr>
            <w:r w:rsidRPr="008F1792">
              <w:rPr>
                <w:rFonts w:asciiTheme="minorHAnsi" w:hAnsiTheme="minorHAnsi"/>
                <w:sz w:val="16"/>
                <w:szCs w:val="16"/>
              </w:rPr>
              <w:t xml:space="preserve">N/A = Not available. </w:t>
            </w:r>
            <w:r w:rsidRPr="008F1792">
              <w:rPr>
                <w:rFonts w:ascii="Calibri" w:hAnsi="Calibri"/>
                <w:sz w:val="16"/>
                <w:szCs w:val="16"/>
              </w:rPr>
              <w:t>BAAQMD has not established recommended quantitative thresholds for CO, SO</w:t>
            </w:r>
            <w:r w:rsidRPr="008F1792">
              <w:rPr>
                <w:rFonts w:ascii="Calibri" w:hAnsi="Calibri"/>
                <w:sz w:val="16"/>
                <w:szCs w:val="16"/>
                <w:vertAlign w:val="subscript"/>
              </w:rPr>
              <w:t>2</w:t>
            </w:r>
            <w:r w:rsidRPr="008F1792">
              <w:rPr>
                <w:rFonts w:ascii="Calibri" w:hAnsi="Calibri"/>
                <w:sz w:val="16"/>
                <w:szCs w:val="16"/>
              </w:rPr>
              <w:t>, PM</w:t>
            </w:r>
            <w:r w:rsidRPr="008F1792">
              <w:rPr>
                <w:rFonts w:ascii="Calibri" w:hAnsi="Calibri"/>
                <w:sz w:val="16"/>
                <w:szCs w:val="16"/>
                <w:vertAlign w:val="subscript"/>
              </w:rPr>
              <w:t>10</w:t>
            </w:r>
            <w:r w:rsidRPr="008F1792">
              <w:rPr>
                <w:rFonts w:ascii="Calibri" w:hAnsi="Calibri"/>
                <w:sz w:val="16"/>
                <w:szCs w:val="16"/>
              </w:rPr>
              <w:t>, and PM</w:t>
            </w:r>
            <w:r w:rsidRPr="008F1792">
              <w:rPr>
                <w:rFonts w:ascii="Calibri" w:hAnsi="Calibri"/>
                <w:sz w:val="16"/>
                <w:szCs w:val="16"/>
                <w:vertAlign w:val="subscript"/>
              </w:rPr>
              <w:t>2.5</w:t>
            </w:r>
            <w:r w:rsidRPr="008F1792">
              <w:rPr>
                <w:rFonts w:ascii="Calibri" w:hAnsi="Calibri"/>
                <w:sz w:val="16"/>
                <w:szCs w:val="16"/>
              </w:rPr>
              <w:t>.</w:t>
            </w:r>
          </w:p>
          <w:p w14:paraId="74E715D4" w14:textId="50BA88C8" w:rsidR="008873CE" w:rsidRPr="008F1792" w:rsidRDefault="008873CE" w:rsidP="00C85545">
            <w:pPr>
              <w:tabs>
                <w:tab w:val="left" w:pos="0"/>
              </w:tabs>
              <w:spacing w:before="60" w:after="60"/>
              <w:rPr>
                <w:rFonts w:asciiTheme="minorHAnsi" w:hAnsiTheme="minorHAnsi" w:cs="Tahoma"/>
                <w:sz w:val="16"/>
                <w:szCs w:val="16"/>
                <w:lang w:eastAsia="ar-SA"/>
              </w:rPr>
            </w:pPr>
            <w:r w:rsidRPr="008F1792">
              <w:rPr>
                <w:rFonts w:asciiTheme="minorHAnsi" w:hAnsiTheme="minorHAnsi"/>
                <w:sz w:val="16"/>
                <w:szCs w:val="16"/>
              </w:rPr>
              <w:t xml:space="preserve">Note: </w:t>
            </w:r>
            <w:r w:rsidRPr="008F1792">
              <w:rPr>
                <w:rFonts w:ascii="Calibri" w:hAnsi="Calibri"/>
                <w:sz w:val="16"/>
                <w:szCs w:val="16"/>
              </w:rPr>
              <w:t xml:space="preserve">All emissions modeling was completed made using CalEEMod in accordance with applicant-provided information and data. </w:t>
            </w:r>
            <w:r w:rsidRPr="008F1792">
              <w:rPr>
                <w:rFonts w:asciiTheme="minorHAnsi" w:hAnsiTheme="minorHAnsi" w:cs="Tahoma"/>
                <w:sz w:val="16"/>
                <w:szCs w:val="16"/>
                <w:lang w:eastAsia="ar-SA"/>
              </w:rPr>
              <w:t>Some numbers may not add up due to rounding</w:t>
            </w:r>
            <w:r w:rsidR="00275B75">
              <w:rPr>
                <w:rFonts w:asciiTheme="minorHAnsi" w:hAnsiTheme="minorHAnsi" w:cs="Tahoma"/>
                <w:sz w:val="16"/>
                <w:szCs w:val="16"/>
                <w:lang w:eastAsia="ar-SA"/>
              </w:rPr>
              <w:t xml:space="preserve">. </w:t>
            </w:r>
          </w:p>
          <w:p w14:paraId="603D5608" w14:textId="77777777" w:rsidR="008873CE" w:rsidRPr="008873CE" w:rsidRDefault="008873CE" w:rsidP="00C85545">
            <w:pPr>
              <w:tabs>
                <w:tab w:val="left" w:pos="0"/>
              </w:tabs>
              <w:spacing w:before="60" w:after="60"/>
              <w:rPr>
                <w:rFonts w:asciiTheme="minorHAnsi" w:hAnsiTheme="minorHAnsi" w:cs="Tahoma"/>
                <w:sz w:val="16"/>
                <w:szCs w:val="16"/>
                <w:highlight w:val="lightGray"/>
                <w:lang w:eastAsia="ar-SA"/>
              </w:rPr>
            </w:pPr>
            <w:r w:rsidRPr="008F1792">
              <w:rPr>
                <w:rFonts w:asciiTheme="minorHAnsi" w:hAnsiTheme="minorHAnsi" w:cs="Tahoma"/>
                <w:sz w:val="16"/>
                <w:szCs w:val="16"/>
                <w:lang w:eastAsia="ar-SA"/>
              </w:rPr>
              <w:t>See Appendix AQ for model output results.</w:t>
            </w:r>
          </w:p>
        </w:tc>
      </w:tr>
    </w:tbl>
    <w:p w14:paraId="0AE2AE55" w14:textId="2D20EC71" w:rsidR="008873CE" w:rsidRDefault="0069146E" w:rsidP="00C60C90">
      <w:pPr>
        <w:pStyle w:val="BodyTextAfterTable"/>
      </w:pPr>
      <w:r w:rsidRPr="004032F6">
        <w:t xml:space="preserve">As shown </w:t>
      </w:r>
      <w:r w:rsidR="00BB5E91">
        <w:t xml:space="preserve">in </w:t>
      </w:r>
      <w:r w:rsidR="00BB5E91">
        <w:fldChar w:fldCharType="begin"/>
      </w:r>
      <w:r w:rsidR="00BB5E91">
        <w:instrText xml:space="preserve"> REF _Ref90295428 \h </w:instrText>
      </w:r>
      <w:r w:rsidR="00BB5E91">
        <w:fldChar w:fldCharType="separate"/>
      </w:r>
      <w:r w:rsidR="00FA55F1" w:rsidRPr="008F1792">
        <w:t xml:space="preserve">Table </w:t>
      </w:r>
      <w:r w:rsidR="00FA55F1">
        <w:rPr>
          <w:noProof/>
        </w:rPr>
        <w:t>8</w:t>
      </w:r>
      <w:r w:rsidR="00BB5E91">
        <w:fldChar w:fldCharType="end"/>
      </w:r>
      <w:r w:rsidR="00BB5E91">
        <w:t xml:space="preserve"> and </w:t>
      </w:r>
      <w:r w:rsidR="00BB5E91">
        <w:fldChar w:fldCharType="begin"/>
      </w:r>
      <w:r w:rsidR="00BB5E91">
        <w:instrText xml:space="preserve"> REF _Ref90295441 \h </w:instrText>
      </w:r>
      <w:r w:rsidR="00BB5E91">
        <w:fldChar w:fldCharType="separate"/>
      </w:r>
      <w:r w:rsidR="00FA55F1" w:rsidRPr="00820FC0">
        <w:t xml:space="preserve">Table </w:t>
      </w:r>
      <w:r w:rsidR="00FA55F1">
        <w:rPr>
          <w:noProof/>
        </w:rPr>
        <w:t>9</w:t>
      </w:r>
      <w:r w:rsidR="00BB5E91">
        <w:fldChar w:fldCharType="end"/>
      </w:r>
      <w:r w:rsidRPr="004032F6">
        <w:t xml:space="preserve">, operational emissions would not exceed </w:t>
      </w:r>
      <w:r>
        <w:t>BAAQMD</w:t>
      </w:r>
      <w:r w:rsidRPr="004032F6">
        <w:t xml:space="preserve"> regional thresholds for criteria pollutants. Therefore, project operation would not result in a cumulatively considerable net increase of any criteria pollutant for which the project region is in non-attainment, and impacts would be less than significant.</w:t>
      </w:r>
    </w:p>
    <w:p w14:paraId="1EDBA556" w14:textId="0189A58C" w:rsidR="008873CE" w:rsidRPr="008873CE" w:rsidRDefault="00817BC5" w:rsidP="008873CE">
      <w:pPr>
        <w:spacing w:before="120"/>
        <w:rPr>
          <w:rFonts w:ascii="Calibri" w:hAnsi="Calibri"/>
          <w:b/>
          <w:caps/>
          <w:sz w:val="22"/>
        </w:rPr>
      </w:pPr>
      <w:sdt>
        <w:sdtPr>
          <w:rPr>
            <w:rStyle w:val="DropdownList"/>
          </w:rPr>
          <w:alias w:val="1a"/>
          <w:tag w:val="dropdown"/>
          <w:id w:val="764811511"/>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rPr>
        </w:sdtEndPr>
        <w:sdtContent>
          <w:r w:rsidR="00201BC1">
            <w:rPr>
              <w:rStyle w:val="DropdownList"/>
            </w:rPr>
            <w:t>Less Than Significant Impact</w:t>
          </w:r>
        </w:sdtContent>
      </w:sdt>
    </w:p>
    <w:p w14:paraId="6B6290A2" w14:textId="528C1F02" w:rsidR="008873CE" w:rsidRPr="00AD1D49" w:rsidRDefault="008873CE" w:rsidP="00E207B4">
      <w:pPr>
        <w:pStyle w:val="BulletLtrManAFTER"/>
        <w:pageBreakBefore/>
        <w:rPr>
          <w:rFonts w:ascii="Calibri" w:hAnsi="Calibri"/>
        </w:rPr>
      </w:pPr>
      <w:r w:rsidRPr="00AD1D49">
        <w:lastRenderedPageBreak/>
        <w:t>c.</w:t>
      </w:r>
      <w:r w:rsidRPr="00AD1D49">
        <w:tab/>
        <w:t>Would the project expose sensitive receptors to substantial pollutant concentrations?</w:t>
      </w:r>
    </w:p>
    <w:p w14:paraId="3F538020" w14:textId="77777777" w:rsidR="008873CE" w:rsidRDefault="008873CE" w:rsidP="008873CE">
      <w:pPr>
        <w:pStyle w:val="BodyText"/>
      </w:pPr>
      <w:r w:rsidRPr="00AD1D49">
        <w:t xml:space="preserve">Certain population groups, such as children, the elderly, and people with health problems, are particularly sensitive to air pollution. Therefore, the majority of sensitive receptor locations are schools, hospitals, and residences. Sensitive receptors in the project vicinity include </w:t>
      </w:r>
      <w:r>
        <w:t xml:space="preserve">single- and </w:t>
      </w:r>
      <w:r w:rsidRPr="00AD1D49">
        <w:t xml:space="preserve">multi-family residences located </w:t>
      </w:r>
      <w:r>
        <w:t>500 feet south</w:t>
      </w:r>
      <w:r w:rsidRPr="00AD1D49">
        <w:t xml:space="preserve"> of the project site</w:t>
      </w:r>
      <w:r>
        <w:t>.</w:t>
      </w:r>
      <w:r w:rsidRPr="00AD1D49">
        <w:t xml:space="preserve"> </w:t>
      </w:r>
      <w:r w:rsidRPr="00555604">
        <w:t>Localized air quality impacts to sensitive receptors typically result from CO hotspots</w:t>
      </w:r>
      <w:r>
        <w:t xml:space="preserve"> and TACs</w:t>
      </w:r>
      <w:r w:rsidRPr="00555604">
        <w:t>, which are discussed in the following subsections.</w:t>
      </w:r>
    </w:p>
    <w:p w14:paraId="01672D69" w14:textId="77777777" w:rsidR="008873CE" w:rsidRPr="00F55D00" w:rsidRDefault="008873CE" w:rsidP="008873CE">
      <w:pPr>
        <w:pStyle w:val="Heading5"/>
      </w:pPr>
      <w:r w:rsidRPr="00F55D00">
        <w:t>Carbon Monoxide Hotspots</w:t>
      </w:r>
    </w:p>
    <w:p w14:paraId="6E45CA31" w14:textId="77777777" w:rsidR="008873CE" w:rsidRPr="008050E5" w:rsidRDefault="008873CE" w:rsidP="008873CE">
      <w:pPr>
        <w:pStyle w:val="BodyText0"/>
        <w:rPr>
          <w:rFonts w:eastAsia="Calibri"/>
        </w:rPr>
      </w:pPr>
      <w:r w:rsidRPr="008050E5">
        <w:t xml:space="preserve">A CO hotspot is a localized concentration of CO that is above a CO ambient air quality standard. Localized CO hotspots can occur at intersections with heavy peak hour traffic. Specifically, hotspots can be created at intersections where traffic levels are sufficiently high such that </w:t>
      </w:r>
      <w:r w:rsidRPr="008050E5">
        <w:rPr>
          <w:rFonts w:eastAsia="Calibri"/>
        </w:rPr>
        <w:t>the local CO concentration exceeds the federal one-hour standard of 35.0 ppm or the federal and state eight-hour standard of 9.0 ppm (CARB 2016).</w:t>
      </w:r>
    </w:p>
    <w:p w14:paraId="066AAAB9" w14:textId="77777777" w:rsidR="008873CE" w:rsidRPr="007A349D" w:rsidRDefault="008873CE" w:rsidP="008873CE">
      <w:pPr>
        <w:pStyle w:val="BodyText0"/>
      </w:pPr>
      <w:r w:rsidRPr="007A349D">
        <w:t xml:space="preserve">BAAQMD recommends comparing project’s attributes with the following screening criteria as a first step to evaluating whether the project would result in the generation of CO concentrations that would substantially contribute to an exceedance of the </w:t>
      </w:r>
      <w:r w:rsidRPr="007A349D">
        <w:rPr>
          <w:i/>
        </w:rPr>
        <w:t>Thresholds of Significance</w:t>
      </w:r>
      <w:r w:rsidRPr="007A349D">
        <w:t xml:space="preserve">. The project would result in a less than significant impact to localized CO concentrations if: </w:t>
      </w:r>
    </w:p>
    <w:p w14:paraId="45243008" w14:textId="77777777" w:rsidR="008873CE" w:rsidRPr="000247AF" w:rsidRDefault="008873CE" w:rsidP="007D7D23">
      <w:pPr>
        <w:pStyle w:val="BulletListNumbered"/>
        <w:numPr>
          <w:ilvl w:val="0"/>
          <w:numId w:val="101"/>
        </w:numPr>
        <w:ind w:left="360"/>
      </w:pPr>
      <w:r w:rsidRPr="000247AF">
        <w:t>The project is consistent with an applicable congestion management program for designated roads or highways, regional transportation plan, and local congestion management agency plans</w:t>
      </w:r>
    </w:p>
    <w:p w14:paraId="18537EEC" w14:textId="77777777" w:rsidR="008873CE" w:rsidRPr="00171A3F" w:rsidRDefault="008873CE" w:rsidP="007D7D23">
      <w:pPr>
        <w:pStyle w:val="BulletListNumbered"/>
        <w:ind w:left="360"/>
      </w:pPr>
      <w:r w:rsidRPr="000247AF">
        <w:t xml:space="preserve">The project would not increase traffic volumes at affected intersections to more than 44,000 vehicles per hour </w:t>
      </w:r>
    </w:p>
    <w:p w14:paraId="5638D94F" w14:textId="77777777" w:rsidR="008873CE" w:rsidRPr="00762B53" w:rsidRDefault="008873CE" w:rsidP="007D7D23">
      <w:pPr>
        <w:pStyle w:val="BulletListNumbered"/>
        <w:ind w:left="360"/>
      </w:pPr>
      <w:r w:rsidRPr="00171A3F">
        <w:t>the project traffic would not increase traffic volumes at the affected intersections to more than 24,000 vehicles per hour where vertical and/or horizontal mixing is substa</w:t>
      </w:r>
      <w:r w:rsidRPr="00762B53">
        <w:t xml:space="preserve">ntially limited (e.g., tunnel, parking garage). </w:t>
      </w:r>
    </w:p>
    <w:p w14:paraId="5DF580AB" w14:textId="641B245C" w:rsidR="008873CE" w:rsidRPr="007053F9" w:rsidRDefault="008873CE" w:rsidP="008873CE">
      <w:pPr>
        <w:pStyle w:val="bodyafter"/>
      </w:pPr>
      <w:r w:rsidRPr="00345EC0">
        <w:t xml:space="preserve">The project would include </w:t>
      </w:r>
      <w:r>
        <w:t>19,958 square feet of commercial office space</w:t>
      </w:r>
      <w:r w:rsidRPr="00345EC0">
        <w:t xml:space="preserve">. </w:t>
      </w:r>
      <w:r w:rsidRPr="007053F9">
        <w:t xml:space="preserve">Based on </w:t>
      </w:r>
      <w:r>
        <w:t>the project</w:t>
      </w:r>
      <w:r w:rsidR="002A209C">
        <w:t>’s</w:t>
      </w:r>
      <w:r>
        <w:t xml:space="preserve"> </w:t>
      </w:r>
      <w:r w:rsidR="002A209C" w:rsidRPr="002A209C">
        <w:t>Multi-Modal Transportation Analysis</w:t>
      </w:r>
      <w:r w:rsidR="002A209C" w:rsidRPr="002A209C" w:rsidDel="002A209C">
        <w:t xml:space="preserve"> </w:t>
      </w:r>
      <w:r>
        <w:t xml:space="preserve">(Appendix </w:t>
      </w:r>
      <w:r w:rsidR="00BC68C0">
        <w:t>TRA</w:t>
      </w:r>
      <w:r>
        <w:t xml:space="preserve">), </w:t>
      </w:r>
      <w:r w:rsidR="00D251C3">
        <w:t xml:space="preserve">the intersection of N. Shoreline Boulevard and Terra Bella Avenue experienced a traffic volume of 1,748 vehicles per hour during peak evening hours. The Multi-Modal Transportation Analysis also determined that </w:t>
      </w:r>
      <w:r>
        <w:t>the office structure would generate 19</w:t>
      </w:r>
      <w:r w:rsidR="00BC68C0">
        <w:t>5</w:t>
      </w:r>
      <w:r>
        <w:t xml:space="preserve"> daily trips</w:t>
      </w:r>
      <w:r w:rsidRPr="007053F9">
        <w:t>.</w:t>
      </w:r>
      <w:r w:rsidRPr="004F0A17">
        <w:rPr>
          <w:rFonts w:ascii="Calibri" w:hAnsi="Calibri" w:cs="Calibri"/>
        </w:rPr>
        <w:t xml:space="preserve"> </w:t>
      </w:r>
      <w:r w:rsidRPr="007053F9">
        <w:t xml:space="preserve">The project trip generation is below the screening thresholds listed above. Therefore, the impact of localized CO emissions would </w:t>
      </w:r>
      <w:r>
        <w:t>not be</w:t>
      </w:r>
      <w:r w:rsidRPr="007053F9">
        <w:t xml:space="preserve"> significant.</w:t>
      </w:r>
    </w:p>
    <w:p w14:paraId="2E55F936" w14:textId="77777777" w:rsidR="008873CE" w:rsidRDefault="008873CE" w:rsidP="008873CE">
      <w:pPr>
        <w:pStyle w:val="Heading5"/>
      </w:pPr>
      <w:r>
        <w:t>Toxic Air Contaminants</w:t>
      </w:r>
    </w:p>
    <w:p w14:paraId="33466555" w14:textId="77777777" w:rsidR="008873CE" w:rsidRDefault="008873CE" w:rsidP="008873CE">
      <w:pPr>
        <w:pStyle w:val="BodyText"/>
      </w:pPr>
      <w:r w:rsidRPr="001D0A8C">
        <w:t>TACs are defined by California law as air pollutants that may cause or contribute to an increase in mortality or an increase in serious illness, or which may pose a present or potential hazard to human health. The following subsections discuss the project’s potential to result in impacts related to TAC emissions during construction and operation.</w:t>
      </w:r>
    </w:p>
    <w:p w14:paraId="2EAA4A1E" w14:textId="77777777" w:rsidR="008873CE" w:rsidRDefault="008873CE" w:rsidP="008873CE">
      <w:pPr>
        <w:pStyle w:val="Heading6"/>
      </w:pPr>
      <w:r>
        <w:t>Construction</w:t>
      </w:r>
    </w:p>
    <w:p w14:paraId="55EA2B60" w14:textId="18A0AB1A" w:rsidR="008873CE" w:rsidRDefault="008873CE" w:rsidP="008873CE">
      <w:pPr>
        <w:pStyle w:val="BodyText"/>
      </w:pPr>
      <w:r w:rsidRPr="001D0A8C">
        <w:t>Construction-related activities would result in temporary project-generated emissions of diesel particulate matter (DPM) exhaust emissions from off-road, heavy-duty diesel equipment for site preparation, grading, building construction, and other construction activities. DPM was identified as a TAC by CARB in 1998. The potential cancer risk from the inhalation of DPM outweighs the potential non-cancer health impacts (CARB 202</w:t>
      </w:r>
      <w:r>
        <w:t>1</w:t>
      </w:r>
      <w:r w:rsidRPr="001D0A8C">
        <w:t>) and is therefore the focus of this analysis.</w:t>
      </w:r>
    </w:p>
    <w:p w14:paraId="138EF0D9" w14:textId="77777777" w:rsidR="008873CE" w:rsidRPr="001D0A8C" w:rsidRDefault="008873CE" w:rsidP="008873CE">
      <w:pPr>
        <w:pStyle w:val="BodyText"/>
        <w:rPr>
          <w:rFonts w:ascii="Calibri" w:hAnsi="Calibri"/>
        </w:rPr>
      </w:pPr>
      <w:r w:rsidRPr="001D0A8C">
        <w:lastRenderedPageBreak/>
        <w:t xml:space="preserve">Generation of DPM from construction projects typically occurs in a single area for a short period. Construction of the proposed project would occur over approximately </w:t>
      </w:r>
      <w:r>
        <w:t>23</w:t>
      </w:r>
      <w:r w:rsidRPr="001D0A8C">
        <w:t xml:space="preserve"> months. The dose to which the receptors are exposed is the primary factor used to determine health risk. Dose is a function of the concentration of a substance or substances in the environment and the extent of exposure that person has with the substance. Dose is positively correlated with time, meaning that a longer exposure period would result in a higher exposure level for the Maximally Exposed Individual. The risks estimated for a Maximally Exposed Individual are higher if a fixed exposure occurs over a longer period of time. According to the California Office of Environmental Health Hazard Assessment, health risk assessments, which determine the exposure of sensitive receptors to toxic emissions, should be based on a 70</w:t>
      </w:r>
      <w:r w:rsidRPr="001D0A8C">
        <w:noBreakHyphen/>
        <w:t xml:space="preserve">year exposure period; however, such assessments should be limited to the period/duration of activities associated with the project. Thus, the duration of proposed construction activities (i.e., </w:t>
      </w:r>
      <w:r>
        <w:t>23</w:t>
      </w:r>
      <w:r w:rsidRPr="001D0A8C">
        <w:t> months) is approximately six percent of the total exposure period used for 30-year health risk calculations. Current models and methodologies for conducting health-risk assessments are associated with longer-term exposure periods of 9, 30, and 70 years, which do not correlate well with the temporary and highly variable nature of construction activities, resulting in difficulties in producing accurate estimates of health risk (BAAQMD 2017</w:t>
      </w:r>
      <w:r>
        <w:t>a</w:t>
      </w:r>
      <w:r w:rsidRPr="001D0A8C">
        <w:t>).</w:t>
      </w:r>
    </w:p>
    <w:p w14:paraId="6DBA68AE" w14:textId="0E47C167" w:rsidR="008873CE" w:rsidRDefault="008873CE" w:rsidP="008873CE">
      <w:pPr>
        <w:pStyle w:val="BodyText"/>
      </w:pPr>
      <w:r w:rsidRPr="009647CD">
        <w:t>The maximum PM</w:t>
      </w:r>
      <w:r w:rsidRPr="009647CD">
        <w:rPr>
          <w:vertAlign w:val="subscript"/>
        </w:rPr>
        <w:t>10</w:t>
      </w:r>
      <w:r w:rsidRPr="009647CD">
        <w:t xml:space="preserve"> and PM</w:t>
      </w:r>
      <w:r w:rsidRPr="009647CD">
        <w:rPr>
          <w:vertAlign w:val="subscript"/>
        </w:rPr>
        <w:t>2.5</w:t>
      </w:r>
      <w:r w:rsidRPr="009647CD">
        <w:t xml:space="preserve"> emissions would occur during site preparation and grading activities. These activities would last for approximately </w:t>
      </w:r>
      <w:r>
        <w:t>3</w:t>
      </w:r>
      <w:r w:rsidRPr="009647CD">
        <w:t xml:space="preserve">0 days. PM emissions would decrease for the remaining construction period because construction activities such as building construction and architectural coating would require less intensive construction equipment. While the maximum DPM emissions associated with site preparation and grading activities would only occur for a portion of the overall construction period, these activities represent the </w:t>
      </w:r>
      <w:r w:rsidR="00377CB6">
        <w:t>maximum impact</w:t>
      </w:r>
      <w:r w:rsidRPr="009647CD">
        <w:t xml:space="preserve"> condition for the total construction period. This would represent less than one percent of the total 30-year exposure period for health risk calculation. Given the aforementioned discussion, DPM generated by project construction would not create conditions where the probability is greater than one in one million of contracting cancer for the Maximally Exposed Individual or to generate ground-level concentrations of non-carcinogenic TACs that exceed a Hazard Index greater than one for the Maximally Exposed Individual. Therefore, project construction would not expose sensitive receptors to substantial TAC concentrations, and impacts would be less than significant.</w:t>
      </w:r>
    </w:p>
    <w:p w14:paraId="234ECFBA" w14:textId="77777777" w:rsidR="008873CE" w:rsidRDefault="008873CE" w:rsidP="008873CE">
      <w:pPr>
        <w:pStyle w:val="Heading6"/>
      </w:pPr>
      <w:r>
        <w:t>Operation</w:t>
      </w:r>
    </w:p>
    <w:p w14:paraId="2183D76E" w14:textId="182B4AF0" w:rsidR="008873CE" w:rsidRDefault="008873CE" w:rsidP="008873CE">
      <w:pPr>
        <w:pStyle w:val="BodyText"/>
      </w:pPr>
      <w:r w:rsidRPr="009647CD">
        <w:t xml:space="preserve">CARB’s </w:t>
      </w:r>
      <w:r w:rsidRPr="009647CD">
        <w:rPr>
          <w:i/>
        </w:rPr>
        <w:t>Air Quality and Land Use Handbook: A Community Health Perspective</w:t>
      </w:r>
      <w:r w:rsidRPr="009647CD">
        <w:t xml:space="preserve"> (2005) provides recommendations regarding the siting of new sensitive land uses near potential sources of air toxic emissions (e.g., freeways, distribution centers, rail yards, ports, refineries, chrome plating facilities, dry cleaners, and gasoline dispensing facilities). </w:t>
      </w:r>
      <w:r>
        <w:t xml:space="preserve">BAAQMD has also developed guidelines regarding TAC emissions from similar land uses through its Community Air Risk Evaluation program. </w:t>
      </w:r>
      <w:r w:rsidRPr="009647CD">
        <w:t xml:space="preserve">These guidelines recommend siting distances both for the development of sensitive land uses in proximity to TAC sources and for the addition of new TAC sources in proximity to existing sensitive land uses. </w:t>
      </w:r>
      <w:r>
        <w:t>General office</w:t>
      </w:r>
      <w:r w:rsidRPr="009647CD">
        <w:t xml:space="preserve"> land uses are not considered land uses that generate substantial TAC emissions based on review of the air toxic sources listed in CARB’s guidelines. It is expected that quantities of hazardous TACs generated on-site (e.g., cleaning solvents, paints, landscape pesticides, etc.) for the types of proposed land uses would be below thresholds warranting further study under the California Accidental Release Program</w:t>
      </w:r>
      <w:r w:rsidRPr="00555604">
        <w:t xml:space="preserve">. </w:t>
      </w:r>
      <w:r>
        <w:t xml:space="preserve">In addition, </w:t>
      </w:r>
      <w:r w:rsidR="003528A5">
        <w:t xml:space="preserve">the proposed project includes an onsite location </w:t>
      </w:r>
      <w:r>
        <w:t>where a future tenant c</w:t>
      </w:r>
      <w:r w:rsidR="003528A5">
        <w:t>ould</w:t>
      </w:r>
      <w:r>
        <w:t xml:space="preserve"> install a back-up source of energy for emergency purposes. The location of the future tenant back-up source </w:t>
      </w:r>
      <w:r w:rsidR="003528A5">
        <w:t>would be</w:t>
      </w:r>
      <w:r>
        <w:t xml:space="preserve"> located outside along the western project boundary. If an emergency generator with a diesel engine </w:t>
      </w:r>
      <w:r w:rsidR="003528A5">
        <w:t>would be</w:t>
      </w:r>
      <w:r>
        <w:t xml:space="preserve"> installed, it would be subject to BAAQMD permitting. The permitting process </w:t>
      </w:r>
      <w:r w:rsidR="003528A5">
        <w:t xml:space="preserve">would </w:t>
      </w:r>
      <w:r>
        <w:t xml:space="preserve">require that a refined health risk assessment be </w:t>
      </w:r>
      <w:r>
        <w:lastRenderedPageBreak/>
        <w:t>completed prior to receival of the permit, which would ensure that the emergency generator</w:t>
      </w:r>
      <w:r w:rsidR="003528A5">
        <w:t xml:space="preserve"> would</w:t>
      </w:r>
      <w:r>
        <w:t xml:space="preserve"> not present a potential health risk impact to surrounding sensitive receptors. </w:t>
      </w:r>
      <w:r w:rsidRPr="00555604">
        <w:t xml:space="preserve">Because the project would </w:t>
      </w:r>
      <w:r>
        <w:t>be</w:t>
      </w:r>
      <w:r w:rsidRPr="00555604">
        <w:t xml:space="preserve"> consistent with CARB and BAAQMD guidelines, it would not result in the exposure of off-site sensitive receptors to significant amounts of carcinogenic or toxic air contaminants. Impacts would be less than significant.</w:t>
      </w:r>
    </w:p>
    <w:p w14:paraId="59EC6E07" w14:textId="77777777" w:rsidR="008873CE" w:rsidRPr="00573889" w:rsidRDefault="00817BC5" w:rsidP="008873CE">
      <w:pPr>
        <w:spacing w:before="120"/>
        <w:rPr>
          <w:rFonts w:ascii="Calibri" w:hAnsi="Calibri"/>
          <w:b/>
          <w:caps/>
          <w:sz w:val="22"/>
        </w:rPr>
      </w:pPr>
      <w:sdt>
        <w:sdtPr>
          <w:rPr>
            <w:rStyle w:val="DropdownList"/>
          </w:rPr>
          <w:alias w:val="1a"/>
          <w:tag w:val="dropdown"/>
          <w:id w:val="844517529"/>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rPr>
        </w:sdtEndPr>
        <w:sdtContent>
          <w:r w:rsidR="008873CE">
            <w:rPr>
              <w:rStyle w:val="DropdownList"/>
            </w:rPr>
            <w:t>Less Than Significant Impact</w:t>
          </w:r>
        </w:sdtContent>
      </w:sdt>
    </w:p>
    <w:p w14:paraId="5E45DEEE" w14:textId="77777777" w:rsidR="008873CE" w:rsidRDefault="008873CE" w:rsidP="008873CE">
      <w:pPr>
        <w:pStyle w:val="BulletLtrManAFTER"/>
        <w:keepNext/>
        <w:rPr>
          <w:rFonts w:ascii="Calibri" w:hAnsi="Calibri"/>
        </w:rPr>
      </w:pPr>
      <w:r>
        <w:t>d.</w:t>
      </w:r>
      <w:r>
        <w:tab/>
        <w:t>Would the project result in other emissions (such as those leading to odors) adversely affecting a substantial number of people?</w:t>
      </w:r>
    </w:p>
    <w:p w14:paraId="398628E1" w14:textId="77777777" w:rsidR="008873CE" w:rsidRPr="00555604" w:rsidRDefault="008873CE" w:rsidP="008873CE">
      <w:pPr>
        <w:pStyle w:val="BodyText"/>
      </w:pPr>
      <w:bookmarkStart w:id="165" w:name="_Hlk63938011"/>
      <w:r w:rsidRPr="00555604">
        <w:t>During construction activities, heavy equipment and vehicles would emit odors associated with vehicle and engine exhaust and during idling. However, these odors would be intermittent and temporary and would cease upon completion, and odors disperse with distance. Overall, project construction would not generate other emissions, such as those leading to odors, affecting a substantial number of people. Construction-related impacts would be less than significant.</w:t>
      </w:r>
      <w:bookmarkEnd w:id="165"/>
    </w:p>
    <w:p w14:paraId="6ADB0019" w14:textId="77777777" w:rsidR="008873CE" w:rsidRDefault="008873CE" w:rsidP="008873CE">
      <w:pPr>
        <w:pStyle w:val="BodyText"/>
      </w:pPr>
      <w:r w:rsidRPr="00555604">
        <w:t xml:space="preserve">Table 3-3 in the BAAQMD 2017 </w:t>
      </w:r>
      <w:r w:rsidRPr="00555604">
        <w:rPr>
          <w:i/>
        </w:rPr>
        <w:t>CEQA Air Quality Guidelines</w:t>
      </w:r>
      <w:r w:rsidRPr="00555604">
        <w:t xml:space="preserve"> provides screening distances for land uses that have the potential to generate substantial odor complaints. The uses in the table include wastewater treatment plants, landfills or transfer stations, refineries, composting facilities, confined animal facilities, food manufacturing, smelting plants, and chemical plants (BAAQMD 2017a). </w:t>
      </w:r>
      <w:r>
        <w:t>Commercial office buildings</w:t>
      </w:r>
      <w:r w:rsidRPr="00555604">
        <w:t xml:space="preserve"> are not included in this list, and operation of the project would not generate other emissions, such as those leading to odors, which would affect a substantial number of people. No operational impacts would occur.</w:t>
      </w:r>
    </w:p>
    <w:p w14:paraId="6E9FC068" w14:textId="77777777" w:rsidR="008873CE" w:rsidRPr="008873CE" w:rsidRDefault="00817BC5" w:rsidP="008873CE">
      <w:pPr>
        <w:spacing w:before="120"/>
        <w:rPr>
          <w:rStyle w:val="DropdownList"/>
          <w:highlight w:val="lightGray"/>
        </w:rPr>
      </w:pPr>
      <w:sdt>
        <w:sdtPr>
          <w:rPr>
            <w:rStyle w:val="DropdownList"/>
            <w:highlight w:val="lightGray"/>
          </w:rPr>
          <w:alias w:val="1a"/>
          <w:tag w:val="dropdown"/>
          <w:id w:val="-611437750"/>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highlight w:val="none"/>
          </w:rPr>
        </w:sdtEndPr>
        <w:sdtContent>
          <w:r w:rsidR="008873CE" w:rsidRPr="008873CE">
            <w:rPr>
              <w:rStyle w:val="DropdownList"/>
            </w:rPr>
            <w:t>Less Than Significant Impact</w:t>
          </w:r>
        </w:sdtContent>
      </w:sdt>
    </w:p>
    <w:p w14:paraId="0AD79A95" w14:textId="77777777" w:rsidR="001405CC" w:rsidRPr="000633CA" w:rsidRDefault="001405CC" w:rsidP="00275B75">
      <w:pPr>
        <w:pStyle w:val="Heading3CEQA"/>
      </w:pPr>
      <w:bookmarkStart w:id="166" w:name="_Toc112942429"/>
      <w:r w:rsidRPr="000633CA">
        <w:lastRenderedPageBreak/>
        <w:t>Biological Resources</w:t>
      </w:r>
      <w:bookmarkEnd w:id="141"/>
      <w:bookmarkEnd w:id="142"/>
      <w:bookmarkEnd w:id="166"/>
    </w:p>
    <w:tbl>
      <w:tblPr>
        <w:tblW w:w="9047" w:type="dxa"/>
        <w:tblLayout w:type="fixed"/>
        <w:tblLook w:val="04A0" w:firstRow="1" w:lastRow="0" w:firstColumn="1" w:lastColumn="0" w:noHBand="0" w:noVBand="1"/>
      </w:tblPr>
      <w:tblGrid>
        <w:gridCol w:w="10"/>
        <w:gridCol w:w="4519"/>
        <w:gridCol w:w="1080"/>
        <w:gridCol w:w="1260"/>
        <w:gridCol w:w="1080"/>
        <w:gridCol w:w="999"/>
        <w:gridCol w:w="26"/>
        <w:gridCol w:w="73"/>
      </w:tblGrid>
      <w:tr w:rsidR="001405CC" w:rsidRPr="000633CA" w14:paraId="18F0E096" w14:textId="77777777" w:rsidTr="00A90627">
        <w:trPr>
          <w:tblHeader/>
        </w:trPr>
        <w:tc>
          <w:tcPr>
            <w:tcW w:w="4529" w:type="dxa"/>
            <w:gridSpan w:val="2"/>
            <w:tcBorders>
              <w:bottom w:val="single" w:sz="4" w:space="0" w:color="auto"/>
            </w:tcBorders>
            <w:shd w:val="clear" w:color="auto" w:fill="D9D9D9"/>
            <w:tcMar>
              <w:top w:w="20" w:type="dxa"/>
              <w:left w:w="115" w:type="dxa"/>
              <w:bottom w:w="20" w:type="dxa"/>
              <w:right w:w="115" w:type="dxa"/>
            </w:tcMar>
            <w:vAlign w:val="bottom"/>
          </w:tcPr>
          <w:p w14:paraId="0C51F4BD" w14:textId="77777777" w:rsidR="001405CC" w:rsidRPr="000633CA" w:rsidRDefault="001405CC" w:rsidP="00B07684">
            <w:pPr>
              <w:pStyle w:val="TableHeadings"/>
            </w:pPr>
          </w:p>
        </w:tc>
        <w:tc>
          <w:tcPr>
            <w:tcW w:w="1080" w:type="dxa"/>
            <w:tcBorders>
              <w:bottom w:val="single" w:sz="4" w:space="0" w:color="auto"/>
            </w:tcBorders>
            <w:shd w:val="clear" w:color="auto" w:fill="D9D9D9"/>
            <w:tcMar>
              <w:top w:w="20" w:type="dxa"/>
              <w:left w:w="115" w:type="dxa"/>
              <w:bottom w:w="20" w:type="dxa"/>
              <w:right w:w="115" w:type="dxa"/>
            </w:tcMar>
            <w:vAlign w:val="bottom"/>
            <w:hideMark/>
          </w:tcPr>
          <w:p w14:paraId="3F26A963" w14:textId="77777777" w:rsidR="001405CC" w:rsidRPr="000633CA" w:rsidRDefault="001405CC" w:rsidP="00B07684">
            <w:pPr>
              <w:pStyle w:val="TableHeadings"/>
              <w:jc w:val="center"/>
            </w:pPr>
            <w:r w:rsidRPr="000633CA">
              <w:t>Potentially Significant Impact</w:t>
            </w:r>
          </w:p>
        </w:tc>
        <w:tc>
          <w:tcPr>
            <w:tcW w:w="1260" w:type="dxa"/>
            <w:tcBorders>
              <w:bottom w:val="single" w:sz="4" w:space="0" w:color="auto"/>
            </w:tcBorders>
            <w:shd w:val="clear" w:color="auto" w:fill="D9D9D9"/>
            <w:tcMar>
              <w:top w:w="20" w:type="dxa"/>
              <w:left w:w="115" w:type="dxa"/>
              <w:bottom w:w="20" w:type="dxa"/>
              <w:right w:w="115" w:type="dxa"/>
            </w:tcMar>
            <w:vAlign w:val="bottom"/>
            <w:hideMark/>
          </w:tcPr>
          <w:p w14:paraId="493D13AE" w14:textId="77777777" w:rsidR="001405CC" w:rsidRPr="000633CA" w:rsidRDefault="001405CC" w:rsidP="00B07684">
            <w:pPr>
              <w:pStyle w:val="TableHeadings"/>
              <w:jc w:val="center"/>
            </w:pPr>
            <w:r w:rsidRPr="000633CA">
              <w:t>Less than Significant with Mitigation Incorporated</w:t>
            </w:r>
          </w:p>
        </w:tc>
        <w:tc>
          <w:tcPr>
            <w:tcW w:w="1080" w:type="dxa"/>
            <w:tcBorders>
              <w:bottom w:val="single" w:sz="4" w:space="0" w:color="auto"/>
            </w:tcBorders>
            <w:shd w:val="clear" w:color="auto" w:fill="D9D9D9"/>
            <w:tcMar>
              <w:top w:w="20" w:type="dxa"/>
              <w:left w:w="115" w:type="dxa"/>
              <w:bottom w:w="20" w:type="dxa"/>
              <w:right w:w="115" w:type="dxa"/>
            </w:tcMar>
            <w:vAlign w:val="bottom"/>
            <w:hideMark/>
          </w:tcPr>
          <w:p w14:paraId="4728D673" w14:textId="77777777" w:rsidR="001405CC" w:rsidRPr="000633CA" w:rsidRDefault="001405CC" w:rsidP="00B07684">
            <w:pPr>
              <w:pStyle w:val="TableHeadings"/>
              <w:jc w:val="center"/>
            </w:pPr>
            <w:r w:rsidRPr="000633CA">
              <w:t>Less than Significant Impact</w:t>
            </w:r>
          </w:p>
        </w:tc>
        <w:tc>
          <w:tcPr>
            <w:tcW w:w="1098" w:type="dxa"/>
            <w:gridSpan w:val="3"/>
            <w:tcBorders>
              <w:bottom w:val="single" w:sz="4" w:space="0" w:color="auto"/>
            </w:tcBorders>
            <w:shd w:val="clear" w:color="auto" w:fill="D9D9D9"/>
            <w:tcMar>
              <w:top w:w="20" w:type="dxa"/>
              <w:left w:w="115" w:type="dxa"/>
              <w:bottom w:w="20" w:type="dxa"/>
              <w:right w:w="115" w:type="dxa"/>
            </w:tcMar>
            <w:vAlign w:val="bottom"/>
            <w:hideMark/>
          </w:tcPr>
          <w:p w14:paraId="04B7C443" w14:textId="77777777" w:rsidR="001405CC" w:rsidRPr="000633CA" w:rsidRDefault="001405CC" w:rsidP="00B07684">
            <w:pPr>
              <w:pStyle w:val="TableHeadings"/>
              <w:jc w:val="center"/>
            </w:pPr>
            <w:r w:rsidRPr="000633CA">
              <w:t>No Impact</w:t>
            </w:r>
          </w:p>
        </w:tc>
      </w:tr>
      <w:tr w:rsidR="001405CC" w:rsidRPr="000633CA" w14:paraId="3A35941F" w14:textId="77777777" w:rsidTr="00A90627">
        <w:trPr>
          <w:gridBefore w:val="1"/>
          <w:gridAfter w:val="1"/>
          <w:wBefore w:w="10" w:type="dxa"/>
          <w:wAfter w:w="73" w:type="dxa"/>
        </w:trPr>
        <w:tc>
          <w:tcPr>
            <w:tcW w:w="8964" w:type="dxa"/>
            <w:gridSpan w:val="6"/>
            <w:tcMar>
              <w:top w:w="20" w:type="dxa"/>
              <w:left w:w="115" w:type="dxa"/>
              <w:bottom w:w="20" w:type="dxa"/>
              <w:right w:w="115" w:type="dxa"/>
            </w:tcMar>
            <w:vAlign w:val="bottom"/>
            <w:hideMark/>
          </w:tcPr>
          <w:p w14:paraId="6BE48E57" w14:textId="77777777" w:rsidR="001405CC" w:rsidRPr="000633CA" w:rsidRDefault="001405CC" w:rsidP="00B07684">
            <w:pPr>
              <w:pStyle w:val="BodyText"/>
              <w:spacing w:before="60" w:after="60"/>
              <w:rPr>
                <w:b/>
              </w:rPr>
            </w:pPr>
            <w:r w:rsidRPr="000633CA">
              <w:t>Would the project:</w:t>
            </w:r>
          </w:p>
        </w:tc>
      </w:tr>
      <w:tr w:rsidR="001405CC" w:rsidRPr="000633CA" w14:paraId="2F33FE59" w14:textId="77777777" w:rsidTr="00A90627">
        <w:trPr>
          <w:gridBefore w:val="1"/>
          <w:gridAfter w:val="2"/>
          <w:wBefore w:w="10" w:type="dxa"/>
          <w:wAfter w:w="99" w:type="dxa"/>
        </w:trPr>
        <w:tc>
          <w:tcPr>
            <w:tcW w:w="4519" w:type="dxa"/>
            <w:tcMar>
              <w:top w:w="20" w:type="dxa"/>
              <w:left w:w="115" w:type="dxa"/>
              <w:bottom w:w="20" w:type="dxa"/>
              <w:right w:w="115" w:type="dxa"/>
            </w:tcMar>
            <w:vAlign w:val="bottom"/>
            <w:hideMark/>
          </w:tcPr>
          <w:p w14:paraId="34802E1F" w14:textId="77777777" w:rsidR="001405CC" w:rsidRPr="000633CA" w:rsidRDefault="001405CC" w:rsidP="00762E07">
            <w:pPr>
              <w:pStyle w:val="BulletListLettered"/>
              <w:numPr>
                <w:ilvl w:val="0"/>
                <w:numId w:val="65"/>
              </w:numPr>
            </w:pPr>
            <w:r w:rsidRPr="000633CA">
              <w:t>Have a substantial adverse effect, either directly or through habitat modifications, on any species identified as a candidate, sensitive, or special status species in local or regional plans, policies, or regulations, or by the California Department of Fish and Wildlife or U.S. Fish and Wildlife Service?</w:t>
            </w:r>
          </w:p>
        </w:tc>
        <w:tc>
          <w:tcPr>
            <w:tcW w:w="1080" w:type="dxa"/>
            <w:tcMar>
              <w:top w:w="20" w:type="dxa"/>
              <w:left w:w="115" w:type="dxa"/>
              <w:bottom w:w="20" w:type="dxa"/>
              <w:right w:w="115" w:type="dxa"/>
            </w:tcMar>
            <w:vAlign w:val="bottom"/>
          </w:tcPr>
          <w:p w14:paraId="34763254" w14:textId="0777730F" w:rsidR="001405CC" w:rsidRPr="00201BC1" w:rsidRDefault="001405CC" w:rsidP="00B07684">
            <w:pPr>
              <w:spacing w:before="60" w:after="60"/>
              <w:jc w:val="center"/>
              <w:rPr>
                <w:sz w:val="22"/>
                <w:szCs w:val="22"/>
              </w:rPr>
            </w:pPr>
            <w:r w:rsidRPr="00201BC1">
              <w:rPr>
                <w:rFonts w:ascii="Times New Roman" w:hAnsi="Times New Roman"/>
                <w:sz w:val="22"/>
                <w:szCs w:val="22"/>
              </w:rPr>
              <w:t>□</w:t>
            </w:r>
          </w:p>
        </w:tc>
        <w:tc>
          <w:tcPr>
            <w:tcW w:w="1260" w:type="dxa"/>
            <w:tcMar>
              <w:top w:w="20" w:type="dxa"/>
              <w:left w:w="115" w:type="dxa"/>
              <w:bottom w:w="20" w:type="dxa"/>
              <w:right w:w="115" w:type="dxa"/>
            </w:tcMar>
            <w:vAlign w:val="bottom"/>
          </w:tcPr>
          <w:p w14:paraId="35759CE7" w14:textId="4FE688D7" w:rsidR="001405CC" w:rsidRPr="00201BC1" w:rsidRDefault="002E498C" w:rsidP="00B07684">
            <w:pPr>
              <w:spacing w:before="60" w:after="60"/>
              <w:jc w:val="center"/>
              <w:rPr>
                <w:sz w:val="22"/>
                <w:szCs w:val="22"/>
              </w:rPr>
            </w:pPr>
            <w:r w:rsidRPr="00201BC1">
              <w:rPr>
                <w:rFonts w:ascii="Times New Roman" w:hAnsi="Times New Roman"/>
                <w:sz w:val="22"/>
                <w:szCs w:val="22"/>
              </w:rPr>
              <w:t>□</w:t>
            </w:r>
          </w:p>
        </w:tc>
        <w:tc>
          <w:tcPr>
            <w:tcW w:w="1080" w:type="dxa"/>
            <w:tcMar>
              <w:top w:w="20" w:type="dxa"/>
              <w:left w:w="115" w:type="dxa"/>
              <w:bottom w:w="20" w:type="dxa"/>
              <w:right w:w="115" w:type="dxa"/>
            </w:tcMar>
            <w:vAlign w:val="bottom"/>
          </w:tcPr>
          <w:p w14:paraId="7C112254" w14:textId="5A1C8E06" w:rsidR="001405CC" w:rsidRPr="00201BC1" w:rsidRDefault="002E498C" w:rsidP="00B07684">
            <w:pPr>
              <w:spacing w:before="60" w:after="60"/>
              <w:jc w:val="center"/>
              <w:rPr>
                <w:sz w:val="22"/>
                <w:szCs w:val="22"/>
              </w:rPr>
            </w:pPr>
            <w:r w:rsidRPr="00201BC1">
              <w:rPr>
                <w:rFonts w:ascii="Times New Roman" w:hAnsi="Times New Roman"/>
                <w:sz w:val="22"/>
                <w:szCs w:val="22"/>
              </w:rPr>
              <w:t>■</w:t>
            </w:r>
          </w:p>
        </w:tc>
        <w:tc>
          <w:tcPr>
            <w:tcW w:w="999" w:type="dxa"/>
            <w:tcMar>
              <w:top w:w="20" w:type="dxa"/>
              <w:left w:w="115" w:type="dxa"/>
              <w:bottom w:w="20" w:type="dxa"/>
              <w:right w:w="115" w:type="dxa"/>
            </w:tcMar>
            <w:vAlign w:val="bottom"/>
          </w:tcPr>
          <w:p w14:paraId="385EFD9B" w14:textId="281FDDB8" w:rsidR="001405CC" w:rsidRPr="00201BC1" w:rsidRDefault="001405CC" w:rsidP="00B07684">
            <w:pPr>
              <w:spacing w:before="60" w:after="60"/>
              <w:jc w:val="center"/>
              <w:rPr>
                <w:sz w:val="22"/>
                <w:szCs w:val="22"/>
              </w:rPr>
            </w:pPr>
            <w:r w:rsidRPr="00201BC1">
              <w:rPr>
                <w:rFonts w:ascii="Times New Roman" w:hAnsi="Times New Roman"/>
                <w:sz w:val="22"/>
                <w:szCs w:val="22"/>
              </w:rPr>
              <w:t>□</w:t>
            </w:r>
          </w:p>
        </w:tc>
      </w:tr>
      <w:tr w:rsidR="001405CC" w:rsidRPr="000633CA" w14:paraId="06EC0AA3" w14:textId="77777777" w:rsidTr="00A90627">
        <w:trPr>
          <w:gridBefore w:val="1"/>
          <w:gridAfter w:val="2"/>
          <w:wBefore w:w="10" w:type="dxa"/>
          <w:wAfter w:w="99" w:type="dxa"/>
        </w:trPr>
        <w:tc>
          <w:tcPr>
            <w:tcW w:w="4519" w:type="dxa"/>
            <w:tcMar>
              <w:top w:w="20" w:type="dxa"/>
              <w:left w:w="115" w:type="dxa"/>
              <w:bottom w:w="20" w:type="dxa"/>
              <w:right w:w="115" w:type="dxa"/>
            </w:tcMar>
            <w:vAlign w:val="bottom"/>
            <w:hideMark/>
          </w:tcPr>
          <w:p w14:paraId="78B16A67" w14:textId="77777777" w:rsidR="001405CC" w:rsidRPr="000633CA" w:rsidRDefault="001405CC" w:rsidP="001405CC">
            <w:pPr>
              <w:pStyle w:val="BulletListLettered"/>
              <w:numPr>
                <w:ilvl w:val="0"/>
                <w:numId w:val="10"/>
              </w:numPr>
            </w:pPr>
            <w:r w:rsidRPr="000633CA">
              <w:t>Have a substantial adverse effect on any riparian habitat or other sensitive natural community identified in local or regional plans, policies, or regulations, or by the California Department of Fish and Wildlife or U.S. Fish and Wildlife Service?</w:t>
            </w:r>
          </w:p>
        </w:tc>
        <w:tc>
          <w:tcPr>
            <w:tcW w:w="1080" w:type="dxa"/>
            <w:tcMar>
              <w:top w:w="20" w:type="dxa"/>
              <w:left w:w="115" w:type="dxa"/>
              <w:bottom w:w="20" w:type="dxa"/>
              <w:right w:w="115" w:type="dxa"/>
            </w:tcMar>
            <w:vAlign w:val="bottom"/>
          </w:tcPr>
          <w:p w14:paraId="494BFBF6" w14:textId="4B113EC3" w:rsidR="001405CC" w:rsidRPr="00201BC1" w:rsidRDefault="001405CC" w:rsidP="00B07684">
            <w:pPr>
              <w:spacing w:before="60" w:after="60"/>
              <w:jc w:val="center"/>
              <w:rPr>
                <w:sz w:val="22"/>
                <w:szCs w:val="22"/>
              </w:rPr>
            </w:pPr>
            <w:r w:rsidRPr="00201BC1">
              <w:rPr>
                <w:rFonts w:ascii="Times New Roman" w:hAnsi="Times New Roman"/>
                <w:sz w:val="22"/>
                <w:szCs w:val="22"/>
              </w:rPr>
              <w:t>□</w:t>
            </w:r>
          </w:p>
        </w:tc>
        <w:tc>
          <w:tcPr>
            <w:tcW w:w="1260" w:type="dxa"/>
            <w:tcMar>
              <w:top w:w="20" w:type="dxa"/>
              <w:left w:w="115" w:type="dxa"/>
              <w:bottom w:w="20" w:type="dxa"/>
              <w:right w:w="115" w:type="dxa"/>
            </w:tcMar>
            <w:vAlign w:val="bottom"/>
          </w:tcPr>
          <w:p w14:paraId="030DE0AA" w14:textId="1DBA2B31" w:rsidR="001405CC" w:rsidRPr="00201BC1" w:rsidRDefault="001405CC" w:rsidP="00B07684">
            <w:pPr>
              <w:spacing w:before="60" w:after="60"/>
              <w:jc w:val="center"/>
              <w:rPr>
                <w:sz w:val="22"/>
                <w:szCs w:val="22"/>
              </w:rPr>
            </w:pPr>
            <w:r w:rsidRPr="00201BC1">
              <w:rPr>
                <w:rFonts w:ascii="Times New Roman" w:hAnsi="Times New Roman"/>
                <w:sz w:val="22"/>
                <w:szCs w:val="22"/>
              </w:rPr>
              <w:t>□</w:t>
            </w:r>
          </w:p>
        </w:tc>
        <w:tc>
          <w:tcPr>
            <w:tcW w:w="1080" w:type="dxa"/>
            <w:tcMar>
              <w:top w:w="20" w:type="dxa"/>
              <w:left w:w="115" w:type="dxa"/>
              <w:bottom w:w="20" w:type="dxa"/>
              <w:right w:w="115" w:type="dxa"/>
            </w:tcMar>
            <w:vAlign w:val="bottom"/>
          </w:tcPr>
          <w:p w14:paraId="46709A7F" w14:textId="50A361C7" w:rsidR="001405CC" w:rsidRPr="00201BC1" w:rsidRDefault="00244AF4" w:rsidP="00B07684">
            <w:pPr>
              <w:spacing w:before="60" w:after="60"/>
              <w:jc w:val="center"/>
              <w:rPr>
                <w:sz w:val="22"/>
                <w:szCs w:val="22"/>
              </w:rPr>
            </w:pPr>
            <w:r w:rsidRPr="00201BC1">
              <w:rPr>
                <w:rFonts w:ascii="Times New Roman" w:hAnsi="Times New Roman"/>
                <w:sz w:val="22"/>
                <w:szCs w:val="22"/>
              </w:rPr>
              <w:t>■</w:t>
            </w:r>
          </w:p>
        </w:tc>
        <w:tc>
          <w:tcPr>
            <w:tcW w:w="999" w:type="dxa"/>
            <w:tcMar>
              <w:top w:w="20" w:type="dxa"/>
              <w:left w:w="115" w:type="dxa"/>
              <w:bottom w:w="20" w:type="dxa"/>
              <w:right w:w="115" w:type="dxa"/>
            </w:tcMar>
            <w:vAlign w:val="bottom"/>
          </w:tcPr>
          <w:p w14:paraId="68E3D194" w14:textId="5162D615" w:rsidR="001405CC" w:rsidRPr="00201BC1" w:rsidRDefault="00244AF4" w:rsidP="00B07684">
            <w:pPr>
              <w:spacing w:before="60" w:after="60"/>
              <w:jc w:val="center"/>
              <w:rPr>
                <w:sz w:val="22"/>
                <w:szCs w:val="22"/>
              </w:rPr>
            </w:pPr>
            <w:r w:rsidRPr="00201BC1">
              <w:rPr>
                <w:rFonts w:ascii="Times New Roman" w:hAnsi="Times New Roman"/>
                <w:sz w:val="22"/>
                <w:szCs w:val="22"/>
              </w:rPr>
              <w:t>□</w:t>
            </w:r>
          </w:p>
        </w:tc>
      </w:tr>
      <w:tr w:rsidR="001405CC" w:rsidRPr="000633CA" w14:paraId="01FA68AB" w14:textId="77777777" w:rsidTr="00A90627">
        <w:trPr>
          <w:gridBefore w:val="1"/>
          <w:gridAfter w:val="2"/>
          <w:wBefore w:w="10" w:type="dxa"/>
          <w:wAfter w:w="99" w:type="dxa"/>
        </w:trPr>
        <w:tc>
          <w:tcPr>
            <w:tcW w:w="4519" w:type="dxa"/>
            <w:tcMar>
              <w:top w:w="20" w:type="dxa"/>
              <w:left w:w="115" w:type="dxa"/>
              <w:bottom w:w="20" w:type="dxa"/>
              <w:right w:w="115" w:type="dxa"/>
            </w:tcMar>
            <w:vAlign w:val="bottom"/>
            <w:hideMark/>
          </w:tcPr>
          <w:p w14:paraId="2860C9F6" w14:textId="77777777" w:rsidR="001405CC" w:rsidRPr="000633CA" w:rsidRDefault="001405CC" w:rsidP="001405CC">
            <w:pPr>
              <w:pStyle w:val="BulletListLettered"/>
              <w:numPr>
                <w:ilvl w:val="0"/>
                <w:numId w:val="10"/>
              </w:numPr>
            </w:pPr>
            <w:r w:rsidRPr="000633CA">
              <w:t>Have a substantial adverse effect on state or federally protected wetlands (including, but not limited to, marsh, vernal pool, coastal, etc.) through direct removal, filling, hydrological interruption, or other means?</w:t>
            </w:r>
          </w:p>
        </w:tc>
        <w:tc>
          <w:tcPr>
            <w:tcW w:w="1080" w:type="dxa"/>
            <w:tcMar>
              <w:top w:w="20" w:type="dxa"/>
              <w:left w:w="115" w:type="dxa"/>
              <w:bottom w:w="20" w:type="dxa"/>
              <w:right w:w="115" w:type="dxa"/>
            </w:tcMar>
            <w:vAlign w:val="bottom"/>
          </w:tcPr>
          <w:p w14:paraId="2430A56E" w14:textId="1594D853" w:rsidR="001405CC" w:rsidRPr="00201BC1" w:rsidRDefault="001405CC" w:rsidP="00B07684">
            <w:pPr>
              <w:spacing w:before="60" w:after="60"/>
              <w:jc w:val="center"/>
              <w:rPr>
                <w:sz w:val="22"/>
                <w:szCs w:val="22"/>
              </w:rPr>
            </w:pPr>
            <w:r w:rsidRPr="00201BC1">
              <w:rPr>
                <w:rFonts w:ascii="Times New Roman" w:hAnsi="Times New Roman"/>
                <w:sz w:val="22"/>
                <w:szCs w:val="22"/>
              </w:rPr>
              <w:t>□</w:t>
            </w:r>
          </w:p>
        </w:tc>
        <w:tc>
          <w:tcPr>
            <w:tcW w:w="1260" w:type="dxa"/>
            <w:tcMar>
              <w:top w:w="20" w:type="dxa"/>
              <w:left w:w="115" w:type="dxa"/>
              <w:bottom w:w="20" w:type="dxa"/>
              <w:right w:w="115" w:type="dxa"/>
            </w:tcMar>
            <w:vAlign w:val="bottom"/>
          </w:tcPr>
          <w:p w14:paraId="7947363D" w14:textId="79DAB492" w:rsidR="001405CC" w:rsidRPr="00201BC1" w:rsidRDefault="001405CC" w:rsidP="00B07684">
            <w:pPr>
              <w:spacing w:before="60" w:after="60"/>
              <w:jc w:val="center"/>
              <w:rPr>
                <w:sz w:val="22"/>
                <w:szCs w:val="22"/>
              </w:rPr>
            </w:pPr>
            <w:r w:rsidRPr="00201BC1">
              <w:rPr>
                <w:rFonts w:ascii="Times New Roman" w:hAnsi="Times New Roman"/>
                <w:sz w:val="22"/>
                <w:szCs w:val="22"/>
              </w:rPr>
              <w:t>□</w:t>
            </w:r>
          </w:p>
        </w:tc>
        <w:tc>
          <w:tcPr>
            <w:tcW w:w="1080" w:type="dxa"/>
            <w:tcMar>
              <w:top w:w="20" w:type="dxa"/>
              <w:left w:w="115" w:type="dxa"/>
              <w:bottom w:w="20" w:type="dxa"/>
              <w:right w:w="115" w:type="dxa"/>
            </w:tcMar>
            <w:vAlign w:val="bottom"/>
          </w:tcPr>
          <w:p w14:paraId="3BF8B4BA" w14:textId="13F5F304" w:rsidR="001405CC" w:rsidRPr="00201BC1" w:rsidRDefault="001405CC" w:rsidP="00B07684">
            <w:pPr>
              <w:spacing w:before="60" w:after="60"/>
              <w:jc w:val="center"/>
              <w:rPr>
                <w:sz w:val="22"/>
                <w:szCs w:val="22"/>
              </w:rPr>
            </w:pPr>
            <w:r w:rsidRPr="00201BC1">
              <w:rPr>
                <w:rFonts w:ascii="Times New Roman" w:hAnsi="Times New Roman"/>
                <w:sz w:val="22"/>
                <w:szCs w:val="22"/>
              </w:rPr>
              <w:t>□</w:t>
            </w:r>
          </w:p>
        </w:tc>
        <w:tc>
          <w:tcPr>
            <w:tcW w:w="999" w:type="dxa"/>
            <w:tcMar>
              <w:top w:w="20" w:type="dxa"/>
              <w:left w:w="115" w:type="dxa"/>
              <w:bottom w:w="20" w:type="dxa"/>
              <w:right w:w="115" w:type="dxa"/>
            </w:tcMar>
            <w:vAlign w:val="bottom"/>
          </w:tcPr>
          <w:p w14:paraId="4F3A1312" w14:textId="68434B01" w:rsidR="001405CC" w:rsidRPr="00201BC1" w:rsidRDefault="00244AF4" w:rsidP="00B07684">
            <w:pPr>
              <w:spacing w:before="60" w:after="60"/>
              <w:jc w:val="center"/>
              <w:rPr>
                <w:sz w:val="22"/>
                <w:szCs w:val="22"/>
              </w:rPr>
            </w:pPr>
            <w:r w:rsidRPr="00201BC1">
              <w:rPr>
                <w:rFonts w:ascii="Times New Roman" w:hAnsi="Times New Roman"/>
                <w:sz w:val="22"/>
                <w:szCs w:val="22"/>
              </w:rPr>
              <w:t>■</w:t>
            </w:r>
          </w:p>
        </w:tc>
      </w:tr>
      <w:tr w:rsidR="001405CC" w:rsidRPr="000633CA" w14:paraId="4FA54515" w14:textId="77777777" w:rsidTr="00A90627">
        <w:trPr>
          <w:gridBefore w:val="1"/>
          <w:gridAfter w:val="2"/>
          <w:wBefore w:w="10" w:type="dxa"/>
          <w:wAfter w:w="99" w:type="dxa"/>
        </w:trPr>
        <w:tc>
          <w:tcPr>
            <w:tcW w:w="4519" w:type="dxa"/>
            <w:tcMar>
              <w:top w:w="20" w:type="dxa"/>
              <w:left w:w="115" w:type="dxa"/>
              <w:bottom w:w="20" w:type="dxa"/>
              <w:right w:w="115" w:type="dxa"/>
            </w:tcMar>
            <w:vAlign w:val="bottom"/>
            <w:hideMark/>
          </w:tcPr>
          <w:p w14:paraId="7E8E1466" w14:textId="77777777" w:rsidR="001405CC" w:rsidRPr="000633CA" w:rsidRDefault="001405CC" w:rsidP="001405CC">
            <w:pPr>
              <w:pStyle w:val="BulletListLettered"/>
              <w:numPr>
                <w:ilvl w:val="0"/>
                <w:numId w:val="10"/>
              </w:numPr>
            </w:pPr>
            <w:r w:rsidRPr="000633CA">
              <w:t>Interfere substantially with the movement of any native resident or migratory fish or wildlife species or with established native resident or migratory wildlife corridors, or impede the use of native wildlife nursery sites?</w:t>
            </w:r>
          </w:p>
        </w:tc>
        <w:tc>
          <w:tcPr>
            <w:tcW w:w="1080" w:type="dxa"/>
            <w:tcMar>
              <w:top w:w="20" w:type="dxa"/>
              <w:left w:w="115" w:type="dxa"/>
              <w:bottom w:w="20" w:type="dxa"/>
              <w:right w:w="115" w:type="dxa"/>
            </w:tcMar>
            <w:vAlign w:val="bottom"/>
          </w:tcPr>
          <w:p w14:paraId="2BB19AAC" w14:textId="2870C7EC" w:rsidR="001405CC" w:rsidRPr="00201BC1" w:rsidRDefault="001405CC" w:rsidP="00B07684">
            <w:pPr>
              <w:spacing w:before="60" w:after="60"/>
              <w:jc w:val="center"/>
              <w:rPr>
                <w:sz w:val="22"/>
                <w:szCs w:val="22"/>
              </w:rPr>
            </w:pPr>
            <w:r w:rsidRPr="00201BC1">
              <w:rPr>
                <w:rFonts w:ascii="Times New Roman" w:hAnsi="Times New Roman"/>
                <w:sz w:val="22"/>
                <w:szCs w:val="22"/>
              </w:rPr>
              <w:t>□</w:t>
            </w:r>
          </w:p>
        </w:tc>
        <w:tc>
          <w:tcPr>
            <w:tcW w:w="1260" w:type="dxa"/>
            <w:tcMar>
              <w:top w:w="20" w:type="dxa"/>
              <w:left w:w="115" w:type="dxa"/>
              <w:bottom w:w="20" w:type="dxa"/>
              <w:right w:w="115" w:type="dxa"/>
            </w:tcMar>
            <w:vAlign w:val="bottom"/>
          </w:tcPr>
          <w:p w14:paraId="57878E93" w14:textId="19EC9A3E" w:rsidR="001405CC" w:rsidRPr="00201BC1" w:rsidRDefault="001405CC" w:rsidP="00B07684">
            <w:pPr>
              <w:spacing w:before="60" w:after="60"/>
              <w:jc w:val="center"/>
              <w:rPr>
                <w:sz w:val="22"/>
                <w:szCs w:val="22"/>
              </w:rPr>
            </w:pPr>
            <w:r w:rsidRPr="00201BC1">
              <w:rPr>
                <w:rFonts w:ascii="Times New Roman" w:hAnsi="Times New Roman"/>
                <w:sz w:val="22"/>
                <w:szCs w:val="22"/>
              </w:rPr>
              <w:t>□</w:t>
            </w:r>
          </w:p>
        </w:tc>
        <w:tc>
          <w:tcPr>
            <w:tcW w:w="1080" w:type="dxa"/>
            <w:tcMar>
              <w:top w:w="20" w:type="dxa"/>
              <w:left w:w="115" w:type="dxa"/>
              <w:bottom w:w="20" w:type="dxa"/>
              <w:right w:w="115" w:type="dxa"/>
            </w:tcMar>
            <w:vAlign w:val="bottom"/>
          </w:tcPr>
          <w:p w14:paraId="0675924B" w14:textId="3783BA23" w:rsidR="001405CC" w:rsidRPr="00201BC1" w:rsidRDefault="00244AF4" w:rsidP="00B07684">
            <w:pPr>
              <w:spacing w:before="60" w:after="60"/>
              <w:jc w:val="center"/>
              <w:rPr>
                <w:sz w:val="22"/>
                <w:szCs w:val="22"/>
              </w:rPr>
            </w:pPr>
            <w:r w:rsidRPr="00201BC1">
              <w:rPr>
                <w:rFonts w:ascii="Times New Roman" w:hAnsi="Times New Roman"/>
                <w:sz w:val="22"/>
                <w:szCs w:val="22"/>
              </w:rPr>
              <w:t>■</w:t>
            </w:r>
          </w:p>
        </w:tc>
        <w:tc>
          <w:tcPr>
            <w:tcW w:w="999" w:type="dxa"/>
            <w:tcMar>
              <w:top w:w="20" w:type="dxa"/>
              <w:left w:w="115" w:type="dxa"/>
              <w:bottom w:w="20" w:type="dxa"/>
              <w:right w:w="115" w:type="dxa"/>
            </w:tcMar>
            <w:vAlign w:val="bottom"/>
          </w:tcPr>
          <w:p w14:paraId="677A0882" w14:textId="07DEA969" w:rsidR="001405CC" w:rsidRPr="00201BC1" w:rsidRDefault="00244AF4" w:rsidP="00B07684">
            <w:pPr>
              <w:spacing w:before="60" w:after="60"/>
              <w:jc w:val="center"/>
              <w:rPr>
                <w:sz w:val="22"/>
                <w:szCs w:val="22"/>
              </w:rPr>
            </w:pPr>
            <w:r w:rsidRPr="00201BC1">
              <w:rPr>
                <w:rFonts w:ascii="Times New Roman" w:hAnsi="Times New Roman"/>
                <w:sz w:val="22"/>
                <w:szCs w:val="22"/>
              </w:rPr>
              <w:t>□</w:t>
            </w:r>
          </w:p>
        </w:tc>
      </w:tr>
      <w:tr w:rsidR="001405CC" w:rsidRPr="000633CA" w14:paraId="6C1ADF2C" w14:textId="77777777" w:rsidTr="00A90627">
        <w:trPr>
          <w:gridBefore w:val="1"/>
          <w:gridAfter w:val="2"/>
          <w:wBefore w:w="10" w:type="dxa"/>
          <w:wAfter w:w="99" w:type="dxa"/>
          <w:trHeight w:val="196"/>
        </w:trPr>
        <w:tc>
          <w:tcPr>
            <w:tcW w:w="4519" w:type="dxa"/>
            <w:tcMar>
              <w:top w:w="20" w:type="dxa"/>
              <w:left w:w="115" w:type="dxa"/>
              <w:bottom w:w="20" w:type="dxa"/>
              <w:right w:w="115" w:type="dxa"/>
            </w:tcMar>
            <w:vAlign w:val="bottom"/>
            <w:hideMark/>
          </w:tcPr>
          <w:p w14:paraId="12581903" w14:textId="77777777" w:rsidR="001405CC" w:rsidRPr="000633CA" w:rsidRDefault="001405CC" w:rsidP="001405CC">
            <w:pPr>
              <w:pStyle w:val="BulletListLettered"/>
              <w:numPr>
                <w:ilvl w:val="0"/>
                <w:numId w:val="10"/>
              </w:numPr>
            </w:pPr>
            <w:r w:rsidRPr="000633CA">
              <w:t>Conflict with any local policies or ordinances protecting biological resources, such as a tree preservation policy or ordinance?</w:t>
            </w:r>
          </w:p>
        </w:tc>
        <w:tc>
          <w:tcPr>
            <w:tcW w:w="1080" w:type="dxa"/>
            <w:tcMar>
              <w:top w:w="20" w:type="dxa"/>
              <w:left w:w="115" w:type="dxa"/>
              <w:bottom w:w="20" w:type="dxa"/>
              <w:right w:w="115" w:type="dxa"/>
            </w:tcMar>
            <w:vAlign w:val="bottom"/>
          </w:tcPr>
          <w:p w14:paraId="58C44E85" w14:textId="4CB1236F" w:rsidR="001405CC" w:rsidRPr="00201BC1" w:rsidRDefault="001405CC" w:rsidP="00B07684">
            <w:pPr>
              <w:spacing w:before="60" w:after="60"/>
              <w:jc w:val="center"/>
              <w:rPr>
                <w:sz w:val="22"/>
                <w:szCs w:val="22"/>
              </w:rPr>
            </w:pPr>
            <w:r w:rsidRPr="00201BC1">
              <w:rPr>
                <w:rFonts w:ascii="Times New Roman" w:hAnsi="Times New Roman"/>
                <w:sz w:val="22"/>
                <w:szCs w:val="22"/>
              </w:rPr>
              <w:t>□</w:t>
            </w:r>
          </w:p>
        </w:tc>
        <w:tc>
          <w:tcPr>
            <w:tcW w:w="1260" w:type="dxa"/>
            <w:tcMar>
              <w:top w:w="20" w:type="dxa"/>
              <w:left w:w="115" w:type="dxa"/>
              <w:bottom w:w="20" w:type="dxa"/>
              <w:right w:w="115" w:type="dxa"/>
            </w:tcMar>
            <w:vAlign w:val="bottom"/>
          </w:tcPr>
          <w:p w14:paraId="7E053AA0" w14:textId="04F7B012" w:rsidR="001405CC" w:rsidRPr="00201BC1" w:rsidRDefault="001405CC" w:rsidP="00B07684">
            <w:pPr>
              <w:spacing w:before="60" w:after="60"/>
              <w:jc w:val="center"/>
              <w:rPr>
                <w:sz w:val="22"/>
                <w:szCs w:val="22"/>
              </w:rPr>
            </w:pPr>
            <w:r w:rsidRPr="00201BC1">
              <w:rPr>
                <w:rFonts w:ascii="Times New Roman" w:hAnsi="Times New Roman"/>
                <w:sz w:val="22"/>
                <w:szCs w:val="22"/>
              </w:rPr>
              <w:t>□</w:t>
            </w:r>
          </w:p>
        </w:tc>
        <w:tc>
          <w:tcPr>
            <w:tcW w:w="1080" w:type="dxa"/>
            <w:tcMar>
              <w:top w:w="20" w:type="dxa"/>
              <w:left w:w="115" w:type="dxa"/>
              <w:bottom w:w="20" w:type="dxa"/>
              <w:right w:w="115" w:type="dxa"/>
            </w:tcMar>
            <w:vAlign w:val="bottom"/>
          </w:tcPr>
          <w:p w14:paraId="29A70510" w14:textId="1AA2AA26" w:rsidR="001405CC" w:rsidRPr="00201BC1" w:rsidRDefault="00762E07" w:rsidP="00B07684">
            <w:pPr>
              <w:spacing w:before="60" w:after="60"/>
              <w:jc w:val="center"/>
              <w:rPr>
                <w:sz w:val="22"/>
                <w:szCs w:val="22"/>
              </w:rPr>
            </w:pPr>
            <w:r w:rsidRPr="00201BC1">
              <w:rPr>
                <w:rFonts w:ascii="Times New Roman" w:hAnsi="Times New Roman"/>
                <w:sz w:val="22"/>
                <w:szCs w:val="22"/>
              </w:rPr>
              <w:t>■</w:t>
            </w:r>
          </w:p>
        </w:tc>
        <w:tc>
          <w:tcPr>
            <w:tcW w:w="999" w:type="dxa"/>
            <w:tcMar>
              <w:top w:w="20" w:type="dxa"/>
              <w:left w:w="115" w:type="dxa"/>
              <w:bottom w:w="20" w:type="dxa"/>
              <w:right w:w="115" w:type="dxa"/>
            </w:tcMar>
            <w:vAlign w:val="bottom"/>
          </w:tcPr>
          <w:p w14:paraId="0779F0E3" w14:textId="2D21597D" w:rsidR="001405CC" w:rsidRPr="00201BC1" w:rsidRDefault="00762E07" w:rsidP="00B07684">
            <w:pPr>
              <w:spacing w:before="60" w:after="60"/>
              <w:jc w:val="center"/>
              <w:rPr>
                <w:sz w:val="22"/>
                <w:szCs w:val="22"/>
              </w:rPr>
            </w:pPr>
            <w:r w:rsidRPr="00201BC1">
              <w:rPr>
                <w:rFonts w:ascii="Times New Roman" w:hAnsi="Times New Roman"/>
                <w:sz w:val="22"/>
                <w:szCs w:val="22"/>
              </w:rPr>
              <w:t>□</w:t>
            </w:r>
          </w:p>
        </w:tc>
      </w:tr>
      <w:tr w:rsidR="001405CC" w:rsidRPr="00E5753A" w14:paraId="694463F2" w14:textId="77777777" w:rsidTr="00A90627">
        <w:trPr>
          <w:gridBefore w:val="1"/>
          <w:gridAfter w:val="2"/>
          <w:wBefore w:w="10" w:type="dxa"/>
          <w:wAfter w:w="99" w:type="dxa"/>
          <w:trHeight w:val="196"/>
        </w:trPr>
        <w:tc>
          <w:tcPr>
            <w:tcW w:w="4519" w:type="dxa"/>
            <w:tcBorders>
              <w:top w:val="nil"/>
              <w:left w:val="nil"/>
              <w:bottom w:val="single" w:sz="4" w:space="0" w:color="auto"/>
              <w:right w:val="nil"/>
            </w:tcBorders>
            <w:tcMar>
              <w:top w:w="20" w:type="dxa"/>
              <w:left w:w="115" w:type="dxa"/>
              <w:bottom w:w="20" w:type="dxa"/>
              <w:right w:w="115" w:type="dxa"/>
            </w:tcMar>
            <w:vAlign w:val="bottom"/>
            <w:hideMark/>
          </w:tcPr>
          <w:p w14:paraId="5DF0895A" w14:textId="77777777" w:rsidR="001405CC" w:rsidRPr="000633CA" w:rsidRDefault="001405CC" w:rsidP="001405CC">
            <w:pPr>
              <w:pStyle w:val="BulletListLettered"/>
              <w:numPr>
                <w:ilvl w:val="0"/>
                <w:numId w:val="10"/>
              </w:numPr>
            </w:pPr>
            <w:r w:rsidRPr="000633CA">
              <w:t>Conflict with the provisions of an adopted Habitat Conservation Plan, Natural Community Conservation Plan, or other approved local, regional, or state habitat conservation plan?</w:t>
            </w:r>
          </w:p>
        </w:tc>
        <w:tc>
          <w:tcPr>
            <w:tcW w:w="1080" w:type="dxa"/>
            <w:tcBorders>
              <w:top w:val="nil"/>
              <w:left w:val="nil"/>
              <w:bottom w:val="single" w:sz="4" w:space="0" w:color="auto"/>
              <w:right w:val="nil"/>
            </w:tcBorders>
            <w:tcMar>
              <w:top w:w="20" w:type="dxa"/>
              <w:left w:w="115" w:type="dxa"/>
              <w:bottom w:w="20" w:type="dxa"/>
              <w:right w:w="115" w:type="dxa"/>
            </w:tcMar>
            <w:vAlign w:val="bottom"/>
          </w:tcPr>
          <w:p w14:paraId="6FD230F6" w14:textId="397B6991" w:rsidR="001405CC" w:rsidRPr="00201BC1" w:rsidRDefault="001405CC" w:rsidP="00B07684">
            <w:pPr>
              <w:spacing w:before="60" w:after="60"/>
              <w:jc w:val="center"/>
              <w:rPr>
                <w:sz w:val="22"/>
                <w:szCs w:val="22"/>
              </w:rPr>
            </w:pPr>
            <w:r w:rsidRPr="00201BC1">
              <w:rPr>
                <w:rFonts w:ascii="Times New Roman" w:hAnsi="Times New Roman"/>
                <w:sz w:val="22"/>
                <w:szCs w:val="22"/>
              </w:rPr>
              <w:t>□</w:t>
            </w:r>
          </w:p>
        </w:tc>
        <w:tc>
          <w:tcPr>
            <w:tcW w:w="1260" w:type="dxa"/>
            <w:tcBorders>
              <w:top w:val="nil"/>
              <w:left w:val="nil"/>
              <w:bottom w:val="single" w:sz="4" w:space="0" w:color="auto"/>
              <w:right w:val="nil"/>
            </w:tcBorders>
            <w:tcMar>
              <w:top w:w="20" w:type="dxa"/>
              <w:left w:w="115" w:type="dxa"/>
              <w:bottom w:w="20" w:type="dxa"/>
              <w:right w:w="115" w:type="dxa"/>
            </w:tcMar>
            <w:vAlign w:val="bottom"/>
          </w:tcPr>
          <w:p w14:paraId="6DAD4374" w14:textId="765A390E" w:rsidR="001405CC" w:rsidRPr="00201BC1" w:rsidRDefault="001405CC" w:rsidP="00B07684">
            <w:pPr>
              <w:spacing w:before="60" w:after="60"/>
              <w:jc w:val="center"/>
              <w:rPr>
                <w:sz w:val="22"/>
                <w:szCs w:val="22"/>
              </w:rPr>
            </w:pPr>
            <w:r w:rsidRPr="00201BC1">
              <w:rPr>
                <w:rFonts w:ascii="Times New Roman" w:hAnsi="Times New Roman"/>
                <w:sz w:val="22"/>
                <w:szCs w:val="22"/>
              </w:rPr>
              <w:t>□</w:t>
            </w:r>
          </w:p>
        </w:tc>
        <w:tc>
          <w:tcPr>
            <w:tcW w:w="1080" w:type="dxa"/>
            <w:tcBorders>
              <w:top w:val="nil"/>
              <w:left w:val="nil"/>
              <w:bottom w:val="single" w:sz="4" w:space="0" w:color="auto"/>
              <w:right w:val="nil"/>
            </w:tcBorders>
            <w:tcMar>
              <w:top w:w="20" w:type="dxa"/>
              <w:left w:w="115" w:type="dxa"/>
              <w:bottom w:w="20" w:type="dxa"/>
              <w:right w:w="115" w:type="dxa"/>
            </w:tcMar>
            <w:vAlign w:val="bottom"/>
          </w:tcPr>
          <w:p w14:paraId="2B019D2C" w14:textId="42DAE777" w:rsidR="001405CC" w:rsidRPr="00201BC1" w:rsidRDefault="001405CC" w:rsidP="00B07684">
            <w:pPr>
              <w:spacing w:before="60" w:after="60"/>
              <w:jc w:val="center"/>
              <w:rPr>
                <w:sz w:val="22"/>
                <w:szCs w:val="22"/>
              </w:rPr>
            </w:pPr>
            <w:r w:rsidRPr="00201BC1">
              <w:rPr>
                <w:rFonts w:ascii="Times New Roman" w:hAnsi="Times New Roman"/>
                <w:sz w:val="22"/>
                <w:szCs w:val="22"/>
              </w:rPr>
              <w:t>□</w:t>
            </w:r>
          </w:p>
        </w:tc>
        <w:tc>
          <w:tcPr>
            <w:tcW w:w="999" w:type="dxa"/>
            <w:tcBorders>
              <w:top w:val="nil"/>
              <w:left w:val="nil"/>
              <w:bottom w:val="single" w:sz="4" w:space="0" w:color="auto"/>
              <w:right w:val="nil"/>
            </w:tcBorders>
            <w:tcMar>
              <w:top w:w="20" w:type="dxa"/>
              <w:left w:w="115" w:type="dxa"/>
              <w:bottom w:w="20" w:type="dxa"/>
              <w:right w:w="115" w:type="dxa"/>
            </w:tcMar>
            <w:vAlign w:val="bottom"/>
          </w:tcPr>
          <w:p w14:paraId="77F76757" w14:textId="239283CD" w:rsidR="001405CC" w:rsidRPr="00201BC1" w:rsidRDefault="001405CC" w:rsidP="00B07684">
            <w:pPr>
              <w:spacing w:before="60" w:after="60"/>
              <w:jc w:val="center"/>
              <w:rPr>
                <w:sz w:val="22"/>
                <w:szCs w:val="22"/>
              </w:rPr>
            </w:pPr>
            <w:r w:rsidRPr="00201BC1">
              <w:rPr>
                <w:rFonts w:ascii="Times New Roman" w:hAnsi="Times New Roman"/>
                <w:sz w:val="22"/>
                <w:szCs w:val="22"/>
              </w:rPr>
              <w:t>■</w:t>
            </w:r>
          </w:p>
        </w:tc>
      </w:tr>
    </w:tbl>
    <w:p w14:paraId="6D14E413" w14:textId="0EB0F3E4" w:rsidR="00815598" w:rsidRDefault="00815598" w:rsidP="00B47364">
      <w:pPr>
        <w:pStyle w:val="body0"/>
      </w:pPr>
      <w:r>
        <w:lastRenderedPageBreak/>
        <w:t xml:space="preserve">The analysis in this section is based in part upon a tree protection report prepared by David L. Babby, Registered Consulting Arborist and Board-Certified Master Arborist, in </w:t>
      </w:r>
      <w:r w:rsidR="00820FC0">
        <w:t>October 2021</w:t>
      </w:r>
      <w:r>
        <w:t xml:space="preserve"> (Appendix </w:t>
      </w:r>
      <w:r w:rsidR="00BB5E91">
        <w:t>ARB</w:t>
      </w:r>
      <w:r>
        <w:t xml:space="preserve">). </w:t>
      </w:r>
    </w:p>
    <w:p w14:paraId="7FBB381E" w14:textId="21199279" w:rsidR="001405CC" w:rsidRDefault="001405CC" w:rsidP="001405CC">
      <w:pPr>
        <w:pStyle w:val="Heading5"/>
      </w:pPr>
      <w:r w:rsidRPr="0080157A">
        <w:t>Setting</w:t>
      </w:r>
    </w:p>
    <w:p w14:paraId="29108C81" w14:textId="148167EE" w:rsidR="0080157A" w:rsidRPr="0080157A" w:rsidRDefault="0080157A" w:rsidP="0080157A">
      <w:pPr>
        <w:pStyle w:val="BodyText"/>
      </w:pPr>
      <w:r>
        <w:t xml:space="preserve">The project site is currently vacant </w:t>
      </w:r>
      <w:r w:rsidR="00647B2B">
        <w:t xml:space="preserve">but has been previously developed. The site </w:t>
      </w:r>
      <w:r>
        <w:t xml:space="preserve">contains ruderal vegetation and 31 trees. The site is in an urbanized area, surrounded by paved parking lots, commercial buildings, and landscaped </w:t>
      </w:r>
      <w:r w:rsidR="00003657">
        <w:t>areas</w:t>
      </w:r>
      <w:r w:rsidR="003528A5">
        <w:t xml:space="preserve"> </w:t>
      </w:r>
      <w:r>
        <w:t xml:space="preserve">and trees. The site is approximately </w:t>
      </w:r>
      <w:r w:rsidR="00933C36">
        <w:t>1.5 miles from Stevens Creek Shoreline Nature Study Area Preserve, 0.47 mile from Stevens Creek, 0.52 mile from Permanente Creek, 5.25 miles from Rancho San Antonio County Park and Open Space, and 6 miles from Foothills Nature Preserve. The site is generally flat and elevation ranges between 36 and 40 feet</w:t>
      </w:r>
      <w:r w:rsidR="000633CA">
        <w:t xml:space="preserve"> above mean sea level. </w:t>
      </w:r>
    </w:p>
    <w:p w14:paraId="50DC91F3" w14:textId="77777777" w:rsidR="001405CC" w:rsidRPr="000633CA" w:rsidRDefault="001405CC" w:rsidP="001405CC">
      <w:pPr>
        <w:pStyle w:val="Heading5"/>
      </w:pPr>
      <w:r w:rsidRPr="000633CA">
        <w:t>Regulatory Setting</w:t>
      </w:r>
    </w:p>
    <w:p w14:paraId="38D80AD1" w14:textId="77777777" w:rsidR="001405CC" w:rsidRPr="000633CA" w:rsidRDefault="001405CC" w:rsidP="001405CC">
      <w:pPr>
        <w:pStyle w:val="Heading6"/>
      </w:pPr>
      <w:r w:rsidRPr="000633CA">
        <w:t>Federal and State</w:t>
      </w:r>
    </w:p>
    <w:p w14:paraId="5323D136" w14:textId="742FA1F1" w:rsidR="001405CC" w:rsidRPr="000633CA" w:rsidRDefault="001405CC" w:rsidP="001405CC">
      <w:pPr>
        <w:spacing w:before="120"/>
        <w:rPr>
          <w:rFonts w:asciiTheme="minorHAnsi" w:hAnsiTheme="minorHAnsi" w:cstheme="minorHAnsi"/>
          <w:sz w:val="22"/>
          <w:szCs w:val="22"/>
        </w:rPr>
      </w:pPr>
      <w:r w:rsidRPr="000633CA">
        <w:rPr>
          <w:rFonts w:asciiTheme="minorHAnsi" w:hAnsiTheme="minorHAnsi" w:cstheme="minorHAnsi"/>
          <w:sz w:val="22"/>
          <w:szCs w:val="22"/>
        </w:rPr>
        <w:t xml:space="preserve">Regulatory authority over biological resources is shared by federal, state, and local agencies under a variety of laws, ordinances, regulations, and statutes. Primary authority for biological resources lies with the land use control and planning authority of local jurisdictions (in this instance, the City of </w:t>
      </w:r>
      <w:r w:rsidR="000633CA" w:rsidRPr="000633CA">
        <w:rPr>
          <w:rFonts w:asciiTheme="minorHAnsi" w:hAnsiTheme="minorHAnsi" w:cstheme="minorHAnsi"/>
          <w:sz w:val="22"/>
          <w:szCs w:val="22"/>
        </w:rPr>
        <w:t>Mountain View</w:t>
      </w:r>
      <w:r w:rsidRPr="000633CA">
        <w:rPr>
          <w:rFonts w:asciiTheme="minorHAnsi" w:hAnsiTheme="minorHAnsi" w:cstheme="minorHAnsi"/>
          <w:sz w:val="22"/>
          <w:szCs w:val="22"/>
        </w:rPr>
        <w:t xml:space="preserve">). </w:t>
      </w:r>
    </w:p>
    <w:p w14:paraId="201DE3EE" w14:textId="77777777" w:rsidR="001405CC" w:rsidRPr="000633CA" w:rsidRDefault="001405CC" w:rsidP="001405CC">
      <w:pPr>
        <w:spacing w:before="120"/>
        <w:rPr>
          <w:rFonts w:asciiTheme="minorHAnsi" w:hAnsiTheme="minorHAnsi" w:cstheme="minorHAnsi"/>
          <w:sz w:val="22"/>
          <w:szCs w:val="22"/>
        </w:rPr>
      </w:pPr>
      <w:r w:rsidRPr="000633CA">
        <w:rPr>
          <w:rFonts w:asciiTheme="minorHAnsi" w:hAnsiTheme="minorHAnsi" w:cstheme="minorHAnsi"/>
          <w:sz w:val="22"/>
          <w:szCs w:val="22"/>
        </w:rPr>
        <w:t>The California Department of Fish and Wildlife (CDFW) is a trustee agency for biological resources throughout the state under CEQA and has direct jurisdiction under the California Fish and Game Code (CFGC). Under the California Endangered Species Act and the federal Endangered Species Act, the CDFW and the U.S. Fish and Wildlife Service (USFWS), respectively, have direct regulatory authority over species formally listed as threatened or endangered (and listed as rare for CDFW). Native and/or migratory bird species are protected under the CFGC Sections 3503, 3503.5, and 3511.</w:t>
      </w:r>
    </w:p>
    <w:p w14:paraId="35BDD6BC" w14:textId="5E26A0F7" w:rsidR="001405CC" w:rsidRPr="000633CA" w:rsidRDefault="001405CC" w:rsidP="001405CC">
      <w:pPr>
        <w:spacing w:before="120"/>
        <w:rPr>
          <w:rFonts w:asciiTheme="minorHAnsi" w:hAnsiTheme="minorHAnsi" w:cstheme="minorHAnsi"/>
          <w:sz w:val="22"/>
          <w:szCs w:val="22"/>
        </w:rPr>
      </w:pPr>
      <w:r w:rsidRPr="000633CA">
        <w:rPr>
          <w:rFonts w:asciiTheme="minorHAnsi" w:hAnsiTheme="minorHAnsi" w:cstheme="minorHAnsi"/>
          <w:sz w:val="22"/>
          <w:szCs w:val="22"/>
        </w:rPr>
        <w:t>Statutes in the Clean Water Act (CWA), CFGC, and CCR protect wetlands and riparian habitat. The U.S. Army Corps of Engineers (USACE) has regulatory authority over wetlands and waters of the United States under Section 404 of the CWA. The State Water Resources Control Board (SWRCB) and the nine Regional Water Quality Control Boards (RWQCBs) ensure water quality protection in California pursuant to Section 401 of the CWA and Section 13263 of the Porter-Cologne Water Quality Control Act. The CDFW regulates waters of the State under the CFGC Section 1600 et seq.</w:t>
      </w:r>
    </w:p>
    <w:p w14:paraId="4EE3C9C1" w14:textId="77777777" w:rsidR="001405CC" w:rsidRPr="000633CA" w:rsidRDefault="001405CC" w:rsidP="001405CC">
      <w:pPr>
        <w:pStyle w:val="BodyText"/>
        <w:rPr>
          <w:rFonts w:cstheme="minorHAnsi"/>
        </w:rPr>
      </w:pPr>
      <w:r w:rsidRPr="000633CA">
        <w:rPr>
          <w:rFonts w:cstheme="minorHAnsi"/>
        </w:rPr>
        <w:t>Special-status species are those plants and animals: 1) listed, proposed for listing, or candidates for listing as Threatened or Endangered by the USFWS and the National Marine Fisheries Service (NMFS) under the federal Endangered Species Act; 2) listed or proposed for listing as Rare, Threatened, or Endangered by the CDFW under the California Endangered Species Act; 3) recognized as California Species of Special Concern by the CDFW; 4) afforded protection under CFGC; and 5) occurring on Lists 1 and 2 of the CDFW California Rare Plant Rank (CRPR) system.</w:t>
      </w:r>
    </w:p>
    <w:p w14:paraId="13BFDAB1" w14:textId="5E96D001" w:rsidR="001405CC" w:rsidRPr="000633CA" w:rsidRDefault="001405CC" w:rsidP="001405CC">
      <w:pPr>
        <w:pStyle w:val="Heading6"/>
      </w:pPr>
      <w:r w:rsidRPr="000633CA">
        <w:t>Local</w:t>
      </w:r>
    </w:p>
    <w:p w14:paraId="5AB6AB2D" w14:textId="6BAA8CF9" w:rsidR="000633CA" w:rsidRDefault="000633CA" w:rsidP="000633CA">
      <w:pPr>
        <w:pStyle w:val="BodyText"/>
      </w:pPr>
      <w:r w:rsidRPr="000633CA">
        <w:t>MV</w:t>
      </w:r>
      <w:r w:rsidR="004D3568">
        <w:t>M</w:t>
      </w:r>
      <w:r w:rsidRPr="000633CA">
        <w:t xml:space="preserve">C </w:t>
      </w:r>
      <w:r>
        <w:t xml:space="preserve">Section 32.25(c) provides tree perseveration requirements that would apply to the project. The </w:t>
      </w:r>
      <w:r w:rsidR="00C2575A">
        <w:t>c</w:t>
      </w:r>
      <w:r>
        <w:t xml:space="preserve">hapter defines a </w:t>
      </w:r>
      <w:r w:rsidR="00C2575A">
        <w:t xml:space="preserve">heritage tree as: </w:t>
      </w:r>
    </w:p>
    <w:p w14:paraId="14B80BAF" w14:textId="5A164A3C" w:rsidR="00C2575A" w:rsidRDefault="00C2575A" w:rsidP="00275B75">
      <w:pPr>
        <w:pStyle w:val="BulletListLevel1"/>
      </w:pPr>
      <w:r>
        <w:t xml:space="preserve">A tree which has a trunk with a circumference of forty-eight (48) inches or more measured at fifty-four (54) inches above natural grade; </w:t>
      </w:r>
    </w:p>
    <w:p w14:paraId="634DFC51" w14:textId="615F0934" w:rsidR="00C2575A" w:rsidRDefault="00C2575A" w:rsidP="00275B75">
      <w:pPr>
        <w:pStyle w:val="BulletListLevel1"/>
      </w:pPr>
      <w:r>
        <w:lastRenderedPageBreak/>
        <w:t xml:space="preserve">A multi-branched tree which has major branches below fifty-four (54) inches above the natural grade with a circumference of forty-eight (48) inches measured just below the first major trunk fork; </w:t>
      </w:r>
    </w:p>
    <w:p w14:paraId="37E8C869" w14:textId="45088ECA" w:rsidR="00C2575A" w:rsidRDefault="00C2575A" w:rsidP="00275B75">
      <w:pPr>
        <w:pStyle w:val="BulletListLevel1"/>
      </w:pPr>
      <w:r>
        <w:t>Any quercus (oak), sequoia (redwood), or cedrus (cedar) tree with a circumference of twelve (12) inches or more when measured at fifty-four (54) inches above natural grade;</w:t>
      </w:r>
    </w:p>
    <w:p w14:paraId="54A8A8FE" w14:textId="5AC11532" w:rsidR="000633CA" w:rsidRPr="000633CA" w:rsidRDefault="00C2575A" w:rsidP="00275B75">
      <w:pPr>
        <w:pStyle w:val="BulletListLevel1"/>
      </w:pPr>
      <w:r>
        <w:t>A tree or grove of tree designated by resolution of the city council to be of special historical value or of significant community benefit (MV</w:t>
      </w:r>
      <w:r w:rsidR="004D3568">
        <w:t>M</w:t>
      </w:r>
      <w:r>
        <w:t>C</w:t>
      </w:r>
      <w:r w:rsidR="004D3568">
        <w:t xml:space="preserve"> </w:t>
      </w:r>
      <w:r>
        <w:t xml:space="preserve">32.25[c]). </w:t>
      </w:r>
    </w:p>
    <w:p w14:paraId="1173B43D" w14:textId="77777777" w:rsidR="001405CC" w:rsidRPr="00C2575A" w:rsidRDefault="001405CC" w:rsidP="001405CC">
      <w:pPr>
        <w:pStyle w:val="Heading5"/>
      </w:pPr>
      <w:r w:rsidRPr="00C2575A">
        <w:t>Impact Analysis</w:t>
      </w:r>
    </w:p>
    <w:p w14:paraId="209A8118" w14:textId="77777777" w:rsidR="00647B2B" w:rsidRPr="007810F7" w:rsidRDefault="00647B2B" w:rsidP="00647B2B">
      <w:pPr>
        <w:pStyle w:val="BulletLtrManAFTER"/>
      </w:pPr>
      <w:r w:rsidRPr="007810F7">
        <w:t>a.</w:t>
      </w:r>
      <w:r w:rsidRPr="007810F7">
        <w:tab/>
        <w:t>Would the project have</w:t>
      </w:r>
      <w:r>
        <w:t xml:space="preserve"> </w:t>
      </w:r>
      <w:r w:rsidRPr="009C5806">
        <w:t>a substantial adverse effect, either directly or through habitat modifications, on any species identified as a candidate, sensitive, or special status species in local or regional plans, policies, or regulations, or by the California Department of Fish and Wildlife or U.S. Fish and Wildlife Service</w:t>
      </w:r>
      <w:r w:rsidRPr="007810F7">
        <w:t>?</w:t>
      </w:r>
    </w:p>
    <w:p w14:paraId="62572A51" w14:textId="77777777" w:rsidR="00647B2B" w:rsidRDefault="00647B2B" w:rsidP="00647B2B">
      <w:pPr>
        <w:pStyle w:val="BulletLtrManAFTER"/>
        <w:spacing w:before="120"/>
      </w:pPr>
      <w:r w:rsidRPr="007810F7">
        <w:t>b.</w:t>
      </w:r>
      <w:r w:rsidRPr="007810F7">
        <w:tab/>
        <w:t>Would the project have</w:t>
      </w:r>
      <w:r>
        <w:t xml:space="preserve"> </w:t>
      </w:r>
      <w:r w:rsidRPr="009C5806">
        <w:t>a substantial adverse effect on any riparian habitat or other sensitive natural community identified in local or regional plans, policies, or regulations, or by the California Department of Fish and Wildlife or U.S. Fish and Wildlife Service</w:t>
      </w:r>
      <w:r w:rsidRPr="007810F7">
        <w:t>?</w:t>
      </w:r>
    </w:p>
    <w:p w14:paraId="44FF52E5" w14:textId="77777777" w:rsidR="00647B2B" w:rsidRPr="00BF3008" w:rsidRDefault="00647B2B" w:rsidP="00647B2B">
      <w:pPr>
        <w:pStyle w:val="BulletLtrManAFTER"/>
        <w:spacing w:before="120"/>
      </w:pPr>
      <w:r w:rsidRPr="007810F7">
        <w:t>d.</w:t>
      </w:r>
      <w:r w:rsidRPr="007810F7">
        <w:tab/>
        <w:t>Would the project</w:t>
      </w:r>
      <w:r>
        <w:t xml:space="preserve"> i</w:t>
      </w:r>
      <w:r w:rsidRPr="009C5806">
        <w:t xml:space="preserve">nterfere substantially with the movement of any native resident or migratory fish or wildlife species or with established native resident or migratory wildlife </w:t>
      </w:r>
      <w:r w:rsidRPr="00BF3008">
        <w:t>corridors, or impede the use of native wildlife nursery sites?</w:t>
      </w:r>
    </w:p>
    <w:p w14:paraId="4BFA765D" w14:textId="39B78DB5" w:rsidR="00647B2B" w:rsidRPr="00BF3008" w:rsidRDefault="00647B2B" w:rsidP="00647B2B">
      <w:pPr>
        <w:pStyle w:val="BodyText"/>
      </w:pPr>
      <w:r w:rsidRPr="00BF3008">
        <w:t xml:space="preserve">As described in the </w:t>
      </w:r>
      <w:r w:rsidRPr="00BF3008">
        <w:rPr>
          <w:i/>
          <w:iCs/>
        </w:rPr>
        <w:t xml:space="preserve">Setting </w:t>
      </w:r>
      <w:r w:rsidRPr="00BF3008">
        <w:t xml:space="preserve">section above, the project site is in an urbanized area of Mountain View and has been previously developed with structures, surface parking lots, roadways, and limited perimeter landscaping, including trees. </w:t>
      </w:r>
      <w:r w:rsidRPr="00BF3008">
        <w:rPr>
          <w:bCs/>
        </w:rPr>
        <w:t xml:space="preserve">The site does not contain riparian habitat and </w:t>
      </w:r>
      <w:r w:rsidRPr="00BF3008">
        <w:t>is not located within a known regional wildlife movement corridor or other sensitive biological area as indicated by the USFWS Critical Habitat portal (USFWS 2020</w:t>
      </w:r>
      <w:r w:rsidR="00201BC1">
        <w:t>, 2022</w:t>
      </w:r>
      <w:r w:rsidR="00695B16" w:rsidRPr="00BF3008">
        <w:t xml:space="preserve">). </w:t>
      </w:r>
      <w:r w:rsidRPr="00BF3008">
        <w:t xml:space="preserve">Moreover, according to the </w:t>
      </w:r>
      <w:r w:rsidR="00827EFD" w:rsidRPr="00BF3008">
        <w:t>Mountain View 2030</w:t>
      </w:r>
      <w:r w:rsidRPr="00BF3008">
        <w:t xml:space="preserve"> General Plan EIR, the project site does not contain habitat for species identified as a candidate, sensitive, or special-status species (City of </w:t>
      </w:r>
      <w:r w:rsidR="00827EFD" w:rsidRPr="00BF3008">
        <w:t>Mountain View 2012</w:t>
      </w:r>
      <w:r w:rsidR="00BF3008" w:rsidRPr="00BF3008">
        <w:t>c).</w:t>
      </w:r>
      <w:r w:rsidRPr="00BF3008">
        <w:t xml:space="preserve"> Based on the developed nature of the area </w:t>
      </w:r>
      <w:r w:rsidR="00DE156F">
        <w:t xml:space="preserve">and surroundings </w:t>
      </w:r>
      <w:r w:rsidRPr="00BF3008">
        <w:t>and lack of native or riparian habitat located on</w:t>
      </w:r>
      <w:r w:rsidR="00003657">
        <w:t xml:space="preserve"> or</w:t>
      </w:r>
      <w:r w:rsidRPr="00BF3008">
        <w:t xml:space="preserve"> </w:t>
      </w:r>
      <w:r w:rsidR="00DE156F">
        <w:t>adjacent to the site</w:t>
      </w:r>
      <w:r w:rsidRPr="00BF3008">
        <w:t xml:space="preserve">, no federal-or state-listed endangered, threatened, rare, or otherwise sensitive flora or fauna are anticipated to be located within the project site. </w:t>
      </w:r>
    </w:p>
    <w:p w14:paraId="6D1BE254" w14:textId="039377EC" w:rsidR="00BF3008" w:rsidRDefault="00647B2B" w:rsidP="00647B2B">
      <w:pPr>
        <w:pStyle w:val="BodyText"/>
      </w:pPr>
      <w:r w:rsidRPr="00BF3008">
        <w:t xml:space="preserve">Existing trees on and around the parcels within the area could contain bird nests and birds that are protected under the Migratory Bird Treaty Act (MBTA). Protected birds include all common songbirds, waterfowl, shorebirds, hawks, owls, eagles, ravens, crows, native doves and pigeons, swifts, martins, swallows, and others, including their body parts (feathers, plumes etc.), nests, and eggs. The proposed project would involve removal of </w:t>
      </w:r>
      <w:r w:rsidR="00BF3008">
        <w:t>six</w:t>
      </w:r>
      <w:r w:rsidRPr="00BF3008">
        <w:t xml:space="preserve"> existing trees</w:t>
      </w:r>
      <w:r w:rsidR="00BF3008" w:rsidRPr="00BF3008">
        <w:t xml:space="preserve"> on the project site. </w:t>
      </w:r>
      <w:r w:rsidRPr="00BF3008">
        <w:t xml:space="preserve">In addition, construction activity associated with the project may affect protected nesting birds in existing trees. </w:t>
      </w:r>
      <w:r w:rsidR="00FC6841">
        <w:t xml:space="preserve">The project </w:t>
      </w:r>
      <w:r w:rsidR="00DE156F">
        <w:t xml:space="preserve">applicant </w:t>
      </w:r>
      <w:r w:rsidR="00FC6841">
        <w:t xml:space="preserve">would </w:t>
      </w:r>
      <w:r w:rsidR="00DE156F">
        <w:t xml:space="preserve">be required to </w:t>
      </w:r>
      <w:r w:rsidR="00FC6841">
        <w:t xml:space="preserve">conduct a nesting bird survey prior to construction and implement protective measures </w:t>
      </w:r>
      <w:r w:rsidR="00DE156F">
        <w:t>pursuant to the following City of Mountain View</w:t>
      </w:r>
      <w:r w:rsidR="00FC6841">
        <w:t xml:space="preserve"> standard condition of approval to reduce potential impacts to nesting birds</w:t>
      </w:r>
      <w:r w:rsidR="00275B75">
        <w:t xml:space="preserve">. </w:t>
      </w:r>
    </w:p>
    <w:p w14:paraId="2A9A3380" w14:textId="63358452" w:rsidR="00565B8D" w:rsidRDefault="00FC6841" w:rsidP="00565B8D">
      <w:pPr>
        <w:pStyle w:val="Heading6"/>
      </w:pPr>
      <w:r>
        <w:t>Standard Condition of Approval</w:t>
      </w:r>
      <w:r w:rsidR="00E96906">
        <w:t xml:space="preserve"> PL-198</w:t>
      </w:r>
      <w:r w:rsidR="00565B8D">
        <w:t xml:space="preserve">: Preconstruction Nesting Bird Survey </w:t>
      </w:r>
    </w:p>
    <w:p w14:paraId="20BBB698" w14:textId="0CF8900B" w:rsidR="00F24710" w:rsidRDefault="00F24710" w:rsidP="00F24710">
      <w:pPr>
        <w:pStyle w:val="BodyText"/>
        <w:rPr>
          <w:rFonts w:cstheme="minorHAnsi"/>
          <w:color w:val="000000"/>
        </w:rPr>
      </w:pPr>
      <w:r w:rsidRPr="002E498C">
        <w:rPr>
          <w:rFonts w:cstheme="minorHAnsi"/>
          <w:color w:val="000000"/>
        </w:rPr>
        <w:t>To the extent practicable, vegetation removal and</w:t>
      </w:r>
      <w:r w:rsidR="002E498C">
        <w:rPr>
          <w:rFonts w:cstheme="minorHAnsi"/>
          <w:color w:val="000000"/>
        </w:rPr>
        <w:t xml:space="preserve"> </w:t>
      </w:r>
      <w:r w:rsidRPr="002E498C">
        <w:rPr>
          <w:rFonts w:cstheme="minorHAnsi"/>
          <w:color w:val="000000"/>
        </w:rPr>
        <w:t>construction activities shall be performed from September 1 through January 31 to avoid the general</w:t>
      </w:r>
      <w:r>
        <w:rPr>
          <w:rFonts w:cstheme="minorHAnsi"/>
          <w:color w:val="000000"/>
        </w:rPr>
        <w:t xml:space="preserve"> </w:t>
      </w:r>
      <w:r w:rsidRPr="002E498C">
        <w:rPr>
          <w:rFonts w:cstheme="minorHAnsi"/>
          <w:color w:val="000000"/>
        </w:rPr>
        <w:t>nesting period for birds. If construction or vegetation removal cannot be performed during this period,</w:t>
      </w:r>
      <w:r>
        <w:rPr>
          <w:rFonts w:cstheme="minorHAnsi"/>
          <w:color w:val="000000"/>
        </w:rPr>
        <w:t xml:space="preserve"> </w:t>
      </w:r>
      <w:r w:rsidRPr="002E498C">
        <w:rPr>
          <w:rFonts w:cstheme="minorHAnsi"/>
          <w:color w:val="000000"/>
        </w:rPr>
        <w:t xml:space="preserve">preconstruction surveys will be </w:t>
      </w:r>
      <w:r w:rsidRPr="002E498C">
        <w:rPr>
          <w:rFonts w:cstheme="minorHAnsi"/>
          <w:color w:val="000000"/>
        </w:rPr>
        <w:lastRenderedPageBreak/>
        <w:t>performed no more than two days prior to construction activities to locate</w:t>
      </w:r>
      <w:r>
        <w:rPr>
          <w:rFonts w:cstheme="minorHAnsi"/>
          <w:color w:val="000000"/>
        </w:rPr>
        <w:t xml:space="preserve"> </w:t>
      </w:r>
      <w:r w:rsidRPr="002E498C">
        <w:rPr>
          <w:rFonts w:cstheme="minorHAnsi"/>
          <w:color w:val="000000"/>
        </w:rPr>
        <w:t>any active nests as follows:</w:t>
      </w:r>
    </w:p>
    <w:p w14:paraId="05145A54" w14:textId="2320A125" w:rsidR="00F24710" w:rsidRPr="002E498C" w:rsidRDefault="00F24710" w:rsidP="00F24710">
      <w:pPr>
        <w:pStyle w:val="BodyText"/>
        <w:rPr>
          <w:rFonts w:cstheme="minorHAnsi"/>
          <w:sz w:val="24"/>
          <w:szCs w:val="24"/>
        </w:rPr>
      </w:pPr>
      <w:r w:rsidRPr="002E498C">
        <w:rPr>
          <w:rFonts w:cstheme="minorHAnsi"/>
          <w:color w:val="000000"/>
        </w:rPr>
        <w:t>The applicant shall be responsible for the retention of a qualified biologist to conduct a survey of the project</w:t>
      </w:r>
      <w:r>
        <w:rPr>
          <w:rFonts w:cstheme="minorHAnsi"/>
          <w:color w:val="000000"/>
        </w:rPr>
        <w:t xml:space="preserve"> </w:t>
      </w:r>
      <w:r w:rsidRPr="002E498C">
        <w:rPr>
          <w:rFonts w:cstheme="minorHAnsi"/>
          <w:color w:val="000000"/>
        </w:rPr>
        <w:t>site and surrounding 500’ for active nests—with particular emphasis on nests of migratory birds—if</w:t>
      </w:r>
      <w:r>
        <w:rPr>
          <w:rFonts w:cstheme="minorHAnsi"/>
          <w:color w:val="000000"/>
        </w:rPr>
        <w:t xml:space="preserve"> </w:t>
      </w:r>
      <w:r w:rsidRPr="002E498C">
        <w:rPr>
          <w:rFonts w:cstheme="minorHAnsi"/>
          <w:color w:val="000000"/>
        </w:rPr>
        <w:t>construction (including site preparation) will begin during the bird nesting season, from February 1</w:t>
      </w:r>
      <w:r>
        <w:rPr>
          <w:rFonts w:cstheme="minorHAnsi"/>
          <w:color w:val="000000"/>
        </w:rPr>
        <w:t xml:space="preserve"> </w:t>
      </w:r>
      <w:r w:rsidRPr="002E498C">
        <w:rPr>
          <w:rFonts w:cstheme="minorHAnsi"/>
          <w:color w:val="000000"/>
        </w:rPr>
        <w:t>through August 31. If active nests are observed on either the project site or the surrounding area, the</w:t>
      </w:r>
      <w:r>
        <w:rPr>
          <w:rFonts w:cstheme="minorHAnsi"/>
          <w:color w:val="000000"/>
        </w:rPr>
        <w:t xml:space="preserve"> </w:t>
      </w:r>
      <w:r w:rsidRPr="002E498C">
        <w:rPr>
          <w:rFonts w:cstheme="minorHAnsi"/>
          <w:color w:val="000000"/>
        </w:rPr>
        <w:t>applicant, in coordination with the appropriate City staff, shall establish no-disturbance buffer zones</w:t>
      </w:r>
      <w:r>
        <w:rPr>
          <w:rFonts w:cstheme="minorHAnsi"/>
          <w:color w:val="000000"/>
        </w:rPr>
        <w:t xml:space="preserve"> </w:t>
      </w:r>
      <w:r w:rsidRPr="002E498C">
        <w:rPr>
          <w:rFonts w:cstheme="minorHAnsi"/>
          <w:color w:val="000000"/>
        </w:rPr>
        <w:t>around the nests, with the size to be determined in consultation with the California Department of Fish</w:t>
      </w:r>
      <w:r>
        <w:rPr>
          <w:rFonts w:cstheme="minorHAnsi"/>
          <w:color w:val="000000"/>
        </w:rPr>
        <w:t xml:space="preserve"> </w:t>
      </w:r>
      <w:r w:rsidRPr="002E498C">
        <w:rPr>
          <w:rFonts w:cstheme="minorHAnsi"/>
          <w:color w:val="000000"/>
        </w:rPr>
        <w:t>and Wildlife (usually 100’ for perching birds and 300’ for raptors). The no-disturbance buffer will remain</w:t>
      </w:r>
      <w:r>
        <w:rPr>
          <w:rFonts w:cstheme="minorHAnsi"/>
          <w:color w:val="000000"/>
        </w:rPr>
        <w:t xml:space="preserve"> </w:t>
      </w:r>
      <w:r w:rsidRPr="002E498C">
        <w:rPr>
          <w:rFonts w:cstheme="minorHAnsi"/>
          <w:color w:val="000000"/>
        </w:rPr>
        <w:t>in place until the biologist determines the nest is no longer active or the nesting season ends. If construction</w:t>
      </w:r>
      <w:r>
        <w:rPr>
          <w:rFonts w:cstheme="minorHAnsi"/>
          <w:color w:val="000000"/>
        </w:rPr>
        <w:t xml:space="preserve"> </w:t>
      </w:r>
      <w:r w:rsidRPr="002E498C">
        <w:rPr>
          <w:rFonts w:cstheme="minorHAnsi"/>
          <w:color w:val="000000"/>
        </w:rPr>
        <w:t>ceases for two days or more and then resumes during the nesting season, an additional survey will be</w:t>
      </w:r>
      <w:r>
        <w:rPr>
          <w:rFonts w:cstheme="minorHAnsi"/>
          <w:color w:val="000000"/>
        </w:rPr>
        <w:t xml:space="preserve"> </w:t>
      </w:r>
      <w:r w:rsidRPr="002E498C">
        <w:rPr>
          <w:rFonts w:cstheme="minorHAnsi"/>
          <w:color w:val="000000"/>
        </w:rPr>
        <w:t>necessary to avoid impacts on active bird nests that may be present.</w:t>
      </w:r>
    </w:p>
    <w:p w14:paraId="07001DD7" w14:textId="61CC7951" w:rsidR="00F24710" w:rsidRPr="00244AF4" w:rsidRDefault="00F24710" w:rsidP="00A47617">
      <w:pPr>
        <w:pStyle w:val="BodyText0"/>
        <w:rPr>
          <w:rStyle w:val="DropdownList"/>
          <w:rFonts w:ascii="Arial" w:hAnsi="Arial"/>
          <w:b w:val="0"/>
          <w:caps w:val="0"/>
          <w:sz w:val="20"/>
          <w:szCs w:val="20"/>
        </w:rPr>
      </w:pPr>
      <w:r>
        <w:t>I</w:t>
      </w:r>
      <w:r w:rsidR="00FC6841">
        <w:t xml:space="preserve">mplementation of standard condition of approval </w:t>
      </w:r>
      <w:r w:rsidR="00E96906">
        <w:t xml:space="preserve">PL-198 </w:t>
      </w:r>
      <w:r>
        <w:t>would ensure protection of nesting birds that may be on</w:t>
      </w:r>
      <w:r w:rsidR="00FC6841">
        <w:t>s</w:t>
      </w:r>
      <w:r>
        <w:t xml:space="preserve">ite during construction activities. Impacts to special status species would be less than significant. </w:t>
      </w:r>
    </w:p>
    <w:p w14:paraId="45E1AE3E" w14:textId="7C56F39C" w:rsidR="00647B2B" w:rsidRPr="00244AF4" w:rsidRDefault="00817BC5" w:rsidP="00647B2B">
      <w:pPr>
        <w:spacing w:before="120"/>
        <w:rPr>
          <w:rFonts w:ascii="Calibri" w:hAnsi="Calibri"/>
          <w:b/>
          <w:caps/>
          <w:sz w:val="22"/>
        </w:rPr>
      </w:pPr>
      <w:sdt>
        <w:sdtPr>
          <w:rPr>
            <w:rFonts w:ascii="Calibri" w:hAnsi="Calibri"/>
            <w:b/>
            <w:caps/>
            <w:sz w:val="22"/>
          </w:rPr>
          <w:alias w:val="1a"/>
          <w:tag w:val="dropdown"/>
          <w:id w:val="542103511"/>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sdtContent>
          <w:r w:rsidR="00F24710">
            <w:rPr>
              <w:rFonts w:ascii="Calibri" w:hAnsi="Calibri"/>
              <w:b/>
              <w:caps/>
              <w:sz w:val="22"/>
            </w:rPr>
            <w:t>Less Than Significant Impact</w:t>
          </w:r>
        </w:sdtContent>
      </w:sdt>
    </w:p>
    <w:p w14:paraId="7DE64ED2" w14:textId="77777777" w:rsidR="00647B2B" w:rsidRPr="00244AF4" w:rsidRDefault="00647B2B" w:rsidP="00647B2B">
      <w:pPr>
        <w:pStyle w:val="BulletLtrMan"/>
        <w:spacing w:before="240"/>
      </w:pPr>
      <w:r w:rsidRPr="00244AF4">
        <w:t>c.</w:t>
      </w:r>
      <w:r w:rsidRPr="00244AF4">
        <w:tab/>
        <w:t>Would the project have a substantial adverse effect on state or federally protected wetlands (including, but not limited to, marsh, vernal pool, coastal, etc.) through direct removal, filling, hydrological interruption, or other means?</w:t>
      </w:r>
    </w:p>
    <w:p w14:paraId="076AC761" w14:textId="7CA46A4B" w:rsidR="00647B2B" w:rsidRPr="00244AF4" w:rsidRDefault="00647B2B" w:rsidP="00647B2B">
      <w:pPr>
        <w:rPr>
          <w:rFonts w:ascii="Calibri" w:eastAsia="Calibri" w:hAnsi="Calibri"/>
          <w:sz w:val="22"/>
          <w:szCs w:val="22"/>
        </w:rPr>
      </w:pPr>
      <w:r w:rsidRPr="00244AF4">
        <w:rPr>
          <w:rFonts w:ascii="Calibri" w:eastAsia="Calibri" w:hAnsi="Calibri"/>
          <w:sz w:val="22"/>
          <w:szCs w:val="22"/>
        </w:rPr>
        <w:t>The National Wetlands Inventory (NWI) was reviewed to determine if wetland and/or non-wetland waters had been previously documented and mapped on or in the vicinity of the project site (</w:t>
      </w:r>
      <w:r w:rsidR="00244AF4">
        <w:rPr>
          <w:rFonts w:ascii="Calibri" w:eastAsia="Calibri" w:hAnsi="Calibri"/>
          <w:sz w:val="22"/>
          <w:szCs w:val="22"/>
        </w:rPr>
        <w:t>USFWS 2020</w:t>
      </w:r>
      <w:r w:rsidRPr="00244AF4">
        <w:rPr>
          <w:rFonts w:ascii="Calibri" w:eastAsia="Calibri" w:hAnsi="Calibri"/>
          <w:sz w:val="22"/>
          <w:szCs w:val="22"/>
        </w:rPr>
        <w:t>). No such features occur on or adjacent to the project site.</w:t>
      </w:r>
      <w:r w:rsidR="00244AF4">
        <w:rPr>
          <w:rFonts w:ascii="Calibri" w:eastAsia="Calibri" w:hAnsi="Calibri"/>
          <w:sz w:val="22"/>
          <w:szCs w:val="22"/>
        </w:rPr>
        <w:t xml:space="preserve"> As described in </w:t>
      </w:r>
      <w:r w:rsidR="00244AF4">
        <w:rPr>
          <w:rFonts w:ascii="Calibri" w:eastAsia="Calibri" w:hAnsi="Calibri"/>
          <w:i/>
          <w:iCs/>
          <w:sz w:val="22"/>
          <w:szCs w:val="22"/>
        </w:rPr>
        <w:t xml:space="preserve">Setting, </w:t>
      </w:r>
      <w:r w:rsidR="00244AF4">
        <w:rPr>
          <w:rFonts w:ascii="Calibri" w:eastAsia="Calibri" w:hAnsi="Calibri"/>
          <w:sz w:val="22"/>
          <w:szCs w:val="22"/>
        </w:rPr>
        <w:t xml:space="preserve">the nearest creeks (Stevens Creek and Permanente Creek) are approximately one-half mile from the project site. Construction </w:t>
      </w:r>
      <w:r w:rsidRPr="00244AF4">
        <w:rPr>
          <w:rFonts w:ascii="Calibri" w:eastAsia="Calibri" w:hAnsi="Calibri"/>
          <w:sz w:val="22"/>
          <w:szCs w:val="22"/>
        </w:rPr>
        <w:t xml:space="preserve">and operation of the proposed project would not involve or require the direct removal, filling, hydrological interruption, or other means to the bed, bank, channel, or adjacent upland area of </w:t>
      </w:r>
      <w:r w:rsidR="00244AF4">
        <w:rPr>
          <w:rFonts w:ascii="Calibri" w:eastAsia="Calibri" w:hAnsi="Calibri"/>
          <w:sz w:val="22"/>
          <w:szCs w:val="22"/>
        </w:rPr>
        <w:t>any creek or wetland</w:t>
      </w:r>
      <w:r w:rsidRPr="00244AF4">
        <w:rPr>
          <w:rFonts w:ascii="Calibri" w:eastAsia="Calibri" w:hAnsi="Calibri"/>
          <w:sz w:val="22"/>
          <w:szCs w:val="22"/>
        </w:rPr>
        <w:t>. No impact would occur.</w:t>
      </w:r>
    </w:p>
    <w:p w14:paraId="266F75BC" w14:textId="77777777" w:rsidR="00647B2B" w:rsidRPr="00244AF4" w:rsidRDefault="00817BC5" w:rsidP="00647B2B">
      <w:pPr>
        <w:spacing w:before="120"/>
        <w:rPr>
          <w:rFonts w:ascii="Calibri" w:hAnsi="Calibri"/>
          <w:b/>
          <w:caps/>
          <w:sz w:val="22"/>
        </w:rPr>
      </w:pPr>
      <w:sdt>
        <w:sdtPr>
          <w:rPr>
            <w:rFonts w:ascii="Calibri" w:hAnsi="Calibri"/>
            <w:b/>
            <w:caps/>
            <w:sz w:val="22"/>
          </w:rPr>
          <w:alias w:val="1a"/>
          <w:tag w:val="dropdown"/>
          <w:id w:val="430474626"/>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sdtContent>
          <w:r w:rsidR="00647B2B" w:rsidRPr="00244AF4">
            <w:rPr>
              <w:rFonts w:ascii="Calibri" w:hAnsi="Calibri"/>
              <w:b/>
              <w:caps/>
              <w:sz w:val="22"/>
            </w:rPr>
            <w:t>No Impact</w:t>
          </w:r>
        </w:sdtContent>
      </w:sdt>
    </w:p>
    <w:p w14:paraId="1D046831" w14:textId="77777777" w:rsidR="00647B2B" w:rsidRPr="00244AF4" w:rsidRDefault="00647B2B" w:rsidP="00647B2B">
      <w:pPr>
        <w:pStyle w:val="BulletLtrManAFTER"/>
      </w:pPr>
      <w:r w:rsidRPr="00244AF4">
        <w:t>e.</w:t>
      </w:r>
      <w:r w:rsidRPr="00244AF4">
        <w:tab/>
        <w:t>Would the project conflict with any local policies or ordinances protecting biological resources, such as a tree preservation policy or ordinance?</w:t>
      </w:r>
    </w:p>
    <w:p w14:paraId="23C7BC82" w14:textId="796FACA6" w:rsidR="007B49DD" w:rsidRDefault="00647B2B" w:rsidP="007B49DD">
      <w:pPr>
        <w:pStyle w:val="BodyText"/>
      </w:pPr>
      <w:r w:rsidRPr="00244AF4">
        <w:t>As described in</w:t>
      </w:r>
      <w:r w:rsidR="00244AF4">
        <w:t xml:space="preserve"> </w:t>
      </w:r>
      <w:r w:rsidR="007318CA">
        <w:t>the Project Description</w:t>
      </w:r>
      <w:r w:rsidRPr="00244AF4">
        <w:t xml:space="preserve">, construction activities associated with the proposed project would result in the removal of </w:t>
      </w:r>
      <w:r w:rsidR="00244AF4">
        <w:t>three heritage trees and three non-heritage trees</w:t>
      </w:r>
      <w:r w:rsidRPr="00244AF4">
        <w:t>.</w:t>
      </w:r>
      <w:r w:rsidR="00244AF4">
        <w:t xml:space="preserve"> </w:t>
      </w:r>
      <w:r w:rsidR="00401687" w:rsidRPr="00196155">
        <w:t>According to the Tree Protection Report prepared for the project site, 20 of the 31 trees on the site qualify as protected trees under MV</w:t>
      </w:r>
      <w:r w:rsidR="00401687">
        <w:t>M</w:t>
      </w:r>
      <w:r w:rsidR="00401687" w:rsidRPr="00196155">
        <w:t xml:space="preserve">C Section 32.25(c) </w:t>
      </w:r>
      <w:r w:rsidR="00401687" w:rsidRPr="00893F70">
        <w:t>(Appendix ARB). Of these</w:t>
      </w:r>
      <w:r w:rsidR="00401687" w:rsidRPr="00196155">
        <w:t xml:space="preserve"> protected trees, three are proposed for removal. There is the potential that off-site trees may also need to be removed. Pursuant to MV</w:t>
      </w:r>
      <w:r w:rsidR="00401687">
        <w:t>M</w:t>
      </w:r>
      <w:r w:rsidR="00401687" w:rsidRPr="00196155">
        <w:t>C Section 32.25(c), permits would be required to be obtained prior to the removal of protected trees. A tree preservation and replacement plan would be submitted if required as part of the permitting process.</w:t>
      </w:r>
      <w:r w:rsidR="00401687">
        <w:t xml:space="preserve"> </w:t>
      </w:r>
      <w:r w:rsidR="00244AF4" w:rsidRPr="003847FA">
        <w:t xml:space="preserve">As part of the </w:t>
      </w:r>
      <w:r w:rsidR="00244AF4">
        <w:t xml:space="preserve">proposed </w:t>
      </w:r>
      <w:r w:rsidR="00244AF4" w:rsidRPr="003847FA">
        <w:t xml:space="preserve">site landscaping, two trees would be planted for each </w:t>
      </w:r>
      <w:r w:rsidR="00244AF4">
        <w:t>heritage</w:t>
      </w:r>
      <w:r w:rsidR="00244AF4" w:rsidRPr="003847FA">
        <w:t xml:space="preserve"> tree removed and one tree would be planted for each non-</w:t>
      </w:r>
      <w:r w:rsidR="00244AF4">
        <w:t>heritage</w:t>
      </w:r>
      <w:r w:rsidR="00244AF4" w:rsidRPr="003847FA">
        <w:t xml:space="preserve"> tree removed, pursuant to </w:t>
      </w:r>
      <w:r w:rsidR="00493231">
        <w:t>MVMC Section 32.35</w:t>
      </w:r>
      <w:r w:rsidR="00244AF4" w:rsidRPr="003847FA">
        <w:t xml:space="preserve">. </w:t>
      </w:r>
      <w:r w:rsidR="00C6054F">
        <w:t xml:space="preserve">Approximately 70 </w:t>
      </w:r>
      <w:r w:rsidR="00A47617">
        <w:t xml:space="preserve">trees would be planted as part of project landscaping. </w:t>
      </w:r>
      <w:r w:rsidR="007B49DD">
        <w:t xml:space="preserve">Compliance with </w:t>
      </w:r>
      <w:r w:rsidR="007318CA">
        <w:t>these MVMC requirements</w:t>
      </w:r>
      <w:r w:rsidR="007B49DD">
        <w:t xml:space="preserve"> would reduce impacts to heritage trees to less than significant</w:t>
      </w:r>
      <w:r w:rsidR="007318CA">
        <w:t xml:space="preserve"> levels</w:t>
      </w:r>
      <w:r w:rsidR="007B49DD">
        <w:t xml:space="preserve">. </w:t>
      </w:r>
    </w:p>
    <w:p w14:paraId="0DA39156" w14:textId="4C3F5923" w:rsidR="007B49DD" w:rsidRDefault="007B49DD" w:rsidP="007B49DD">
      <w:pPr>
        <w:pStyle w:val="BodyText"/>
      </w:pPr>
      <w:r>
        <w:lastRenderedPageBreak/>
        <w:t>Additionally, the project would be consistent with tree preservation policies in the Mountain View 2030 General Plan. Policy POS 12.2 of the General Plan aims to increase tree canopy coverage to expand shaded areas, enhance aesthetics, and help reduce greenhouse gases.</w:t>
      </w:r>
      <w:r w:rsidR="00F87018">
        <w:t xml:space="preserve"> The existing project site has a tree canopy coverage of approximately</w:t>
      </w:r>
      <w:r>
        <w:t xml:space="preserve"> </w:t>
      </w:r>
      <w:r w:rsidR="00A47617">
        <w:t xml:space="preserve">11 percent. </w:t>
      </w:r>
      <w:r>
        <w:t xml:space="preserve">The proposed project </w:t>
      </w:r>
      <w:r w:rsidR="00F87018">
        <w:t xml:space="preserve">would </w:t>
      </w:r>
      <w:r>
        <w:t xml:space="preserve">include the planting of </w:t>
      </w:r>
      <w:r w:rsidR="00C6054F">
        <w:t xml:space="preserve">approximately 70 </w:t>
      </w:r>
      <w:r>
        <w:t>trees</w:t>
      </w:r>
      <w:r w:rsidR="00A47617">
        <w:t xml:space="preserve">, which would increase canopy coverage of the project site to 30 percent </w:t>
      </w:r>
      <w:r w:rsidR="005E68A5">
        <w:t xml:space="preserve">in five years and to 47 percent in </w:t>
      </w:r>
      <w:r w:rsidR="007318CA">
        <w:t xml:space="preserve">an estimated </w:t>
      </w:r>
      <w:r w:rsidR="005E68A5">
        <w:t>15 years. Therefore, the project would be consistent with Policy POS 12.2 of the City’s General Plan.</w:t>
      </w:r>
      <w:r>
        <w:t xml:space="preserve"> Further, the project </w:t>
      </w:r>
      <w:r w:rsidRPr="007B49DD">
        <w:t>does not include components that would conflict with or hinder implementation of the City’s tree protection ordinance or other policies or ordinances for protecting biological resources.</w:t>
      </w:r>
      <w:r>
        <w:t xml:space="preserve"> Therefore, the project would not conflict with policies regarding tree preservation in </w:t>
      </w:r>
      <w:r w:rsidR="007318CA">
        <w:t>the MVMC</w:t>
      </w:r>
      <w:r>
        <w:t xml:space="preserve"> or the 2030 General Plan. Impacts would be less than significant. </w:t>
      </w:r>
    </w:p>
    <w:p w14:paraId="2FCA43E1" w14:textId="77777777" w:rsidR="00647B2B" w:rsidRPr="007B49DD" w:rsidRDefault="00817BC5" w:rsidP="00647B2B">
      <w:pPr>
        <w:spacing w:before="120"/>
        <w:rPr>
          <w:rFonts w:ascii="Calibri" w:hAnsi="Calibri"/>
          <w:b/>
          <w:caps/>
          <w:sz w:val="22"/>
        </w:rPr>
      </w:pPr>
      <w:sdt>
        <w:sdtPr>
          <w:rPr>
            <w:rFonts w:ascii="Calibri" w:hAnsi="Calibri"/>
            <w:b/>
            <w:caps/>
            <w:sz w:val="22"/>
          </w:rPr>
          <w:alias w:val="1a"/>
          <w:tag w:val="dropdown"/>
          <w:id w:val="315538250"/>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sdtContent>
          <w:r w:rsidR="00647B2B" w:rsidRPr="007B49DD">
            <w:rPr>
              <w:rFonts w:ascii="Calibri" w:hAnsi="Calibri"/>
              <w:b/>
              <w:caps/>
              <w:sz w:val="22"/>
            </w:rPr>
            <w:t>Less Than Significant Impact</w:t>
          </w:r>
        </w:sdtContent>
      </w:sdt>
    </w:p>
    <w:p w14:paraId="7D9AD40B" w14:textId="77777777" w:rsidR="00647B2B" w:rsidRPr="007B49DD" w:rsidRDefault="00647B2B" w:rsidP="00647B2B">
      <w:pPr>
        <w:pStyle w:val="BulletLtrManAFTER"/>
      </w:pPr>
      <w:r w:rsidRPr="007B49DD">
        <w:t>f.</w:t>
      </w:r>
      <w:r w:rsidRPr="007B49DD">
        <w:tab/>
        <w:t>Would the project conflict with the provisions of an adopted Habitat Conservation Plan, Natural Community Conservation Plan, or other approved local, regional, or state habitat conservation plan?</w:t>
      </w:r>
    </w:p>
    <w:p w14:paraId="37C5AAE0" w14:textId="464D2C4A" w:rsidR="00647B2B" w:rsidRPr="001C7EB7" w:rsidRDefault="00647B2B" w:rsidP="00647B2B">
      <w:pPr>
        <w:pStyle w:val="BodyText"/>
      </w:pPr>
      <w:r w:rsidRPr="001C7EB7">
        <w:t xml:space="preserve">The project site is not located in an adopted Habitat Conservation Plan, Natural Community Conservation Plan, or other approved local, regional, or state habitat conservation plan (CDFW 2020). Therefore, the project would not conflict with such a plan and no impact would occur. </w:t>
      </w:r>
    </w:p>
    <w:p w14:paraId="35391709" w14:textId="77777777" w:rsidR="00647B2B" w:rsidRPr="001C7EB7" w:rsidRDefault="00817BC5" w:rsidP="00647B2B">
      <w:pPr>
        <w:spacing w:before="120"/>
        <w:rPr>
          <w:rFonts w:ascii="Calibri" w:hAnsi="Calibri"/>
          <w:b/>
          <w:caps/>
          <w:sz w:val="22"/>
        </w:rPr>
      </w:pPr>
      <w:sdt>
        <w:sdtPr>
          <w:rPr>
            <w:rFonts w:ascii="Calibri" w:hAnsi="Calibri"/>
            <w:b/>
            <w:caps/>
            <w:sz w:val="22"/>
          </w:rPr>
          <w:alias w:val="1a"/>
          <w:tag w:val="dropdown"/>
          <w:id w:val="584583333"/>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sdtContent>
          <w:r w:rsidR="00647B2B" w:rsidRPr="001C7EB7">
            <w:rPr>
              <w:rFonts w:ascii="Calibri" w:hAnsi="Calibri"/>
              <w:b/>
              <w:caps/>
              <w:sz w:val="22"/>
            </w:rPr>
            <w:t>No Impact</w:t>
          </w:r>
        </w:sdtContent>
      </w:sdt>
    </w:p>
    <w:p w14:paraId="676A1A22" w14:textId="77777777" w:rsidR="0064015D" w:rsidRPr="00275351" w:rsidRDefault="0064015D" w:rsidP="00B95202">
      <w:pPr>
        <w:pStyle w:val="blank0"/>
      </w:pPr>
    </w:p>
    <w:p w14:paraId="213FA574" w14:textId="77777777" w:rsidR="0064015D" w:rsidRDefault="0064015D" w:rsidP="00B95202">
      <w:pPr>
        <w:pStyle w:val="blank0"/>
      </w:pPr>
    </w:p>
    <w:p w14:paraId="6C79854E" w14:textId="4206FDB3" w:rsidR="0064015D" w:rsidRPr="00275351" w:rsidRDefault="0064015D" w:rsidP="00B95202">
      <w:pPr>
        <w:pStyle w:val="blank0"/>
      </w:pPr>
      <w:r w:rsidRPr="00275351">
        <w:t>This page intentionally left blank.</w:t>
      </w:r>
    </w:p>
    <w:p w14:paraId="346EE384" w14:textId="77777777" w:rsidR="00542725" w:rsidRPr="008D2BC5" w:rsidRDefault="00542725" w:rsidP="00275B75">
      <w:pPr>
        <w:pStyle w:val="Heading3CEQA"/>
      </w:pPr>
      <w:bookmarkStart w:id="167" w:name="_Toc112942430"/>
      <w:bookmarkStart w:id="168" w:name="_Hlk92185641"/>
      <w:r w:rsidRPr="008D2BC5">
        <w:lastRenderedPageBreak/>
        <w:t>Cultural Resources</w:t>
      </w:r>
      <w:bookmarkEnd w:id="143"/>
      <w:bookmarkEnd w:id="144"/>
      <w:bookmarkEnd w:id="167"/>
    </w:p>
    <w:tbl>
      <w:tblPr>
        <w:tblW w:w="9047" w:type="dxa"/>
        <w:tblBorders>
          <w:bottom w:val="single" w:sz="6" w:space="0" w:color="000000"/>
        </w:tblBorders>
        <w:tblLayout w:type="fixed"/>
        <w:tblLook w:val="04A0" w:firstRow="1" w:lastRow="0" w:firstColumn="1" w:lastColumn="0" w:noHBand="0" w:noVBand="1"/>
      </w:tblPr>
      <w:tblGrid>
        <w:gridCol w:w="11"/>
        <w:gridCol w:w="4338"/>
        <w:gridCol w:w="1184"/>
        <w:gridCol w:w="160"/>
        <w:gridCol w:w="1060"/>
        <w:gridCol w:w="58"/>
        <w:gridCol w:w="1052"/>
        <w:gridCol w:w="66"/>
        <w:gridCol w:w="1118"/>
      </w:tblGrid>
      <w:tr w:rsidR="00542725" w:rsidRPr="00E5753A" w14:paraId="32B9F1C8" w14:textId="77777777" w:rsidTr="00A90627">
        <w:trPr>
          <w:tblHeader/>
        </w:trPr>
        <w:tc>
          <w:tcPr>
            <w:tcW w:w="4349" w:type="dxa"/>
            <w:gridSpan w:val="2"/>
            <w:tcBorders>
              <w:bottom w:val="single" w:sz="4" w:space="0" w:color="auto"/>
            </w:tcBorders>
            <w:shd w:val="clear" w:color="auto" w:fill="D9D9D9"/>
            <w:tcMar>
              <w:top w:w="20" w:type="dxa"/>
              <w:left w:w="115" w:type="dxa"/>
              <w:bottom w:w="20" w:type="dxa"/>
              <w:right w:w="115" w:type="dxa"/>
            </w:tcMar>
            <w:vAlign w:val="bottom"/>
          </w:tcPr>
          <w:p w14:paraId="1D1B0B4F" w14:textId="77777777" w:rsidR="00542725" w:rsidRPr="004D3568" w:rsidRDefault="00542725" w:rsidP="002C708A">
            <w:pPr>
              <w:pStyle w:val="TableHeadings"/>
            </w:pPr>
          </w:p>
        </w:tc>
        <w:tc>
          <w:tcPr>
            <w:tcW w:w="1184" w:type="dxa"/>
            <w:tcBorders>
              <w:bottom w:val="single" w:sz="4" w:space="0" w:color="auto"/>
            </w:tcBorders>
            <w:shd w:val="clear" w:color="auto" w:fill="D9D9D9"/>
            <w:tcMar>
              <w:top w:w="20" w:type="dxa"/>
              <w:left w:w="115" w:type="dxa"/>
              <w:bottom w:w="20" w:type="dxa"/>
              <w:right w:w="115" w:type="dxa"/>
            </w:tcMar>
            <w:vAlign w:val="bottom"/>
            <w:hideMark/>
          </w:tcPr>
          <w:p w14:paraId="318D8CB3" w14:textId="77777777" w:rsidR="00542725" w:rsidRPr="004D3568" w:rsidRDefault="00542725" w:rsidP="002C708A">
            <w:pPr>
              <w:pStyle w:val="TableHeadings"/>
              <w:jc w:val="center"/>
            </w:pPr>
            <w:r w:rsidRPr="004D3568">
              <w:t>Potentially Significant Impact</w:t>
            </w:r>
          </w:p>
        </w:tc>
        <w:tc>
          <w:tcPr>
            <w:tcW w:w="1220" w:type="dxa"/>
            <w:gridSpan w:val="2"/>
            <w:tcBorders>
              <w:bottom w:val="single" w:sz="4" w:space="0" w:color="auto"/>
            </w:tcBorders>
            <w:shd w:val="clear" w:color="auto" w:fill="D9D9D9"/>
            <w:tcMar>
              <w:top w:w="20" w:type="dxa"/>
              <w:left w:w="115" w:type="dxa"/>
              <w:bottom w:w="20" w:type="dxa"/>
              <w:right w:w="115" w:type="dxa"/>
            </w:tcMar>
            <w:vAlign w:val="bottom"/>
            <w:hideMark/>
          </w:tcPr>
          <w:p w14:paraId="1E5B6EF2" w14:textId="77777777" w:rsidR="00542725" w:rsidRPr="004D3568" w:rsidRDefault="00542725" w:rsidP="002C708A">
            <w:pPr>
              <w:pStyle w:val="TableHeadings"/>
              <w:jc w:val="center"/>
            </w:pPr>
            <w:r w:rsidRPr="004D3568">
              <w:t>Less than Significant with Mitigation Incorporated</w:t>
            </w:r>
          </w:p>
        </w:tc>
        <w:tc>
          <w:tcPr>
            <w:tcW w:w="1110" w:type="dxa"/>
            <w:gridSpan w:val="2"/>
            <w:tcBorders>
              <w:bottom w:val="single" w:sz="4" w:space="0" w:color="auto"/>
            </w:tcBorders>
            <w:shd w:val="clear" w:color="auto" w:fill="D9D9D9"/>
            <w:tcMar>
              <w:top w:w="20" w:type="dxa"/>
              <w:left w:w="115" w:type="dxa"/>
              <w:bottom w:w="20" w:type="dxa"/>
              <w:right w:w="115" w:type="dxa"/>
            </w:tcMar>
            <w:vAlign w:val="bottom"/>
            <w:hideMark/>
          </w:tcPr>
          <w:p w14:paraId="34BBEB11" w14:textId="77777777" w:rsidR="00542725" w:rsidRPr="004D3568" w:rsidRDefault="00542725" w:rsidP="002C708A">
            <w:pPr>
              <w:pStyle w:val="TableHeadings"/>
              <w:jc w:val="center"/>
            </w:pPr>
            <w:r w:rsidRPr="004D3568">
              <w:t>Less than Significant Impact</w:t>
            </w:r>
          </w:p>
        </w:tc>
        <w:tc>
          <w:tcPr>
            <w:tcW w:w="1184" w:type="dxa"/>
            <w:gridSpan w:val="2"/>
            <w:tcBorders>
              <w:bottom w:val="single" w:sz="4" w:space="0" w:color="auto"/>
            </w:tcBorders>
            <w:shd w:val="clear" w:color="auto" w:fill="D9D9D9"/>
            <w:tcMar>
              <w:top w:w="20" w:type="dxa"/>
              <w:left w:w="115" w:type="dxa"/>
              <w:bottom w:w="20" w:type="dxa"/>
              <w:right w:w="115" w:type="dxa"/>
            </w:tcMar>
            <w:vAlign w:val="bottom"/>
            <w:hideMark/>
          </w:tcPr>
          <w:p w14:paraId="2835CB03" w14:textId="77777777" w:rsidR="00542725" w:rsidRPr="004D3568" w:rsidRDefault="00542725" w:rsidP="002C708A">
            <w:pPr>
              <w:pStyle w:val="TableHeadings"/>
              <w:jc w:val="center"/>
            </w:pPr>
            <w:r w:rsidRPr="004D3568">
              <w:t>No Impact</w:t>
            </w:r>
          </w:p>
        </w:tc>
      </w:tr>
      <w:tr w:rsidR="00542725" w:rsidRPr="00E5753A" w14:paraId="3B4A44E6" w14:textId="77777777" w:rsidTr="00A90627">
        <w:trPr>
          <w:gridBefore w:val="1"/>
          <w:wBefore w:w="11" w:type="dxa"/>
        </w:trPr>
        <w:tc>
          <w:tcPr>
            <w:tcW w:w="9036" w:type="dxa"/>
            <w:gridSpan w:val="8"/>
            <w:tcMar>
              <w:top w:w="20" w:type="dxa"/>
              <w:left w:w="115" w:type="dxa"/>
              <w:bottom w:w="20" w:type="dxa"/>
              <w:right w:w="115" w:type="dxa"/>
            </w:tcMar>
            <w:vAlign w:val="bottom"/>
            <w:hideMark/>
          </w:tcPr>
          <w:p w14:paraId="227D4845" w14:textId="77777777" w:rsidR="00542725" w:rsidRPr="008D2BC5" w:rsidRDefault="00542725" w:rsidP="00745879">
            <w:pPr>
              <w:pStyle w:val="BodyText"/>
              <w:spacing w:before="60" w:after="60"/>
              <w:rPr>
                <w:b/>
              </w:rPr>
            </w:pPr>
            <w:r w:rsidRPr="008D2BC5">
              <w:t>Would the project:</w:t>
            </w:r>
          </w:p>
        </w:tc>
      </w:tr>
      <w:tr w:rsidR="00542725" w:rsidRPr="00E5753A" w14:paraId="1035CDAA" w14:textId="77777777" w:rsidTr="00A90627">
        <w:trPr>
          <w:gridBefore w:val="1"/>
          <w:wBefore w:w="11" w:type="dxa"/>
        </w:trPr>
        <w:tc>
          <w:tcPr>
            <w:tcW w:w="4338" w:type="dxa"/>
            <w:tcMar>
              <w:top w:w="20" w:type="dxa"/>
              <w:left w:w="115" w:type="dxa"/>
              <w:bottom w:w="20" w:type="dxa"/>
              <w:right w:w="115" w:type="dxa"/>
            </w:tcMar>
            <w:vAlign w:val="bottom"/>
            <w:hideMark/>
          </w:tcPr>
          <w:p w14:paraId="2B42107C" w14:textId="77777777" w:rsidR="00542725" w:rsidRPr="008D2BC5" w:rsidRDefault="00542725" w:rsidP="00024E43">
            <w:pPr>
              <w:pStyle w:val="BulletListLettered"/>
              <w:numPr>
                <w:ilvl w:val="0"/>
                <w:numId w:val="66"/>
              </w:numPr>
            </w:pPr>
            <w:r w:rsidRPr="008D2BC5">
              <w:t xml:space="preserve">Cause a substantial adverse change in the significance of a historical resource </w:t>
            </w:r>
            <w:r w:rsidR="000E233D" w:rsidRPr="008D2BC5">
              <w:t>pursuant to</w:t>
            </w:r>
            <w:r w:rsidRPr="008D2BC5">
              <w:t xml:space="preserve"> §15064.5?</w:t>
            </w:r>
          </w:p>
        </w:tc>
        <w:tc>
          <w:tcPr>
            <w:tcW w:w="1344" w:type="dxa"/>
            <w:gridSpan w:val="2"/>
            <w:tcMar>
              <w:top w:w="20" w:type="dxa"/>
              <w:left w:w="115" w:type="dxa"/>
              <w:bottom w:w="20" w:type="dxa"/>
              <w:right w:w="115" w:type="dxa"/>
            </w:tcMar>
            <w:vAlign w:val="bottom"/>
          </w:tcPr>
          <w:p w14:paraId="207F323A" w14:textId="2570B4F1" w:rsidR="00542725" w:rsidRPr="00401687" w:rsidRDefault="00A1462F" w:rsidP="00745879">
            <w:pPr>
              <w:spacing w:before="60" w:after="60"/>
              <w:jc w:val="center"/>
              <w:rPr>
                <w:sz w:val="22"/>
                <w:szCs w:val="22"/>
              </w:rPr>
            </w:pPr>
            <w:r w:rsidRPr="00401687">
              <w:rPr>
                <w:rFonts w:ascii="Times New Roman" w:hAnsi="Times New Roman"/>
                <w:sz w:val="22"/>
                <w:szCs w:val="22"/>
              </w:rPr>
              <w:t>□</w:t>
            </w:r>
          </w:p>
        </w:tc>
        <w:tc>
          <w:tcPr>
            <w:tcW w:w="1118" w:type="dxa"/>
            <w:gridSpan w:val="2"/>
            <w:tcMar>
              <w:top w:w="20" w:type="dxa"/>
              <w:left w:w="115" w:type="dxa"/>
              <w:bottom w:w="20" w:type="dxa"/>
              <w:right w:w="115" w:type="dxa"/>
            </w:tcMar>
            <w:vAlign w:val="bottom"/>
          </w:tcPr>
          <w:p w14:paraId="4AB691FE" w14:textId="0E157C11" w:rsidR="00542725" w:rsidRPr="00401687" w:rsidRDefault="00542725" w:rsidP="00745879">
            <w:pPr>
              <w:spacing w:before="60" w:after="60"/>
              <w:jc w:val="center"/>
              <w:rPr>
                <w:sz w:val="22"/>
                <w:szCs w:val="22"/>
              </w:rPr>
            </w:pPr>
            <w:r w:rsidRPr="00401687">
              <w:rPr>
                <w:rFonts w:ascii="Times New Roman" w:hAnsi="Times New Roman"/>
                <w:sz w:val="22"/>
                <w:szCs w:val="22"/>
              </w:rPr>
              <w:t>□</w:t>
            </w:r>
          </w:p>
        </w:tc>
        <w:tc>
          <w:tcPr>
            <w:tcW w:w="1118" w:type="dxa"/>
            <w:gridSpan w:val="2"/>
            <w:tcMar>
              <w:top w:w="20" w:type="dxa"/>
              <w:left w:w="115" w:type="dxa"/>
              <w:bottom w:w="20" w:type="dxa"/>
              <w:right w:w="115" w:type="dxa"/>
            </w:tcMar>
            <w:vAlign w:val="bottom"/>
          </w:tcPr>
          <w:p w14:paraId="590B9C95" w14:textId="6E3B72BB" w:rsidR="00542725" w:rsidRPr="00401687" w:rsidRDefault="00542725" w:rsidP="00745879">
            <w:pPr>
              <w:spacing w:before="60" w:after="60"/>
              <w:jc w:val="center"/>
              <w:rPr>
                <w:sz w:val="22"/>
                <w:szCs w:val="22"/>
              </w:rPr>
            </w:pPr>
            <w:r w:rsidRPr="00401687">
              <w:rPr>
                <w:rFonts w:ascii="Times New Roman" w:hAnsi="Times New Roman"/>
                <w:sz w:val="22"/>
                <w:szCs w:val="22"/>
              </w:rPr>
              <w:t>□</w:t>
            </w:r>
          </w:p>
        </w:tc>
        <w:tc>
          <w:tcPr>
            <w:tcW w:w="1118" w:type="dxa"/>
            <w:tcMar>
              <w:top w:w="20" w:type="dxa"/>
              <w:left w:w="115" w:type="dxa"/>
              <w:bottom w:w="20" w:type="dxa"/>
              <w:right w:w="115" w:type="dxa"/>
            </w:tcMar>
            <w:vAlign w:val="bottom"/>
          </w:tcPr>
          <w:p w14:paraId="2D82DBC5" w14:textId="02FE407D" w:rsidR="00542725" w:rsidRPr="00401687" w:rsidRDefault="000A64F2" w:rsidP="00745879">
            <w:pPr>
              <w:spacing w:before="60" w:after="60"/>
              <w:jc w:val="center"/>
              <w:rPr>
                <w:sz w:val="22"/>
                <w:szCs w:val="22"/>
              </w:rPr>
            </w:pPr>
            <w:r w:rsidRPr="00401687">
              <w:rPr>
                <w:rFonts w:ascii="Times New Roman" w:hAnsi="Times New Roman"/>
                <w:sz w:val="22"/>
                <w:szCs w:val="22"/>
              </w:rPr>
              <w:t>■</w:t>
            </w:r>
          </w:p>
        </w:tc>
      </w:tr>
      <w:tr w:rsidR="00542725" w:rsidRPr="00E5753A" w14:paraId="3467CCFB" w14:textId="77777777" w:rsidTr="00A90627">
        <w:trPr>
          <w:gridBefore w:val="1"/>
          <w:wBefore w:w="11" w:type="dxa"/>
        </w:trPr>
        <w:tc>
          <w:tcPr>
            <w:tcW w:w="4338" w:type="dxa"/>
            <w:tcMar>
              <w:top w:w="20" w:type="dxa"/>
              <w:left w:w="115" w:type="dxa"/>
              <w:bottom w:w="20" w:type="dxa"/>
              <w:right w:w="115" w:type="dxa"/>
            </w:tcMar>
            <w:vAlign w:val="bottom"/>
            <w:hideMark/>
          </w:tcPr>
          <w:p w14:paraId="7B1FB5F7" w14:textId="77777777" w:rsidR="00542725" w:rsidRPr="008D2BC5" w:rsidRDefault="00542725" w:rsidP="00024E43">
            <w:pPr>
              <w:pStyle w:val="BulletListLettered"/>
            </w:pPr>
            <w:r w:rsidRPr="008D2BC5">
              <w:t xml:space="preserve">Cause a substantial adverse change in the significance of an archaeological resource </w:t>
            </w:r>
            <w:r w:rsidR="002A5569" w:rsidRPr="008D2BC5">
              <w:t>pursuant to</w:t>
            </w:r>
            <w:r w:rsidRPr="008D2BC5">
              <w:t xml:space="preserve"> §15064.5?</w:t>
            </w:r>
          </w:p>
        </w:tc>
        <w:tc>
          <w:tcPr>
            <w:tcW w:w="1344" w:type="dxa"/>
            <w:gridSpan w:val="2"/>
            <w:tcMar>
              <w:top w:w="20" w:type="dxa"/>
              <w:left w:w="115" w:type="dxa"/>
              <w:bottom w:w="20" w:type="dxa"/>
              <w:right w:w="115" w:type="dxa"/>
            </w:tcMar>
            <w:vAlign w:val="bottom"/>
          </w:tcPr>
          <w:p w14:paraId="0A94C250" w14:textId="34932CC5" w:rsidR="00542725" w:rsidRPr="00401687" w:rsidRDefault="004E687C" w:rsidP="00745879">
            <w:pPr>
              <w:spacing w:before="60" w:after="60"/>
              <w:jc w:val="center"/>
              <w:rPr>
                <w:sz w:val="22"/>
                <w:szCs w:val="22"/>
              </w:rPr>
            </w:pPr>
            <w:r w:rsidRPr="00401687">
              <w:rPr>
                <w:rFonts w:ascii="Times New Roman" w:hAnsi="Times New Roman"/>
                <w:sz w:val="22"/>
                <w:szCs w:val="22"/>
              </w:rPr>
              <w:t>□</w:t>
            </w:r>
          </w:p>
        </w:tc>
        <w:tc>
          <w:tcPr>
            <w:tcW w:w="1118" w:type="dxa"/>
            <w:gridSpan w:val="2"/>
            <w:tcMar>
              <w:top w:w="20" w:type="dxa"/>
              <w:left w:w="115" w:type="dxa"/>
              <w:bottom w:w="20" w:type="dxa"/>
              <w:right w:w="115" w:type="dxa"/>
            </w:tcMar>
            <w:vAlign w:val="bottom"/>
          </w:tcPr>
          <w:p w14:paraId="07EF3B07" w14:textId="15C63D8A" w:rsidR="00542725" w:rsidRPr="00401687" w:rsidRDefault="00335A9D" w:rsidP="00745879">
            <w:pPr>
              <w:spacing w:before="60" w:after="60"/>
              <w:jc w:val="center"/>
              <w:rPr>
                <w:sz w:val="22"/>
                <w:szCs w:val="22"/>
              </w:rPr>
            </w:pPr>
            <w:r w:rsidRPr="00401687">
              <w:rPr>
                <w:rFonts w:ascii="Times New Roman" w:hAnsi="Times New Roman"/>
                <w:sz w:val="22"/>
                <w:szCs w:val="22"/>
              </w:rPr>
              <w:t>□</w:t>
            </w:r>
          </w:p>
        </w:tc>
        <w:tc>
          <w:tcPr>
            <w:tcW w:w="1118" w:type="dxa"/>
            <w:gridSpan w:val="2"/>
            <w:tcMar>
              <w:top w:w="20" w:type="dxa"/>
              <w:left w:w="115" w:type="dxa"/>
              <w:bottom w:w="20" w:type="dxa"/>
              <w:right w:w="115" w:type="dxa"/>
            </w:tcMar>
            <w:vAlign w:val="bottom"/>
          </w:tcPr>
          <w:p w14:paraId="7FB82559" w14:textId="7133946C" w:rsidR="00542725" w:rsidRPr="00401687" w:rsidRDefault="00595B30" w:rsidP="00745879">
            <w:pPr>
              <w:spacing w:before="60" w:after="60"/>
              <w:jc w:val="center"/>
              <w:rPr>
                <w:sz w:val="22"/>
                <w:szCs w:val="22"/>
              </w:rPr>
            </w:pPr>
            <w:r w:rsidRPr="00401687">
              <w:rPr>
                <w:rFonts w:ascii="Times New Roman" w:hAnsi="Times New Roman"/>
                <w:sz w:val="22"/>
                <w:szCs w:val="22"/>
              </w:rPr>
              <w:t>■</w:t>
            </w:r>
          </w:p>
        </w:tc>
        <w:tc>
          <w:tcPr>
            <w:tcW w:w="1118" w:type="dxa"/>
            <w:tcMar>
              <w:top w:w="20" w:type="dxa"/>
              <w:left w:w="115" w:type="dxa"/>
              <w:bottom w:w="20" w:type="dxa"/>
              <w:right w:w="115" w:type="dxa"/>
            </w:tcMar>
            <w:vAlign w:val="bottom"/>
          </w:tcPr>
          <w:p w14:paraId="567DD52C" w14:textId="013A89C4" w:rsidR="00542725" w:rsidRPr="00401687" w:rsidRDefault="00D31F6C" w:rsidP="00745879">
            <w:pPr>
              <w:spacing w:before="60" w:after="60"/>
              <w:jc w:val="center"/>
              <w:rPr>
                <w:sz w:val="22"/>
                <w:szCs w:val="22"/>
              </w:rPr>
            </w:pPr>
            <w:r w:rsidRPr="00401687">
              <w:rPr>
                <w:rFonts w:ascii="Times New Roman" w:hAnsi="Times New Roman"/>
                <w:sz w:val="22"/>
                <w:szCs w:val="22"/>
              </w:rPr>
              <w:t>□</w:t>
            </w:r>
          </w:p>
        </w:tc>
      </w:tr>
      <w:tr w:rsidR="00542725" w:rsidRPr="00E5753A" w14:paraId="2D1B5696" w14:textId="77777777" w:rsidTr="00A90627">
        <w:trPr>
          <w:gridBefore w:val="1"/>
          <w:wBefore w:w="11" w:type="dxa"/>
          <w:trHeight w:val="196"/>
        </w:trPr>
        <w:tc>
          <w:tcPr>
            <w:tcW w:w="4338" w:type="dxa"/>
            <w:tcMar>
              <w:top w:w="20" w:type="dxa"/>
              <w:left w:w="115" w:type="dxa"/>
              <w:bottom w:w="20" w:type="dxa"/>
              <w:right w:w="115" w:type="dxa"/>
            </w:tcMar>
            <w:vAlign w:val="bottom"/>
            <w:hideMark/>
          </w:tcPr>
          <w:p w14:paraId="0D2F846A" w14:textId="77777777" w:rsidR="00542725" w:rsidRPr="008D2BC5" w:rsidRDefault="00542725" w:rsidP="00024E43">
            <w:pPr>
              <w:pStyle w:val="BulletListLettered"/>
            </w:pPr>
            <w:r w:rsidRPr="008D2BC5">
              <w:t>Disturb any human remains, including those interred outside of formal cemeteries?</w:t>
            </w:r>
          </w:p>
        </w:tc>
        <w:tc>
          <w:tcPr>
            <w:tcW w:w="1344" w:type="dxa"/>
            <w:gridSpan w:val="2"/>
            <w:tcMar>
              <w:top w:w="20" w:type="dxa"/>
              <w:left w:w="115" w:type="dxa"/>
              <w:bottom w:w="20" w:type="dxa"/>
              <w:right w:w="115" w:type="dxa"/>
            </w:tcMar>
            <w:vAlign w:val="bottom"/>
          </w:tcPr>
          <w:p w14:paraId="72F79811" w14:textId="392AAF78" w:rsidR="00542725" w:rsidRPr="00401687" w:rsidRDefault="004E687C" w:rsidP="00745879">
            <w:pPr>
              <w:spacing w:before="60" w:after="60"/>
              <w:jc w:val="center"/>
              <w:rPr>
                <w:sz w:val="22"/>
                <w:szCs w:val="22"/>
              </w:rPr>
            </w:pPr>
            <w:r w:rsidRPr="00401687">
              <w:rPr>
                <w:rFonts w:ascii="Times New Roman" w:hAnsi="Times New Roman"/>
                <w:sz w:val="22"/>
                <w:szCs w:val="22"/>
              </w:rPr>
              <w:t>□</w:t>
            </w:r>
          </w:p>
        </w:tc>
        <w:tc>
          <w:tcPr>
            <w:tcW w:w="1118" w:type="dxa"/>
            <w:gridSpan w:val="2"/>
            <w:tcMar>
              <w:top w:w="20" w:type="dxa"/>
              <w:left w:w="115" w:type="dxa"/>
              <w:bottom w:w="20" w:type="dxa"/>
              <w:right w:w="115" w:type="dxa"/>
            </w:tcMar>
            <w:vAlign w:val="bottom"/>
          </w:tcPr>
          <w:p w14:paraId="1F91C1E8" w14:textId="3A260A8E" w:rsidR="00542725" w:rsidRPr="00401687" w:rsidRDefault="00542725" w:rsidP="00745879">
            <w:pPr>
              <w:spacing w:before="60" w:after="60"/>
              <w:jc w:val="center"/>
              <w:rPr>
                <w:sz w:val="22"/>
                <w:szCs w:val="22"/>
              </w:rPr>
            </w:pPr>
            <w:r w:rsidRPr="00401687">
              <w:rPr>
                <w:rFonts w:ascii="Times New Roman" w:hAnsi="Times New Roman"/>
                <w:sz w:val="22"/>
                <w:szCs w:val="22"/>
              </w:rPr>
              <w:t>□</w:t>
            </w:r>
          </w:p>
        </w:tc>
        <w:tc>
          <w:tcPr>
            <w:tcW w:w="1118" w:type="dxa"/>
            <w:gridSpan w:val="2"/>
            <w:tcMar>
              <w:top w:w="20" w:type="dxa"/>
              <w:left w:w="115" w:type="dxa"/>
              <w:bottom w:w="20" w:type="dxa"/>
              <w:right w:w="115" w:type="dxa"/>
            </w:tcMar>
            <w:vAlign w:val="bottom"/>
          </w:tcPr>
          <w:p w14:paraId="35C8B354" w14:textId="289AF767" w:rsidR="00542725" w:rsidRPr="00401687" w:rsidRDefault="00D31F6C" w:rsidP="00745879">
            <w:pPr>
              <w:spacing w:before="60" w:after="60"/>
              <w:jc w:val="center"/>
              <w:rPr>
                <w:sz w:val="22"/>
                <w:szCs w:val="22"/>
              </w:rPr>
            </w:pPr>
            <w:r w:rsidRPr="00401687">
              <w:rPr>
                <w:rFonts w:ascii="Times New Roman" w:hAnsi="Times New Roman"/>
                <w:sz w:val="22"/>
                <w:szCs w:val="22"/>
              </w:rPr>
              <w:t>■</w:t>
            </w:r>
          </w:p>
        </w:tc>
        <w:tc>
          <w:tcPr>
            <w:tcW w:w="1118" w:type="dxa"/>
            <w:tcMar>
              <w:top w:w="20" w:type="dxa"/>
              <w:left w:w="115" w:type="dxa"/>
              <w:bottom w:w="20" w:type="dxa"/>
              <w:right w:w="115" w:type="dxa"/>
            </w:tcMar>
            <w:vAlign w:val="bottom"/>
          </w:tcPr>
          <w:p w14:paraId="6F947362" w14:textId="66409629" w:rsidR="00542725" w:rsidRPr="00401687" w:rsidRDefault="00D31F6C" w:rsidP="00745879">
            <w:pPr>
              <w:spacing w:before="60" w:after="60"/>
              <w:jc w:val="center"/>
              <w:rPr>
                <w:sz w:val="22"/>
                <w:szCs w:val="22"/>
              </w:rPr>
            </w:pPr>
            <w:r w:rsidRPr="00401687">
              <w:rPr>
                <w:rFonts w:ascii="Times New Roman" w:hAnsi="Times New Roman"/>
                <w:sz w:val="22"/>
                <w:szCs w:val="22"/>
              </w:rPr>
              <w:t>□</w:t>
            </w:r>
          </w:p>
        </w:tc>
      </w:tr>
    </w:tbl>
    <w:p w14:paraId="66054803" w14:textId="51A6727C" w:rsidR="008D2BC5" w:rsidRPr="008D2BC5" w:rsidRDefault="008D2BC5" w:rsidP="008D2BC5">
      <w:pPr>
        <w:spacing w:before="120"/>
        <w:rPr>
          <w:rFonts w:ascii="Calibri" w:hAnsi="Calibri"/>
          <w:sz w:val="22"/>
          <w:szCs w:val="22"/>
        </w:rPr>
      </w:pPr>
      <w:r w:rsidRPr="008D2BC5">
        <w:rPr>
          <w:rFonts w:ascii="Calibri" w:hAnsi="Calibri"/>
          <w:sz w:val="22"/>
          <w:szCs w:val="22"/>
        </w:rPr>
        <w:t>This section provides an analysis of the project’s impacts on cultural resources, including historical and archaeological resources, as well as human remains. CEQA requires a lead agency to determine whether a project may have a significant effect on historical resources (Public Resources Code [PRC], Section 21084.1). A historical resource is a resource listed in, or determined to be eligible for listing in, the California Register of Historical Resources (CRHR); a resource included in a local register of historical resources; or any object, building, structure, site, area, place, record, or manuscript a lead agency determines to be historically significant (CEQA Guidelines, Section 15064.5[a</w:t>
      </w:r>
      <w:r w:rsidR="00E61D17" w:rsidRPr="008D2BC5">
        <w:rPr>
          <w:rFonts w:ascii="Calibri" w:hAnsi="Calibri"/>
          <w:sz w:val="22"/>
          <w:szCs w:val="22"/>
        </w:rPr>
        <w:t>] [</w:t>
      </w:r>
      <w:r w:rsidRPr="008D2BC5">
        <w:rPr>
          <w:rFonts w:ascii="Calibri" w:hAnsi="Calibri"/>
          <w:sz w:val="22"/>
          <w:szCs w:val="22"/>
        </w:rPr>
        <w:t>1-3]).</w:t>
      </w:r>
    </w:p>
    <w:p w14:paraId="73A8760D" w14:textId="4BF2E5C0" w:rsidR="008D2BC5" w:rsidRPr="008D2BC5" w:rsidRDefault="008D2BC5" w:rsidP="008D2BC5">
      <w:pPr>
        <w:spacing w:before="120"/>
        <w:rPr>
          <w:rFonts w:ascii="Calibri" w:hAnsi="Calibri"/>
          <w:sz w:val="22"/>
          <w:szCs w:val="22"/>
        </w:rPr>
      </w:pPr>
      <w:r w:rsidRPr="008D2BC5">
        <w:rPr>
          <w:rFonts w:ascii="Calibri" w:hAnsi="Calibri"/>
          <w:sz w:val="22"/>
          <w:szCs w:val="22"/>
        </w:rPr>
        <w:t xml:space="preserve">A resource </w:t>
      </w:r>
      <w:r w:rsidR="00244306">
        <w:rPr>
          <w:rFonts w:ascii="Calibri" w:hAnsi="Calibri"/>
          <w:sz w:val="22"/>
          <w:szCs w:val="22"/>
        </w:rPr>
        <w:t>is</w:t>
      </w:r>
      <w:r w:rsidRPr="008D2BC5">
        <w:rPr>
          <w:rFonts w:ascii="Calibri" w:hAnsi="Calibri"/>
          <w:sz w:val="22"/>
          <w:szCs w:val="22"/>
        </w:rPr>
        <w:t xml:space="preserve"> considered historically significant if it: </w:t>
      </w:r>
    </w:p>
    <w:p w14:paraId="20C5BE32" w14:textId="77777777" w:rsidR="008D2BC5" w:rsidRPr="008D2BC5" w:rsidRDefault="008D2BC5" w:rsidP="008D2BC5">
      <w:pPr>
        <w:numPr>
          <w:ilvl w:val="0"/>
          <w:numId w:val="92"/>
        </w:numPr>
        <w:spacing w:before="60" w:after="60"/>
        <w:rPr>
          <w:rFonts w:ascii="Calibri" w:hAnsi="Calibri"/>
          <w:sz w:val="22"/>
          <w:szCs w:val="22"/>
        </w:rPr>
      </w:pPr>
      <w:r w:rsidRPr="008D2BC5">
        <w:rPr>
          <w:rFonts w:ascii="Calibri" w:hAnsi="Calibri"/>
          <w:sz w:val="22"/>
          <w:szCs w:val="22"/>
        </w:rPr>
        <w:t>Is associated with events that have made a significant contribution to the broad patterns of California’s history and cultural heritage;</w:t>
      </w:r>
    </w:p>
    <w:p w14:paraId="5D1E462D" w14:textId="77777777" w:rsidR="008D2BC5" w:rsidRPr="008D2BC5" w:rsidRDefault="008D2BC5" w:rsidP="008D2BC5">
      <w:pPr>
        <w:numPr>
          <w:ilvl w:val="0"/>
          <w:numId w:val="92"/>
        </w:numPr>
        <w:spacing w:before="60" w:after="60"/>
        <w:rPr>
          <w:rFonts w:ascii="Calibri" w:hAnsi="Calibri"/>
          <w:sz w:val="22"/>
          <w:szCs w:val="22"/>
        </w:rPr>
      </w:pPr>
      <w:r w:rsidRPr="008D2BC5">
        <w:rPr>
          <w:rFonts w:ascii="Calibri" w:hAnsi="Calibri"/>
          <w:sz w:val="22"/>
          <w:szCs w:val="22"/>
        </w:rPr>
        <w:t>Is associated with the lives of persons important in our past;</w:t>
      </w:r>
    </w:p>
    <w:p w14:paraId="6D770729" w14:textId="77777777" w:rsidR="008D2BC5" w:rsidRPr="008D2BC5" w:rsidRDefault="008D2BC5" w:rsidP="008D2BC5">
      <w:pPr>
        <w:numPr>
          <w:ilvl w:val="0"/>
          <w:numId w:val="92"/>
        </w:numPr>
        <w:spacing w:before="60" w:after="60"/>
        <w:rPr>
          <w:rFonts w:ascii="Calibri" w:hAnsi="Calibri"/>
          <w:sz w:val="22"/>
          <w:szCs w:val="22"/>
        </w:rPr>
      </w:pPr>
      <w:r w:rsidRPr="008D2BC5">
        <w:rPr>
          <w:rFonts w:ascii="Calibri" w:hAnsi="Calibri"/>
          <w:sz w:val="22"/>
          <w:szCs w:val="22"/>
        </w:rPr>
        <w:t>Embodies the distinctive characteristics of a type, period, region, or method of construction, or represents the work of an important creative individual, or possesses high artistic values; or</w:t>
      </w:r>
    </w:p>
    <w:p w14:paraId="0A5A8F6F" w14:textId="77777777" w:rsidR="008D2BC5" w:rsidRPr="008D2BC5" w:rsidRDefault="008D2BC5" w:rsidP="008D2BC5">
      <w:pPr>
        <w:numPr>
          <w:ilvl w:val="0"/>
          <w:numId w:val="92"/>
        </w:numPr>
        <w:spacing w:before="60" w:after="60"/>
        <w:rPr>
          <w:rFonts w:ascii="Calibri" w:hAnsi="Calibri"/>
          <w:sz w:val="22"/>
          <w:szCs w:val="22"/>
        </w:rPr>
      </w:pPr>
      <w:r w:rsidRPr="008D2BC5">
        <w:rPr>
          <w:rFonts w:ascii="Calibri" w:hAnsi="Calibri"/>
          <w:sz w:val="22"/>
          <w:szCs w:val="22"/>
        </w:rPr>
        <w:t xml:space="preserve">Has yielded, or may be likely to yield, information important in prehistory or history. </w:t>
      </w:r>
    </w:p>
    <w:p w14:paraId="4F3D3937" w14:textId="77777777" w:rsidR="008D2BC5" w:rsidRPr="008D2BC5" w:rsidRDefault="008D2BC5" w:rsidP="008D2BC5">
      <w:pPr>
        <w:spacing w:before="240"/>
        <w:rPr>
          <w:rFonts w:ascii="Calibri" w:hAnsi="Calibri"/>
          <w:sz w:val="22"/>
          <w:szCs w:val="22"/>
        </w:rPr>
      </w:pPr>
      <w:r w:rsidRPr="008D2BC5">
        <w:rPr>
          <w:rFonts w:ascii="Calibri" w:hAnsi="Calibri"/>
          <w:sz w:val="22"/>
          <w:szCs w:val="22"/>
        </w:rPr>
        <w:t xml:space="preserve">In addition, if it can be demonstrated that a project would cause damage to a unique archaeological resource, the lead agency may require reasonable efforts be made to permit any or all of these resources to be preserved in place or left in an undisturbed state. To the extent that resources cannot be left undisturbed, mitigation measures are required (PRC, Section 21083.2[a], [b]). </w:t>
      </w:r>
    </w:p>
    <w:p w14:paraId="7AC8CD0A" w14:textId="77777777" w:rsidR="008D2BC5" w:rsidRPr="008D2BC5" w:rsidRDefault="008D2BC5" w:rsidP="008D2BC5">
      <w:pPr>
        <w:spacing w:before="120"/>
        <w:rPr>
          <w:rFonts w:ascii="Calibri" w:hAnsi="Calibri"/>
          <w:sz w:val="22"/>
          <w:szCs w:val="22"/>
        </w:rPr>
      </w:pPr>
      <w:r w:rsidRPr="008D2BC5">
        <w:rPr>
          <w:rFonts w:ascii="Calibri" w:hAnsi="Calibri"/>
          <w:sz w:val="22"/>
          <w:szCs w:val="22"/>
        </w:rPr>
        <w:t>PRC, Section 21083.2(g) defines a unique archaeological resource as an archaeological artifact, object, or site about which it can be clearly demonstrated that, without merely adding to the current body of knowledge, there is a high probability that it:</w:t>
      </w:r>
    </w:p>
    <w:p w14:paraId="046F0594" w14:textId="77777777" w:rsidR="008D2BC5" w:rsidRPr="008D2BC5" w:rsidRDefault="008D2BC5" w:rsidP="008D2BC5">
      <w:pPr>
        <w:numPr>
          <w:ilvl w:val="0"/>
          <w:numId w:val="91"/>
        </w:numPr>
        <w:spacing w:before="60" w:after="60"/>
        <w:rPr>
          <w:rFonts w:ascii="Calibri" w:hAnsi="Calibri"/>
          <w:sz w:val="22"/>
          <w:szCs w:val="22"/>
        </w:rPr>
      </w:pPr>
      <w:r w:rsidRPr="008D2BC5">
        <w:rPr>
          <w:rFonts w:ascii="Calibri" w:hAnsi="Calibri"/>
          <w:sz w:val="22"/>
          <w:szCs w:val="22"/>
        </w:rPr>
        <w:t>Contains information needed to answer important scientific research questions and that there is a demonstrable public interest in that information;</w:t>
      </w:r>
    </w:p>
    <w:p w14:paraId="3235A581" w14:textId="77777777" w:rsidR="008D2BC5" w:rsidRPr="008D2BC5" w:rsidRDefault="008D2BC5" w:rsidP="008D2BC5">
      <w:pPr>
        <w:numPr>
          <w:ilvl w:val="0"/>
          <w:numId w:val="91"/>
        </w:numPr>
        <w:spacing w:before="60" w:after="60"/>
        <w:rPr>
          <w:rFonts w:ascii="Calibri" w:hAnsi="Calibri"/>
          <w:sz w:val="22"/>
          <w:szCs w:val="22"/>
        </w:rPr>
      </w:pPr>
      <w:r w:rsidRPr="008D2BC5">
        <w:rPr>
          <w:rFonts w:ascii="Calibri" w:hAnsi="Calibri"/>
          <w:sz w:val="22"/>
          <w:szCs w:val="22"/>
        </w:rPr>
        <w:t>Has a special and particular quality such as being the oldest of its type or the best available example of its type; or</w:t>
      </w:r>
    </w:p>
    <w:p w14:paraId="4F1B1C2E" w14:textId="77777777" w:rsidR="008D2BC5" w:rsidRPr="008D2BC5" w:rsidRDefault="008D2BC5" w:rsidP="008D2BC5">
      <w:pPr>
        <w:numPr>
          <w:ilvl w:val="0"/>
          <w:numId w:val="91"/>
        </w:numPr>
        <w:spacing w:before="60" w:after="60"/>
        <w:rPr>
          <w:rFonts w:ascii="Calibri" w:hAnsi="Calibri"/>
          <w:sz w:val="22"/>
          <w:szCs w:val="22"/>
        </w:rPr>
      </w:pPr>
      <w:r w:rsidRPr="008D2BC5">
        <w:rPr>
          <w:rFonts w:ascii="Calibri" w:hAnsi="Calibri"/>
          <w:sz w:val="22"/>
          <w:szCs w:val="22"/>
        </w:rPr>
        <w:lastRenderedPageBreak/>
        <w:t>Is directly associated with a scientifically recognized important prehistoric or historic event or person.</w:t>
      </w:r>
    </w:p>
    <w:p w14:paraId="5E14F424" w14:textId="77777777" w:rsidR="008D2BC5" w:rsidRPr="008D2BC5" w:rsidRDefault="008D2BC5" w:rsidP="008D2BC5">
      <w:pPr>
        <w:keepNext/>
        <w:tabs>
          <w:tab w:val="left" w:pos="468"/>
        </w:tabs>
        <w:spacing w:before="240"/>
        <w:outlineLvl w:val="4"/>
        <w:rPr>
          <w:rFonts w:ascii="Century Gothic" w:hAnsi="Century Gothic"/>
          <w:b/>
          <w:sz w:val="24"/>
          <w:szCs w:val="18"/>
        </w:rPr>
      </w:pPr>
      <w:r w:rsidRPr="008D2BC5">
        <w:rPr>
          <w:rFonts w:ascii="Century Gothic" w:hAnsi="Century Gothic"/>
          <w:b/>
          <w:sz w:val="24"/>
          <w:szCs w:val="18"/>
        </w:rPr>
        <w:t>Impact Analysis</w:t>
      </w:r>
    </w:p>
    <w:p w14:paraId="64E6E457" w14:textId="77777777" w:rsidR="008D2BC5" w:rsidRPr="008D2BC5" w:rsidRDefault="008D2BC5" w:rsidP="008D2BC5">
      <w:pPr>
        <w:spacing w:before="240"/>
        <w:ind w:left="461" w:hanging="461"/>
        <w:rPr>
          <w:rFonts w:ascii="Calibri" w:hAnsi="Calibri"/>
          <w:i/>
          <w:sz w:val="22"/>
          <w:szCs w:val="22"/>
        </w:rPr>
      </w:pPr>
      <w:r w:rsidRPr="008D2BC5">
        <w:rPr>
          <w:rFonts w:ascii="Calibri" w:hAnsi="Calibri"/>
          <w:i/>
          <w:sz w:val="22"/>
          <w:szCs w:val="22"/>
        </w:rPr>
        <w:t>a.</w:t>
      </w:r>
      <w:r w:rsidRPr="008D2BC5">
        <w:rPr>
          <w:rFonts w:ascii="Calibri" w:hAnsi="Calibri"/>
          <w:i/>
          <w:sz w:val="22"/>
          <w:szCs w:val="22"/>
        </w:rPr>
        <w:tab/>
        <w:t>Would the project cause a substantial adverse change in the significance of a historical resource pursuant to §15064.5?</w:t>
      </w:r>
    </w:p>
    <w:p w14:paraId="68CD1041" w14:textId="0D1B69E4" w:rsidR="008D2BC5" w:rsidRPr="008D2BC5" w:rsidRDefault="008D2BC5" w:rsidP="0064015D">
      <w:pPr>
        <w:pStyle w:val="BodyText"/>
      </w:pPr>
      <w:r w:rsidRPr="008D2BC5">
        <w:t>Rincon</w:t>
      </w:r>
      <w:r w:rsidR="00244306">
        <w:t xml:space="preserve"> Consultants</w:t>
      </w:r>
      <w:r w:rsidRPr="008D2BC5">
        <w:t xml:space="preserve"> completed a review of historical topographic maps and aerial imagery to ascertain the development history of the project site. Historical topographic maps from 1897 to 1937 depict the project site as undeveloped surrounded by a channelized creek to the west, south, and north (USGS 2021; NETR Online 2021). Historical topographic maps from 1943 to 1981 depict development within and surrounding the project site, including Terra Bella Avenue to the north and commercial development in all directions (USGA 2021; NETR Online 2021). </w:t>
      </w:r>
      <w:bookmarkStart w:id="169" w:name="_Hlk87873883"/>
      <w:r w:rsidRPr="008D2BC5">
        <w:t>Aerial imagery from 1948 to 1960 depict the project site as</w:t>
      </w:r>
      <w:r w:rsidR="004373D1">
        <w:t xml:space="preserve"> </w:t>
      </w:r>
      <w:r w:rsidRPr="008D2BC5">
        <w:t>undeveloped with commercial development in the vicinity (NETR Online 2021). Aerial imagery from 1968</w:t>
      </w:r>
      <w:r w:rsidR="004373D1">
        <w:t xml:space="preserve"> depicts commercial development starting within the project site and continuing in the surrounding areas (NETR Online 2021). Aerial imagery from 1980 to</w:t>
      </w:r>
      <w:r w:rsidRPr="008D2BC5">
        <w:t xml:space="preserve"> 2018 depict the project site as developed and in its current condition</w:t>
      </w:r>
      <w:r w:rsidR="004373D1">
        <w:t xml:space="preserve"> (NETR Online 2021)</w:t>
      </w:r>
      <w:r w:rsidRPr="008D2BC5">
        <w:t xml:space="preserve">. </w:t>
      </w:r>
      <w:bookmarkEnd w:id="169"/>
    </w:p>
    <w:p w14:paraId="18331250" w14:textId="7D5A7F1E" w:rsidR="008D2BC5" w:rsidRPr="008D2BC5" w:rsidRDefault="008D2BC5" w:rsidP="0064015D">
      <w:pPr>
        <w:pStyle w:val="BodyText"/>
      </w:pPr>
      <w:r w:rsidRPr="008D2BC5">
        <w:t xml:space="preserve">The aerial imagery and historical topographic map review did not identify the project site as being developed, nor did it identify any potential built environment resources within the project site. Additionally, </w:t>
      </w:r>
      <w:r w:rsidR="004207E1">
        <w:t xml:space="preserve">Rincon completed a built environment survey of the project </w:t>
      </w:r>
      <w:r w:rsidR="008369AA">
        <w:t xml:space="preserve">site </w:t>
      </w:r>
      <w:r w:rsidR="004207E1">
        <w:t>on November 1, 2021.</w:t>
      </w:r>
      <w:r w:rsidRPr="008D2BC5">
        <w:t xml:space="preserve"> </w:t>
      </w:r>
      <w:r w:rsidR="004207E1">
        <w:t>No previously unidentified built environment resources were present. S</w:t>
      </w:r>
      <w:r w:rsidRPr="008D2BC5">
        <w:t xml:space="preserve">urvey and research were returned with negative results for cultural resources within the project site. </w:t>
      </w:r>
      <w:r w:rsidR="00244306" w:rsidRPr="008D2BC5">
        <w:t xml:space="preserve">There are no </w:t>
      </w:r>
      <w:r w:rsidR="00244306">
        <w:t xml:space="preserve">structures or </w:t>
      </w:r>
      <w:r w:rsidR="00244306" w:rsidRPr="008D2BC5">
        <w:t xml:space="preserve">identified </w:t>
      </w:r>
      <w:r w:rsidR="00244306">
        <w:t>historical</w:t>
      </w:r>
      <w:r w:rsidR="00244306" w:rsidRPr="008D2BC5">
        <w:t xml:space="preserve"> resources within the project site. </w:t>
      </w:r>
      <w:r w:rsidRPr="008D2BC5">
        <w:t>Therefore, no built environment resources are present that may be impacted by the project. There would be no impact to built environment resources on the project site</w:t>
      </w:r>
      <w:r w:rsidR="00275B75" w:rsidRPr="008D2BC5">
        <w:t xml:space="preserve">. </w:t>
      </w:r>
    </w:p>
    <w:p w14:paraId="7A52360A" w14:textId="77777777" w:rsidR="008D2BC5" w:rsidRPr="008D2BC5" w:rsidRDefault="00817BC5" w:rsidP="008D2BC5">
      <w:pPr>
        <w:spacing w:before="120"/>
        <w:rPr>
          <w:rFonts w:ascii="Calibri" w:hAnsi="Calibri"/>
          <w:b/>
          <w:caps/>
          <w:sz w:val="22"/>
        </w:rPr>
      </w:pPr>
      <w:sdt>
        <w:sdtPr>
          <w:rPr>
            <w:rFonts w:ascii="Calibri" w:hAnsi="Calibri"/>
            <w:b/>
            <w:caps/>
            <w:sz w:val="22"/>
          </w:rPr>
          <w:alias w:val="1a"/>
          <w:tag w:val="dropdown"/>
          <w:id w:val="-1537737520"/>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sdtContent>
          <w:r w:rsidR="008D2BC5" w:rsidRPr="008D2BC5">
            <w:rPr>
              <w:rFonts w:ascii="Calibri" w:hAnsi="Calibri"/>
              <w:b/>
              <w:caps/>
              <w:sz w:val="22"/>
            </w:rPr>
            <w:t>No Impact</w:t>
          </w:r>
        </w:sdtContent>
      </w:sdt>
    </w:p>
    <w:p w14:paraId="3EF01991" w14:textId="77777777" w:rsidR="008D2BC5" w:rsidRPr="008D2BC5" w:rsidRDefault="008D2BC5" w:rsidP="008D2BC5">
      <w:pPr>
        <w:spacing w:before="240"/>
        <w:ind w:left="461" w:hanging="461"/>
        <w:rPr>
          <w:rFonts w:ascii="Calibri" w:hAnsi="Calibri"/>
          <w:i/>
          <w:sz w:val="22"/>
          <w:szCs w:val="22"/>
        </w:rPr>
      </w:pPr>
      <w:r w:rsidRPr="008D2BC5">
        <w:rPr>
          <w:rFonts w:ascii="Calibri" w:hAnsi="Calibri"/>
          <w:i/>
          <w:sz w:val="22"/>
          <w:szCs w:val="22"/>
        </w:rPr>
        <w:t>b.</w:t>
      </w:r>
      <w:r w:rsidRPr="008D2BC5">
        <w:rPr>
          <w:rFonts w:ascii="Calibri" w:hAnsi="Calibri"/>
          <w:i/>
          <w:sz w:val="22"/>
          <w:szCs w:val="22"/>
        </w:rPr>
        <w:tab/>
        <w:t>Would the project cause a substantial adverse change in the significance of an archaeological resource pursuant to §15064.5?</w:t>
      </w:r>
    </w:p>
    <w:p w14:paraId="1C1193F0" w14:textId="22B226D5" w:rsidR="008D2BC5" w:rsidRPr="008D2BC5" w:rsidRDefault="008D2BC5" w:rsidP="008D2BC5">
      <w:pPr>
        <w:spacing w:before="120"/>
        <w:rPr>
          <w:rFonts w:ascii="Calibri" w:hAnsi="Calibri"/>
          <w:sz w:val="22"/>
          <w:szCs w:val="22"/>
        </w:rPr>
      </w:pPr>
      <w:r w:rsidRPr="008D2BC5">
        <w:rPr>
          <w:rFonts w:ascii="Calibri" w:hAnsi="Calibri"/>
          <w:sz w:val="22"/>
          <w:szCs w:val="22"/>
        </w:rPr>
        <w:t xml:space="preserve">A records search </w:t>
      </w:r>
      <w:r w:rsidR="00401687">
        <w:rPr>
          <w:rFonts w:ascii="Calibri" w:hAnsi="Calibri"/>
          <w:sz w:val="22"/>
          <w:szCs w:val="22"/>
        </w:rPr>
        <w:t xml:space="preserve">of the Northwest Information Center (NWIC) located at Sonoma State University </w:t>
      </w:r>
      <w:r w:rsidRPr="008D2BC5">
        <w:rPr>
          <w:rFonts w:ascii="Calibri" w:hAnsi="Calibri"/>
          <w:sz w:val="22"/>
          <w:szCs w:val="22"/>
        </w:rPr>
        <w:t xml:space="preserve">was performed to identify previously recorded cultural resources, as well as previously conducted cultural resources studies within the project site and a 0.5-mile radius surrounding it. The National Register of Historic Places (NRHP), the </w:t>
      </w:r>
      <w:r w:rsidR="00401687">
        <w:rPr>
          <w:rFonts w:ascii="Calibri" w:hAnsi="Calibri"/>
          <w:sz w:val="22"/>
          <w:szCs w:val="22"/>
        </w:rPr>
        <w:t>California Register of Historical Resources</w:t>
      </w:r>
      <w:r w:rsidRPr="008D2BC5">
        <w:rPr>
          <w:rFonts w:ascii="Calibri" w:hAnsi="Calibri"/>
          <w:sz w:val="22"/>
          <w:szCs w:val="22"/>
        </w:rPr>
        <w:t xml:space="preserve">, the Office of Historic Preservation Historic Properties Directory, the California Inventory of Historic Resources, the Archaeological Determinations of Eligibility list, as well as historic topographic map and aerial imagery review were also reviewed (Appendix CUL). </w:t>
      </w:r>
    </w:p>
    <w:p w14:paraId="696523DE" w14:textId="19D12F60" w:rsidR="008D2BC5" w:rsidRPr="008D2BC5" w:rsidRDefault="008D2BC5" w:rsidP="008D2BC5">
      <w:pPr>
        <w:spacing w:before="120"/>
        <w:rPr>
          <w:rFonts w:asciiTheme="minorHAnsi" w:eastAsia="Calibri" w:hAnsiTheme="minorHAnsi"/>
          <w:sz w:val="22"/>
          <w:szCs w:val="22"/>
        </w:rPr>
      </w:pPr>
      <w:r w:rsidRPr="008D2BC5">
        <w:rPr>
          <w:rFonts w:asciiTheme="minorHAnsi" w:eastAsia="Calibri" w:hAnsiTheme="minorHAnsi"/>
          <w:sz w:val="22"/>
          <w:szCs w:val="22"/>
        </w:rPr>
        <w:t xml:space="preserve">The NWIC records search identified </w:t>
      </w:r>
      <w:r w:rsidR="00A13310">
        <w:rPr>
          <w:rFonts w:asciiTheme="minorHAnsi" w:eastAsia="Calibri" w:hAnsiTheme="minorHAnsi"/>
          <w:sz w:val="22"/>
          <w:szCs w:val="22"/>
        </w:rPr>
        <w:t>27</w:t>
      </w:r>
      <w:r w:rsidRPr="008D2BC5">
        <w:rPr>
          <w:rFonts w:asciiTheme="minorHAnsi" w:eastAsia="Calibri" w:hAnsiTheme="minorHAnsi"/>
          <w:sz w:val="22"/>
          <w:szCs w:val="22"/>
        </w:rPr>
        <w:t xml:space="preserve"> cultural resources studies conducted within a 0.5-mile radius of the project site, </w:t>
      </w:r>
      <w:r w:rsidR="00A13310">
        <w:rPr>
          <w:rFonts w:asciiTheme="minorHAnsi" w:eastAsia="Calibri" w:hAnsiTheme="minorHAnsi"/>
          <w:sz w:val="22"/>
          <w:szCs w:val="22"/>
        </w:rPr>
        <w:t xml:space="preserve">none </w:t>
      </w:r>
      <w:r w:rsidRPr="008D2BC5">
        <w:rPr>
          <w:rFonts w:asciiTheme="minorHAnsi" w:eastAsia="Calibri" w:hAnsiTheme="minorHAnsi"/>
          <w:sz w:val="22"/>
          <w:szCs w:val="22"/>
        </w:rPr>
        <w:t xml:space="preserve">of which evaluated portions of the project site. The NWIC search identified </w:t>
      </w:r>
      <w:r w:rsidR="00A13310">
        <w:rPr>
          <w:rFonts w:asciiTheme="minorHAnsi" w:eastAsia="Calibri" w:hAnsiTheme="minorHAnsi"/>
          <w:sz w:val="22"/>
          <w:szCs w:val="22"/>
        </w:rPr>
        <w:t>10</w:t>
      </w:r>
      <w:r w:rsidRPr="008D2BC5">
        <w:rPr>
          <w:rFonts w:asciiTheme="minorHAnsi" w:eastAsia="Calibri" w:hAnsiTheme="minorHAnsi"/>
          <w:sz w:val="22"/>
          <w:szCs w:val="22"/>
        </w:rPr>
        <w:t xml:space="preserve"> previously recorded cultural resources within a 0.5-mile radius of the project site, none of which occur within the project site. </w:t>
      </w:r>
    </w:p>
    <w:p w14:paraId="681DF900" w14:textId="13A13AA9" w:rsidR="008D2BC5" w:rsidRPr="008D2BC5" w:rsidRDefault="008D2BC5" w:rsidP="008D2BC5">
      <w:pPr>
        <w:spacing w:before="120"/>
        <w:rPr>
          <w:rFonts w:asciiTheme="minorHAnsi" w:eastAsia="Calibri" w:hAnsiTheme="minorHAnsi"/>
          <w:sz w:val="22"/>
          <w:szCs w:val="22"/>
        </w:rPr>
      </w:pPr>
      <w:r w:rsidRPr="008D2BC5">
        <w:rPr>
          <w:rFonts w:asciiTheme="minorHAnsi" w:eastAsia="Calibri" w:hAnsiTheme="minorHAnsi"/>
          <w:sz w:val="22"/>
          <w:szCs w:val="22"/>
        </w:rPr>
        <w:t xml:space="preserve">The site has been disturbed by </w:t>
      </w:r>
      <w:r w:rsidR="004373D1" w:rsidRPr="0014127D">
        <w:rPr>
          <w:rFonts w:asciiTheme="minorHAnsi" w:eastAsia="Calibri" w:hAnsiTheme="minorHAnsi"/>
          <w:sz w:val="22"/>
          <w:szCs w:val="22"/>
        </w:rPr>
        <w:t>development and demolition since a</w:t>
      </w:r>
      <w:r w:rsidR="0086255B">
        <w:rPr>
          <w:rFonts w:asciiTheme="minorHAnsi" w:eastAsia="Calibri" w:hAnsiTheme="minorHAnsi"/>
          <w:sz w:val="22"/>
          <w:szCs w:val="22"/>
        </w:rPr>
        <w:t>pproximately</w:t>
      </w:r>
      <w:r w:rsidR="004373D1" w:rsidRPr="0014127D">
        <w:rPr>
          <w:rFonts w:asciiTheme="minorHAnsi" w:eastAsia="Calibri" w:hAnsiTheme="minorHAnsi"/>
          <w:sz w:val="22"/>
          <w:szCs w:val="22"/>
        </w:rPr>
        <w:t xml:space="preserve"> 19</w:t>
      </w:r>
      <w:r w:rsidR="0014127D" w:rsidRPr="0014127D">
        <w:rPr>
          <w:rFonts w:asciiTheme="minorHAnsi" w:eastAsia="Calibri" w:hAnsiTheme="minorHAnsi"/>
          <w:sz w:val="22"/>
          <w:szCs w:val="22"/>
        </w:rPr>
        <w:t>68</w:t>
      </w:r>
      <w:r w:rsidR="004373D1" w:rsidRPr="0014127D">
        <w:rPr>
          <w:rFonts w:asciiTheme="minorHAnsi" w:eastAsia="Calibri" w:hAnsiTheme="minorHAnsi"/>
          <w:sz w:val="22"/>
          <w:szCs w:val="22"/>
        </w:rPr>
        <w:t xml:space="preserve">. </w:t>
      </w:r>
      <w:r w:rsidRPr="008D2BC5">
        <w:rPr>
          <w:rFonts w:asciiTheme="minorHAnsi" w:eastAsia="Calibri" w:hAnsiTheme="minorHAnsi"/>
          <w:sz w:val="22"/>
          <w:szCs w:val="22"/>
        </w:rPr>
        <w:t xml:space="preserve">Additionally, substantial development surrounds the project site in all directions. On </w:t>
      </w:r>
      <w:r w:rsidR="0014127D">
        <w:rPr>
          <w:rFonts w:asciiTheme="minorHAnsi" w:eastAsia="Calibri" w:hAnsiTheme="minorHAnsi"/>
          <w:sz w:val="22"/>
          <w:szCs w:val="22"/>
        </w:rPr>
        <w:t>November 1</w:t>
      </w:r>
      <w:r w:rsidRPr="008D2BC5">
        <w:rPr>
          <w:rFonts w:asciiTheme="minorHAnsi" w:eastAsia="Calibri" w:hAnsiTheme="minorHAnsi"/>
          <w:sz w:val="22"/>
          <w:szCs w:val="22"/>
        </w:rPr>
        <w:t>, 2021,</w:t>
      </w:r>
      <w:r w:rsidR="0014127D">
        <w:rPr>
          <w:rFonts w:asciiTheme="minorHAnsi" w:eastAsia="Calibri" w:hAnsiTheme="minorHAnsi"/>
          <w:sz w:val="22"/>
          <w:szCs w:val="22"/>
        </w:rPr>
        <w:t xml:space="preserve"> Rincon </w:t>
      </w:r>
      <w:r w:rsidR="00244306">
        <w:rPr>
          <w:rFonts w:asciiTheme="minorHAnsi" w:eastAsia="Calibri" w:hAnsiTheme="minorHAnsi"/>
          <w:sz w:val="22"/>
          <w:szCs w:val="22"/>
        </w:rPr>
        <w:t xml:space="preserve">Consultants </w:t>
      </w:r>
      <w:r w:rsidRPr="008D2BC5">
        <w:rPr>
          <w:rFonts w:asciiTheme="minorHAnsi" w:eastAsia="Calibri" w:hAnsiTheme="minorHAnsi"/>
          <w:sz w:val="22"/>
          <w:szCs w:val="22"/>
        </w:rPr>
        <w:t xml:space="preserve">conducted a pedestrian survey by walking </w:t>
      </w:r>
      <w:r w:rsidR="0014127D">
        <w:rPr>
          <w:rFonts w:asciiTheme="minorHAnsi" w:eastAsia="Calibri" w:hAnsiTheme="minorHAnsi"/>
          <w:sz w:val="22"/>
          <w:szCs w:val="22"/>
        </w:rPr>
        <w:t>5</w:t>
      </w:r>
      <w:r w:rsidRPr="008D2BC5">
        <w:rPr>
          <w:rFonts w:asciiTheme="minorHAnsi" w:eastAsia="Calibri" w:hAnsiTheme="minorHAnsi"/>
          <w:sz w:val="22"/>
          <w:szCs w:val="22"/>
        </w:rPr>
        <w:t>-meter interval parallel transects across the project site</w:t>
      </w:r>
      <w:r w:rsidR="0014127D">
        <w:rPr>
          <w:rFonts w:asciiTheme="minorHAnsi" w:eastAsia="Calibri" w:hAnsiTheme="minorHAnsi"/>
          <w:sz w:val="22"/>
          <w:szCs w:val="22"/>
        </w:rPr>
        <w:t xml:space="preserve"> where accessible</w:t>
      </w:r>
      <w:r w:rsidRPr="008D2BC5">
        <w:rPr>
          <w:rFonts w:asciiTheme="minorHAnsi" w:eastAsia="Calibri" w:hAnsiTheme="minorHAnsi"/>
          <w:sz w:val="22"/>
          <w:szCs w:val="22"/>
        </w:rPr>
        <w:t xml:space="preserve">. </w:t>
      </w:r>
      <w:r w:rsidR="00244306">
        <w:rPr>
          <w:rFonts w:asciiTheme="minorHAnsi" w:eastAsia="Calibri" w:hAnsiTheme="minorHAnsi"/>
          <w:sz w:val="22"/>
          <w:szCs w:val="22"/>
        </w:rPr>
        <w:t>Soils</w:t>
      </w:r>
      <w:r w:rsidR="0014127D" w:rsidRPr="0014127D">
        <w:rPr>
          <w:rFonts w:asciiTheme="minorHAnsi" w:eastAsia="Calibri" w:hAnsiTheme="minorHAnsi"/>
          <w:sz w:val="22"/>
          <w:szCs w:val="22"/>
        </w:rPr>
        <w:t xml:space="preserve"> consisted of a brown clayey loam</w:t>
      </w:r>
      <w:r w:rsidR="0086255B">
        <w:rPr>
          <w:rFonts w:asciiTheme="minorHAnsi" w:eastAsia="Calibri" w:hAnsiTheme="minorHAnsi"/>
          <w:sz w:val="22"/>
          <w:szCs w:val="22"/>
        </w:rPr>
        <w:t xml:space="preserve"> and</w:t>
      </w:r>
      <w:r w:rsidR="0014127D" w:rsidRPr="0014127D">
        <w:rPr>
          <w:rFonts w:asciiTheme="minorHAnsi" w:eastAsia="Calibri" w:hAnsiTheme="minorHAnsi"/>
          <w:sz w:val="22"/>
          <w:szCs w:val="22"/>
        </w:rPr>
        <w:t xml:space="preserve"> a brown and yellow sandy loam with patches of sand. Native soils were intermixed with imported fill</w:t>
      </w:r>
      <w:r w:rsidR="0014127D">
        <w:rPr>
          <w:rFonts w:asciiTheme="minorHAnsi" w:eastAsia="Calibri" w:hAnsiTheme="minorHAnsi"/>
          <w:sz w:val="22"/>
          <w:szCs w:val="22"/>
        </w:rPr>
        <w:t xml:space="preserve"> and g</w:t>
      </w:r>
      <w:r w:rsidR="0014127D" w:rsidRPr="0014127D">
        <w:rPr>
          <w:rFonts w:asciiTheme="minorHAnsi" w:eastAsia="Calibri" w:hAnsiTheme="minorHAnsi"/>
          <w:sz w:val="22"/>
          <w:szCs w:val="22"/>
        </w:rPr>
        <w:t xml:space="preserve">ravel was observed </w:t>
      </w:r>
      <w:r w:rsidR="0014127D" w:rsidRPr="0014127D">
        <w:rPr>
          <w:rFonts w:asciiTheme="minorHAnsi" w:eastAsia="Calibri" w:hAnsiTheme="minorHAnsi"/>
          <w:sz w:val="22"/>
          <w:szCs w:val="22"/>
        </w:rPr>
        <w:lastRenderedPageBreak/>
        <w:t xml:space="preserve">mixed with all soils throughout the site. There was evidence of previous disturbance and development, including subsurface sewer and water utility access points. </w:t>
      </w:r>
      <w:r w:rsidRPr="008D2BC5">
        <w:rPr>
          <w:rFonts w:asciiTheme="minorHAnsi" w:eastAsia="Calibri" w:hAnsiTheme="minorHAnsi"/>
          <w:sz w:val="22"/>
          <w:szCs w:val="22"/>
        </w:rPr>
        <w:t>No prehistoric or historic-period archaeological or built environment resources were identified during the efforts; therefore, it was concluded that no resources w</w:t>
      </w:r>
      <w:r w:rsidR="0086255B">
        <w:rPr>
          <w:rFonts w:asciiTheme="minorHAnsi" w:eastAsia="Calibri" w:hAnsiTheme="minorHAnsi"/>
          <w:sz w:val="22"/>
          <w:szCs w:val="22"/>
        </w:rPr>
        <w:t>ould</w:t>
      </w:r>
      <w:r w:rsidRPr="008D2BC5">
        <w:rPr>
          <w:rFonts w:asciiTheme="minorHAnsi" w:eastAsia="Calibri" w:hAnsiTheme="minorHAnsi"/>
          <w:sz w:val="22"/>
          <w:szCs w:val="22"/>
        </w:rPr>
        <w:t xml:space="preserve"> be affected by the project </w:t>
      </w:r>
      <w:r w:rsidRPr="00893F70">
        <w:rPr>
          <w:rFonts w:asciiTheme="minorHAnsi" w:eastAsia="Calibri" w:hAnsiTheme="minorHAnsi"/>
          <w:sz w:val="22"/>
          <w:szCs w:val="22"/>
        </w:rPr>
        <w:t>(Appendix CUL).</w:t>
      </w:r>
      <w:r w:rsidRPr="008D2BC5">
        <w:rPr>
          <w:rFonts w:asciiTheme="minorHAnsi" w:eastAsia="Calibri" w:hAnsiTheme="minorHAnsi"/>
          <w:sz w:val="22"/>
          <w:szCs w:val="22"/>
        </w:rPr>
        <w:t xml:space="preserve"> </w:t>
      </w:r>
    </w:p>
    <w:p w14:paraId="60E670C8" w14:textId="507757D3" w:rsidR="008D2BC5" w:rsidRPr="008D2BC5" w:rsidRDefault="008D2BC5" w:rsidP="008D2BC5">
      <w:pPr>
        <w:spacing w:before="120"/>
        <w:rPr>
          <w:rFonts w:ascii="Calibri" w:hAnsi="Calibri"/>
          <w:sz w:val="22"/>
          <w:szCs w:val="22"/>
        </w:rPr>
      </w:pPr>
      <w:r w:rsidRPr="008D2BC5">
        <w:rPr>
          <w:rFonts w:ascii="Calibri" w:hAnsi="Calibri"/>
          <w:sz w:val="22"/>
          <w:szCs w:val="22"/>
        </w:rPr>
        <w:t xml:space="preserve">Rincon contacted the NAHC on September </w:t>
      </w:r>
      <w:r w:rsidR="00A13310">
        <w:rPr>
          <w:rFonts w:ascii="Calibri" w:hAnsi="Calibri"/>
          <w:sz w:val="22"/>
          <w:szCs w:val="22"/>
        </w:rPr>
        <w:t>23</w:t>
      </w:r>
      <w:r w:rsidRPr="008D2BC5">
        <w:rPr>
          <w:rFonts w:ascii="Calibri" w:hAnsi="Calibri"/>
          <w:sz w:val="22"/>
          <w:szCs w:val="22"/>
        </w:rPr>
        <w:t>, 2021, to request an updated</w:t>
      </w:r>
      <w:r w:rsidR="0086255B">
        <w:rPr>
          <w:rFonts w:ascii="Calibri" w:hAnsi="Calibri"/>
          <w:sz w:val="22"/>
          <w:szCs w:val="22"/>
        </w:rPr>
        <w:t xml:space="preserve"> Sacred Lands Files</w:t>
      </w:r>
      <w:r w:rsidRPr="008D2BC5">
        <w:rPr>
          <w:rFonts w:ascii="Calibri" w:hAnsi="Calibri"/>
          <w:sz w:val="22"/>
          <w:szCs w:val="22"/>
        </w:rPr>
        <w:t xml:space="preserve"> </w:t>
      </w:r>
      <w:r w:rsidR="0086255B">
        <w:rPr>
          <w:rFonts w:ascii="Calibri" w:hAnsi="Calibri"/>
          <w:sz w:val="22"/>
          <w:szCs w:val="22"/>
        </w:rPr>
        <w:t>(</w:t>
      </w:r>
      <w:r w:rsidRPr="008D2BC5">
        <w:rPr>
          <w:rFonts w:ascii="Calibri" w:hAnsi="Calibri"/>
          <w:sz w:val="22"/>
          <w:szCs w:val="22"/>
        </w:rPr>
        <w:t>SLF</w:t>
      </w:r>
      <w:r w:rsidR="0086255B">
        <w:rPr>
          <w:rFonts w:ascii="Calibri" w:hAnsi="Calibri"/>
          <w:sz w:val="22"/>
          <w:szCs w:val="22"/>
        </w:rPr>
        <w:t>)</w:t>
      </w:r>
      <w:r w:rsidRPr="008D2BC5">
        <w:rPr>
          <w:rFonts w:ascii="Calibri" w:hAnsi="Calibri"/>
          <w:sz w:val="22"/>
          <w:szCs w:val="22"/>
        </w:rPr>
        <w:t xml:space="preserve"> search of the project site. The NAHC emailed a response on </w:t>
      </w:r>
      <w:r w:rsidR="00A13310">
        <w:rPr>
          <w:rFonts w:ascii="Calibri" w:hAnsi="Calibri"/>
          <w:sz w:val="22"/>
          <w:szCs w:val="22"/>
        </w:rPr>
        <w:t>November</w:t>
      </w:r>
      <w:r w:rsidRPr="008D2BC5">
        <w:rPr>
          <w:rFonts w:ascii="Calibri" w:hAnsi="Calibri"/>
          <w:sz w:val="22"/>
          <w:szCs w:val="22"/>
        </w:rPr>
        <w:t xml:space="preserve"> 1, 2021, stating the SLF search was negative. </w:t>
      </w:r>
    </w:p>
    <w:p w14:paraId="4C3E5B4E" w14:textId="17B86701" w:rsidR="00335A9D" w:rsidRPr="00AC1C51" w:rsidRDefault="008D2BC5" w:rsidP="00AC1C51">
      <w:pPr>
        <w:pStyle w:val="body0"/>
      </w:pPr>
      <w:r w:rsidRPr="008D2BC5">
        <w:t xml:space="preserve">As the SLF search was returned with negative results, and no prehistoric resources were identified within the project site, the project site is considered to have low archaeological sensitivity. However, it is possible that unanticipated archaeological deposits and/or human remains could be encountered and damaged during ground-disturbing activities, especially if those activities would occur in less-disturbed areas. </w:t>
      </w:r>
      <w:r w:rsidR="008774FB">
        <w:t>The project</w:t>
      </w:r>
      <w:r w:rsidR="00F268F9">
        <w:t xml:space="preserve"> applicant</w:t>
      </w:r>
      <w:r w:rsidR="008774FB">
        <w:t xml:space="preserve"> would</w:t>
      </w:r>
      <w:r w:rsidR="00F268F9">
        <w:t xml:space="preserve"> be required to</w:t>
      </w:r>
      <w:r w:rsidR="008774FB">
        <w:t xml:space="preserve"> implement </w:t>
      </w:r>
      <w:r w:rsidR="00F268F9">
        <w:t xml:space="preserve">the following City of Mountain View standard conditions of approval </w:t>
      </w:r>
      <w:r w:rsidR="008774FB">
        <w:t xml:space="preserve">to ensure that </w:t>
      </w:r>
      <w:r w:rsidR="00335A9D">
        <w:t>unanticipated archaeological deposits would not be substantially disturbed</w:t>
      </w:r>
      <w:r w:rsidR="008774FB">
        <w:t xml:space="preserve"> as a standard condition of approval</w:t>
      </w:r>
      <w:r w:rsidR="00335A9D">
        <w:t xml:space="preserve">. </w:t>
      </w:r>
    </w:p>
    <w:p w14:paraId="0D83A9A8" w14:textId="00E49107" w:rsidR="008D2BC5" w:rsidRPr="008D2BC5" w:rsidRDefault="008774FB" w:rsidP="00147C30">
      <w:pPr>
        <w:pStyle w:val="Heading6"/>
      </w:pPr>
      <w:r>
        <w:t>Standard Condition of Approval</w:t>
      </w:r>
      <w:r w:rsidR="00F87018">
        <w:t xml:space="preserve"> PL-194</w:t>
      </w:r>
      <w:r w:rsidR="00335A9D">
        <w:t xml:space="preserve">: Discovery of Archaeological Resources </w:t>
      </w:r>
    </w:p>
    <w:p w14:paraId="71A610B6" w14:textId="5F2B2036" w:rsidR="00335A9D" w:rsidRDefault="00335A9D" w:rsidP="00335A9D">
      <w:pPr>
        <w:pStyle w:val="BodyText0"/>
      </w:pPr>
      <w:r w:rsidRPr="00934914">
        <w:t>If prehistoric or historic-period cultural materials</w:t>
      </w:r>
      <w:r>
        <w:t xml:space="preserve"> </w:t>
      </w:r>
      <w:r w:rsidRPr="00934914">
        <w:t>are unearthed during ground-disturbing activities, it is recommended that all work within 100</w:t>
      </w:r>
      <w:r w:rsidR="00F87018">
        <w:t xml:space="preserve"> feet</w:t>
      </w:r>
      <w:r w:rsidRPr="00934914">
        <w:t xml:space="preserve"> of the find</w:t>
      </w:r>
      <w:r>
        <w:t xml:space="preserve"> </w:t>
      </w:r>
      <w:r w:rsidRPr="00934914">
        <w:t>be halted until a qualified archaeologist and Native American representative can assess the significance of</w:t>
      </w:r>
      <w:r>
        <w:t xml:space="preserve"> </w:t>
      </w:r>
      <w:r w:rsidRPr="00934914">
        <w:t>the find. Prehistoric materials might include obsidian and chert-flaked stone tools (e.g., projectile points,</w:t>
      </w:r>
      <w:r>
        <w:t xml:space="preserve"> </w:t>
      </w:r>
      <w:r w:rsidRPr="00934914">
        <w:t>knives, scrapers) or tool-making debris; culturally darkened soil (“midden”) containing heat-affected rocks</w:t>
      </w:r>
      <w:r>
        <w:t xml:space="preserve"> </w:t>
      </w:r>
      <w:r w:rsidRPr="00934914">
        <w:t>and artifacts; stone milling equipment (e.g., mortars, pestles, hand</w:t>
      </w:r>
      <w:r>
        <w:t xml:space="preserve"> </w:t>
      </w:r>
      <w:r w:rsidRPr="00934914">
        <w:t>stones, or milling slabs); and battered</w:t>
      </w:r>
      <w:r>
        <w:t xml:space="preserve"> </w:t>
      </w:r>
      <w:r w:rsidRPr="00934914">
        <w:t>stone tools, such as hammerstones and</w:t>
      </w:r>
      <w:r>
        <w:t xml:space="preserve"> </w:t>
      </w:r>
      <w:r w:rsidRPr="00934914">
        <w:t>pitted stones. Historic-period materials might include stone,</w:t>
      </w:r>
      <w:r>
        <w:t xml:space="preserve"> </w:t>
      </w:r>
      <w:r w:rsidRPr="00934914">
        <w:t>concrete, or adobe footings and walls; filled</w:t>
      </w:r>
      <w:r>
        <w:t xml:space="preserve"> </w:t>
      </w:r>
      <w:r w:rsidRPr="00934914">
        <w:t>wells or privies; and deposits of metal, glass, and/or ceramic</w:t>
      </w:r>
      <w:r>
        <w:t xml:space="preserve"> </w:t>
      </w:r>
      <w:r w:rsidRPr="00934914">
        <w:t>refuse. If the find is determined to be potentially significant, the archaeologist, in consultation with the</w:t>
      </w:r>
      <w:r>
        <w:t xml:space="preserve"> </w:t>
      </w:r>
      <w:r w:rsidRPr="00934914">
        <w:t>Native American representative, will develop a treatment plan that could include site avoidance, capping,</w:t>
      </w:r>
      <w:r>
        <w:t xml:space="preserve"> </w:t>
      </w:r>
      <w:r w:rsidRPr="00934914">
        <w:t xml:space="preserve">or data recovery. </w:t>
      </w:r>
    </w:p>
    <w:p w14:paraId="147FA16B" w14:textId="578B504C" w:rsidR="003D6547" w:rsidRDefault="003D6547" w:rsidP="00147C30">
      <w:pPr>
        <w:pStyle w:val="Heading6"/>
      </w:pPr>
      <w:r>
        <w:t xml:space="preserve">Standard Condition of Approval PL-195: Discovery of </w:t>
      </w:r>
      <w:r w:rsidR="005C0F65">
        <w:t>Human Remains</w:t>
      </w:r>
    </w:p>
    <w:p w14:paraId="169446A2" w14:textId="2030D32C" w:rsidR="005C0F65" w:rsidRDefault="005C0F65" w:rsidP="004C7545">
      <w:pPr>
        <w:pStyle w:val="BodyText"/>
      </w:pPr>
      <w:r w:rsidRPr="005C0F65">
        <w:t>In</w:t>
      </w:r>
      <w:r>
        <w:t xml:space="preserve"> </w:t>
      </w:r>
      <w:r w:rsidRPr="005C0F65">
        <w:t>the event of the discovery of human remains during construction or demolition,</w:t>
      </w:r>
      <w:r w:rsidR="009C55C5">
        <w:t xml:space="preserve"> </w:t>
      </w:r>
      <w:r w:rsidRPr="005C0F65">
        <w:t xml:space="preserve">there shall be no further excavation or disturbance of the site within a </w:t>
      </w:r>
      <w:r w:rsidR="009C55C5" w:rsidRPr="005C0F65">
        <w:t>50</w:t>
      </w:r>
      <w:r w:rsidR="009C55C5">
        <w:t>-foot</w:t>
      </w:r>
      <w:r w:rsidRPr="005C0F65">
        <w:t xml:space="preserve"> radius</w:t>
      </w:r>
      <w:r w:rsidR="009C55C5">
        <w:t xml:space="preserve"> </w:t>
      </w:r>
      <w:r w:rsidRPr="005C0F65">
        <w:t>of the location of such</w:t>
      </w:r>
      <w:r w:rsidR="009C55C5">
        <w:t xml:space="preserve"> </w:t>
      </w:r>
      <w:r w:rsidRPr="005C0F65">
        <w:t>discovery, or any nearby area reasonably suspected to</w:t>
      </w:r>
      <w:r w:rsidR="009C55C5">
        <w:t xml:space="preserve"> </w:t>
      </w:r>
      <w:r w:rsidRPr="005C0F65">
        <w:t>overlie adjacent remains. The Santa Clara County Coroner shall be notified and</w:t>
      </w:r>
      <w:r w:rsidR="009C55C5">
        <w:t xml:space="preserve"> </w:t>
      </w:r>
      <w:r w:rsidRPr="005C0F65">
        <w:t>shall make a determination as to whether the remains are Native American. If</w:t>
      </w:r>
      <w:r w:rsidR="009C55C5">
        <w:t xml:space="preserve"> </w:t>
      </w:r>
      <w:r w:rsidRPr="005C0F65">
        <w:t>the Coroner determines that the remains are not subject to their authority, the</w:t>
      </w:r>
      <w:r w:rsidRPr="005C0F65">
        <w:br/>
        <w:t>Coroner shall notify the Native American Heritage Commission, which shall</w:t>
      </w:r>
      <w:r w:rsidR="009C55C5">
        <w:t xml:space="preserve"> </w:t>
      </w:r>
      <w:r w:rsidRPr="005C0F65">
        <w:t>attempt to identify descendants of the deceased Native American. If no</w:t>
      </w:r>
      <w:r w:rsidR="009C55C5">
        <w:t xml:space="preserve"> </w:t>
      </w:r>
      <w:r w:rsidRPr="005C0F65">
        <w:t>satisfactory agreement can be reached as to the disposition of the remains</w:t>
      </w:r>
      <w:r w:rsidR="009C55C5">
        <w:t xml:space="preserve"> </w:t>
      </w:r>
      <w:r w:rsidRPr="005C0F65">
        <w:t>pursuant to this State law, then the landowner shall reinter the human remains</w:t>
      </w:r>
      <w:r w:rsidR="009C55C5">
        <w:t xml:space="preserve"> </w:t>
      </w:r>
      <w:r w:rsidRPr="005C0F65">
        <w:t>and items associated with Native American burials on the property in a location</w:t>
      </w:r>
      <w:r w:rsidRPr="005C0F65">
        <w:br/>
        <w:t>not subject to further subsurface disturbance. A final report shall be submitted</w:t>
      </w:r>
      <w:r w:rsidR="009C55C5">
        <w:t xml:space="preserve"> </w:t>
      </w:r>
      <w:r w:rsidRPr="005C0F65">
        <w:t>to the City’s Community Development Director prior to release of a Certificate of</w:t>
      </w:r>
      <w:r w:rsidR="009C55C5">
        <w:t xml:space="preserve"> </w:t>
      </w:r>
      <w:r w:rsidRPr="005C0F65">
        <w:t>Occupancy. This report shall contain a description of the mitigation programs</w:t>
      </w:r>
      <w:r w:rsidR="009C55C5">
        <w:t xml:space="preserve"> </w:t>
      </w:r>
      <w:r w:rsidRPr="005C0F65">
        <w:t>and its results, including a description of the monitoring and testing resources</w:t>
      </w:r>
      <w:r w:rsidR="009C55C5">
        <w:t xml:space="preserve"> </w:t>
      </w:r>
      <w:r w:rsidRPr="005C0F65">
        <w:t>analysis methodology and conclusions, and a description of the</w:t>
      </w:r>
      <w:r w:rsidRPr="005C0F65">
        <w:br/>
        <w:t>disposition/curation of the resources. The report shall verify completion of the</w:t>
      </w:r>
      <w:r w:rsidR="009C55C5">
        <w:t xml:space="preserve"> </w:t>
      </w:r>
      <w:r w:rsidRPr="005C0F65">
        <w:t>mitigation program to the satisfaction of the City’s Community Development</w:t>
      </w:r>
      <w:r w:rsidR="009C55C5">
        <w:t xml:space="preserve"> </w:t>
      </w:r>
      <w:r w:rsidRPr="005C0F65">
        <w:t>Director.</w:t>
      </w:r>
    </w:p>
    <w:p w14:paraId="4433820F" w14:textId="7F3EDAE1" w:rsidR="00071FDE" w:rsidRDefault="00071FDE" w:rsidP="00071FDE">
      <w:pPr>
        <w:pStyle w:val="Heading6"/>
      </w:pPr>
      <w:r>
        <w:lastRenderedPageBreak/>
        <w:t>Standard Condition Approval PL-202: Cultural Sensitivity Training</w:t>
      </w:r>
    </w:p>
    <w:p w14:paraId="295FF76E" w14:textId="169142C4" w:rsidR="00071FDE" w:rsidRDefault="00071FDE" w:rsidP="00071FDE">
      <w:pPr>
        <w:pStyle w:val="BodyText"/>
      </w:pPr>
      <w:r>
        <w:t xml:space="preserve">As requested during the Tribal Consultation process for the project, Cultural Sensitivity Training shall be provided to the construction crews at the beginning of the project to aid those involved in the project to become familiar with the indigenous history of peoples in the vicinity of the project site. </w:t>
      </w:r>
    </w:p>
    <w:p w14:paraId="5DBB081B" w14:textId="391F5181" w:rsidR="00071FDE" w:rsidRDefault="00071FDE" w:rsidP="00071FDE">
      <w:pPr>
        <w:pStyle w:val="Heading6"/>
      </w:pPr>
      <w:r>
        <w:t>Standard Condition Approval PL-203: Native American Archaeological Monitor</w:t>
      </w:r>
    </w:p>
    <w:p w14:paraId="01868407" w14:textId="2EFE3A04" w:rsidR="00071FDE" w:rsidRPr="00071FDE" w:rsidRDefault="00071FDE" w:rsidP="00071FDE">
      <w:pPr>
        <w:pStyle w:val="BodyText"/>
      </w:pPr>
      <w:r>
        <w:t xml:space="preserve">A Native American archaeological monitor shall be present for all ground-disturbing activities throughout the project construction process. </w:t>
      </w:r>
    </w:p>
    <w:p w14:paraId="24A5A881" w14:textId="369906CF" w:rsidR="00F268F9" w:rsidRDefault="00F268F9" w:rsidP="008D2BC5">
      <w:pPr>
        <w:spacing w:before="120"/>
        <w:rPr>
          <w:rFonts w:ascii="Calibri" w:hAnsi="Calibri"/>
          <w:sz w:val="22"/>
          <w:szCs w:val="22"/>
        </w:rPr>
      </w:pPr>
      <w:r>
        <w:rPr>
          <w:rFonts w:ascii="Calibri" w:hAnsi="Calibri"/>
          <w:sz w:val="22"/>
          <w:szCs w:val="22"/>
        </w:rPr>
        <w:t>Required</w:t>
      </w:r>
      <w:r w:rsidR="00335A9D">
        <w:rPr>
          <w:rFonts w:ascii="Calibri" w:hAnsi="Calibri"/>
          <w:sz w:val="22"/>
          <w:szCs w:val="22"/>
        </w:rPr>
        <w:t xml:space="preserve"> </w:t>
      </w:r>
      <w:r>
        <w:rPr>
          <w:rFonts w:ascii="Calibri" w:hAnsi="Calibri"/>
          <w:sz w:val="22"/>
          <w:szCs w:val="22"/>
        </w:rPr>
        <w:t>i</w:t>
      </w:r>
      <w:r w:rsidR="008774FB">
        <w:rPr>
          <w:rFonts w:ascii="Calibri" w:hAnsi="Calibri"/>
          <w:sz w:val="22"/>
          <w:szCs w:val="22"/>
        </w:rPr>
        <w:t>mplementation of standard condition</w:t>
      </w:r>
      <w:r w:rsidR="00ED059D">
        <w:rPr>
          <w:rFonts w:ascii="Calibri" w:hAnsi="Calibri"/>
          <w:sz w:val="22"/>
          <w:szCs w:val="22"/>
        </w:rPr>
        <w:t>s</w:t>
      </w:r>
      <w:r w:rsidR="008774FB">
        <w:rPr>
          <w:rFonts w:ascii="Calibri" w:hAnsi="Calibri"/>
          <w:sz w:val="22"/>
          <w:szCs w:val="22"/>
        </w:rPr>
        <w:t xml:space="preserve"> of approval</w:t>
      </w:r>
      <w:r w:rsidR="00F87018">
        <w:rPr>
          <w:rFonts w:ascii="Calibri" w:hAnsi="Calibri"/>
          <w:sz w:val="22"/>
          <w:szCs w:val="22"/>
        </w:rPr>
        <w:t xml:space="preserve"> PL-194</w:t>
      </w:r>
      <w:r w:rsidR="00ED059D">
        <w:rPr>
          <w:rFonts w:ascii="Calibri" w:hAnsi="Calibri"/>
          <w:sz w:val="22"/>
          <w:szCs w:val="22"/>
        </w:rPr>
        <w:t>,</w:t>
      </w:r>
      <w:r w:rsidR="009C55C5">
        <w:rPr>
          <w:rFonts w:ascii="Calibri" w:hAnsi="Calibri"/>
          <w:sz w:val="22"/>
          <w:szCs w:val="22"/>
        </w:rPr>
        <w:t xml:space="preserve"> PL-195,</w:t>
      </w:r>
      <w:r w:rsidR="00ED059D">
        <w:rPr>
          <w:rFonts w:ascii="Calibri" w:hAnsi="Calibri"/>
          <w:sz w:val="22"/>
          <w:szCs w:val="22"/>
        </w:rPr>
        <w:t xml:space="preserve"> PL-202, and PL-203</w:t>
      </w:r>
      <w:r w:rsidR="00335A9D">
        <w:rPr>
          <w:rFonts w:ascii="Calibri" w:hAnsi="Calibri"/>
          <w:sz w:val="22"/>
          <w:szCs w:val="22"/>
        </w:rPr>
        <w:t xml:space="preserve"> would ensure that potential impacts to cultural resources </w:t>
      </w:r>
      <w:r w:rsidR="00F87018">
        <w:rPr>
          <w:rFonts w:ascii="Calibri" w:hAnsi="Calibri"/>
          <w:sz w:val="22"/>
          <w:szCs w:val="22"/>
        </w:rPr>
        <w:t>would be</w:t>
      </w:r>
      <w:r w:rsidR="00335A9D">
        <w:rPr>
          <w:rFonts w:ascii="Calibri" w:hAnsi="Calibri"/>
          <w:sz w:val="22"/>
          <w:szCs w:val="22"/>
        </w:rPr>
        <w:t xml:space="preserve"> less than significant.</w:t>
      </w:r>
    </w:p>
    <w:p w14:paraId="78FDE66E" w14:textId="77777777" w:rsidR="0064015D" w:rsidRPr="007B49DD" w:rsidRDefault="00817BC5" w:rsidP="0064015D">
      <w:pPr>
        <w:spacing w:before="120"/>
        <w:rPr>
          <w:rFonts w:ascii="Calibri" w:hAnsi="Calibri"/>
          <w:b/>
          <w:caps/>
          <w:sz w:val="22"/>
        </w:rPr>
      </w:pPr>
      <w:sdt>
        <w:sdtPr>
          <w:rPr>
            <w:rFonts w:ascii="Calibri" w:hAnsi="Calibri"/>
            <w:b/>
            <w:caps/>
            <w:sz w:val="22"/>
          </w:rPr>
          <w:alias w:val="1a"/>
          <w:tag w:val="dropdown"/>
          <w:id w:val="-1412539004"/>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sdtContent>
          <w:r w:rsidR="0064015D" w:rsidRPr="007B49DD">
            <w:rPr>
              <w:rFonts w:ascii="Calibri" w:hAnsi="Calibri"/>
              <w:b/>
              <w:caps/>
              <w:sz w:val="22"/>
            </w:rPr>
            <w:t>Less Than Significant Impact</w:t>
          </w:r>
        </w:sdtContent>
      </w:sdt>
    </w:p>
    <w:p w14:paraId="0C65FC5D" w14:textId="77777777" w:rsidR="008D2BC5" w:rsidRPr="008D2BC5" w:rsidRDefault="008D2BC5" w:rsidP="00915653">
      <w:pPr>
        <w:spacing w:before="240"/>
        <w:ind w:left="461" w:hanging="461"/>
        <w:rPr>
          <w:rFonts w:ascii="Calibri" w:hAnsi="Calibri"/>
          <w:i/>
          <w:sz w:val="22"/>
          <w:szCs w:val="22"/>
        </w:rPr>
      </w:pPr>
      <w:r w:rsidRPr="008D2BC5">
        <w:rPr>
          <w:rFonts w:ascii="Calibri" w:hAnsi="Calibri"/>
          <w:i/>
          <w:sz w:val="22"/>
          <w:szCs w:val="22"/>
        </w:rPr>
        <w:t>c.</w:t>
      </w:r>
      <w:r w:rsidRPr="008D2BC5">
        <w:rPr>
          <w:rFonts w:ascii="Calibri" w:hAnsi="Calibri"/>
          <w:i/>
          <w:sz w:val="22"/>
          <w:szCs w:val="22"/>
        </w:rPr>
        <w:tab/>
        <w:t>Would the project disturb any human remains, including those interred outside of formal cemeteries?</w:t>
      </w:r>
    </w:p>
    <w:p w14:paraId="3F8F23CC" w14:textId="77777777" w:rsidR="008D2BC5" w:rsidRPr="008D2BC5" w:rsidRDefault="008D2BC5" w:rsidP="008D2BC5">
      <w:pPr>
        <w:spacing w:before="120"/>
        <w:rPr>
          <w:rFonts w:ascii="Calibri" w:hAnsi="Calibri"/>
          <w:sz w:val="22"/>
          <w:szCs w:val="22"/>
        </w:rPr>
      </w:pPr>
      <w:r w:rsidRPr="008D2BC5">
        <w:rPr>
          <w:rFonts w:ascii="Calibri" w:hAnsi="Calibri"/>
          <w:sz w:val="22"/>
          <w:szCs w:val="22"/>
        </w:rPr>
        <w:t xml:space="preserve">The cultural resources records search did not identify cemeteries or archaeological resources containing human remains within the project site. However, the discovery of human remains is always a possibility during ground disturbing activities, as would be required for development within the site. Human burials outside of formal cemeteries often occur in prehistoric archaeological contexts. In addition to being potential archaeological resources, human burials have specific provisions for treatment in California Public Resources Code Section 5097. Additionally, the California Health and Safety Code (Sections 7050.5, 7051, and 7054) has specific provisions for the protection of human burial remains. Existing regulations address the illegality of interfering with human burial remains, and protects them from disturbance, vandalism, or destruction. Public Resources Code Section 5097.98 also addresses the disposition of Native American burials, protects such remains, and establishes the NAHC as the entity to resolve any related disputes. </w:t>
      </w:r>
    </w:p>
    <w:p w14:paraId="715D22CC" w14:textId="3041C32A" w:rsidR="008D2BC5" w:rsidRPr="00941ED2" w:rsidRDefault="008D2BC5" w:rsidP="008D2BC5">
      <w:pPr>
        <w:spacing w:before="120"/>
        <w:rPr>
          <w:rFonts w:ascii="Calibri" w:hAnsi="Calibri"/>
          <w:sz w:val="22"/>
          <w:szCs w:val="22"/>
        </w:rPr>
      </w:pPr>
      <w:r w:rsidRPr="008D2BC5">
        <w:rPr>
          <w:rFonts w:ascii="Calibri" w:hAnsi="Calibri"/>
          <w:sz w:val="22"/>
          <w:szCs w:val="22"/>
        </w:rPr>
        <w:t xml:space="preserve">If human remains are found, the State of California Health and Safety Code Section 7050.5 states that no further disturbance </w:t>
      </w:r>
      <w:r w:rsidR="00F268F9">
        <w:rPr>
          <w:rFonts w:ascii="Calibri" w:hAnsi="Calibri"/>
          <w:sz w:val="22"/>
          <w:szCs w:val="22"/>
        </w:rPr>
        <w:t>may</w:t>
      </w:r>
      <w:r w:rsidR="00F268F9" w:rsidRPr="008D2BC5">
        <w:rPr>
          <w:rFonts w:ascii="Calibri" w:hAnsi="Calibri"/>
          <w:sz w:val="22"/>
          <w:szCs w:val="22"/>
        </w:rPr>
        <w:t xml:space="preserve"> </w:t>
      </w:r>
      <w:r w:rsidRPr="008D2BC5">
        <w:rPr>
          <w:rFonts w:ascii="Calibri" w:hAnsi="Calibri"/>
          <w:sz w:val="22"/>
          <w:szCs w:val="22"/>
        </w:rPr>
        <w:t xml:space="preserve">occur until the County coroner has made a determination of origin and disposition pursuant to Public Resources Code Section 5097.98. In the event of an unanticipated discovery of human remains, the County coroner must be notified immediately. If the human remains are determined to be prehistoric, the coroner will notify the NAHC, which will determine and </w:t>
      </w:r>
      <w:r w:rsidRPr="00941ED2">
        <w:rPr>
          <w:rFonts w:ascii="Calibri" w:hAnsi="Calibri"/>
          <w:sz w:val="22"/>
          <w:szCs w:val="22"/>
        </w:rPr>
        <w:t xml:space="preserve">notify a most likely descendant (MLD). The MLD </w:t>
      </w:r>
      <w:r w:rsidR="00F268F9">
        <w:rPr>
          <w:rFonts w:ascii="Calibri" w:hAnsi="Calibri"/>
          <w:sz w:val="22"/>
          <w:szCs w:val="22"/>
        </w:rPr>
        <w:t>must</w:t>
      </w:r>
      <w:r w:rsidR="00F268F9" w:rsidRPr="00941ED2">
        <w:rPr>
          <w:rFonts w:ascii="Calibri" w:hAnsi="Calibri"/>
          <w:sz w:val="22"/>
          <w:szCs w:val="22"/>
        </w:rPr>
        <w:t xml:space="preserve"> </w:t>
      </w:r>
      <w:r w:rsidRPr="00941ED2">
        <w:rPr>
          <w:rFonts w:ascii="Calibri" w:hAnsi="Calibri"/>
          <w:sz w:val="22"/>
          <w:szCs w:val="22"/>
        </w:rPr>
        <w:t>complete the inspection of the site within 48 hours of notification and may recommend scientific removal and nondestructive analysis of human remains and items associated with Native American burials. Compliance with Public Resources Code Section 5097.98 and State of California Health and Safety Code Section 7050.5 would ensure</w:t>
      </w:r>
      <w:r w:rsidR="00F268F9">
        <w:rPr>
          <w:rFonts w:ascii="Calibri" w:hAnsi="Calibri"/>
          <w:sz w:val="22"/>
          <w:szCs w:val="22"/>
        </w:rPr>
        <w:t xml:space="preserve"> that</w:t>
      </w:r>
      <w:r w:rsidRPr="00941ED2">
        <w:rPr>
          <w:rFonts w:ascii="Calibri" w:hAnsi="Calibri"/>
          <w:sz w:val="22"/>
          <w:szCs w:val="22"/>
        </w:rPr>
        <w:t xml:space="preserve"> impacts to human remains are less than significant.</w:t>
      </w:r>
    </w:p>
    <w:p w14:paraId="1D0CD636" w14:textId="5EEA5B88" w:rsidR="008D2BC5" w:rsidRDefault="00817BC5" w:rsidP="008D2BC5">
      <w:pPr>
        <w:spacing w:before="120"/>
        <w:rPr>
          <w:rFonts w:ascii="Calibri" w:hAnsi="Calibri"/>
          <w:b/>
          <w:caps/>
          <w:sz w:val="22"/>
        </w:rPr>
      </w:pPr>
      <w:sdt>
        <w:sdtPr>
          <w:rPr>
            <w:rFonts w:ascii="Calibri" w:hAnsi="Calibri"/>
            <w:b/>
            <w:caps/>
            <w:sz w:val="22"/>
          </w:rPr>
          <w:alias w:val="1a"/>
          <w:tag w:val="dropdown"/>
          <w:id w:val="-1230844035"/>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sdtContent>
          <w:r w:rsidR="008D2BC5" w:rsidRPr="00941ED2">
            <w:rPr>
              <w:rFonts w:ascii="Calibri" w:hAnsi="Calibri"/>
              <w:b/>
              <w:caps/>
              <w:sz w:val="22"/>
            </w:rPr>
            <w:t>Less Than Significant Impact</w:t>
          </w:r>
        </w:sdtContent>
      </w:sdt>
    </w:p>
    <w:p w14:paraId="71218C29" w14:textId="77777777" w:rsidR="008E2EDF" w:rsidRPr="00697A01" w:rsidRDefault="008E2EDF" w:rsidP="00697A01">
      <w:pPr>
        <w:pStyle w:val="BodyText"/>
        <w:spacing w:before="240"/>
      </w:pPr>
    </w:p>
    <w:p w14:paraId="75DB9857" w14:textId="77777777" w:rsidR="008873CE" w:rsidRPr="00941ED2" w:rsidRDefault="008873CE" w:rsidP="00275B75">
      <w:pPr>
        <w:pStyle w:val="Heading3CEQA"/>
      </w:pPr>
      <w:bookmarkStart w:id="170" w:name="_Toc112942431"/>
      <w:bookmarkStart w:id="171" w:name="_Toc453855768"/>
      <w:bookmarkStart w:id="172" w:name="_Toc475630715"/>
      <w:bookmarkEnd w:id="168"/>
      <w:r w:rsidRPr="00941ED2">
        <w:lastRenderedPageBreak/>
        <w:t>Energy</w:t>
      </w:r>
      <w:bookmarkEnd w:id="170"/>
    </w:p>
    <w:tbl>
      <w:tblPr>
        <w:tblW w:w="9047" w:type="dxa"/>
        <w:tblBorders>
          <w:bottom w:val="single" w:sz="4" w:space="0" w:color="auto"/>
        </w:tblBorders>
        <w:tblLayout w:type="fixed"/>
        <w:tblLook w:val="04A0" w:firstRow="1" w:lastRow="0" w:firstColumn="1" w:lastColumn="0" w:noHBand="0" w:noVBand="1"/>
      </w:tblPr>
      <w:tblGrid>
        <w:gridCol w:w="11"/>
        <w:gridCol w:w="4339"/>
        <w:gridCol w:w="1183"/>
        <w:gridCol w:w="71"/>
        <w:gridCol w:w="1127"/>
        <w:gridCol w:w="21"/>
        <w:gridCol w:w="1109"/>
        <w:gridCol w:w="1127"/>
        <w:gridCol w:w="59"/>
      </w:tblGrid>
      <w:tr w:rsidR="008873CE" w:rsidRPr="00E5753A" w14:paraId="6EAA3AAF" w14:textId="77777777" w:rsidTr="00C85545">
        <w:trPr>
          <w:tblHeader/>
        </w:trPr>
        <w:tc>
          <w:tcPr>
            <w:tcW w:w="4350" w:type="dxa"/>
            <w:gridSpan w:val="2"/>
            <w:tcBorders>
              <w:bottom w:val="single" w:sz="4" w:space="0" w:color="auto"/>
            </w:tcBorders>
            <w:shd w:val="clear" w:color="auto" w:fill="D9D9D9"/>
            <w:tcMar>
              <w:top w:w="20" w:type="dxa"/>
              <w:left w:w="115" w:type="dxa"/>
              <w:bottom w:w="20" w:type="dxa"/>
              <w:right w:w="115" w:type="dxa"/>
            </w:tcMar>
            <w:vAlign w:val="bottom"/>
          </w:tcPr>
          <w:p w14:paraId="047033F3" w14:textId="77777777" w:rsidR="008873CE" w:rsidRPr="00941ED2" w:rsidRDefault="008873CE" w:rsidP="00C85545">
            <w:pPr>
              <w:pStyle w:val="TableHeadings"/>
              <w:jc w:val="center"/>
            </w:pPr>
          </w:p>
        </w:tc>
        <w:tc>
          <w:tcPr>
            <w:tcW w:w="1183" w:type="dxa"/>
            <w:tcBorders>
              <w:bottom w:val="single" w:sz="4" w:space="0" w:color="auto"/>
            </w:tcBorders>
            <w:shd w:val="clear" w:color="auto" w:fill="D9D9D9"/>
            <w:tcMar>
              <w:top w:w="20" w:type="dxa"/>
              <w:left w:w="115" w:type="dxa"/>
              <w:bottom w:w="20" w:type="dxa"/>
              <w:right w:w="115" w:type="dxa"/>
            </w:tcMar>
            <w:vAlign w:val="bottom"/>
            <w:hideMark/>
          </w:tcPr>
          <w:p w14:paraId="5F85ABF2" w14:textId="77777777" w:rsidR="008873CE" w:rsidRPr="00941ED2" w:rsidRDefault="008873CE" w:rsidP="00C85545">
            <w:pPr>
              <w:pStyle w:val="TableHeadings"/>
              <w:jc w:val="center"/>
            </w:pPr>
            <w:r w:rsidRPr="00941ED2">
              <w:t>Potentially Significant Impact</w:t>
            </w:r>
          </w:p>
        </w:tc>
        <w:tc>
          <w:tcPr>
            <w:tcW w:w="1219" w:type="dxa"/>
            <w:gridSpan w:val="3"/>
            <w:tcBorders>
              <w:bottom w:val="single" w:sz="4" w:space="0" w:color="auto"/>
            </w:tcBorders>
            <w:shd w:val="clear" w:color="auto" w:fill="D9D9D9"/>
            <w:tcMar>
              <w:top w:w="20" w:type="dxa"/>
              <w:left w:w="115" w:type="dxa"/>
              <w:bottom w:w="20" w:type="dxa"/>
              <w:right w:w="115" w:type="dxa"/>
            </w:tcMar>
            <w:vAlign w:val="bottom"/>
            <w:hideMark/>
          </w:tcPr>
          <w:p w14:paraId="2622455F" w14:textId="77777777" w:rsidR="008873CE" w:rsidRPr="00941ED2" w:rsidRDefault="008873CE" w:rsidP="00C85545">
            <w:pPr>
              <w:pStyle w:val="TableHeadings"/>
              <w:jc w:val="center"/>
            </w:pPr>
            <w:r w:rsidRPr="00941ED2">
              <w:t>Less than Significant with Mitigation Incorporated</w:t>
            </w:r>
          </w:p>
        </w:tc>
        <w:tc>
          <w:tcPr>
            <w:tcW w:w="1109" w:type="dxa"/>
            <w:tcBorders>
              <w:bottom w:val="single" w:sz="4" w:space="0" w:color="auto"/>
            </w:tcBorders>
            <w:shd w:val="clear" w:color="auto" w:fill="D9D9D9"/>
            <w:tcMar>
              <w:top w:w="20" w:type="dxa"/>
              <w:left w:w="115" w:type="dxa"/>
              <w:bottom w:w="20" w:type="dxa"/>
              <w:right w:w="115" w:type="dxa"/>
            </w:tcMar>
            <w:vAlign w:val="bottom"/>
            <w:hideMark/>
          </w:tcPr>
          <w:p w14:paraId="0BCC1AEB" w14:textId="77777777" w:rsidR="008873CE" w:rsidRPr="00941ED2" w:rsidRDefault="008873CE" w:rsidP="00C85545">
            <w:pPr>
              <w:pStyle w:val="TableHeadings"/>
              <w:jc w:val="center"/>
            </w:pPr>
            <w:r w:rsidRPr="00941ED2">
              <w:t>Less than Significant Impact</w:t>
            </w:r>
          </w:p>
        </w:tc>
        <w:tc>
          <w:tcPr>
            <w:tcW w:w="1186" w:type="dxa"/>
            <w:gridSpan w:val="2"/>
            <w:tcBorders>
              <w:bottom w:val="single" w:sz="4" w:space="0" w:color="auto"/>
            </w:tcBorders>
            <w:shd w:val="clear" w:color="auto" w:fill="D9D9D9"/>
            <w:tcMar>
              <w:top w:w="20" w:type="dxa"/>
              <w:left w:w="115" w:type="dxa"/>
              <w:bottom w:w="20" w:type="dxa"/>
              <w:right w:w="115" w:type="dxa"/>
            </w:tcMar>
            <w:vAlign w:val="bottom"/>
            <w:hideMark/>
          </w:tcPr>
          <w:p w14:paraId="30314ED6" w14:textId="77777777" w:rsidR="008873CE" w:rsidRPr="00E42AEA" w:rsidRDefault="008873CE" w:rsidP="00C85545">
            <w:pPr>
              <w:pStyle w:val="TableHeadings"/>
              <w:jc w:val="center"/>
            </w:pPr>
            <w:r w:rsidRPr="00941ED2">
              <w:t>No Impact</w:t>
            </w:r>
          </w:p>
        </w:tc>
      </w:tr>
      <w:tr w:rsidR="008873CE" w:rsidRPr="00E5753A" w14:paraId="21C9FE13" w14:textId="77777777" w:rsidTr="00C85545">
        <w:trPr>
          <w:gridBefore w:val="1"/>
          <w:wBefore w:w="11" w:type="dxa"/>
        </w:trPr>
        <w:tc>
          <w:tcPr>
            <w:tcW w:w="9036" w:type="dxa"/>
            <w:gridSpan w:val="8"/>
            <w:tcMar>
              <w:top w:w="20" w:type="dxa"/>
              <w:left w:w="115" w:type="dxa"/>
              <w:bottom w:w="20" w:type="dxa"/>
              <w:right w:w="115" w:type="dxa"/>
            </w:tcMar>
            <w:vAlign w:val="bottom"/>
            <w:hideMark/>
          </w:tcPr>
          <w:p w14:paraId="139A4EB4" w14:textId="77777777" w:rsidR="008873CE" w:rsidRPr="00E42AEA" w:rsidRDefault="008873CE" w:rsidP="00C85545">
            <w:pPr>
              <w:pStyle w:val="BodyText"/>
              <w:spacing w:before="60" w:after="60"/>
              <w:rPr>
                <w:b/>
              </w:rPr>
            </w:pPr>
            <w:r w:rsidRPr="00E42AEA">
              <w:t>Would the project:</w:t>
            </w:r>
          </w:p>
        </w:tc>
      </w:tr>
      <w:tr w:rsidR="008873CE" w:rsidRPr="00E5753A" w14:paraId="3B07A631" w14:textId="77777777" w:rsidTr="00C85545">
        <w:trPr>
          <w:gridBefore w:val="1"/>
          <w:gridAfter w:val="1"/>
          <w:wBefore w:w="11" w:type="dxa"/>
          <w:wAfter w:w="59" w:type="dxa"/>
        </w:trPr>
        <w:tc>
          <w:tcPr>
            <w:tcW w:w="4339" w:type="dxa"/>
            <w:tcMar>
              <w:top w:w="20" w:type="dxa"/>
              <w:left w:w="115" w:type="dxa"/>
              <w:bottom w:w="20" w:type="dxa"/>
              <w:right w:w="115" w:type="dxa"/>
            </w:tcMar>
            <w:vAlign w:val="bottom"/>
            <w:hideMark/>
          </w:tcPr>
          <w:p w14:paraId="5D24D898" w14:textId="77777777" w:rsidR="008873CE" w:rsidRPr="00E42AEA" w:rsidRDefault="008873CE" w:rsidP="0064015D">
            <w:pPr>
              <w:pStyle w:val="BulletListLettered"/>
              <w:numPr>
                <w:ilvl w:val="0"/>
                <w:numId w:val="113"/>
              </w:numPr>
            </w:pPr>
            <w:r w:rsidRPr="00E42AEA">
              <w:t>Result in a potentially significant environmental impact due to wasteful, inefficient, or unnecessary consumption of energy resources, during project construction or operation?</w:t>
            </w:r>
          </w:p>
        </w:tc>
        <w:tc>
          <w:tcPr>
            <w:tcW w:w="1254" w:type="dxa"/>
            <w:gridSpan w:val="2"/>
            <w:tcMar>
              <w:top w:w="20" w:type="dxa"/>
              <w:left w:w="115" w:type="dxa"/>
              <w:bottom w:w="20" w:type="dxa"/>
              <w:right w:w="115" w:type="dxa"/>
            </w:tcMar>
            <w:vAlign w:val="bottom"/>
          </w:tcPr>
          <w:p w14:paraId="69963A2D" w14:textId="77777777" w:rsidR="008873CE" w:rsidRPr="00E42AEA" w:rsidRDefault="008873CE" w:rsidP="00C85545">
            <w:pPr>
              <w:spacing w:before="60" w:after="60"/>
              <w:jc w:val="center"/>
              <w:rPr>
                <w:sz w:val="28"/>
                <w:szCs w:val="28"/>
              </w:rPr>
            </w:pPr>
            <w:r w:rsidRPr="00E42AEA">
              <w:rPr>
                <w:rFonts w:ascii="Times New Roman" w:hAnsi="Times New Roman"/>
              </w:rPr>
              <w:t>□</w:t>
            </w:r>
          </w:p>
        </w:tc>
        <w:tc>
          <w:tcPr>
            <w:tcW w:w="1127" w:type="dxa"/>
            <w:tcMar>
              <w:top w:w="20" w:type="dxa"/>
              <w:left w:w="115" w:type="dxa"/>
              <w:bottom w:w="20" w:type="dxa"/>
              <w:right w:w="115" w:type="dxa"/>
            </w:tcMar>
            <w:vAlign w:val="bottom"/>
          </w:tcPr>
          <w:p w14:paraId="4342ACF6" w14:textId="77777777" w:rsidR="008873CE" w:rsidRPr="00E42AEA" w:rsidRDefault="008873CE" w:rsidP="00C85545">
            <w:pPr>
              <w:spacing w:before="60" w:after="60"/>
              <w:jc w:val="center"/>
              <w:rPr>
                <w:sz w:val="28"/>
                <w:szCs w:val="28"/>
              </w:rPr>
            </w:pPr>
            <w:r w:rsidRPr="00E42AEA">
              <w:rPr>
                <w:rFonts w:ascii="Times New Roman" w:hAnsi="Times New Roman"/>
              </w:rPr>
              <w:t>□</w:t>
            </w:r>
          </w:p>
        </w:tc>
        <w:tc>
          <w:tcPr>
            <w:tcW w:w="1130" w:type="dxa"/>
            <w:gridSpan w:val="2"/>
            <w:tcMar>
              <w:top w:w="20" w:type="dxa"/>
              <w:left w:w="115" w:type="dxa"/>
              <w:bottom w:w="20" w:type="dxa"/>
              <w:right w:w="115" w:type="dxa"/>
            </w:tcMar>
            <w:vAlign w:val="bottom"/>
          </w:tcPr>
          <w:p w14:paraId="6FF22052" w14:textId="77777777" w:rsidR="008873CE" w:rsidRPr="00E42AEA" w:rsidRDefault="008873CE" w:rsidP="00C85545">
            <w:pPr>
              <w:spacing w:before="60" w:after="60"/>
              <w:jc w:val="center"/>
              <w:rPr>
                <w:sz w:val="28"/>
                <w:szCs w:val="28"/>
              </w:rPr>
            </w:pPr>
            <w:r w:rsidRPr="00E42AEA">
              <w:rPr>
                <w:rFonts w:ascii="Times New Roman" w:hAnsi="Times New Roman"/>
              </w:rPr>
              <w:t>■</w:t>
            </w:r>
          </w:p>
        </w:tc>
        <w:tc>
          <w:tcPr>
            <w:tcW w:w="1127" w:type="dxa"/>
            <w:tcMar>
              <w:top w:w="20" w:type="dxa"/>
              <w:left w:w="115" w:type="dxa"/>
              <w:bottom w:w="20" w:type="dxa"/>
              <w:right w:w="115" w:type="dxa"/>
            </w:tcMar>
            <w:vAlign w:val="bottom"/>
          </w:tcPr>
          <w:p w14:paraId="36CEEA84" w14:textId="77777777" w:rsidR="008873CE" w:rsidRPr="00E42AEA" w:rsidRDefault="008873CE" w:rsidP="00C85545">
            <w:pPr>
              <w:spacing w:before="60" w:after="60"/>
              <w:jc w:val="center"/>
              <w:rPr>
                <w:sz w:val="28"/>
                <w:szCs w:val="28"/>
              </w:rPr>
            </w:pPr>
            <w:r w:rsidRPr="00E42AEA">
              <w:rPr>
                <w:rFonts w:ascii="Times New Roman" w:hAnsi="Times New Roman"/>
              </w:rPr>
              <w:t>□</w:t>
            </w:r>
          </w:p>
        </w:tc>
      </w:tr>
      <w:tr w:rsidR="008873CE" w:rsidRPr="00E5753A" w14:paraId="63B5FC03" w14:textId="77777777" w:rsidTr="00C85545">
        <w:trPr>
          <w:gridBefore w:val="1"/>
          <w:gridAfter w:val="1"/>
          <w:wBefore w:w="11" w:type="dxa"/>
          <w:wAfter w:w="59" w:type="dxa"/>
          <w:trHeight w:val="196"/>
        </w:trPr>
        <w:tc>
          <w:tcPr>
            <w:tcW w:w="4339" w:type="dxa"/>
            <w:tcMar>
              <w:top w:w="20" w:type="dxa"/>
              <w:left w:w="115" w:type="dxa"/>
              <w:bottom w:w="20" w:type="dxa"/>
              <w:right w:w="115" w:type="dxa"/>
            </w:tcMar>
            <w:vAlign w:val="bottom"/>
            <w:hideMark/>
          </w:tcPr>
          <w:p w14:paraId="2F7F7048" w14:textId="77777777" w:rsidR="008873CE" w:rsidRPr="00E42AEA" w:rsidRDefault="008873CE" w:rsidP="008873CE">
            <w:pPr>
              <w:pStyle w:val="BulletListLettered"/>
              <w:numPr>
                <w:ilvl w:val="0"/>
                <w:numId w:val="10"/>
              </w:numPr>
            </w:pPr>
            <w:r w:rsidRPr="00E42AEA">
              <w:t>Conflict with or obstruct a state or local plan for renewable energy or energy efficiency?</w:t>
            </w:r>
          </w:p>
        </w:tc>
        <w:tc>
          <w:tcPr>
            <w:tcW w:w="1254" w:type="dxa"/>
            <w:gridSpan w:val="2"/>
            <w:tcMar>
              <w:top w:w="20" w:type="dxa"/>
              <w:left w:w="115" w:type="dxa"/>
              <w:bottom w:w="20" w:type="dxa"/>
              <w:right w:w="115" w:type="dxa"/>
            </w:tcMar>
            <w:vAlign w:val="bottom"/>
          </w:tcPr>
          <w:p w14:paraId="470342C3" w14:textId="77777777" w:rsidR="008873CE" w:rsidRPr="00E42AEA" w:rsidRDefault="008873CE" w:rsidP="00C85545">
            <w:pPr>
              <w:spacing w:before="60" w:after="60"/>
              <w:jc w:val="center"/>
              <w:rPr>
                <w:sz w:val="28"/>
                <w:szCs w:val="28"/>
              </w:rPr>
            </w:pPr>
            <w:r w:rsidRPr="00E42AEA">
              <w:rPr>
                <w:rFonts w:ascii="Times New Roman" w:hAnsi="Times New Roman"/>
              </w:rPr>
              <w:t>□</w:t>
            </w:r>
          </w:p>
        </w:tc>
        <w:tc>
          <w:tcPr>
            <w:tcW w:w="1127" w:type="dxa"/>
            <w:tcMar>
              <w:top w:w="20" w:type="dxa"/>
              <w:left w:w="115" w:type="dxa"/>
              <w:bottom w:w="20" w:type="dxa"/>
              <w:right w:w="115" w:type="dxa"/>
            </w:tcMar>
            <w:vAlign w:val="bottom"/>
          </w:tcPr>
          <w:p w14:paraId="63250D0D" w14:textId="77777777" w:rsidR="008873CE" w:rsidRPr="00E42AEA" w:rsidRDefault="008873CE" w:rsidP="00C85545">
            <w:pPr>
              <w:spacing w:before="60" w:after="60"/>
              <w:jc w:val="center"/>
              <w:rPr>
                <w:sz w:val="28"/>
                <w:szCs w:val="28"/>
              </w:rPr>
            </w:pPr>
            <w:r w:rsidRPr="00E42AEA">
              <w:rPr>
                <w:rFonts w:ascii="Times New Roman" w:hAnsi="Times New Roman"/>
              </w:rPr>
              <w:t>□</w:t>
            </w:r>
          </w:p>
        </w:tc>
        <w:tc>
          <w:tcPr>
            <w:tcW w:w="1130" w:type="dxa"/>
            <w:gridSpan w:val="2"/>
            <w:tcMar>
              <w:top w:w="20" w:type="dxa"/>
              <w:left w:w="115" w:type="dxa"/>
              <w:bottom w:w="20" w:type="dxa"/>
              <w:right w:w="115" w:type="dxa"/>
            </w:tcMar>
            <w:vAlign w:val="bottom"/>
          </w:tcPr>
          <w:p w14:paraId="1F72A03D" w14:textId="326D65C6" w:rsidR="008873CE" w:rsidRPr="00E42AEA" w:rsidRDefault="00A25E94" w:rsidP="00C85545">
            <w:pPr>
              <w:spacing w:before="60" w:after="60"/>
              <w:jc w:val="center"/>
              <w:rPr>
                <w:sz w:val="28"/>
                <w:szCs w:val="28"/>
              </w:rPr>
            </w:pPr>
            <w:r w:rsidRPr="00E42AEA">
              <w:rPr>
                <w:rFonts w:ascii="Times New Roman" w:hAnsi="Times New Roman"/>
              </w:rPr>
              <w:t>■</w:t>
            </w:r>
          </w:p>
        </w:tc>
        <w:tc>
          <w:tcPr>
            <w:tcW w:w="1127" w:type="dxa"/>
            <w:tcMar>
              <w:top w:w="20" w:type="dxa"/>
              <w:left w:w="115" w:type="dxa"/>
              <w:bottom w:w="20" w:type="dxa"/>
              <w:right w:w="115" w:type="dxa"/>
            </w:tcMar>
            <w:vAlign w:val="bottom"/>
          </w:tcPr>
          <w:p w14:paraId="0B7A08F3" w14:textId="3F3CA73A" w:rsidR="008873CE" w:rsidRPr="00E42AEA" w:rsidRDefault="00A25E94" w:rsidP="00C85545">
            <w:pPr>
              <w:spacing w:before="60" w:after="60"/>
              <w:jc w:val="center"/>
              <w:rPr>
                <w:sz w:val="28"/>
                <w:szCs w:val="28"/>
              </w:rPr>
            </w:pPr>
            <w:r w:rsidRPr="00E42AEA">
              <w:rPr>
                <w:rFonts w:ascii="Times New Roman" w:hAnsi="Times New Roman"/>
              </w:rPr>
              <w:t>□</w:t>
            </w:r>
          </w:p>
        </w:tc>
      </w:tr>
    </w:tbl>
    <w:p w14:paraId="5791DF99" w14:textId="16709C1E" w:rsidR="008873CE" w:rsidRDefault="008873CE" w:rsidP="008873CE">
      <w:pPr>
        <w:pStyle w:val="BodyText"/>
        <w:spacing w:before="240"/>
      </w:pPr>
      <w:r>
        <w:t xml:space="preserve">Electricity is primarily consumed by the built environment for lighting, appliances, heating and cooling systems, and other uses such as industrial processes in addition to being consumed by alternative fuel vehicles. Most of California’s electricity is generated in state with approximately 30 percent imported from the Northwest and Southwest in 2020 </w:t>
      </w:r>
      <w:r w:rsidRPr="000C0C34">
        <w:t>(California Energy Commission [CEC] 2021a). In addition, approximately 33 percent of California’s electricity supply in 2020 came from renewable energy sources, such as wind, solar photovoltaic, geothermal, and biomass (CEC 2021a).</w:t>
      </w:r>
      <w:r>
        <w:t xml:space="preserve"> In 2018, Senate Bill 100 accelerated the state’s Renewable Portfolio Standards Program, codified in the Public Utilities Act, by requiring electricity providers to increase procurement from eligible renewable energy and zero-carbon resources to 33 percent of total retail sales by 2020, 60 percent by 2030, and 100 percent by 2045. Electricity service would be provided to the project by Silicon Valley Clean Energy (SVCE) via Pacific Gas and Electric Company (PG&amp;E) infrastructure. </w:t>
      </w:r>
      <w:r>
        <w:fldChar w:fldCharType="begin"/>
      </w:r>
      <w:r>
        <w:instrText xml:space="preserve"> REF _Ref17915699 \h </w:instrText>
      </w:r>
      <w:r>
        <w:fldChar w:fldCharType="separate"/>
      </w:r>
      <w:r w:rsidR="00FA55F1">
        <w:t xml:space="preserve">Table </w:t>
      </w:r>
      <w:r w:rsidR="00FA55F1">
        <w:rPr>
          <w:noProof/>
        </w:rPr>
        <w:t>10</w:t>
      </w:r>
      <w:r>
        <w:fldChar w:fldCharType="end"/>
      </w:r>
      <w:r>
        <w:t xml:space="preserve"> summarizes the electricity consumption for Santa Clara County, in which the project site would be located, and for SVCE, as compared to statewide consumption.</w:t>
      </w:r>
    </w:p>
    <w:p w14:paraId="123BC8A0" w14:textId="22078ECD" w:rsidR="008873CE" w:rsidRDefault="008873CE" w:rsidP="0064015D">
      <w:pPr>
        <w:pStyle w:val="TableCaption"/>
      </w:pPr>
      <w:bookmarkStart w:id="173" w:name="_Ref17915699"/>
      <w:bookmarkStart w:id="174" w:name="_Ref20944785"/>
      <w:bookmarkStart w:id="175" w:name="_Toc7776604"/>
      <w:bookmarkStart w:id="176" w:name="_Toc15053358"/>
      <w:bookmarkStart w:id="177" w:name="_Toc22007800"/>
      <w:bookmarkStart w:id="178" w:name="_Toc51226372"/>
      <w:bookmarkStart w:id="179" w:name="_Toc58308489"/>
      <w:bookmarkStart w:id="180" w:name="_Toc112942459"/>
      <w:r>
        <w:t xml:space="preserve">Table </w:t>
      </w:r>
      <w:r>
        <w:fldChar w:fldCharType="begin"/>
      </w:r>
      <w:r>
        <w:rPr>
          <w:noProof/>
        </w:rPr>
        <w:instrText xml:space="preserve"> SEQ Table \* ARABIC </w:instrText>
      </w:r>
      <w:r>
        <w:fldChar w:fldCharType="separate"/>
      </w:r>
      <w:r w:rsidR="00FA55F1">
        <w:rPr>
          <w:noProof/>
        </w:rPr>
        <w:t>10</w:t>
      </w:r>
      <w:r>
        <w:fldChar w:fldCharType="end"/>
      </w:r>
      <w:bookmarkEnd w:id="173"/>
      <w:bookmarkEnd w:id="174"/>
      <w:r>
        <w:tab/>
        <w:t>2020 Electricity Consumption</w:t>
      </w:r>
      <w:bookmarkEnd w:id="175"/>
      <w:bookmarkEnd w:id="176"/>
      <w:bookmarkEnd w:id="177"/>
      <w:bookmarkEnd w:id="178"/>
      <w:bookmarkEnd w:id="179"/>
      <w:bookmarkEnd w:id="180"/>
    </w:p>
    <w:tbl>
      <w:tblPr>
        <w:tblW w:w="9030" w:type="dxa"/>
        <w:tblLayout w:type="fixed"/>
        <w:tblCellMar>
          <w:top w:w="72" w:type="dxa"/>
          <w:left w:w="115" w:type="dxa"/>
          <w:bottom w:w="72" w:type="dxa"/>
          <w:right w:w="115" w:type="dxa"/>
        </w:tblCellMar>
        <w:tblLook w:val="04A0" w:firstRow="1" w:lastRow="0" w:firstColumn="1" w:lastColumn="0" w:noHBand="0" w:noVBand="1"/>
      </w:tblPr>
      <w:tblGrid>
        <w:gridCol w:w="1777"/>
        <w:gridCol w:w="1450"/>
        <w:gridCol w:w="1451"/>
        <w:gridCol w:w="1450"/>
        <w:gridCol w:w="1451"/>
        <w:gridCol w:w="1451"/>
      </w:tblGrid>
      <w:tr w:rsidR="008873CE" w14:paraId="331D5001" w14:textId="77777777" w:rsidTr="0064015D">
        <w:tc>
          <w:tcPr>
            <w:tcW w:w="1777" w:type="dxa"/>
            <w:tcBorders>
              <w:top w:val="single" w:sz="4" w:space="0" w:color="auto"/>
              <w:left w:val="single" w:sz="4" w:space="0" w:color="auto"/>
              <w:right w:val="single" w:sz="4" w:space="0" w:color="auto"/>
            </w:tcBorders>
            <w:shd w:val="clear" w:color="auto" w:fill="000000" w:themeFill="text1"/>
            <w:vAlign w:val="bottom"/>
            <w:hideMark/>
          </w:tcPr>
          <w:p w14:paraId="1A8C6603" w14:textId="77777777" w:rsidR="008873CE" w:rsidRDefault="008873CE" w:rsidP="0064015D">
            <w:pPr>
              <w:pStyle w:val="TableHeadings"/>
              <w:spacing w:before="0" w:after="0"/>
            </w:pPr>
            <w:r>
              <w:t>Energy Type</w:t>
            </w:r>
          </w:p>
        </w:tc>
        <w:tc>
          <w:tcPr>
            <w:tcW w:w="1450" w:type="dxa"/>
            <w:tcBorders>
              <w:top w:val="single" w:sz="4" w:space="0" w:color="auto"/>
              <w:left w:val="single" w:sz="4" w:space="0" w:color="auto"/>
              <w:right w:val="single" w:sz="4" w:space="0" w:color="auto"/>
            </w:tcBorders>
            <w:shd w:val="clear" w:color="auto" w:fill="000000" w:themeFill="text1"/>
            <w:vAlign w:val="bottom"/>
            <w:hideMark/>
          </w:tcPr>
          <w:p w14:paraId="17324A4C" w14:textId="77777777" w:rsidR="008873CE" w:rsidRPr="005707EE" w:rsidRDefault="008873CE" w:rsidP="0064015D">
            <w:pPr>
              <w:pStyle w:val="TableHeadings"/>
              <w:spacing w:before="0" w:after="0"/>
              <w:jc w:val="center"/>
              <w:rPr>
                <w:color w:val="FFFFFF" w:themeColor="background1"/>
              </w:rPr>
            </w:pPr>
            <w:r w:rsidRPr="005707EE">
              <w:rPr>
                <w:color w:val="FFFFFF" w:themeColor="background1"/>
              </w:rPr>
              <w:t xml:space="preserve">Santa Clara County </w:t>
            </w:r>
          </w:p>
        </w:tc>
        <w:tc>
          <w:tcPr>
            <w:tcW w:w="1451" w:type="dxa"/>
            <w:tcBorders>
              <w:top w:val="single" w:sz="4" w:space="0" w:color="auto"/>
              <w:left w:val="single" w:sz="4" w:space="0" w:color="auto"/>
              <w:right w:val="single" w:sz="4" w:space="0" w:color="auto"/>
            </w:tcBorders>
            <w:shd w:val="clear" w:color="auto" w:fill="000000" w:themeFill="text1"/>
            <w:vAlign w:val="bottom"/>
            <w:hideMark/>
          </w:tcPr>
          <w:p w14:paraId="7F590AD7" w14:textId="77777777" w:rsidR="008873CE" w:rsidRDefault="008873CE" w:rsidP="0064015D">
            <w:pPr>
              <w:pStyle w:val="TableHeadings"/>
              <w:spacing w:before="0" w:after="0"/>
              <w:jc w:val="center"/>
            </w:pPr>
            <w:r>
              <w:t xml:space="preserve">PG&amp;E </w:t>
            </w:r>
          </w:p>
        </w:tc>
        <w:tc>
          <w:tcPr>
            <w:tcW w:w="1450" w:type="dxa"/>
            <w:tcBorders>
              <w:top w:val="single" w:sz="4" w:space="0" w:color="auto"/>
              <w:left w:val="single" w:sz="4" w:space="0" w:color="auto"/>
              <w:right w:val="single" w:sz="4" w:space="0" w:color="auto"/>
            </w:tcBorders>
            <w:shd w:val="clear" w:color="auto" w:fill="000000" w:themeFill="text1"/>
            <w:vAlign w:val="bottom"/>
            <w:hideMark/>
          </w:tcPr>
          <w:p w14:paraId="1601D404" w14:textId="77777777" w:rsidR="008873CE" w:rsidRDefault="008873CE" w:rsidP="0064015D">
            <w:pPr>
              <w:pStyle w:val="TableHeadings"/>
              <w:spacing w:before="0" w:after="0"/>
              <w:jc w:val="center"/>
            </w:pPr>
            <w:r>
              <w:t>California</w:t>
            </w:r>
          </w:p>
        </w:tc>
        <w:tc>
          <w:tcPr>
            <w:tcW w:w="1451" w:type="dxa"/>
            <w:tcBorders>
              <w:top w:val="single" w:sz="4" w:space="0" w:color="auto"/>
              <w:left w:val="single" w:sz="4" w:space="0" w:color="auto"/>
              <w:right w:val="single" w:sz="4" w:space="0" w:color="auto"/>
            </w:tcBorders>
            <w:shd w:val="clear" w:color="auto" w:fill="000000" w:themeFill="text1"/>
            <w:vAlign w:val="bottom"/>
            <w:hideMark/>
          </w:tcPr>
          <w:p w14:paraId="5F2F654F" w14:textId="77777777" w:rsidR="008873CE" w:rsidRDefault="008873CE" w:rsidP="0064015D">
            <w:pPr>
              <w:pStyle w:val="TableHeadings"/>
              <w:spacing w:before="0" w:after="0"/>
              <w:jc w:val="center"/>
            </w:pPr>
            <w:r>
              <w:t>Proportion of PG&amp;E Consumption</w:t>
            </w:r>
          </w:p>
        </w:tc>
        <w:tc>
          <w:tcPr>
            <w:tcW w:w="1451" w:type="dxa"/>
            <w:tcBorders>
              <w:top w:val="single" w:sz="4" w:space="0" w:color="auto"/>
              <w:left w:val="single" w:sz="4" w:space="0" w:color="auto"/>
              <w:right w:val="single" w:sz="4" w:space="0" w:color="auto"/>
            </w:tcBorders>
            <w:shd w:val="clear" w:color="auto" w:fill="000000" w:themeFill="text1"/>
            <w:vAlign w:val="bottom"/>
            <w:hideMark/>
          </w:tcPr>
          <w:p w14:paraId="384E68F5" w14:textId="77777777" w:rsidR="008873CE" w:rsidRDefault="008873CE" w:rsidP="0064015D">
            <w:pPr>
              <w:pStyle w:val="TableHeadings"/>
              <w:spacing w:before="0" w:after="0"/>
              <w:jc w:val="center"/>
              <w:rPr>
                <w:vertAlign w:val="superscript"/>
              </w:rPr>
            </w:pPr>
            <w:r>
              <w:t>Proportion of Statewide Consumption</w:t>
            </w:r>
            <w:r>
              <w:rPr>
                <w:vertAlign w:val="superscript"/>
              </w:rPr>
              <w:t>1</w:t>
            </w:r>
          </w:p>
        </w:tc>
      </w:tr>
      <w:tr w:rsidR="008873CE" w14:paraId="04896A34" w14:textId="77777777" w:rsidTr="00915653">
        <w:tc>
          <w:tcPr>
            <w:tcW w:w="1777" w:type="dxa"/>
            <w:tcBorders>
              <w:bottom w:val="single" w:sz="4" w:space="0" w:color="auto"/>
            </w:tcBorders>
            <w:vAlign w:val="center"/>
            <w:hideMark/>
          </w:tcPr>
          <w:p w14:paraId="0692F768" w14:textId="77777777" w:rsidR="008873CE" w:rsidRDefault="008873CE" w:rsidP="0064015D">
            <w:pPr>
              <w:pStyle w:val="EIRTableText"/>
              <w:spacing w:before="0" w:after="0"/>
              <w:ind w:right="14" w:hanging="10"/>
            </w:pPr>
            <w:r>
              <w:t>Electricity (GWh)</w:t>
            </w:r>
          </w:p>
        </w:tc>
        <w:tc>
          <w:tcPr>
            <w:tcW w:w="1450" w:type="dxa"/>
            <w:tcBorders>
              <w:bottom w:val="single" w:sz="4" w:space="0" w:color="auto"/>
            </w:tcBorders>
          </w:tcPr>
          <w:p w14:paraId="4F29F75E" w14:textId="77777777" w:rsidR="008873CE" w:rsidRDefault="008873CE" w:rsidP="0064015D">
            <w:pPr>
              <w:pStyle w:val="EIRTableText"/>
              <w:spacing w:before="0" w:after="0"/>
              <w:ind w:right="14" w:hanging="10"/>
              <w:jc w:val="center"/>
            </w:pPr>
            <w:r>
              <w:t>16,435</w:t>
            </w:r>
          </w:p>
        </w:tc>
        <w:tc>
          <w:tcPr>
            <w:tcW w:w="1451" w:type="dxa"/>
            <w:tcBorders>
              <w:bottom w:val="single" w:sz="4" w:space="0" w:color="auto"/>
            </w:tcBorders>
          </w:tcPr>
          <w:p w14:paraId="1803BFE5" w14:textId="77777777" w:rsidR="008873CE" w:rsidRDefault="008873CE" w:rsidP="0064015D">
            <w:pPr>
              <w:pStyle w:val="EIRTableText"/>
              <w:spacing w:before="0" w:after="0"/>
              <w:ind w:right="14" w:hanging="10"/>
              <w:jc w:val="center"/>
            </w:pPr>
            <w:r>
              <w:t>78,519</w:t>
            </w:r>
          </w:p>
        </w:tc>
        <w:tc>
          <w:tcPr>
            <w:tcW w:w="1450" w:type="dxa"/>
            <w:tcBorders>
              <w:bottom w:val="single" w:sz="4" w:space="0" w:color="auto"/>
            </w:tcBorders>
          </w:tcPr>
          <w:p w14:paraId="62E57980" w14:textId="77777777" w:rsidR="008873CE" w:rsidRDefault="008873CE" w:rsidP="0064015D">
            <w:pPr>
              <w:pStyle w:val="EIRTableText"/>
              <w:spacing w:before="0" w:after="0"/>
              <w:ind w:right="14" w:hanging="10"/>
              <w:jc w:val="center"/>
            </w:pPr>
            <w:r>
              <w:t>274,484</w:t>
            </w:r>
          </w:p>
        </w:tc>
        <w:tc>
          <w:tcPr>
            <w:tcW w:w="1451" w:type="dxa"/>
            <w:tcBorders>
              <w:bottom w:val="single" w:sz="4" w:space="0" w:color="auto"/>
            </w:tcBorders>
          </w:tcPr>
          <w:p w14:paraId="1872FE04" w14:textId="77777777" w:rsidR="008873CE" w:rsidRDefault="008873CE" w:rsidP="0064015D">
            <w:pPr>
              <w:pStyle w:val="EIRTableText"/>
              <w:spacing w:before="0" w:after="0"/>
              <w:ind w:right="14" w:hanging="10"/>
              <w:jc w:val="center"/>
            </w:pPr>
            <w:r>
              <w:t>21%</w:t>
            </w:r>
          </w:p>
        </w:tc>
        <w:tc>
          <w:tcPr>
            <w:tcW w:w="1451" w:type="dxa"/>
            <w:tcBorders>
              <w:bottom w:val="single" w:sz="4" w:space="0" w:color="auto"/>
            </w:tcBorders>
          </w:tcPr>
          <w:p w14:paraId="0E87A31E" w14:textId="77777777" w:rsidR="008873CE" w:rsidRDefault="008873CE" w:rsidP="0064015D">
            <w:pPr>
              <w:pStyle w:val="EIRTableText"/>
              <w:spacing w:before="0" w:after="0"/>
              <w:ind w:right="14" w:hanging="10"/>
              <w:jc w:val="center"/>
            </w:pPr>
            <w:r>
              <w:t>5.9%</w:t>
            </w:r>
          </w:p>
        </w:tc>
      </w:tr>
      <w:tr w:rsidR="00915653" w14:paraId="723349D0" w14:textId="77777777" w:rsidTr="00FE41D7">
        <w:tc>
          <w:tcPr>
            <w:tcW w:w="9030" w:type="dxa"/>
            <w:gridSpan w:val="6"/>
            <w:tcBorders>
              <w:top w:val="single" w:sz="4" w:space="0" w:color="auto"/>
              <w:bottom w:val="single" w:sz="4" w:space="0" w:color="auto"/>
            </w:tcBorders>
            <w:vAlign w:val="center"/>
          </w:tcPr>
          <w:p w14:paraId="4A8F0D1E" w14:textId="77777777" w:rsidR="00915653" w:rsidRDefault="00915653" w:rsidP="00915653">
            <w:pPr>
              <w:pStyle w:val="EIRTableText"/>
              <w:spacing w:before="20" w:after="20"/>
              <w:ind w:right="14" w:hanging="10"/>
            </w:pPr>
            <w:r>
              <w:t>GWh = gigawatt-hours</w:t>
            </w:r>
          </w:p>
          <w:p w14:paraId="6CF7181B" w14:textId="77777777" w:rsidR="00915653" w:rsidRDefault="00915653" w:rsidP="00915653">
            <w:pPr>
              <w:pStyle w:val="EIRTableText"/>
              <w:spacing w:before="20" w:after="20"/>
              <w:ind w:right="14" w:hanging="10"/>
            </w:pPr>
            <w:r w:rsidRPr="00915653">
              <w:rPr>
                <w:vertAlign w:val="superscript"/>
              </w:rPr>
              <w:t>1</w:t>
            </w:r>
            <w:r>
              <w:t xml:space="preserve"> For reference, the population of Santa Clara County (1,934,171 persons) is approximately 4.9 percent of the population of California (39,466,855 persons) (California Department of Finance 2021).</w:t>
            </w:r>
          </w:p>
          <w:p w14:paraId="609FEC26" w14:textId="5E64A656" w:rsidR="00915653" w:rsidRDefault="00915653" w:rsidP="00915653">
            <w:pPr>
              <w:pStyle w:val="EIRTableText"/>
              <w:spacing w:before="20" w:after="20"/>
              <w:ind w:right="14" w:hanging="10"/>
            </w:pPr>
            <w:r>
              <w:t>Source: CEC 2021c</w:t>
            </w:r>
          </w:p>
        </w:tc>
      </w:tr>
    </w:tbl>
    <w:p w14:paraId="42D23722" w14:textId="5A05B53C" w:rsidR="008873CE" w:rsidRDefault="008873CE" w:rsidP="00915653">
      <w:pPr>
        <w:pStyle w:val="bodyafter"/>
        <w:pageBreakBefore/>
      </w:pPr>
      <w:r>
        <w:lastRenderedPageBreak/>
        <w:t xml:space="preserve">Petroleum fuels are primarily consumed by on-road and off-road equipment in addition to some industrial processes, with California being one of the top petroleum-producing states in the nation </w:t>
      </w:r>
      <w:r w:rsidRPr="000C0C34">
        <w:t>(CEC 2021d). Gasoline, which is used by light-duty cars, pickup trucks, and sport utility vehicles, is the most used transportation fuel in California with 12.6 billion gallons sold in 2020 (CEC 2021e). Diesel, which is used primarily by heavy duty-trucks, delivery vehicles, buses, trains, ships, boats and barges, farm equipment, and heavy-duty construction and military vehicles, is the second most used fuel in California with 1.7 billion gallons sold in 2021 (CEC 2021e</w:t>
      </w:r>
      <w:r>
        <w:t xml:space="preserve">). </w:t>
      </w:r>
      <w:r>
        <w:fldChar w:fldCharType="begin"/>
      </w:r>
      <w:r>
        <w:instrText xml:space="preserve"> REF _Ref17915604 \h  \* MERGEFORMAT </w:instrText>
      </w:r>
      <w:r>
        <w:fldChar w:fldCharType="separate"/>
      </w:r>
      <w:r w:rsidR="00FA55F1">
        <w:t>Table 11</w:t>
      </w:r>
      <w:r>
        <w:fldChar w:fldCharType="end"/>
      </w:r>
      <w:r>
        <w:t xml:space="preserve"> summarizes the petroleum fuel consumption for Santa Clara County, in which the project site would be located, as compared to statewide consumption.</w:t>
      </w:r>
    </w:p>
    <w:p w14:paraId="1599E2DA" w14:textId="0A4283E2" w:rsidR="008873CE" w:rsidRDefault="008873CE" w:rsidP="008873CE">
      <w:pPr>
        <w:pStyle w:val="TableCaption"/>
      </w:pPr>
      <w:bookmarkStart w:id="181" w:name="_Ref17915604"/>
      <w:bookmarkStart w:id="182" w:name="_Toc7776603"/>
      <w:bookmarkStart w:id="183" w:name="_Toc15053357"/>
      <w:bookmarkStart w:id="184" w:name="_Toc22007799"/>
      <w:bookmarkStart w:id="185" w:name="_Toc51226371"/>
      <w:bookmarkStart w:id="186" w:name="_Toc58308491"/>
      <w:bookmarkStart w:id="187" w:name="_Toc112942460"/>
      <w:r>
        <w:t xml:space="preserve">Table </w:t>
      </w:r>
      <w:r>
        <w:fldChar w:fldCharType="begin"/>
      </w:r>
      <w:r>
        <w:rPr>
          <w:noProof/>
        </w:rPr>
        <w:instrText xml:space="preserve"> SEQ Table \* ARABIC </w:instrText>
      </w:r>
      <w:r>
        <w:fldChar w:fldCharType="separate"/>
      </w:r>
      <w:r w:rsidR="00FA55F1">
        <w:rPr>
          <w:noProof/>
        </w:rPr>
        <w:t>11</w:t>
      </w:r>
      <w:r>
        <w:fldChar w:fldCharType="end"/>
      </w:r>
      <w:bookmarkEnd w:id="181"/>
      <w:r>
        <w:tab/>
        <w:t>20</w:t>
      </w:r>
      <w:r w:rsidR="00547702">
        <w:t>20</w:t>
      </w:r>
      <w:r>
        <w:t xml:space="preserve"> Annual Gasoline and Diesel Consumption</w:t>
      </w:r>
      <w:bookmarkEnd w:id="182"/>
      <w:bookmarkEnd w:id="183"/>
      <w:bookmarkEnd w:id="184"/>
      <w:bookmarkEnd w:id="185"/>
      <w:bookmarkEnd w:id="186"/>
      <w:bookmarkEnd w:id="187"/>
    </w:p>
    <w:tbl>
      <w:tblPr>
        <w:tblW w:w="9030" w:type="dxa"/>
        <w:tblLayout w:type="fixed"/>
        <w:tblCellMar>
          <w:top w:w="72" w:type="dxa"/>
          <w:left w:w="115" w:type="dxa"/>
          <w:bottom w:w="72" w:type="dxa"/>
          <w:right w:w="115" w:type="dxa"/>
        </w:tblCellMar>
        <w:tblLook w:val="04A0" w:firstRow="1" w:lastRow="0" w:firstColumn="1" w:lastColumn="0" w:noHBand="0" w:noVBand="1"/>
      </w:tblPr>
      <w:tblGrid>
        <w:gridCol w:w="2148"/>
        <w:gridCol w:w="2294"/>
        <w:gridCol w:w="2294"/>
        <w:gridCol w:w="2294"/>
      </w:tblGrid>
      <w:tr w:rsidR="008873CE" w14:paraId="083A7648" w14:textId="77777777" w:rsidTr="00C85545">
        <w:tc>
          <w:tcPr>
            <w:tcW w:w="2149" w:type="dxa"/>
            <w:tcBorders>
              <w:top w:val="single" w:sz="4" w:space="0" w:color="auto"/>
              <w:left w:val="single" w:sz="4" w:space="0" w:color="auto"/>
              <w:bottom w:val="nil"/>
              <w:right w:val="single" w:sz="4" w:space="0" w:color="auto"/>
            </w:tcBorders>
            <w:shd w:val="clear" w:color="auto" w:fill="000000" w:themeFill="text1"/>
            <w:vAlign w:val="bottom"/>
            <w:hideMark/>
          </w:tcPr>
          <w:p w14:paraId="4BA09452" w14:textId="77777777" w:rsidR="008873CE" w:rsidRDefault="008873CE" w:rsidP="008E2EDF">
            <w:pPr>
              <w:pStyle w:val="TableHeadings"/>
              <w:overflowPunct/>
              <w:autoSpaceDE/>
              <w:adjustRightInd/>
              <w:spacing w:before="0" w:after="0"/>
              <w:ind w:right="14" w:hanging="14"/>
            </w:pPr>
            <w:r>
              <w:t>Fuel Type</w:t>
            </w:r>
          </w:p>
        </w:tc>
        <w:tc>
          <w:tcPr>
            <w:tcW w:w="2293" w:type="dxa"/>
            <w:tcBorders>
              <w:top w:val="single" w:sz="4" w:space="0" w:color="auto"/>
              <w:left w:val="single" w:sz="4" w:space="0" w:color="auto"/>
              <w:bottom w:val="nil"/>
              <w:right w:val="single" w:sz="4" w:space="0" w:color="auto"/>
            </w:tcBorders>
            <w:shd w:val="clear" w:color="auto" w:fill="000000" w:themeFill="text1"/>
            <w:vAlign w:val="bottom"/>
            <w:hideMark/>
          </w:tcPr>
          <w:p w14:paraId="6A66E06F" w14:textId="77777777" w:rsidR="008873CE" w:rsidRDefault="008873CE" w:rsidP="008E2EDF">
            <w:pPr>
              <w:pStyle w:val="TableHeadings"/>
              <w:overflowPunct/>
              <w:autoSpaceDE/>
              <w:adjustRightInd/>
              <w:spacing w:before="0" w:after="0"/>
              <w:ind w:right="14" w:hanging="14"/>
              <w:jc w:val="center"/>
            </w:pPr>
            <w:r>
              <w:t>Santa Clara County</w:t>
            </w:r>
            <w:r>
              <w:br/>
              <w:t>(millions of gallons)</w:t>
            </w:r>
          </w:p>
        </w:tc>
        <w:tc>
          <w:tcPr>
            <w:tcW w:w="2293" w:type="dxa"/>
            <w:tcBorders>
              <w:top w:val="single" w:sz="4" w:space="0" w:color="auto"/>
              <w:left w:val="single" w:sz="4" w:space="0" w:color="auto"/>
              <w:bottom w:val="nil"/>
              <w:right w:val="single" w:sz="4" w:space="0" w:color="auto"/>
            </w:tcBorders>
            <w:shd w:val="clear" w:color="auto" w:fill="000000" w:themeFill="text1"/>
            <w:vAlign w:val="bottom"/>
            <w:hideMark/>
          </w:tcPr>
          <w:p w14:paraId="07BCE994" w14:textId="77777777" w:rsidR="008873CE" w:rsidRDefault="008873CE" w:rsidP="008E2EDF">
            <w:pPr>
              <w:pStyle w:val="TableHeadings"/>
              <w:overflowPunct/>
              <w:autoSpaceDE/>
              <w:adjustRightInd/>
              <w:spacing w:before="0" w:after="0"/>
              <w:ind w:right="14" w:hanging="14"/>
              <w:jc w:val="center"/>
            </w:pPr>
            <w:r>
              <w:t>California</w:t>
            </w:r>
            <w:r>
              <w:br/>
              <w:t>(millions of gallons)</w:t>
            </w:r>
          </w:p>
        </w:tc>
        <w:tc>
          <w:tcPr>
            <w:tcW w:w="2293" w:type="dxa"/>
            <w:tcBorders>
              <w:top w:val="single" w:sz="4" w:space="0" w:color="auto"/>
              <w:left w:val="single" w:sz="4" w:space="0" w:color="auto"/>
              <w:bottom w:val="nil"/>
              <w:right w:val="single" w:sz="4" w:space="0" w:color="auto"/>
            </w:tcBorders>
            <w:shd w:val="clear" w:color="auto" w:fill="000000" w:themeFill="text1"/>
            <w:vAlign w:val="bottom"/>
            <w:hideMark/>
          </w:tcPr>
          <w:p w14:paraId="755991C7" w14:textId="77777777" w:rsidR="008873CE" w:rsidRDefault="008873CE" w:rsidP="008E2EDF">
            <w:pPr>
              <w:pStyle w:val="TableHeadings"/>
              <w:overflowPunct/>
              <w:autoSpaceDE/>
              <w:adjustRightInd/>
              <w:spacing w:before="0" w:after="0"/>
              <w:ind w:right="14" w:hanging="14"/>
              <w:jc w:val="center"/>
              <w:rPr>
                <w:vertAlign w:val="superscript"/>
              </w:rPr>
            </w:pPr>
            <w:r>
              <w:t>Proportion of Statewide Consumption</w:t>
            </w:r>
            <w:r>
              <w:rPr>
                <w:vertAlign w:val="superscript"/>
              </w:rPr>
              <w:t>1</w:t>
            </w:r>
          </w:p>
        </w:tc>
      </w:tr>
      <w:tr w:rsidR="008873CE" w14:paraId="0F551C17" w14:textId="77777777" w:rsidTr="00C85545">
        <w:trPr>
          <w:trHeight w:val="20"/>
        </w:trPr>
        <w:tc>
          <w:tcPr>
            <w:tcW w:w="2149" w:type="dxa"/>
            <w:tcBorders>
              <w:top w:val="nil"/>
              <w:left w:val="nil"/>
              <w:bottom w:val="single" w:sz="4" w:space="0" w:color="BFBFBF" w:themeColor="background1" w:themeShade="BF"/>
              <w:right w:val="nil"/>
            </w:tcBorders>
            <w:vAlign w:val="center"/>
            <w:hideMark/>
          </w:tcPr>
          <w:p w14:paraId="45D86CB7" w14:textId="77777777" w:rsidR="008873CE" w:rsidRDefault="008873CE" w:rsidP="008E2EDF">
            <w:pPr>
              <w:pStyle w:val="EIRTableText"/>
              <w:spacing w:before="0" w:after="0"/>
              <w:ind w:right="14" w:hanging="14"/>
            </w:pPr>
            <w:r>
              <w:t>Gasoline</w:t>
            </w:r>
          </w:p>
        </w:tc>
        <w:tc>
          <w:tcPr>
            <w:tcW w:w="2293" w:type="dxa"/>
            <w:tcBorders>
              <w:top w:val="nil"/>
              <w:left w:val="nil"/>
              <w:bottom w:val="single" w:sz="4" w:space="0" w:color="BFBFBF" w:themeColor="background1" w:themeShade="BF"/>
              <w:right w:val="nil"/>
            </w:tcBorders>
            <w:vAlign w:val="center"/>
          </w:tcPr>
          <w:p w14:paraId="1ACF8A0A" w14:textId="77777777" w:rsidR="008873CE" w:rsidRDefault="008873CE" w:rsidP="008E2EDF">
            <w:pPr>
              <w:pStyle w:val="EIRTableText"/>
              <w:spacing w:before="0" w:after="0"/>
              <w:ind w:right="890" w:hanging="14"/>
              <w:jc w:val="right"/>
            </w:pPr>
            <w:r>
              <w:t>511</w:t>
            </w:r>
          </w:p>
        </w:tc>
        <w:tc>
          <w:tcPr>
            <w:tcW w:w="2293" w:type="dxa"/>
            <w:tcBorders>
              <w:top w:val="nil"/>
              <w:left w:val="nil"/>
              <w:bottom w:val="single" w:sz="4" w:space="0" w:color="BFBFBF" w:themeColor="background1" w:themeShade="BF"/>
              <w:right w:val="nil"/>
            </w:tcBorders>
            <w:vAlign w:val="center"/>
          </w:tcPr>
          <w:p w14:paraId="26EF6824" w14:textId="77777777" w:rsidR="008873CE" w:rsidRDefault="008873CE" w:rsidP="008E2EDF">
            <w:pPr>
              <w:pStyle w:val="EIRTableText"/>
              <w:spacing w:before="0" w:after="0"/>
              <w:ind w:right="890" w:hanging="14"/>
              <w:jc w:val="right"/>
            </w:pPr>
            <w:r>
              <w:t>11,173</w:t>
            </w:r>
          </w:p>
        </w:tc>
        <w:tc>
          <w:tcPr>
            <w:tcW w:w="2293" w:type="dxa"/>
            <w:tcBorders>
              <w:top w:val="nil"/>
              <w:left w:val="nil"/>
              <w:bottom w:val="single" w:sz="4" w:space="0" w:color="BFBFBF" w:themeColor="background1" w:themeShade="BF"/>
              <w:right w:val="nil"/>
            </w:tcBorders>
            <w:vAlign w:val="center"/>
          </w:tcPr>
          <w:p w14:paraId="497B03FF" w14:textId="77777777" w:rsidR="008873CE" w:rsidRDefault="008873CE" w:rsidP="008E2EDF">
            <w:pPr>
              <w:pStyle w:val="EIRTableText"/>
              <w:spacing w:before="0" w:after="0"/>
              <w:ind w:right="853" w:hanging="14"/>
              <w:jc w:val="right"/>
            </w:pPr>
            <w:r>
              <w:t>4.5%</w:t>
            </w:r>
          </w:p>
        </w:tc>
      </w:tr>
      <w:tr w:rsidR="008873CE" w14:paraId="6A635F3E" w14:textId="77777777" w:rsidTr="00C85545">
        <w:tc>
          <w:tcPr>
            <w:tcW w:w="2149" w:type="dxa"/>
            <w:tcBorders>
              <w:top w:val="single" w:sz="4" w:space="0" w:color="BFBFBF" w:themeColor="background1" w:themeShade="BF"/>
              <w:left w:val="nil"/>
              <w:bottom w:val="single" w:sz="4" w:space="0" w:color="auto"/>
              <w:right w:val="nil"/>
            </w:tcBorders>
            <w:vAlign w:val="center"/>
            <w:hideMark/>
          </w:tcPr>
          <w:p w14:paraId="4F2358A6" w14:textId="77777777" w:rsidR="008873CE" w:rsidRDefault="008873CE" w:rsidP="008E2EDF">
            <w:pPr>
              <w:pStyle w:val="EIRTableText"/>
              <w:spacing w:before="0" w:after="0"/>
              <w:ind w:right="14" w:hanging="14"/>
            </w:pPr>
            <w:r>
              <w:t xml:space="preserve">Diesel </w:t>
            </w:r>
          </w:p>
        </w:tc>
        <w:tc>
          <w:tcPr>
            <w:tcW w:w="2293" w:type="dxa"/>
            <w:tcBorders>
              <w:top w:val="single" w:sz="4" w:space="0" w:color="BFBFBF" w:themeColor="background1" w:themeShade="BF"/>
              <w:left w:val="nil"/>
              <w:bottom w:val="single" w:sz="4" w:space="0" w:color="auto"/>
              <w:right w:val="nil"/>
            </w:tcBorders>
            <w:vAlign w:val="center"/>
          </w:tcPr>
          <w:p w14:paraId="1A0CBE49" w14:textId="77777777" w:rsidR="008873CE" w:rsidRDefault="008873CE" w:rsidP="008E2EDF">
            <w:pPr>
              <w:pStyle w:val="EIRTableText"/>
              <w:spacing w:before="0" w:after="0"/>
              <w:ind w:right="890" w:hanging="14"/>
              <w:jc w:val="right"/>
            </w:pPr>
            <w:r>
              <w:t>35</w:t>
            </w:r>
          </w:p>
        </w:tc>
        <w:tc>
          <w:tcPr>
            <w:tcW w:w="2293" w:type="dxa"/>
            <w:tcBorders>
              <w:top w:val="single" w:sz="4" w:space="0" w:color="BFBFBF" w:themeColor="background1" w:themeShade="BF"/>
              <w:left w:val="nil"/>
              <w:bottom w:val="single" w:sz="4" w:space="0" w:color="auto"/>
              <w:right w:val="nil"/>
            </w:tcBorders>
            <w:vAlign w:val="center"/>
          </w:tcPr>
          <w:p w14:paraId="75ECB229" w14:textId="77777777" w:rsidR="008873CE" w:rsidRDefault="008873CE" w:rsidP="008E2EDF">
            <w:pPr>
              <w:pStyle w:val="EIRTableText"/>
              <w:spacing w:before="0" w:after="0"/>
              <w:ind w:right="890" w:hanging="14"/>
              <w:jc w:val="right"/>
            </w:pPr>
            <w:r>
              <w:t>1,626</w:t>
            </w:r>
          </w:p>
        </w:tc>
        <w:tc>
          <w:tcPr>
            <w:tcW w:w="2293" w:type="dxa"/>
            <w:tcBorders>
              <w:top w:val="single" w:sz="4" w:space="0" w:color="BFBFBF" w:themeColor="background1" w:themeShade="BF"/>
              <w:left w:val="nil"/>
              <w:bottom w:val="single" w:sz="4" w:space="0" w:color="auto"/>
              <w:right w:val="nil"/>
            </w:tcBorders>
            <w:vAlign w:val="center"/>
          </w:tcPr>
          <w:p w14:paraId="147BBF37" w14:textId="77777777" w:rsidR="008873CE" w:rsidRDefault="008873CE" w:rsidP="008E2EDF">
            <w:pPr>
              <w:pStyle w:val="EIRTableText"/>
              <w:spacing w:before="0" w:after="0"/>
              <w:ind w:right="853" w:hanging="14"/>
              <w:jc w:val="right"/>
            </w:pPr>
            <w:r>
              <w:t>2.2%</w:t>
            </w:r>
          </w:p>
        </w:tc>
      </w:tr>
    </w:tbl>
    <w:p w14:paraId="0149CB8F" w14:textId="77777777" w:rsidR="008873CE" w:rsidRDefault="008873CE" w:rsidP="008873CE">
      <w:pPr>
        <w:pStyle w:val="TableNotes"/>
        <w:rPr>
          <w:rFonts w:ascii="Calibri" w:hAnsi="Calibri"/>
        </w:rPr>
      </w:pPr>
      <w:r>
        <w:rPr>
          <w:vertAlign w:val="superscript"/>
        </w:rPr>
        <w:t>1</w:t>
      </w:r>
      <w:r>
        <w:t xml:space="preserve"> For reference, the population of </w:t>
      </w:r>
      <w:r w:rsidRPr="00CA093B">
        <w:t>Santa Clara County (</w:t>
      </w:r>
      <w:r>
        <w:t>1,934,171</w:t>
      </w:r>
      <w:r w:rsidRPr="00CA093B">
        <w:t xml:space="preserve"> persons) is approximately </w:t>
      </w:r>
      <w:r>
        <w:t>4.9</w:t>
      </w:r>
      <w:r w:rsidRPr="00CA093B">
        <w:t xml:space="preserve"> percent of the population of California (</w:t>
      </w:r>
      <w:r>
        <w:t>39,466,855 persons) (California Department of Finance 2021).</w:t>
      </w:r>
    </w:p>
    <w:p w14:paraId="0712CDFF" w14:textId="77777777" w:rsidR="008873CE" w:rsidRDefault="008873CE" w:rsidP="008873CE">
      <w:pPr>
        <w:pStyle w:val="TableNotes"/>
        <w:pBdr>
          <w:bottom w:val="single" w:sz="4" w:space="1" w:color="auto"/>
        </w:pBdr>
      </w:pPr>
      <w:r>
        <w:t>Source: CEC 2021e</w:t>
      </w:r>
    </w:p>
    <w:p w14:paraId="77756715" w14:textId="171781CE" w:rsidR="008873CE" w:rsidRDefault="008873CE" w:rsidP="008873CE">
      <w:pPr>
        <w:pStyle w:val="BodyTextAfterTable"/>
      </w:pPr>
      <w:r>
        <w:t xml:space="preserve">Energy consumption is directly related to environmental quality in that the consumption of nonrenewable energy resources releases criteria air pollutant and </w:t>
      </w:r>
      <w:r w:rsidR="00B843E1">
        <w:t>GHG</w:t>
      </w:r>
      <w:r>
        <w:t xml:space="preserve"> emissions into the atmosphere. The environmental impacts of air pollutant and GHG emissions associated with the project’s energy consumption are discussed in detail in Section 3, </w:t>
      </w:r>
      <w:r>
        <w:rPr>
          <w:i/>
          <w:iCs/>
        </w:rPr>
        <w:t>Air Quality</w:t>
      </w:r>
      <w:r>
        <w:t xml:space="preserve">, and Section 8, </w:t>
      </w:r>
      <w:r>
        <w:rPr>
          <w:i/>
          <w:iCs/>
        </w:rPr>
        <w:t>Greenhouse Gas Emissions</w:t>
      </w:r>
      <w:r>
        <w:t>, respectively.</w:t>
      </w:r>
    </w:p>
    <w:p w14:paraId="491C8088" w14:textId="3AFED38D" w:rsidR="00A13274" w:rsidRPr="00A13274" w:rsidRDefault="00A13274" w:rsidP="00871BC7">
      <w:pPr>
        <w:pStyle w:val="Heading5"/>
      </w:pPr>
      <w:r>
        <w:t>Impact Analysis</w:t>
      </w:r>
    </w:p>
    <w:p w14:paraId="6E0085DA" w14:textId="77777777" w:rsidR="008873CE" w:rsidRDefault="008873CE" w:rsidP="008873CE">
      <w:pPr>
        <w:pStyle w:val="BulletLtrManAFTER"/>
        <w:rPr>
          <w:rFonts w:ascii="Calibri" w:hAnsi="Calibri"/>
        </w:rPr>
      </w:pPr>
      <w:r>
        <w:t>a.</w:t>
      </w:r>
      <w:r>
        <w:tab/>
        <w:t>Would the project result in a potentially significant environmental impact due to wasteful, inefficient, or unnecessary consumption of energy resources, during project construction or operation?</w:t>
      </w:r>
    </w:p>
    <w:p w14:paraId="251BF01D" w14:textId="37908F5A" w:rsidR="008873CE" w:rsidRPr="00825318" w:rsidRDefault="008873CE" w:rsidP="008873CE">
      <w:pPr>
        <w:pStyle w:val="EIRBodyText"/>
        <w:rPr>
          <w:highlight w:val="green"/>
        </w:rPr>
      </w:pPr>
      <w:r w:rsidRPr="00D84EB6">
        <w:t xml:space="preserve">The proposed project would use nonrenewable and renewable resources for construction and operation of the project. The anticipated use of these resources is detailed in the following subsections. Applicant-provided information, the CalEEMod outputs for the air pollutant and GHG emissions modeling (Appendices AQ and GHG), and the vehicle miles traveled (VMT) calculations </w:t>
      </w:r>
      <w:r>
        <w:t>based on the</w:t>
      </w:r>
      <w:r w:rsidRPr="00D84EB6">
        <w:t xml:space="preserve"> </w:t>
      </w:r>
      <w:r w:rsidR="00245A8D">
        <w:t>Multi-Modal Transportation Analysis</w:t>
      </w:r>
      <w:r w:rsidRPr="00D84EB6">
        <w:t xml:space="preserve"> completed for the project (Appendix </w:t>
      </w:r>
      <w:r w:rsidR="00FC4B63">
        <w:t>TRA</w:t>
      </w:r>
      <w:r w:rsidRPr="00D84EB6">
        <w:t>) were used to estimate energy consumption associated with the proposed project.</w:t>
      </w:r>
    </w:p>
    <w:p w14:paraId="3BD73C03" w14:textId="77777777" w:rsidR="008873CE" w:rsidRDefault="008873CE" w:rsidP="008873CE">
      <w:pPr>
        <w:pStyle w:val="BodyText"/>
        <w:rPr>
          <w:rFonts w:ascii="Century Gothic" w:hAnsi="Century Gothic"/>
          <w:b/>
          <w:sz w:val="24"/>
          <w:szCs w:val="18"/>
        </w:rPr>
      </w:pPr>
      <w:r>
        <w:rPr>
          <w:rFonts w:ascii="Century Gothic" w:hAnsi="Century Gothic"/>
          <w:b/>
          <w:sz w:val="24"/>
          <w:szCs w:val="18"/>
        </w:rPr>
        <w:t>Construction Energy Demand</w:t>
      </w:r>
    </w:p>
    <w:p w14:paraId="4B2610C3" w14:textId="70777791" w:rsidR="008873CE" w:rsidRDefault="008873CE" w:rsidP="008873CE">
      <w:pPr>
        <w:pStyle w:val="BodyText"/>
        <w:rPr>
          <w:rFonts w:ascii="Calibri" w:hAnsi="Calibri"/>
          <w:highlight w:val="green"/>
        </w:rPr>
      </w:pPr>
      <w:bookmarkStart w:id="188" w:name="_Hlk63940763"/>
      <w:r w:rsidRPr="00825318">
        <w:t>The project would require site preparation and grading, including hauling material off-site; pavement and asphalt installation; building construction; architectural coating; and landscaping and hardscaping.</w:t>
      </w:r>
      <w:bookmarkEnd w:id="188"/>
      <w:r w:rsidRPr="00825318">
        <w:t xml:space="preserve"> During project construction, energy would be consumed in the form of petroleum-based fuels used to power off-road construction vehicles and equipment on the project site, construction worker travel to and from the project site</w:t>
      </w:r>
      <w:bookmarkStart w:id="189" w:name="_Hlk63940725"/>
      <w:r w:rsidRPr="00825318">
        <w:t>, and vehicles used to deliver materials to the site</w:t>
      </w:r>
      <w:bookmarkEnd w:id="189"/>
      <w:r w:rsidRPr="00825318">
        <w:t xml:space="preserve">. As shown in </w:t>
      </w:r>
      <w:r w:rsidRPr="00825318">
        <w:fldChar w:fldCharType="begin"/>
      </w:r>
      <w:r w:rsidRPr="00825318">
        <w:instrText xml:space="preserve"> REF _Ref90285909 \h </w:instrText>
      </w:r>
      <w:r>
        <w:instrText xml:space="preserve"> \* MERGEFORMAT </w:instrText>
      </w:r>
      <w:r w:rsidRPr="00825318">
        <w:fldChar w:fldCharType="separate"/>
      </w:r>
      <w:r w:rsidR="00FA55F1" w:rsidRPr="009A4F27">
        <w:t xml:space="preserve">Table </w:t>
      </w:r>
      <w:r w:rsidR="00FA55F1">
        <w:rPr>
          <w:noProof/>
        </w:rPr>
        <w:t>12</w:t>
      </w:r>
      <w:r w:rsidRPr="00825318">
        <w:fldChar w:fldCharType="end"/>
      </w:r>
      <w:r w:rsidRPr="00825318">
        <w:t xml:space="preserve">, project construction would require approximately 4,006 gallons of gasoline and approximately </w:t>
      </w:r>
      <w:r>
        <w:t>144,143</w:t>
      </w:r>
      <w:r w:rsidRPr="00825318">
        <w:t xml:space="preserve"> gallons of diesel fuel. These construction energy estimates are conservative because they assume that the construction equipment used in each phase of construction </w:t>
      </w:r>
      <w:r w:rsidR="00A13274">
        <w:t>would</w:t>
      </w:r>
      <w:r w:rsidRPr="00825318">
        <w:t xml:space="preserve"> operat</w:t>
      </w:r>
      <w:r w:rsidR="00A13274">
        <w:t>e</w:t>
      </w:r>
      <w:r w:rsidRPr="00825318">
        <w:t xml:space="preserve"> every day of construction.</w:t>
      </w:r>
    </w:p>
    <w:p w14:paraId="0E5DE23C" w14:textId="71AD514A" w:rsidR="008873CE" w:rsidRPr="009A4F27" w:rsidRDefault="008873CE" w:rsidP="008873CE">
      <w:pPr>
        <w:pStyle w:val="TableCaption"/>
      </w:pPr>
      <w:bookmarkStart w:id="190" w:name="_Ref90285909"/>
      <w:bookmarkStart w:id="191" w:name="_Toc112942461"/>
      <w:r w:rsidRPr="009A4F27">
        <w:lastRenderedPageBreak/>
        <w:t xml:space="preserve">Table </w:t>
      </w:r>
      <w:fldSimple w:instr=" SEQ Table \* ARABIC ">
        <w:r w:rsidR="00FA55F1">
          <w:rPr>
            <w:noProof/>
          </w:rPr>
          <w:t>12</w:t>
        </w:r>
      </w:fldSimple>
      <w:bookmarkEnd w:id="190"/>
      <w:r w:rsidR="001D4BBB">
        <w:tab/>
      </w:r>
      <w:r w:rsidRPr="009A4F27">
        <w:t>Proposed Project Construction Energy Usage</w:t>
      </w:r>
      <w:bookmarkEnd w:id="191"/>
    </w:p>
    <w:tbl>
      <w:tblPr>
        <w:tblW w:w="9029" w:type="dxa"/>
        <w:tblLook w:val="0000" w:firstRow="0" w:lastRow="0" w:firstColumn="0" w:lastColumn="0" w:noHBand="0" w:noVBand="0"/>
      </w:tblPr>
      <w:tblGrid>
        <w:gridCol w:w="3888"/>
        <w:gridCol w:w="2570"/>
        <w:gridCol w:w="2571"/>
      </w:tblGrid>
      <w:tr w:rsidR="008873CE" w:rsidRPr="00E5753A" w14:paraId="60BAB7C8" w14:textId="77777777" w:rsidTr="0064015D">
        <w:trPr>
          <w:cantSplit/>
          <w:tblHeader/>
        </w:trPr>
        <w:tc>
          <w:tcPr>
            <w:tcW w:w="2153" w:type="pct"/>
            <w:vMerge w:val="restart"/>
            <w:shd w:val="clear" w:color="auto" w:fill="000000" w:themeFill="text1"/>
            <w:vAlign w:val="bottom"/>
          </w:tcPr>
          <w:p w14:paraId="42BCBFA9" w14:textId="77777777" w:rsidR="008873CE" w:rsidRPr="009A4F27" w:rsidRDefault="008873CE" w:rsidP="0064015D">
            <w:pPr>
              <w:pStyle w:val="EIRTableColumnHeadings"/>
              <w:keepNext w:val="0"/>
              <w:overflowPunct w:val="0"/>
              <w:autoSpaceDE w:val="0"/>
              <w:autoSpaceDN w:val="0"/>
              <w:adjustRightInd w:val="0"/>
              <w:textAlignment w:val="baseline"/>
              <w:rPr>
                <w:color w:val="auto"/>
                <w:szCs w:val="18"/>
              </w:rPr>
            </w:pPr>
            <w:r w:rsidRPr="009A4F27">
              <w:rPr>
                <w:color w:val="auto"/>
                <w:szCs w:val="18"/>
              </w:rPr>
              <w:t>Source</w:t>
            </w:r>
          </w:p>
        </w:tc>
        <w:tc>
          <w:tcPr>
            <w:tcW w:w="2847" w:type="pct"/>
            <w:gridSpan w:val="2"/>
            <w:tcBorders>
              <w:bottom w:val="single" w:sz="6" w:space="0" w:color="FFFFFF" w:themeColor="background1"/>
            </w:tcBorders>
            <w:shd w:val="clear" w:color="auto" w:fill="000000" w:themeFill="text1"/>
            <w:vAlign w:val="bottom"/>
          </w:tcPr>
          <w:p w14:paraId="5E118225" w14:textId="5CA40569" w:rsidR="008873CE" w:rsidRPr="009A4F27" w:rsidRDefault="008873CE" w:rsidP="0064015D">
            <w:pPr>
              <w:pStyle w:val="EIRTableColumnHeadings"/>
              <w:keepNext w:val="0"/>
              <w:overflowPunct w:val="0"/>
              <w:autoSpaceDE w:val="0"/>
              <w:autoSpaceDN w:val="0"/>
              <w:adjustRightInd w:val="0"/>
              <w:jc w:val="center"/>
              <w:textAlignment w:val="baseline"/>
              <w:rPr>
                <w:color w:val="auto"/>
                <w:szCs w:val="18"/>
              </w:rPr>
            </w:pPr>
            <w:r w:rsidRPr="009A4F27">
              <w:rPr>
                <w:color w:val="auto"/>
                <w:szCs w:val="18"/>
              </w:rPr>
              <w:t>Fuel Consumption (</w:t>
            </w:r>
            <w:r w:rsidR="0034209C">
              <w:rPr>
                <w:color w:val="auto"/>
                <w:szCs w:val="18"/>
              </w:rPr>
              <w:t>g</w:t>
            </w:r>
            <w:r w:rsidRPr="009A4F27">
              <w:rPr>
                <w:color w:val="auto"/>
                <w:szCs w:val="18"/>
              </w:rPr>
              <w:t>allons)</w:t>
            </w:r>
          </w:p>
        </w:tc>
      </w:tr>
      <w:tr w:rsidR="008873CE" w:rsidRPr="00E5753A" w14:paraId="73396A23" w14:textId="77777777" w:rsidTr="00915653">
        <w:trPr>
          <w:cantSplit/>
          <w:tblHeader/>
        </w:trPr>
        <w:tc>
          <w:tcPr>
            <w:tcW w:w="2153" w:type="pct"/>
            <w:vMerge/>
            <w:shd w:val="clear" w:color="auto" w:fill="000000" w:themeFill="text1"/>
            <w:vAlign w:val="bottom"/>
          </w:tcPr>
          <w:p w14:paraId="76295489" w14:textId="77777777" w:rsidR="008873CE" w:rsidRPr="009A4F27" w:rsidRDefault="008873CE" w:rsidP="0064015D">
            <w:pPr>
              <w:pStyle w:val="EIRTableColumnHeadings"/>
              <w:keepNext w:val="0"/>
              <w:overflowPunct w:val="0"/>
              <w:autoSpaceDE w:val="0"/>
              <w:autoSpaceDN w:val="0"/>
              <w:adjustRightInd w:val="0"/>
              <w:textAlignment w:val="baseline"/>
              <w:rPr>
                <w:color w:val="auto"/>
                <w:szCs w:val="18"/>
              </w:rPr>
            </w:pPr>
          </w:p>
        </w:tc>
        <w:tc>
          <w:tcPr>
            <w:tcW w:w="1423" w:type="pct"/>
            <w:tcBorders>
              <w:top w:val="single" w:sz="6" w:space="0" w:color="FFFFFF" w:themeColor="background1"/>
            </w:tcBorders>
            <w:shd w:val="clear" w:color="auto" w:fill="000000" w:themeFill="text1"/>
            <w:vAlign w:val="bottom"/>
          </w:tcPr>
          <w:p w14:paraId="2A9D06A7" w14:textId="77777777" w:rsidR="008873CE" w:rsidRPr="009A4F27" w:rsidRDefault="008873CE" w:rsidP="0064015D">
            <w:pPr>
              <w:pStyle w:val="EIRTableColumnHeadings"/>
              <w:keepNext w:val="0"/>
              <w:overflowPunct w:val="0"/>
              <w:autoSpaceDE w:val="0"/>
              <w:autoSpaceDN w:val="0"/>
              <w:adjustRightInd w:val="0"/>
              <w:jc w:val="center"/>
              <w:textAlignment w:val="baseline"/>
              <w:rPr>
                <w:color w:val="auto"/>
                <w:szCs w:val="18"/>
              </w:rPr>
            </w:pPr>
            <w:r w:rsidRPr="009A4F27">
              <w:rPr>
                <w:color w:val="auto"/>
                <w:szCs w:val="18"/>
              </w:rPr>
              <w:t>Gasoline</w:t>
            </w:r>
          </w:p>
        </w:tc>
        <w:tc>
          <w:tcPr>
            <w:tcW w:w="1424" w:type="pct"/>
            <w:tcBorders>
              <w:top w:val="single" w:sz="6" w:space="0" w:color="FFFFFF" w:themeColor="background1"/>
            </w:tcBorders>
            <w:shd w:val="clear" w:color="auto" w:fill="000000" w:themeFill="text1"/>
            <w:vAlign w:val="bottom"/>
          </w:tcPr>
          <w:p w14:paraId="65150A4F" w14:textId="77777777" w:rsidR="008873CE" w:rsidRPr="009A4F27" w:rsidDel="007B52F4" w:rsidRDefault="008873CE" w:rsidP="0064015D">
            <w:pPr>
              <w:pStyle w:val="EIRTableColumnHeadings"/>
              <w:keepNext w:val="0"/>
              <w:overflowPunct w:val="0"/>
              <w:autoSpaceDE w:val="0"/>
              <w:autoSpaceDN w:val="0"/>
              <w:adjustRightInd w:val="0"/>
              <w:jc w:val="center"/>
              <w:textAlignment w:val="baseline"/>
              <w:rPr>
                <w:color w:val="auto"/>
                <w:szCs w:val="18"/>
              </w:rPr>
            </w:pPr>
            <w:r w:rsidRPr="009A4F27">
              <w:rPr>
                <w:color w:val="auto"/>
                <w:szCs w:val="18"/>
              </w:rPr>
              <w:t>Diesel</w:t>
            </w:r>
          </w:p>
        </w:tc>
      </w:tr>
      <w:tr w:rsidR="008873CE" w:rsidRPr="00E5753A" w14:paraId="5EC8825B" w14:textId="77777777" w:rsidTr="00915653">
        <w:trPr>
          <w:cantSplit/>
        </w:trPr>
        <w:tc>
          <w:tcPr>
            <w:tcW w:w="2153" w:type="pct"/>
            <w:tcBorders>
              <w:bottom w:val="single" w:sz="4" w:space="0" w:color="BFBFBF" w:themeColor="background1" w:themeShade="BF"/>
            </w:tcBorders>
            <w:shd w:val="clear" w:color="auto" w:fill="auto"/>
          </w:tcPr>
          <w:p w14:paraId="7CA9C110" w14:textId="77777777" w:rsidR="008873CE" w:rsidRPr="009A4F27" w:rsidRDefault="008873CE" w:rsidP="0064015D">
            <w:pPr>
              <w:pStyle w:val="EIRTableText"/>
              <w:spacing w:before="60" w:after="60"/>
              <w:ind w:right="14" w:hanging="10"/>
            </w:pPr>
            <w:r w:rsidRPr="009A4F27">
              <w:t>Construction Equipment &amp; Vendor/Hauling Trips</w:t>
            </w:r>
          </w:p>
        </w:tc>
        <w:tc>
          <w:tcPr>
            <w:tcW w:w="1423" w:type="pct"/>
            <w:tcBorders>
              <w:bottom w:val="single" w:sz="4" w:space="0" w:color="BFBFBF" w:themeColor="background1" w:themeShade="BF"/>
            </w:tcBorders>
            <w:shd w:val="clear" w:color="auto" w:fill="auto"/>
          </w:tcPr>
          <w:p w14:paraId="176088DD" w14:textId="77777777" w:rsidR="008873CE" w:rsidRPr="00E10027" w:rsidRDefault="008873CE" w:rsidP="0064015D">
            <w:pPr>
              <w:pStyle w:val="EIRTableTextIndent"/>
              <w:spacing w:before="60" w:after="60"/>
              <w:ind w:left="0" w:right="918"/>
              <w:jc w:val="right"/>
              <w:rPr>
                <w:szCs w:val="18"/>
              </w:rPr>
            </w:pPr>
            <w:r w:rsidRPr="00E10027">
              <w:rPr>
                <w:szCs w:val="18"/>
              </w:rPr>
              <w:sym w:font="Symbol" w:char="F02D"/>
            </w:r>
          </w:p>
        </w:tc>
        <w:tc>
          <w:tcPr>
            <w:tcW w:w="1424" w:type="pct"/>
            <w:tcBorders>
              <w:bottom w:val="single" w:sz="4" w:space="0" w:color="BFBFBF" w:themeColor="background1" w:themeShade="BF"/>
            </w:tcBorders>
            <w:shd w:val="clear" w:color="auto" w:fill="auto"/>
          </w:tcPr>
          <w:p w14:paraId="6D6F381C" w14:textId="77777777" w:rsidR="008873CE" w:rsidRPr="00E10027" w:rsidRDefault="008873CE" w:rsidP="0064015D">
            <w:pPr>
              <w:pStyle w:val="EIRTableTextIndent"/>
              <w:spacing w:before="60" w:after="60"/>
              <w:ind w:left="0" w:right="990"/>
              <w:jc w:val="right"/>
              <w:rPr>
                <w:szCs w:val="18"/>
              </w:rPr>
            </w:pPr>
            <w:r>
              <w:rPr>
                <w:szCs w:val="18"/>
              </w:rPr>
              <w:t>144,143</w:t>
            </w:r>
          </w:p>
        </w:tc>
      </w:tr>
      <w:tr w:rsidR="008873CE" w:rsidRPr="00E5753A" w14:paraId="687FE297" w14:textId="77777777" w:rsidTr="00915653">
        <w:trPr>
          <w:cantSplit/>
        </w:trPr>
        <w:tc>
          <w:tcPr>
            <w:tcW w:w="2153" w:type="pct"/>
            <w:tcBorders>
              <w:top w:val="single" w:sz="4" w:space="0" w:color="BFBFBF" w:themeColor="background1" w:themeShade="BF"/>
              <w:bottom w:val="single" w:sz="4" w:space="0" w:color="auto"/>
            </w:tcBorders>
            <w:shd w:val="clear" w:color="auto" w:fill="auto"/>
          </w:tcPr>
          <w:p w14:paraId="4D3DC462" w14:textId="77777777" w:rsidR="008873CE" w:rsidRPr="009A4F27" w:rsidRDefault="008873CE" w:rsidP="0064015D">
            <w:pPr>
              <w:pStyle w:val="EIRTableText"/>
              <w:spacing w:before="60" w:after="60"/>
              <w:ind w:right="14" w:hanging="10"/>
            </w:pPr>
            <w:r w:rsidRPr="009A4F27">
              <w:t>Construction Worker Vehicle Trips</w:t>
            </w:r>
          </w:p>
        </w:tc>
        <w:tc>
          <w:tcPr>
            <w:tcW w:w="1423" w:type="pct"/>
            <w:tcBorders>
              <w:top w:val="single" w:sz="4" w:space="0" w:color="BFBFBF" w:themeColor="background1" w:themeShade="BF"/>
              <w:bottom w:val="single" w:sz="4" w:space="0" w:color="auto"/>
            </w:tcBorders>
            <w:shd w:val="clear" w:color="auto" w:fill="auto"/>
          </w:tcPr>
          <w:p w14:paraId="55A3CFF2" w14:textId="77777777" w:rsidR="008873CE" w:rsidRPr="00E10027" w:rsidRDefault="008873CE" w:rsidP="0064015D">
            <w:pPr>
              <w:pStyle w:val="EIRTableTextIndent"/>
              <w:spacing w:before="60" w:after="60"/>
              <w:ind w:left="0" w:right="918"/>
              <w:jc w:val="right"/>
              <w:rPr>
                <w:szCs w:val="18"/>
              </w:rPr>
            </w:pPr>
            <w:r w:rsidRPr="00E10027">
              <w:rPr>
                <w:szCs w:val="18"/>
              </w:rPr>
              <w:t>4,006</w:t>
            </w:r>
          </w:p>
        </w:tc>
        <w:tc>
          <w:tcPr>
            <w:tcW w:w="1424" w:type="pct"/>
            <w:tcBorders>
              <w:top w:val="single" w:sz="4" w:space="0" w:color="BFBFBF" w:themeColor="background1" w:themeShade="BF"/>
              <w:bottom w:val="single" w:sz="4" w:space="0" w:color="auto"/>
            </w:tcBorders>
            <w:shd w:val="clear" w:color="auto" w:fill="auto"/>
          </w:tcPr>
          <w:p w14:paraId="086D69C8" w14:textId="77777777" w:rsidR="008873CE" w:rsidRPr="00E10027" w:rsidRDefault="008873CE" w:rsidP="0064015D">
            <w:pPr>
              <w:pStyle w:val="EIRTableTextIndent"/>
              <w:spacing w:before="60" w:after="60"/>
              <w:ind w:left="0" w:right="990"/>
              <w:jc w:val="right"/>
              <w:rPr>
                <w:szCs w:val="18"/>
              </w:rPr>
            </w:pPr>
            <w:r w:rsidRPr="00E10027">
              <w:rPr>
                <w:szCs w:val="18"/>
              </w:rPr>
              <w:sym w:font="Symbol" w:char="F02D"/>
            </w:r>
          </w:p>
        </w:tc>
      </w:tr>
      <w:tr w:rsidR="008873CE" w:rsidRPr="00E5753A" w14:paraId="500A3B18" w14:textId="77777777" w:rsidTr="00C85545">
        <w:trPr>
          <w:cantSplit/>
        </w:trPr>
        <w:tc>
          <w:tcPr>
            <w:tcW w:w="5000" w:type="pct"/>
            <w:gridSpan w:val="3"/>
            <w:tcBorders>
              <w:top w:val="single" w:sz="4" w:space="0" w:color="auto"/>
              <w:bottom w:val="single" w:sz="4" w:space="0" w:color="auto"/>
            </w:tcBorders>
            <w:shd w:val="clear" w:color="auto" w:fill="auto"/>
            <w:vAlign w:val="center"/>
          </w:tcPr>
          <w:p w14:paraId="0D2498E5" w14:textId="77777777" w:rsidR="008873CE" w:rsidRPr="008873CE" w:rsidRDefault="008873CE" w:rsidP="00C85545">
            <w:pPr>
              <w:pStyle w:val="EIRTableTextIndent"/>
              <w:spacing w:before="60" w:after="60"/>
              <w:ind w:left="0" w:right="979"/>
              <w:rPr>
                <w:sz w:val="16"/>
                <w:szCs w:val="16"/>
                <w:highlight w:val="lightGray"/>
              </w:rPr>
            </w:pPr>
            <w:r w:rsidRPr="009A4F27">
              <w:rPr>
                <w:sz w:val="16"/>
                <w:szCs w:val="16"/>
              </w:rPr>
              <w:t xml:space="preserve">Source: Appendix </w:t>
            </w:r>
            <w:r>
              <w:rPr>
                <w:sz w:val="16"/>
                <w:szCs w:val="16"/>
              </w:rPr>
              <w:t>EN</w:t>
            </w:r>
            <w:r w:rsidRPr="009A4F27">
              <w:rPr>
                <w:sz w:val="16"/>
                <w:szCs w:val="16"/>
              </w:rPr>
              <w:t xml:space="preserve"> </w:t>
            </w:r>
          </w:p>
        </w:tc>
      </w:tr>
    </w:tbl>
    <w:p w14:paraId="3389E083" w14:textId="611B58D8" w:rsidR="008873CE" w:rsidRDefault="008873CE" w:rsidP="00915653">
      <w:pPr>
        <w:pStyle w:val="bodyafter"/>
      </w:pPr>
      <w:r w:rsidRPr="00825318">
        <w:t>Energy use during construction would be temporary in nature, and construction equipment used would be typical of similar-sized construction projects in the region. In addition, construction contractors would be required to comply with the provisions of California Code of Regulations Title 13 Sections 2449 and 2485, which prohibit diesel-fueled commercial motor vehicles and off-road diesel vehicles from idling for more than five minutes and would minimize unnecessary fuel consumption. Construction equipment would be subject to the</w:t>
      </w:r>
      <w:r>
        <w:t xml:space="preserve"> </w:t>
      </w:r>
      <w:r w:rsidRPr="00825318">
        <w:t>U</w:t>
      </w:r>
      <w:r w:rsidR="00A13274">
        <w:t>S</w:t>
      </w:r>
      <w:r w:rsidRPr="00825318">
        <w:t>EPA Construction Equipment Fuel Efficiency Standard, which would also minimize inefficient, wasteful, or unnecessary fuel consumption. Furthermore, per applicable regulatory requirements such as 2019 C</w:t>
      </w:r>
      <w:r w:rsidR="003F1A31">
        <w:t>al</w:t>
      </w:r>
      <w:r w:rsidRPr="00825318">
        <w:t>Green, the project would comply with construction waste management practices to divert a minimum of 65 percent of construction debris. These practices would result in efficient use of energy necessary to construct the project. In the interest of cost-efficiency, construction contractors also would not utilize fuel in a manner that is wasteful or unnecessary.</w:t>
      </w:r>
      <w:r w:rsidRPr="00825318">
        <w:rPr>
          <w:rFonts w:ascii="Calibri" w:hAnsi="Calibri"/>
        </w:rPr>
        <w:t xml:space="preserve"> </w:t>
      </w:r>
      <w:r w:rsidRPr="00825318">
        <w:t>Therefore, the project would not involve the inefficient, wasteful, and unnecessary use of energy during construction, and construction impacts related to energy consumption would be less than significant.</w:t>
      </w:r>
    </w:p>
    <w:p w14:paraId="4B76BE6E" w14:textId="77777777" w:rsidR="008873CE" w:rsidRDefault="008873CE" w:rsidP="008873CE">
      <w:pPr>
        <w:keepNext/>
        <w:tabs>
          <w:tab w:val="left" w:pos="468"/>
        </w:tabs>
        <w:spacing w:before="240"/>
        <w:jc w:val="both"/>
        <w:outlineLvl w:val="4"/>
        <w:rPr>
          <w:rFonts w:ascii="Century Gothic" w:hAnsi="Century Gothic"/>
          <w:b/>
          <w:sz w:val="22"/>
          <w:szCs w:val="18"/>
        </w:rPr>
      </w:pPr>
      <w:r>
        <w:rPr>
          <w:rFonts w:ascii="Century Gothic" w:hAnsi="Century Gothic"/>
          <w:b/>
          <w:sz w:val="22"/>
          <w:szCs w:val="18"/>
        </w:rPr>
        <w:t>Operational Energy Demand</w:t>
      </w:r>
    </w:p>
    <w:p w14:paraId="25746EAF" w14:textId="05825A02" w:rsidR="008873CE" w:rsidRPr="00871E7F" w:rsidRDefault="008873CE" w:rsidP="008873CE">
      <w:pPr>
        <w:pStyle w:val="BodyText"/>
      </w:pPr>
      <w:bookmarkStart w:id="192" w:name="_Hlk63941119"/>
      <w:r w:rsidRPr="002F1B33">
        <w:t>Operation of the project would contribute to regional energy demand by consuming electricity</w:t>
      </w:r>
      <w:r>
        <w:t xml:space="preserve"> and </w:t>
      </w:r>
      <w:r w:rsidRPr="002F1B33">
        <w:t>gasoline and diesel fuels.</w:t>
      </w:r>
      <w:bookmarkEnd w:id="192"/>
      <w:r w:rsidRPr="002F1B33">
        <w:t xml:space="preserve"> </w:t>
      </w:r>
      <w:r>
        <w:t>E</w:t>
      </w:r>
      <w:r w:rsidRPr="002F1B33">
        <w:t>lectricity would be used for heating and cooling systems, lighting, appliances,</w:t>
      </w:r>
      <w:bookmarkStart w:id="193" w:name="_Hlk63941137"/>
      <w:r w:rsidRPr="002F1B33">
        <w:t xml:space="preserve"> and water and wastewater conveyance, among other purposes.</w:t>
      </w:r>
      <w:bookmarkStart w:id="194" w:name="_Hlk63941153"/>
      <w:bookmarkEnd w:id="193"/>
      <w:r w:rsidRPr="002F1B33">
        <w:t xml:space="preserve"> Gasoline and diesel consumption would be associated with vehicle trips generated by customers and employees.</w:t>
      </w:r>
      <w:bookmarkEnd w:id="194"/>
      <w:r w:rsidRPr="002F1B33">
        <w:t xml:space="preserve"> </w:t>
      </w:r>
      <w:r>
        <w:rPr>
          <w:highlight w:val="green"/>
        </w:rPr>
        <w:fldChar w:fldCharType="begin"/>
      </w:r>
      <w:r>
        <w:instrText xml:space="preserve"> REF _Ref90290944 \h </w:instrText>
      </w:r>
      <w:r>
        <w:rPr>
          <w:highlight w:val="green"/>
        </w:rPr>
      </w:r>
      <w:r>
        <w:rPr>
          <w:highlight w:val="green"/>
        </w:rPr>
        <w:fldChar w:fldCharType="separate"/>
      </w:r>
      <w:r w:rsidR="00FA55F1">
        <w:t>Table </w:t>
      </w:r>
      <w:r w:rsidR="00FA55F1">
        <w:rPr>
          <w:noProof/>
        </w:rPr>
        <w:t>13</w:t>
      </w:r>
      <w:r>
        <w:rPr>
          <w:highlight w:val="green"/>
        </w:rPr>
        <w:fldChar w:fldCharType="end"/>
      </w:r>
      <w:r>
        <w:t xml:space="preserve"> </w:t>
      </w:r>
      <w:r w:rsidRPr="002F1B33">
        <w:t xml:space="preserve">summarizes estimated operational energy consumption for the proposed project. </w:t>
      </w:r>
    </w:p>
    <w:p w14:paraId="7EC6F88D" w14:textId="6E6CB8FF" w:rsidR="008873CE" w:rsidRDefault="008873CE" w:rsidP="0086750E">
      <w:pPr>
        <w:pStyle w:val="TableCaption"/>
      </w:pPr>
      <w:bookmarkStart w:id="195" w:name="_Ref90290944"/>
      <w:bookmarkStart w:id="196" w:name="_Ref7189471"/>
      <w:bookmarkStart w:id="197" w:name="_Toc7190652"/>
      <w:bookmarkStart w:id="198" w:name="_Toc7786641"/>
      <w:bookmarkStart w:id="199" w:name="_Toc18491527"/>
      <w:bookmarkStart w:id="200" w:name="_Toc27150743"/>
      <w:bookmarkStart w:id="201" w:name="_Toc35526783"/>
      <w:bookmarkStart w:id="202" w:name="_Toc53036933"/>
      <w:bookmarkStart w:id="203" w:name="_Toc57628538"/>
      <w:bookmarkStart w:id="204" w:name="_Toc59187076"/>
      <w:bookmarkStart w:id="205" w:name="_Toc112942462"/>
      <w:r>
        <w:t>Table</w:t>
      </w:r>
      <w:r w:rsidR="0034209C">
        <w:t> </w:t>
      </w:r>
      <w:fldSimple w:instr=" SEQ Table \* ARABIC ">
        <w:r w:rsidR="00FA55F1">
          <w:rPr>
            <w:noProof/>
          </w:rPr>
          <w:t>13</w:t>
        </w:r>
      </w:fldSimple>
      <w:bookmarkEnd w:id="195"/>
      <w:r>
        <w:tab/>
      </w:r>
      <w:bookmarkEnd w:id="196"/>
      <w:r>
        <w:t>Estimated Project Annual Operational Energy Consumption</w:t>
      </w:r>
      <w:bookmarkEnd w:id="197"/>
      <w:bookmarkEnd w:id="198"/>
      <w:bookmarkEnd w:id="199"/>
      <w:bookmarkEnd w:id="200"/>
      <w:bookmarkEnd w:id="201"/>
      <w:bookmarkEnd w:id="202"/>
      <w:bookmarkEnd w:id="203"/>
      <w:bookmarkEnd w:id="204"/>
      <w:bookmarkEnd w:id="205"/>
    </w:p>
    <w:tbl>
      <w:tblPr>
        <w:tblW w:w="9029" w:type="dxa"/>
        <w:tblLook w:val="04A0" w:firstRow="1" w:lastRow="0" w:firstColumn="1" w:lastColumn="0" w:noHBand="0" w:noVBand="1"/>
      </w:tblPr>
      <w:tblGrid>
        <w:gridCol w:w="3461"/>
        <w:gridCol w:w="2785"/>
        <w:gridCol w:w="2783"/>
      </w:tblGrid>
      <w:tr w:rsidR="008873CE" w14:paraId="23B99CEC" w14:textId="77777777" w:rsidTr="00C85545">
        <w:trPr>
          <w:cantSplit/>
          <w:tblHeader/>
        </w:trPr>
        <w:tc>
          <w:tcPr>
            <w:tcW w:w="1917" w:type="pct"/>
            <w:shd w:val="clear" w:color="auto" w:fill="000000" w:themeFill="text1"/>
            <w:vAlign w:val="bottom"/>
            <w:hideMark/>
          </w:tcPr>
          <w:p w14:paraId="323A3647" w14:textId="77777777" w:rsidR="008873CE" w:rsidRDefault="008873CE" w:rsidP="0034209C">
            <w:pPr>
              <w:pStyle w:val="EIRTableColumnHeadings"/>
              <w:keepNext w:val="0"/>
              <w:overflowPunct w:val="0"/>
              <w:autoSpaceDE w:val="0"/>
              <w:autoSpaceDN w:val="0"/>
              <w:adjustRightInd w:val="0"/>
              <w:spacing w:before="80" w:after="80"/>
              <w:textAlignment w:val="baseline"/>
              <w:rPr>
                <w:color w:val="auto"/>
                <w:szCs w:val="18"/>
              </w:rPr>
            </w:pPr>
            <w:r>
              <w:rPr>
                <w:color w:val="auto"/>
                <w:szCs w:val="18"/>
              </w:rPr>
              <w:t>Source</w:t>
            </w:r>
          </w:p>
        </w:tc>
        <w:tc>
          <w:tcPr>
            <w:tcW w:w="3083" w:type="pct"/>
            <w:gridSpan w:val="2"/>
            <w:shd w:val="clear" w:color="auto" w:fill="000000" w:themeFill="text1"/>
            <w:vAlign w:val="bottom"/>
            <w:hideMark/>
          </w:tcPr>
          <w:p w14:paraId="7E4121C6" w14:textId="77777777" w:rsidR="008873CE" w:rsidRDefault="008873CE" w:rsidP="0034209C">
            <w:pPr>
              <w:pStyle w:val="EIRTableColumnHeadings"/>
              <w:keepNext w:val="0"/>
              <w:overflowPunct w:val="0"/>
              <w:autoSpaceDE w:val="0"/>
              <w:autoSpaceDN w:val="0"/>
              <w:adjustRightInd w:val="0"/>
              <w:spacing w:before="80" w:after="80"/>
              <w:ind w:right="463"/>
              <w:jc w:val="center"/>
              <w:textAlignment w:val="baseline"/>
              <w:rPr>
                <w:color w:val="auto"/>
                <w:szCs w:val="18"/>
              </w:rPr>
            </w:pPr>
            <w:r>
              <w:rPr>
                <w:color w:val="auto"/>
                <w:szCs w:val="18"/>
              </w:rPr>
              <w:t>Energy Consumption</w:t>
            </w:r>
            <w:r>
              <w:rPr>
                <w:color w:val="auto"/>
                <w:szCs w:val="18"/>
                <w:vertAlign w:val="superscript"/>
              </w:rPr>
              <w:t>1</w:t>
            </w:r>
          </w:p>
        </w:tc>
      </w:tr>
      <w:tr w:rsidR="008873CE" w:rsidRPr="00915653" w14:paraId="2ACAF050" w14:textId="77777777" w:rsidTr="00915653">
        <w:trPr>
          <w:cantSplit/>
        </w:trPr>
        <w:tc>
          <w:tcPr>
            <w:tcW w:w="1917" w:type="pct"/>
            <w:shd w:val="clear" w:color="auto" w:fill="D9D9D9" w:themeFill="background1" w:themeFillShade="D9"/>
            <w:vAlign w:val="center"/>
            <w:hideMark/>
          </w:tcPr>
          <w:p w14:paraId="22C5C41B" w14:textId="77777777" w:rsidR="008873CE" w:rsidRPr="00915653" w:rsidRDefault="008873CE" w:rsidP="00915653">
            <w:pPr>
              <w:pStyle w:val="EIRTableText"/>
              <w:ind w:right="14"/>
              <w:rPr>
                <w:b/>
                <w:bCs w:val="0"/>
              </w:rPr>
            </w:pPr>
            <w:r w:rsidRPr="00915653">
              <w:rPr>
                <w:b/>
                <w:bCs w:val="0"/>
              </w:rPr>
              <w:t>Transportation Fuels</w:t>
            </w:r>
          </w:p>
        </w:tc>
        <w:tc>
          <w:tcPr>
            <w:tcW w:w="1542" w:type="pct"/>
            <w:shd w:val="clear" w:color="auto" w:fill="D9D9D9" w:themeFill="background1" w:themeFillShade="D9"/>
            <w:vAlign w:val="center"/>
          </w:tcPr>
          <w:p w14:paraId="18010665" w14:textId="77777777" w:rsidR="008873CE" w:rsidRPr="00915653" w:rsidRDefault="008873CE" w:rsidP="00915653">
            <w:pPr>
              <w:pStyle w:val="EIRTableTextIndent"/>
              <w:ind w:left="0" w:right="918"/>
              <w:jc w:val="right"/>
              <w:rPr>
                <w:b/>
                <w:bCs w:val="0"/>
                <w:highlight w:val="green"/>
              </w:rPr>
            </w:pPr>
          </w:p>
        </w:tc>
        <w:tc>
          <w:tcPr>
            <w:tcW w:w="1541" w:type="pct"/>
            <w:shd w:val="clear" w:color="auto" w:fill="D9D9D9" w:themeFill="background1" w:themeFillShade="D9"/>
          </w:tcPr>
          <w:p w14:paraId="7A5F0836" w14:textId="77777777" w:rsidR="008873CE" w:rsidRPr="00915653" w:rsidRDefault="008873CE" w:rsidP="00915653">
            <w:pPr>
              <w:pStyle w:val="EIRTableTextIndent"/>
              <w:ind w:left="0" w:right="990"/>
              <w:jc w:val="right"/>
              <w:rPr>
                <w:b/>
                <w:bCs w:val="0"/>
                <w:highlight w:val="green"/>
              </w:rPr>
            </w:pPr>
          </w:p>
        </w:tc>
      </w:tr>
      <w:tr w:rsidR="008873CE" w:rsidRPr="0034209C" w14:paraId="742E81C2" w14:textId="77777777" w:rsidTr="00C85545">
        <w:trPr>
          <w:cantSplit/>
        </w:trPr>
        <w:tc>
          <w:tcPr>
            <w:tcW w:w="1917" w:type="pct"/>
            <w:vAlign w:val="center"/>
            <w:hideMark/>
          </w:tcPr>
          <w:p w14:paraId="4671E7BB" w14:textId="77777777" w:rsidR="008873CE" w:rsidRPr="0034209C" w:rsidRDefault="008873CE" w:rsidP="00915653">
            <w:pPr>
              <w:pStyle w:val="EIRTableText"/>
              <w:ind w:left="432" w:right="576" w:hanging="288"/>
            </w:pPr>
            <w:r w:rsidRPr="0034209C">
              <w:t>Gasoline</w:t>
            </w:r>
          </w:p>
        </w:tc>
        <w:tc>
          <w:tcPr>
            <w:tcW w:w="1542" w:type="pct"/>
            <w:vAlign w:val="center"/>
            <w:hideMark/>
          </w:tcPr>
          <w:p w14:paraId="1AD3D364" w14:textId="77777777" w:rsidR="008873CE" w:rsidRPr="0034209C" w:rsidRDefault="008873CE" w:rsidP="00915653">
            <w:pPr>
              <w:pStyle w:val="EIRTableTextIndent"/>
              <w:ind w:left="0" w:right="918"/>
              <w:jc w:val="right"/>
            </w:pPr>
            <w:r w:rsidRPr="0034209C">
              <w:t>15,649 gallons</w:t>
            </w:r>
          </w:p>
        </w:tc>
        <w:tc>
          <w:tcPr>
            <w:tcW w:w="1541" w:type="pct"/>
            <w:hideMark/>
          </w:tcPr>
          <w:p w14:paraId="4B6170BB" w14:textId="77777777" w:rsidR="008873CE" w:rsidRPr="0034209C" w:rsidRDefault="008873CE" w:rsidP="00915653">
            <w:pPr>
              <w:pStyle w:val="EIRTableTextIndent"/>
              <w:ind w:left="0" w:right="990"/>
              <w:jc w:val="right"/>
            </w:pPr>
            <w:r w:rsidRPr="0034209C">
              <w:t>1,718 MMBtu</w:t>
            </w:r>
          </w:p>
        </w:tc>
      </w:tr>
      <w:tr w:rsidR="008873CE" w:rsidRPr="0034209C" w14:paraId="38B9713C" w14:textId="77777777" w:rsidTr="0034209C">
        <w:trPr>
          <w:cantSplit/>
        </w:trPr>
        <w:tc>
          <w:tcPr>
            <w:tcW w:w="1917" w:type="pct"/>
            <w:tcBorders>
              <w:bottom w:val="single" w:sz="4" w:space="0" w:color="BFBFBF" w:themeColor="background1" w:themeShade="BF"/>
            </w:tcBorders>
            <w:vAlign w:val="center"/>
            <w:hideMark/>
          </w:tcPr>
          <w:p w14:paraId="3734E8C9" w14:textId="77777777" w:rsidR="008873CE" w:rsidRPr="0034209C" w:rsidRDefault="008873CE" w:rsidP="00915653">
            <w:pPr>
              <w:pStyle w:val="EIRTableText"/>
              <w:ind w:left="432" w:right="576" w:hanging="288"/>
            </w:pPr>
            <w:r w:rsidRPr="0034209C">
              <w:t>Diesel</w:t>
            </w:r>
          </w:p>
        </w:tc>
        <w:tc>
          <w:tcPr>
            <w:tcW w:w="1542" w:type="pct"/>
            <w:tcBorders>
              <w:bottom w:val="single" w:sz="4" w:space="0" w:color="BFBFBF" w:themeColor="background1" w:themeShade="BF"/>
            </w:tcBorders>
            <w:vAlign w:val="center"/>
            <w:hideMark/>
          </w:tcPr>
          <w:p w14:paraId="03D343DC" w14:textId="77777777" w:rsidR="008873CE" w:rsidRPr="0034209C" w:rsidRDefault="008873CE" w:rsidP="00915653">
            <w:pPr>
              <w:pStyle w:val="EIRTableTextIndent"/>
              <w:ind w:left="0" w:right="918"/>
              <w:jc w:val="right"/>
            </w:pPr>
            <w:r w:rsidRPr="0034209C">
              <w:t>2,419 gallons</w:t>
            </w:r>
          </w:p>
        </w:tc>
        <w:tc>
          <w:tcPr>
            <w:tcW w:w="1541" w:type="pct"/>
            <w:tcBorders>
              <w:bottom w:val="single" w:sz="4" w:space="0" w:color="BFBFBF" w:themeColor="background1" w:themeShade="BF"/>
            </w:tcBorders>
            <w:hideMark/>
          </w:tcPr>
          <w:p w14:paraId="5ADF046B" w14:textId="77777777" w:rsidR="008873CE" w:rsidRPr="0034209C" w:rsidRDefault="008873CE" w:rsidP="00915653">
            <w:pPr>
              <w:pStyle w:val="EIRTableTextIndent"/>
              <w:ind w:left="0" w:right="990"/>
              <w:jc w:val="right"/>
            </w:pPr>
            <w:r w:rsidRPr="0034209C">
              <w:t>308 MMBtu</w:t>
            </w:r>
          </w:p>
        </w:tc>
      </w:tr>
      <w:tr w:rsidR="008873CE" w14:paraId="6DB1240E" w14:textId="77777777" w:rsidTr="0034209C">
        <w:trPr>
          <w:cantSplit/>
        </w:trPr>
        <w:tc>
          <w:tcPr>
            <w:tcW w:w="1917" w:type="pct"/>
            <w:tcBorders>
              <w:top w:val="single" w:sz="4" w:space="0" w:color="BFBFBF" w:themeColor="background1" w:themeShade="BF"/>
            </w:tcBorders>
            <w:vAlign w:val="center"/>
            <w:hideMark/>
          </w:tcPr>
          <w:p w14:paraId="3D39E802" w14:textId="77777777" w:rsidR="008873CE" w:rsidRDefault="008873CE" w:rsidP="00915653">
            <w:pPr>
              <w:pStyle w:val="EIRTableText"/>
              <w:ind w:right="14"/>
            </w:pPr>
            <w:r>
              <w:t>Electricity</w:t>
            </w:r>
          </w:p>
        </w:tc>
        <w:tc>
          <w:tcPr>
            <w:tcW w:w="1542" w:type="pct"/>
            <w:tcBorders>
              <w:top w:val="single" w:sz="4" w:space="0" w:color="BFBFBF" w:themeColor="background1" w:themeShade="BF"/>
            </w:tcBorders>
            <w:vAlign w:val="center"/>
            <w:hideMark/>
          </w:tcPr>
          <w:p w14:paraId="71866D10" w14:textId="77777777" w:rsidR="008873CE" w:rsidRPr="009C3B8C" w:rsidRDefault="008873CE" w:rsidP="00915653">
            <w:pPr>
              <w:pStyle w:val="EIRTableTextIndent"/>
              <w:ind w:left="0" w:right="918"/>
              <w:jc w:val="right"/>
            </w:pPr>
            <w:r>
              <w:t>0.45</w:t>
            </w:r>
            <w:r w:rsidRPr="009C3B8C">
              <w:t xml:space="preserve"> GWh</w:t>
            </w:r>
          </w:p>
        </w:tc>
        <w:tc>
          <w:tcPr>
            <w:tcW w:w="1541" w:type="pct"/>
            <w:tcBorders>
              <w:top w:val="single" w:sz="4" w:space="0" w:color="BFBFBF" w:themeColor="background1" w:themeShade="BF"/>
            </w:tcBorders>
            <w:hideMark/>
          </w:tcPr>
          <w:p w14:paraId="4D1304EF" w14:textId="77777777" w:rsidR="008873CE" w:rsidRPr="009C3B8C" w:rsidRDefault="008873CE" w:rsidP="00915653">
            <w:pPr>
              <w:pStyle w:val="EIRTableTextIndent"/>
              <w:ind w:left="0" w:right="990"/>
              <w:jc w:val="right"/>
            </w:pPr>
            <w:r>
              <w:t>1,529</w:t>
            </w:r>
            <w:r w:rsidRPr="009C3B8C">
              <w:t xml:space="preserve"> MMBtu</w:t>
            </w:r>
          </w:p>
        </w:tc>
      </w:tr>
      <w:tr w:rsidR="008873CE" w14:paraId="454E23FC" w14:textId="77777777" w:rsidTr="00C85545">
        <w:trPr>
          <w:cantSplit/>
        </w:trPr>
        <w:tc>
          <w:tcPr>
            <w:tcW w:w="5000" w:type="pct"/>
            <w:gridSpan w:val="3"/>
            <w:tcBorders>
              <w:top w:val="single" w:sz="4" w:space="0" w:color="auto"/>
              <w:left w:val="nil"/>
              <w:bottom w:val="single" w:sz="4" w:space="0" w:color="auto"/>
              <w:right w:val="nil"/>
            </w:tcBorders>
            <w:vAlign w:val="center"/>
            <w:hideMark/>
          </w:tcPr>
          <w:p w14:paraId="3FC1281E" w14:textId="77777777" w:rsidR="008873CE" w:rsidRPr="009C3B8C" w:rsidRDefault="008873CE" w:rsidP="0034209C">
            <w:pPr>
              <w:pStyle w:val="TableNotes"/>
            </w:pPr>
            <w:r w:rsidRPr="009C3B8C">
              <w:t>MMBtu = million metric British thermal units; GWh = gigawatt-hours</w:t>
            </w:r>
          </w:p>
          <w:p w14:paraId="702CEAA0" w14:textId="77777777" w:rsidR="008873CE" w:rsidRPr="009C3B8C" w:rsidRDefault="008873CE" w:rsidP="0034209C">
            <w:pPr>
              <w:pStyle w:val="TableNotes"/>
            </w:pPr>
            <w:r w:rsidRPr="009C3B8C">
              <w:rPr>
                <w:vertAlign w:val="superscript"/>
              </w:rPr>
              <w:t>1</w:t>
            </w:r>
            <w:r w:rsidRPr="009C3B8C">
              <w:t xml:space="preserve"> Energy consumption is converted to MMBtu for each source</w:t>
            </w:r>
          </w:p>
          <w:p w14:paraId="0631F344" w14:textId="77777777" w:rsidR="008873CE" w:rsidRPr="009C3B8C" w:rsidRDefault="008873CE" w:rsidP="0034209C">
            <w:pPr>
              <w:pStyle w:val="TableNotes"/>
            </w:pPr>
            <w:r w:rsidRPr="009C3B8C">
              <w:t xml:space="preserve">See Appendix </w:t>
            </w:r>
            <w:r>
              <w:t>EN</w:t>
            </w:r>
            <w:r w:rsidRPr="009C3B8C">
              <w:t xml:space="preserve"> for energy calculation sheets and Appendix </w:t>
            </w:r>
            <w:r>
              <w:t>AQ</w:t>
            </w:r>
            <w:r w:rsidRPr="009C3B8C">
              <w:t xml:space="preserve"> for CalEEMod output results for electricity usage.</w:t>
            </w:r>
          </w:p>
        </w:tc>
      </w:tr>
    </w:tbl>
    <w:p w14:paraId="5C82E1CC" w14:textId="77777777" w:rsidR="0086750E" w:rsidRDefault="0086750E" w:rsidP="000037B0">
      <w:pPr>
        <w:pStyle w:val="bodyafter"/>
      </w:pPr>
      <w:r w:rsidRPr="002F1B33">
        <w:t xml:space="preserve">As shown therein, project operation would require approximately </w:t>
      </w:r>
      <w:r>
        <w:t>15,649 gallons of gasoline and 2,419 gallons of diesel for transportation fuels, and 0.45</w:t>
      </w:r>
      <w:r w:rsidRPr="009C3B8C">
        <w:t xml:space="preserve"> GWh of electricity</w:t>
      </w:r>
      <w:r>
        <w:t xml:space="preserve">. </w:t>
      </w:r>
      <w:r w:rsidRPr="002F1B33">
        <w:t xml:space="preserve">Vehicle trips associated with future workers, customers, and deliveries would represent the greatest operational use of energy associated with the proposed project. </w:t>
      </w:r>
    </w:p>
    <w:p w14:paraId="61C761CC" w14:textId="2882C335" w:rsidR="008873CE" w:rsidRDefault="008873CE" w:rsidP="000037B0">
      <w:pPr>
        <w:pStyle w:val="BodyText0"/>
        <w:pageBreakBefore/>
      </w:pPr>
      <w:r w:rsidRPr="002125D8">
        <w:lastRenderedPageBreak/>
        <w:t>The project would be required to comply with all standards set in the latest iteration of the California Building Standards Code (California Code of Regulations Title 24), which would minimize the wasteful, inefficient, or unnecessary consumption of energy resources by the built environment during operation. California’s C</w:t>
      </w:r>
      <w:r w:rsidR="003F1A31">
        <w:t>al</w:t>
      </w:r>
      <w:r w:rsidRPr="002125D8">
        <w:t xml:space="preserve">Green standards (California Code of Regulations Title 24, Part 11) require implementation of energy-efficient light fixtures and building materials into the design of new construction projects. </w:t>
      </w:r>
      <w:r>
        <w:t>The</w:t>
      </w:r>
      <w:r w:rsidRPr="002125D8">
        <w:t xml:space="preserve"> </w:t>
      </w:r>
      <w:r>
        <w:t xml:space="preserve">City of Mountain View also maintains its own Green Building Code, which is based upon the California Green Building Standards Code and incorporates requirements to be consistent with the City’s greenhouse gas reduction goals. </w:t>
      </w:r>
      <w:r w:rsidR="00F26D40">
        <w:t>The</w:t>
      </w:r>
      <w:r w:rsidR="00F73A07">
        <w:t xml:space="preserve"> Mountain View Green Building Code </w:t>
      </w:r>
      <w:r w:rsidR="00F26D40">
        <w:t>prohibits new development from using natural gas, and requires new non-residential construction to meet the intent of</w:t>
      </w:r>
      <w:r w:rsidR="00AD0B9F">
        <w:t xml:space="preserve"> Leadership in Energy and Environmental Design</w:t>
      </w:r>
      <w:r w:rsidR="00F26D40">
        <w:t xml:space="preserve"> </w:t>
      </w:r>
      <w:r w:rsidR="00AD0B9F">
        <w:t>(</w:t>
      </w:r>
      <w:r w:rsidR="00F26D40">
        <w:t>LEED</w:t>
      </w:r>
      <w:r w:rsidR="00AD0B9F">
        <w:t>)</w:t>
      </w:r>
      <w:r w:rsidR="00F26D40">
        <w:t xml:space="preserve"> Gold Certified (City of Mountain View 2019b).</w:t>
      </w:r>
      <w:r w:rsidR="00390022">
        <w:t xml:space="preserve"> </w:t>
      </w:r>
      <w:r w:rsidR="00165CF0">
        <w:t xml:space="preserve">The project would </w:t>
      </w:r>
      <w:r w:rsidR="007B48F3">
        <w:t>aim for the equivalent of the</w:t>
      </w:r>
      <w:r w:rsidR="00165CF0">
        <w:t xml:space="preserve"> LEED Gold certification requirements with its incorporation of onsite renewable energy, an energy efficient interior climate system, electric vehicle charging spaces, and </w:t>
      </w:r>
      <w:r w:rsidR="00136D96">
        <w:t xml:space="preserve">other project design features such as stormwater control and water efficient landscaping. </w:t>
      </w:r>
      <w:r>
        <w:t xml:space="preserve">Further, the </w:t>
      </w:r>
      <w:r w:rsidRPr="002125D8">
        <w:t xml:space="preserve">2019 Building Energy Efficiency Standards (California Code of Regulations Title 24, Part 6) require newly constructed buildings to meet energy performance standards set by the CEC. These standards are specifically crafted for new buildings to result in energy efficient performance so that the buildings do not result in wasteful, inefficient, or unnecessary consumption of energy. </w:t>
      </w:r>
      <w:r w:rsidR="00F87018">
        <w:t xml:space="preserve">Pursuant </w:t>
      </w:r>
      <w:r>
        <w:t>to</w:t>
      </w:r>
      <w:r w:rsidRPr="002125D8">
        <w:t xml:space="preserve"> C</w:t>
      </w:r>
      <w:r w:rsidR="003F1A31">
        <w:t>al</w:t>
      </w:r>
      <w:r w:rsidRPr="002125D8">
        <w:t>Green, all plumbing fixtures used for the proposed project would be high-efficiency fixtures, which would minimize the potential inefficient or wasteful consumption of energy related to water and wastewater.</w:t>
      </w:r>
    </w:p>
    <w:p w14:paraId="38FFB47D" w14:textId="2A1CAD07" w:rsidR="008873CE" w:rsidRDefault="008873CE" w:rsidP="000037B0">
      <w:pPr>
        <w:pStyle w:val="BodyText"/>
      </w:pPr>
      <w:r>
        <w:t xml:space="preserve">The project </w:t>
      </w:r>
      <w:r w:rsidR="00985F82">
        <w:t>would be</w:t>
      </w:r>
      <w:r>
        <w:t xml:space="preserve"> within proximity to several transit stops, which would further reduce the project’s consumption of transportation fuels. The Santa Clara Valley Transit Authority (VTA) operates northbound and southbound bus routes with bus stops within 500 feet of the project site. The Mountain View Community shuttle, which provides free connections between residential neighborhoods and various public and commercial locations throughout the City, operates at two bus stops that are within a half mile from the project site. The Mountain View Transportation Management Association operates the free MVgo shuttle system, which provide service between the Mountain View Transit Center and areas of employment during peak commute hours. MVgo stops at the intersection of N. Shoreline Boulevard and Terra Bella Avenue, which is less than 500 feet from the project site. Additionally, Caltrain and VTA Light Rail Service are both accessible from the project site. Caltrain provides northbound and southbound service at the Mountain View Station approximately every 30 to 60 minutes. The Mountain View Station is a 1.1 mile walk from the project site. The VTA Light Rail provides service approximately every 20 minutes during peak hours and stops at the Mountain View Transit Center, which is served by the MVgo shuttle (Appendix </w:t>
      </w:r>
      <w:r w:rsidR="00FC4B63">
        <w:t>TRA</w:t>
      </w:r>
      <w:r>
        <w:t xml:space="preserve">). </w:t>
      </w:r>
    </w:p>
    <w:p w14:paraId="44BBF008" w14:textId="77777777" w:rsidR="008873CE" w:rsidRPr="00824319" w:rsidRDefault="008873CE" w:rsidP="008873CE">
      <w:pPr>
        <w:pStyle w:val="BodyText"/>
        <w:rPr>
          <w:rStyle w:val="BodyTextChar"/>
          <w:highlight w:val="green"/>
        </w:rPr>
      </w:pPr>
      <w:r w:rsidRPr="00824319">
        <w:rPr>
          <w:iCs/>
        </w:rPr>
        <w:t>Therefore, project operation would not result in potentially significant environmental effects due to the wasteful, inefficient, or unnecessary consumption of energy, and impacts would be less than significant.</w:t>
      </w:r>
    </w:p>
    <w:p w14:paraId="78F44DD3" w14:textId="77777777" w:rsidR="008873CE" w:rsidRPr="008873CE" w:rsidRDefault="00817BC5" w:rsidP="008873CE">
      <w:pPr>
        <w:pStyle w:val="BodyText"/>
        <w:rPr>
          <w:highlight w:val="lightGray"/>
        </w:rPr>
      </w:pPr>
      <w:sdt>
        <w:sdtPr>
          <w:rPr>
            <w:rStyle w:val="DropdownList"/>
            <w:highlight w:val="lightGray"/>
          </w:rPr>
          <w:alias w:val="1a"/>
          <w:tag w:val="dropdown"/>
          <w:id w:val="824013998"/>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highlight w:val="none"/>
          </w:rPr>
        </w:sdtEndPr>
        <w:sdtContent>
          <w:r w:rsidR="008873CE" w:rsidRPr="008873CE">
            <w:rPr>
              <w:rStyle w:val="DropdownList"/>
            </w:rPr>
            <w:t>Less Than Significant Impact</w:t>
          </w:r>
        </w:sdtContent>
      </w:sdt>
    </w:p>
    <w:p w14:paraId="4F5A9F92" w14:textId="77777777" w:rsidR="008873CE" w:rsidRDefault="008873CE" w:rsidP="000037B0">
      <w:pPr>
        <w:pStyle w:val="BulletLtrManAFTER"/>
        <w:rPr>
          <w:rFonts w:ascii="Calibri" w:hAnsi="Calibri"/>
        </w:rPr>
      </w:pPr>
      <w:r>
        <w:t>b.</w:t>
      </w:r>
      <w:r>
        <w:tab/>
        <w:t>Would the project conflict with or obstruct a state or local plan for renewable energy or energy efficiency?</w:t>
      </w:r>
    </w:p>
    <w:p w14:paraId="62A8910F" w14:textId="4C4C8996" w:rsidR="008873CE" w:rsidRDefault="008873CE" w:rsidP="008873CE">
      <w:pPr>
        <w:pStyle w:val="BodyText"/>
        <w:rPr>
          <w:rStyle w:val="BodyTextChar0"/>
        </w:rPr>
      </w:pPr>
      <w:bookmarkStart w:id="206" w:name="_Ref503864480"/>
      <w:bookmarkStart w:id="207" w:name="_Toc506994849"/>
      <w:bookmarkStart w:id="208" w:name="_Toc15306170"/>
      <w:r w:rsidRPr="00824319">
        <w:t xml:space="preserve">The City of </w:t>
      </w:r>
      <w:r>
        <w:t>Mountain View</w:t>
      </w:r>
      <w:r w:rsidRPr="00824319">
        <w:t xml:space="preserve"> has not adopted specific renewable energy or energy efficiency plan</w:t>
      </w:r>
      <w:r w:rsidR="009D5C65">
        <w:t>s</w:t>
      </w:r>
      <w:r w:rsidRPr="007C4C3D">
        <w:rPr>
          <w:rStyle w:val="BodyTextChar0"/>
        </w:rPr>
        <w:t xml:space="preserve">. </w:t>
      </w:r>
      <w:r>
        <w:rPr>
          <w:rStyle w:val="BodyTextChar0"/>
        </w:rPr>
        <w:t xml:space="preserve">The Mountain View 2030 General Plan Infrastructure and Conservation Element contains goals and policies related to energy conservation and efficiency. </w:t>
      </w:r>
      <w:r>
        <w:rPr>
          <w:rStyle w:val="BodyTextChar0"/>
        </w:rPr>
        <w:fldChar w:fldCharType="begin"/>
      </w:r>
      <w:r>
        <w:rPr>
          <w:rStyle w:val="BodyTextChar0"/>
        </w:rPr>
        <w:instrText xml:space="preserve"> REF _Ref93062384 \h </w:instrText>
      </w:r>
      <w:r>
        <w:rPr>
          <w:rStyle w:val="BodyTextChar0"/>
        </w:rPr>
      </w:r>
      <w:r>
        <w:rPr>
          <w:rStyle w:val="BodyTextChar0"/>
        </w:rPr>
        <w:fldChar w:fldCharType="separate"/>
      </w:r>
      <w:r w:rsidR="00FA55F1">
        <w:t xml:space="preserve">Table </w:t>
      </w:r>
      <w:r w:rsidR="00FA55F1">
        <w:rPr>
          <w:noProof/>
        </w:rPr>
        <w:t>14</w:t>
      </w:r>
      <w:r>
        <w:rPr>
          <w:rStyle w:val="BodyTextChar0"/>
        </w:rPr>
        <w:fldChar w:fldCharType="end"/>
      </w:r>
      <w:r>
        <w:rPr>
          <w:rStyle w:val="BodyTextChar0"/>
        </w:rPr>
        <w:t xml:space="preserve"> includes these policies and describes project consistency with the General Plan. </w:t>
      </w:r>
    </w:p>
    <w:p w14:paraId="77D1D14D" w14:textId="234A9BBE" w:rsidR="008873CE" w:rsidRDefault="008873CE" w:rsidP="008873CE">
      <w:pPr>
        <w:pStyle w:val="TableCaption"/>
      </w:pPr>
      <w:bookmarkStart w:id="209" w:name="_Ref93062384"/>
      <w:bookmarkStart w:id="210" w:name="_Ref93062381"/>
      <w:bookmarkStart w:id="211" w:name="_Toc112942463"/>
      <w:r>
        <w:lastRenderedPageBreak/>
        <w:t xml:space="preserve">Table </w:t>
      </w:r>
      <w:fldSimple w:instr=" SEQ Table \* ARABIC ">
        <w:r w:rsidR="00FA55F1">
          <w:rPr>
            <w:noProof/>
          </w:rPr>
          <w:t>14</w:t>
        </w:r>
      </w:fldSimple>
      <w:bookmarkEnd w:id="209"/>
      <w:r>
        <w:tab/>
        <w:t>Project Consistency with the 2030 General Plan</w:t>
      </w:r>
      <w:bookmarkEnd w:id="210"/>
      <w:bookmarkEnd w:id="211"/>
      <w:r>
        <w:t xml:space="preserve"> </w:t>
      </w:r>
    </w:p>
    <w:tbl>
      <w:tblPr>
        <w:tblW w:w="9029" w:type="dxa"/>
        <w:tblLook w:val="04A0" w:firstRow="1" w:lastRow="0" w:firstColumn="1" w:lastColumn="0" w:noHBand="0" w:noVBand="1"/>
      </w:tblPr>
      <w:tblGrid>
        <w:gridCol w:w="2887"/>
        <w:gridCol w:w="6142"/>
      </w:tblGrid>
      <w:tr w:rsidR="008873CE" w14:paraId="5C02D8B9" w14:textId="77777777" w:rsidTr="0034209C">
        <w:trPr>
          <w:tblHeader/>
        </w:trPr>
        <w:tc>
          <w:tcPr>
            <w:tcW w:w="2887" w:type="dxa"/>
            <w:shd w:val="clear" w:color="auto" w:fill="000000" w:themeFill="text1"/>
            <w:hideMark/>
          </w:tcPr>
          <w:p w14:paraId="4757638B" w14:textId="77777777" w:rsidR="008873CE" w:rsidRDefault="008873CE" w:rsidP="00C85545">
            <w:pPr>
              <w:pStyle w:val="EIRTableColumnHeadings"/>
              <w:keepNext w:val="0"/>
              <w:spacing w:before="80" w:after="80"/>
              <w:rPr>
                <w:color w:val="auto"/>
              </w:rPr>
            </w:pPr>
            <w:r>
              <w:rPr>
                <w:color w:val="auto"/>
              </w:rPr>
              <w:t xml:space="preserve">Goal/Policy </w:t>
            </w:r>
          </w:p>
        </w:tc>
        <w:tc>
          <w:tcPr>
            <w:tcW w:w="6142" w:type="dxa"/>
            <w:shd w:val="clear" w:color="auto" w:fill="000000" w:themeFill="text1"/>
            <w:hideMark/>
          </w:tcPr>
          <w:p w14:paraId="7E92ACF9" w14:textId="77777777" w:rsidR="008873CE" w:rsidRDefault="008873CE" w:rsidP="00C85545">
            <w:pPr>
              <w:pStyle w:val="EIRTableColumnHeadings"/>
              <w:keepNext w:val="0"/>
              <w:spacing w:before="80" w:after="80"/>
              <w:rPr>
                <w:color w:val="auto"/>
              </w:rPr>
            </w:pPr>
            <w:r>
              <w:rPr>
                <w:color w:val="auto"/>
              </w:rPr>
              <w:t>Consistency</w:t>
            </w:r>
          </w:p>
        </w:tc>
      </w:tr>
      <w:tr w:rsidR="008873CE" w:rsidRPr="00C01816" w14:paraId="0068B3B3" w14:textId="77777777" w:rsidTr="0034209C">
        <w:tc>
          <w:tcPr>
            <w:tcW w:w="2887" w:type="dxa"/>
            <w:tcBorders>
              <w:left w:val="nil"/>
              <w:bottom w:val="single" w:sz="4" w:space="0" w:color="BFBFBF" w:themeColor="background1" w:themeShade="BF"/>
              <w:right w:val="nil"/>
            </w:tcBorders>
          </w:tcPr>
          <w:p w14:paraId="74410C3E" w14:textId="77777777" w:rsidR="008873CE" w:rsidRPr="00E51FF7" w:rsidRDefault="008873CE" w:rsidP="00C85545">
            <w:pPr>
              <w:pStyle w:val="EIRTableText"/>
              <w:rPr>
                <w:bCs w:val="0"/>
              </w:rPr>
            </w:pPr>
            <w:r>
              <w:rPr>
                <w:b/>
                <w:bCs w:val="0"/>
              </w:rPr>
              <w:t>Goal INC 13</w:t>
            </w:r>
            <w:r>
              <w:rPr>
                <w:b/>
              </w:rPr>
              <w:t>.</w:t>
            </w:r>
            <w:r>
              <w:rPr>
                <w:bCs w:val="0"/>
              </w:rPr>
              <w:t xml:space="preserve"> Increased energy efficiency and conservation throughout the city. </w:t>
            </w:r>
          </w:p>
        </w:tc>
        <w:tc>
          <w:tcPr>
            <w:tcW w:w="6142" w:type="dxa"/>
            <w:tcBorders>
              <w:left w:val="nil"/>
              <w:bottom w:val="single" w:sz="4" w:space="0" w:color="BFBFBF" w:themeColor="background1" w:themeShade="BF"/>
              <w:right w:val="nil"/>
            </w:tcBorders>
          </w:tcPr>
          <w:p w14:paraId="7E7F9AF5" w14:textId="5B58AB54" w:rsidR="008873CE" w:rsidRPr="00D95FD6" w:rsidRDefault="008873CE" w:rsidP="00C85545">
            <w:pPr>
              <w:pStyle w:val="EIRTableText"/>
              <w:rPr>
                <w:bCs w:val="0"/>
              </w:rPr>
            </w:pPr>
            <w:r>
              <w:rPr>
                <w:b/>
                <w:bCs w:val="0"/>
              </w:rPr>
              <w:t xml:space="preserve">Consistent. </w:t>
            </w:r>
            <w:r>
              <w:rPr>
                <w:bCs w:val="0"/>
              </w:rPr>
              <w:t xml:space="preserve">The project would be built in conformance with the Mountain View Green Building Code, which requires energy efficient appliances and systems in new development. The project would utilize </w:t>
            </w:r>
            <w:r>
              <w:t>energy efficient LED lighting and controls that exceed the requirements of Title 24 of the California Energy Commission’s Building Energy Efficiency Standards, as well as City energy efficiency requirements. The building would be an entirely electric development. In addition, approximately 4,265 square feet of photovoltaic solar panels would be installed in the parking lot</w:t>
            </w:r>
            <w:r w:rsidR="006C24B3">
              <w:t xml:space="preserve"> and on the roof of the office structure, which would provide power to the electric vehicle charging stations and to the structure itself</w:t>
            </w:r>
            <w:r w:rsidR="00275B75">
              <w:t xml:space="preserve">. </w:t>
            </w:r>
          </w:p>
        </w:tc>
      </w:tr>
      <w:tr w:rsidR="008873CE" w14:paraId="4B1B464D" w14:textId="77777777" w:rsidTr="00C85545">
        <w:tc>
          <w:tcPr>
            <w:tcW w:w="2887" w:type="dxa"/>
            <w:tcBorders>
              <w:top w:val="single" w:sz="4" w:space="0" w:color="BFBFBF" w:themeColor="background1" w:themeShade="BF"/>
              <w:left w:val="nil"/>
              <w:bottom w:val="single" w:sz="4" w:space="0" w:color="BFBFBF" w:themeColor="background1" w:themeShade="BF"/>
              <w:right w:val="nil"/>
            </w:tcBorders>
          </w:tcPr>
          <w:p w14:paraId="4BC295E5" w14:textId="77777777" w:rsidR="008873CE" w:rsidRPr="00D95FD6" w:rsidRDefault="008873CE" w:rsidP="00C85545">
            <w:pPr>
              <w:pStyle w:val="EIRTableText"/>
            </w:pPr>
            <w:r>
              <w:rPr>
                <w:b/>
                <w:bCs w:val="0"/>
              </w:rPr>
              <w:t>Policy INC 13.2.</w:t>
            </w:r>
            <w:r>
              <w:t xml:space="preserve"> Alternatives to gasoline. Promote and increase the use of new technologies as alternatives and supplements to gasoline in vehicles throughout the community.</w:t>
            </w:r>
          </w:p>
        </w:tc>
        <w:tc>
          <w:tcPr>
            <w:tcW w:w="6142" w:type="dxa"/>
            <w:tcBorders>
              <w:top w:val="single" w:sz="4" w:space="0" w:color="BFBFBF" w:themeColor="background1" w:themeShade="BF"/>
              <w:left w:val="nil"/>
              <w:bottom w:val="single" w:sz="4" w:space="0" w:color="BFBFBF" w:themeColor="background1" w:themeShade="BF"/>
              <w:right w:val="nil"/>
            </w:tcBorders>
          </w:tcPr>
          <w:p w14:paraId="02FD510E" w14:textId="0E59058E" w:rsidR="008873CE" w:rsidRPr="00A5700C" w:rsidRDefault="008873CE" w:rsidP="00C85545">
            <w:pPr>
              <w:pStyle w:val="EIRTableText"/>
            </w:pPr>
            <w:r>
              <w:rPr>
                <w:b/>
                <w:bCs w:val="0"/>
              </w:rPr>
              <w:t xml:space="preserve">Consistent. </w:t>
            </w:r>
            <w:r>
              <w:t>The project would include 12 electric vehicle charging points connected to 4,265 square feet of solar panels. The availability of electric vehicle charging spaces within the project site w</w:t>
            </w:r>
            <w:r w:rsidR="0086750E">
              <w:t>ould</w:t>
            </w:r>
            <w:r>
              <w:t xml:space="preserve"> promote the use of electric vehicles. </w:t>
            </w:r>
          </w:p>
        </w:tc>
      </w:tr>
      <w:tr w:rsidR="008873CE" w14:paraId="787D9654" w14:textId="77777777" w:rsidTr="00C85545">
        <w:tc>
          <w:tcPr>
            <w:tcW w:w="2887" w:type="dxa"/>
            <w:tcBorders>
              <w:top w:val="single" w:sz="4" w:space="0" w:color="BFBFBF" w:themeColor="background1" w:themeShade="BF"/>
              <w:left w:val="nil"/>
              <w:bottom w:val="single" w:sz="4" w:space="0" w:color="BFBFBF" w:themeColor="background1" w:themeShade="BF"/>
              <w:right w:val="nil"/>
            </w:tcBorders>
          </w:tcPr>
          <w:p w14:paraId="7064C500" w14:textId="77777777" w:rsidR="008873CE" w:rsidRDefault="008873CE" w:rsidP="00C85545">
            <w:pPr>
              <w:pStyle w:val="EIRTableText"/>
              <w:rPr>
                <w:b/>
                <w:bCs w:val="0"/>
              </w:rPr>
            </w:pPr>
            <w:r>
              <w:rPr>
                <w:b/>
                <w:bCs w:val="0"/>
              </w:rPr>
              <w:t>Policy INC. 14.1.</w:t>
            </w:r>
            <w:r>
              <w:t xml:space="preserve"> Promote the deployment of renewable energy technologies throughout the city. </w:t>
            </w:r>
          </w:p>
        </w:tc>
        <w:tc>
          <w:tcPr>
            <w:tcW w:w="6142" w:type="dxa"/>
            <w:tcBorders>
              <w:top w:val="single" w:sz="4" w:space="0" w:color="BFBFBF" w:themeColor="background1" w:themeShade="BF"/>
              <w:left w:val="nil"/>
              <w:bottom w:val="single" w:sz="4" w:space="0" w:color="BFBFBF" w:themeColor="background1" w:themeShade="BF"/>
              <w:right w:val="nil"/>
            </w:tcBorders>
          </w:tcPr>
          <w:p w14:paraId="64E6775A" w14:textId="77777777" w:rsidR="008873CE" w:rsidRPr="008725B3" w:rsidRDefault="008873CE" w:rsidP="00C85545">
            <w:pPr>
              <w:pStyle w:val="EIRTableText"/>
            </w:pPr>
            <w:r>
              <w:rPr>
                <w:b/>
                <w:bCs w:val="0"/>
              </w:rPr>
              <w:t xml:space="preserve">Consistent. </w:t>
            </w:r>
            <w:r>
              <w:t xml:space="preserve">The project would be an entirely electric development, pursuant to the Mountain View Green Building Code. The project would be served by Silicon Valley Clean Energy, which sources energy from at least 50 percent renewable energy resources. The project would also include approximately 4,265 square feet of solar panels that would further reduce its grid electricity consumption. </w:t>
            </w:r>
          </w:p>
        </w:tc>
      </w:tr>
      <w:tr w:rsidR="008873CE" w14:paraId="7D58E7FE" w14:textId="77777777" w:rsidTr="00C85545">
        <w:tc>
          <w:tcPr>
            <w:tcW w:w="2887" w:type="dxa"/>
            <w:tcBorders>
              <w:top w:val="single" w:sz="4" w:space="0" w:color="BFBFBF" w:themeColor="background1" w:themeShade="BF"/>
              <w:left w:val="nil"/>
              <w:bottom w:val="single" w:sz="4" w:space="0" w:color="BFBFBF" w:themeColor="background1" w:themeShade="BF"/>
              <w:right w:val="nil"/>
            </w:tcBorders>
          </w:tcPr>
          <w:p w14:paraId="04FCFE2B" w14:textId="77777777" w:rsidR="008873CE" w:rsidRDefault="008873CE" w:rsidP="00C85545">
            <w:pPr>
              <w:pStyle w:val="EIRTableText"/>
              <w:rPr>
                <w:b/>
                <w:bCs w:val="0"/>
              </w:rPr>
            </w:pPr>
            <w:r>
              <w:rPr>
                <w:b/>
                <w:bCs w:val="0"/>
              </w:rPr>
              <w:t xml:space="preserve">Policy </w:t>
            </w:r>
            <w:r w:rsidRPr="00D95FD6">
              <w:rPr>
                <w:b/>
                <w:bCs w:val="0"/>
              </w:rPr>
              <w:t>INC 14.2.</w:t>
            </w:r>
            <w:r>
              <w:t xml:space="preserve"> Solar energy. Encourage active and passive solar energy use. </w:t>
            </w:r>
          </w:p>
        </w:tc>
        <w:tc>
          <w:tcPr>
            <w:tcW w:w="6142" w:type="dxa"/>
            <w:tcBorders>
              <w:top w:val="single" w:sz="4" w:space="0" w:color="BFBFBF" w:themeColor="background1" w:themeShade="BF"/>
              <w:left w:val="nil"/>
              <w:bottom w:val="single" w:sz="4" w:space="0" w:color="BFBFBF" w:themeColor="background1" w:themeShade="BF"/>
              <w:right w:val="nil"/>
            </w:tcBorders>
          </w:tcPr>
          <w:p w14:paraId="78AF6F97" w14:textId="77777777" w:rsidR="008873CE" w:rsidRPr="008725B3" w:rsidRDefault="008873CE" w:rsidP="00C85545">
            <w:pPr>
              <w:pStyle w:val="EIRTableText"/>
              <w:rPr>
                <w:bCs w:val="0"/>
              </w:rPr>
            </w:pPr>
            <w:r>
              <w:rPr>
                <w:b/>
                <w:bCs w:val="0"/>
              </w:rPr>
              <w:t xml:space="preserve">Consistent. </w:t>
            </w:r>
            <w:r>
              <w:rPr>
                <w:bCs w:val="0"/>
              </w:rPr>
              <w:t xml:space="preserve">The project would include approximately 4,265 square feet of solar panels that could generate approximately 78 to 95 kilowatts of solar energy. </w:t>
            </w:r>
          </w:p>
        </w:tc>
      </w:tr>
      <w:tr w:rsidR="008873CE" w14:paraId="6D83FAE6" w14:textId="77777777" w:rsidTr="0034209C">
        <w:tc>
          <w:tcPr>
            <w:tcW w:w="2887" w:type="dxa"/>
            <w:tcBorders>
              <w:top w:val="single" w:sz="4" w:space="0" w:color="BFBFBF" w:themeColor="background1" w:themeShade="BF"/>
              <w:left w:val="nil"/>
              <w:bottom w:val="single" w:sz="4" w:space="0" w:color="auto"/>
              <w:right w:val="nil"/>
            </w:tcBorders>
          </w:tcPr>
          <w:p w14:paraId="56C8EA17" w14:textId="77777777" w:rsidR="008873CE" w:rsidRPr="00D95FD6" w:rsidRDefault="008873CE" w:rsidP="00C85545">
            <w:pPr>
              <w:pStyle w:val="EIRTableText"/>
              <w:rPr>
                <w:b/>
                <w:bCs w:val="0"/>
              </w:rPr>
            </w:pPr>
            <w:r>
              <w:rPr>
                <w:b/>
                <w:bCs w:val="0"/>
              </w:rPr>
              <w:t xml:space="preserve">Policy. INC 15.3. </w:t>
            </w:r>
            <w:r>
              <w:t>Citywide green building. Support green building technologies and innovations throughout the city.</w:t>
            </w:r>
          </w:p>
        </w:tc>
        <w:tc>
          <w:tcPr>
            <w:tcW w:w="6142" w:type="dxa"/>
            <w:tcBorders>
              <w:top w:val="single" w:sz="4" w:space="0" w:color="BFBFBF" w:themeColor="background1" w:themeShade="BF"/>
              <w:left w:val="nil"/>
              <w:bottom w:val="single" w:sz="4" w:space="0" w:color="auto"/>
              <w:right w:val="nil"/>
            </w:tcBorders>
          </w:tcPr>
          <w:p w14:paraId="74C96711" w14:textId="0836D8A7" w:rsidR="008873CE" w:rsidRPr="00D52BAC" w:rsidRDefault="008873CE" w:rsidP="00C85545">
            <w:pPr>
              <w:pStyle w:val="EIRTableText"/>
            </w:pPr>
            <w:r>
              <w:rPr>
                <w:b/>
                <w:bCs w:val="0"/>
              </w:rPr>
              <w:t xml:space="preserve">Consistent. </w:t>
            </w:r>
            <w:r>
              <w:rPr>
                <w:bCs w:val="0"/>
              </w:rPr>
              <w:t xml:space="preserve">The project would be built in conformance with the Mountain View Green Building Code and would be an entirely electric development. The project would utilize </w:t>
            </w:r>
            <w:r>
              <w:t xml:space="preserve">energy efficient LED lighting and controls that </w:t>
            </w:r>
            <w:r w:rsidR="0086750E">
              <w:t xml:space="preserve">would </w:t>
            </w:r>
            <w:r>
              <w:t>exceed the requirements of Title 24 of the California Energy Commission’s Building Energy Efficiency Standards, as well as City energy efficiency requirements.</w:t>
            </w:r>
          </w:p>
        </w:tc>
      </w:tr>
      <w:tr w:rsidR="008873CE" w:rsidRPr="008E2EDF" w14:paraId="756695B5" w14:textId="77777777" w:rsidTr="0034209C">
        <w:tc>
          <w:tcPr>
            <w:tcW w:w="9029" w:type="dxa"/>
            <w:gridSpan w:val="2"/>
            <w:tcBorders>
              <w:top w:val="single" w:sz="4" w:space="0" w:color="auto"/>
              <w:left w:val="nil"/>
              <w:bottom w:val="single" w:sz="4" w:space="0" w:color="auto"/>
              <w:right w:val="nil"/>
            </w:tcBorders>
          </w:tcPr>
          <w:p w14:paraId="7B3D2FFA" w14:textId="77777777" w:rsidR="008873CE" w:rsidRPr="008E2EDF" w:rsidRDefault="008873CE" w:rsidP="008E2EDF">
            <w:pPr>
              <w:pStyle w:val="EIRTableText"/>
              <w:spacing w:before="60" w:after="60"/>
              <w:rPr>
                <w:b/>
                <w:bCs w:val="0"/>
                <w:sz w:val="16"/>
                <w:szCs w:val="16"/>
              </w:rPr>
            </w:pPr>
            <w:r w:rsidRPr="008E2EDF">
              <w:rPr>
                <w:sz w:val="16"/>
                <w:szCs w:val="16"/>
              </w:rPr>
              <w:t>Source: City of Mountain View 2012a</w:t>
            </w:r>
          </w:p>
        </w:tc>
      </w:tr>
    </w:tbl>
    <w:p w14:paraId="09EC3F21" w14:textId="1FA1A654" w:rsidR="008873CE" w:rsidRPr="00D47AF3" w:rsidRDefault="008873CE" w:rsidP="0034209C">
      <w:pPr>
        <w:pStyle w:val="bodyafter"/>
        <w:rPr>
          <w:rFonts w:ascii="Calibri" w:hAnsi="Calibri"/>
          <w:b/>
          <w:caps/>
        </w:rPr>
      </w:pPr>
      <w:r>
        <w:rPr>
          <w:rStyle w:val="BodyTextChar0"/>
        </w:rPr>
        <w:t xml:space="preserve">As shown in </w:t>
      </w:r>
      <w:r>
        <w:rPr>
          <w:rStyle w:val="BodyTextChar0"/>
        </w:rPr>
        <w:fldChar w:fldCharType="begin"/>
      </w:r>
      <w:r>
        <w:rPr>
          <w:rStyle w:val="BodyTextChar0"/>
        </w:rPr>
        <w:instrText xml:space="preserve"> REF _Ref93062384 \h </w:instrText>
      </w:r>
      <w:r>
        <w:rPr>
          <w:rStyle w:val="BodyTextChar0"/>
        </w:rPr>
      </w:r>
      <w:r>
        <w:rPr>
          <w:rStyle w:val="BodyTextChar0"/>
        </w:rPr>
        <w:fldChar w:fldCharType="separate"/>
      </w:r>
      <w:r w:rsidR="00FA55F1">
        <w:t xml:space="preserve">Table </w:t>
      </w:r>
      <w:r w:rsidR="00FA55F1">
        <w:rPr>
          <w:noProof/>
        </w:rPr>
        <w:t>14</w:t>
      </w:r>
      <w:r>
        <w:rPr>
          <w:rStyle w:val="BodyTextChar0"/>
        </w:rPr>
        <w:fldChar w:fldCharType="end"/>
      </w:r>
      <w:r>
        <w:rPr>
          <w:rStyle w:val="BodyTextChar0"/>
        </w:rPr>
        <w:t>,</w:t>
      </w:r>
      <w:r w:rsidRPr="00610B01">
        <w:rPr>
          <w:rStyle w:val="BodyTextChar0"/>
        </w:rPr>
        <w:t xml:space="preserve"> </w:t>
      </w:r>
      <w:r>
        <w:rPr>
          <w:rStyle w:val="BodyTextChar0"/>
        </w:rPr>
        <w:t>t</w:t>
      </w:r>
      <w:r w:rsidRPr="00E41CBA">
        <w:rPr>
          <w:rStyle w:val="BodyTextChar0"/>
        </w:rPr>
        <w:t>he</w:t>
      </w:r>
      <w:r w:rsidRPr="00D47AF3">
        <w:t xml:space="preserve"> proposed project would </w:t>
      </w:r>
      <w:r>
        <w:t xml:space="preserve">comply with the City of Mountain View's 2030 General Plan and </w:t>
      </w:r>
      <w:r w:rsidR="00E12C62">
        <w:t xml:space="preserve">would </w:t>
      </w:r>
      <w:r>
        <w:t xml:space="preserve">not conflict </w:t>
      </w:r>
      <w:r w:rsidRPr="00610B01">
        <w:rPr>
          <w:rStyle w:val="BodyTextChar0"/>
        </w:rPr>
        <w:t>with the energy-related policies of the City’s General Plan.</w:t>
      </w:r>
      <w:r>
        <w:rPr>
          <w:rStyle w:val="BodyTextChar0"/>
        </w:rPr>
        <w:t xml:space="preserve"> </w:t>
      </w:r>
      <w:r w:rsidRPr="00D47AF3">
        <w:t>The proposed project would also be required to comply with the energy standards in the California Building Energy Efficiency Standards. Measures included in the proposed project to meet these energy standards include low-flow plumbing fixtures</w:t>
      </w:r>
      <w:r>
        <w:t xml:space="preserve"> and</w:t>
      </w:r>
      <w:r w:rsidRPr="00D47AF3">
        <w:t xml:space="preserve"> water-efficient irrigation systems</w:t>
      </w:r>
      <w:r w:rsidR="00275B75">
        <w:t xml:space="preserve">. </w:t>
      </w:r>
      <w:r w:rsidRPr="00D47AF3">
        <w:t xml:space="preserve">Compliance with these regulations would avoid potential conflicts with adopted energy conservation plans. Therefore, the project would </w:t>
      </w:r>
      <w:r>
        <w:t>have</w:t>
      </w:r>
      <w:r w:rsidR="00E12C62">
        <w:t xml:space="preserve"> a less than significant</w:t>
      </w:r>
      <w:r w:rsidRPr="00D47AF3">
        <w:t xml:space="preserve"> impact.</w:t>
      </w:r>
      <w:bookmarkEnd w:id="206"/>
      <w:bookmarkEnd w:id="207"/>
      <w:bookmarkEnd w:id="208"/>
    </w:p>
    <w:p w14:paraId="473E926E" w14:textId="69F059FA" w:rsidR="008873CE" w:rsidRDefault="00817BC5" w:rsidP="008873CE">
      <w:pPr>
        <w:spacing w:before="120"/>
        <w:rPr>
          <w:rStyle w:val="DropdownList"/>
        </w:rPr>
      </w:pPr>
      <w:sdt>
        <w:sdtPr>
          <w:rPr>
            <w:rStyle w:val="DropdownList"/>
          </w:rPr>
          <w:alias w:val="1a"/>
          <w:tag w:val="dropdown"/>
          <w:id w:val="-1727608362"/>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rPr>
        </w:sdtEndPr>
        <w:sdtContent>
          <w:r w:rsidR="00E12C62">
            <w:rPr>
              <w:rStyle w:val="DropdownList"/>
            </w:rPr>
            <w:t>Less Than Significant Impact</w:t>
          </w:r>
        </w:sdtContent>
      </w:sdt>
    </w:p>
    <w:p w14:paraId="7275380E" w14:textId="77777777" w:rsidR="008E2EDF" w:rsidRDefault="008E2EDF" w:rsidP="000E233D">
      <w:pPr>
        <w:pStyle w:val="Blank"/>
      </w:pPr>
    </w:p>
    <w:p w14:paraId="27E26965" w14:textId="43E9913A" w:rsidR="00A90627" w:rsidRPr="00D670C6" w:rsidRDefault="000E233D" w:rsidP="000E233D">
      <w:pPr>
        <w:pStyle w:val="Blank"/>
      </w:pPr>
      <w:r w:rsidRPr="00D670C6">
        <w:t>This page intentionally left blank.</w:t>
      </w:r>
    </w:p>
    <w:p w14:paraId="167D6846" w14:textId="77777777" w:rsidR="00542725" w:rsidRPr="00ED4C44" w:rsidRDefault="00542725" w:rsidP="00275B75">
      <w:pPr>
        <w:pStyle w:val="Heading3CEQA"/>
      </w:pPr>
      <w:bookmarkStart w:id="212" w:name="_Toc112942432"/>
      <w:r w:rsidRPr="00ED4C44">
        <w:t>Geology and Soils</w:t>
      </w:r>
      <w:bookmarkEnd w:id="171"/>
      <w:bookmarkEnd w:id="172"/>
      <w:bookmarkEnd w:id="212"/>
    </w:p>
    <w:tbl>
      <w:tblPr>
        <w:tblW w:w="9047" w:type="dxa"/>
        <w:tblBorders>
          <w:bottom w:val="single" w:sz="4" w:space="0" w:color="auto"/>
        </w:tblBorders>
        <w:tblLayout w:type="fixed"/>
        <w:tblLook w:val="04A0" w:firstRow="1" w:lastRow="0" w:firstColumn="1" w:lastColumn="0" w:noHBand="0" w:noVBand="1"/>
      </w:tblPr>
      <w:tblGrid>
        <w:gridCol w:w="11"/>
        <w:gridCol w:w="4339"/>
        <w:gridCol w:w="1183"/>
        <w:gridCol w:w="71"/>
        <w:gridCol w:w="1127"/>
        <w:gridCol w:w="21"/>
        <w:gridCol w:w="1109"/>
        <w:gridCol w:w="1127"/>
        <w:gridCol w:w="59"/>
      </w:tblGrid>
      <w:tr w:rsidR="00542725" w:rsidRPr="00ED4C44" w14:paraId="5F9A7179" w14:textId="77777777" w:rsidTr="00A90627">
        <w:trPr>
          <w:tblHeader/>
        </w:trPr>
        <w:tc>
          <w:tcPr>
            <w:tcW w:w="4350" w:type="dxa"/>
            <w:gridSpan w:val="2"/>
            <w:tcBorders>
              <w:bottom w:val="single" w:sz="4" w:space="0" w:color="auto"/>
            </w:tcBorders>
            <w:shd w:val="clear" w:color="auto" w:fill="D9D9D9"/>
            <w:tcMar>
              <w:top w:w="20" w:type="dxa"/>
              <w:left w:w="115" w:type="dxa"/>
              <w:bottom w:w="20" w:type="dxa"/>
              <w:right w:w="115" w:type="dxa"/>
            </w:tcMar>
            <w:vAlign w:val="bottom"/>
          </w:tcPr>
          <w:p w14:paraId="6416112E" w14:textId="77777777" w:rsidR="00542725" w:rsidRPr="00ED4C44" w:rsidRDefault="00542725" w:rsidP="00B22CD0">
            <w:pPr>
              <w:pStyle w:val="TableHeadings"/>
              <w:jc w:val="center"/>
            </w:pPr>
          </w:p>
        </w:tc>
        <w:tc>
          <w:tcPr>
            <w:tcW w:w="1183" w:type="dxa"/>
            <w:tcBorders>
              <w:bottom w:val="single" w:sz="4" w:space="0" w:color="auto"/>
            </w:tcBorders>
            <w:shd w:val="clear" w:color="auto" w:fill="D9D9D9"/>
            <w:tcMar>
              <w:top w:w="20" w:type="dxa"/>
              <w:left w:w="115" w:type="dxa"/>
              <w:bottom w:w="20" w:type="dxa"/>
              <w:right w:w="115" w:type="dxa"/>
            </w:tcMar>
            <w:vAlign w:val="bottom"/>
            <w:hideMark/>
          </w:tcPr>
          <w:p w14:paraId="3D9E040D" w14:textId="77777777" w:rsidR="00542725" w:rsidRPr="00ED4C44" w:rsidRDefault="00542725" w:rsidP="00B22CD0">
            <w:pPr>
              <w:pStyle w:val="TableHeadings"/>
              <w:jc w:val="center"/>
            </w:pPr>
            <w:r w:rsidRPr="00ED4C44">
              <w:t>Potentially Significant Impact</w:t>
            </w:r>
          </w:p>
        </w:tc>
        <w:tc>
          <w:tcPr>
            <w:tcW w:w="1219" w:type="dxa"/>
            <w:gridSpan w:val="3"/>
            <w:tcBorders>
              <w:bottom w:val="single" w:sz="4" w:space="0" w:color="auto"/>
            </w:tcBorders>
            <w:shd w:val="clear" w:color="auto" w:fill="D9D9D9"/>
            <w:tcMar>
              <w:top w:w="20" w:type="dxa"/>
              <w:left w:w="115" w:type="dxa"/>
              <w:bottom w:w="20" w:type="dxa"/>
              <w:right w:w="115" w:type="dxa"/>
            </w:tcMar>
            <w:vAlign w:val="bottom"/>
            <w:hideMark/>
          </w:tcPr>
          <w:p w14:paraId="720E479A" w14:textId="77777777" w:rsidR="00542725" w:rsidRPr="00ED4C44" w:rsidRDefault="00542725" w:rsidP="00B22CD0">
            <w:pPr>
              <w:pStyle w:val="TableHeadings"/>
              <w:jc w:val="center"/>
            </w:pPr>
            <w:r w:rsidRPr="00ED4C44">
              <w:t>Less than Significant with Mitigation Incorporated</w:t>
            </w:r>
          </w:p>
        </w:tc>
        <w:tc>
          <w:tcPr>
            <w:tcW w:w="1109" w:type="dxa"/>
            <w:tcBorders>
              <w:bottom w:val="single" w:sz="4" w:space="0" w:color="auto"/>
            </w:tcBorders>
            <w:shd w:val="clear" w:color="auto" w:fill="D9D9D9"/>
            <w:tcMar>
              <w:top w:w="20" w:type="dxa"/>
              <w:left w:w="115" w:type="dxa"/>
              <w:bottom w:w="20" w:type="dxa"/>
              <w:right w:w="115" w:type="dxa"/>
            </w:tcMar>
            <w:vAlign w:val="bottom"/>
            <w:hideMark/>
          </w:tcPr>
          <w:p w14:paraId="28DDD9D4" w14:textId="77777777" w:rsidR="00542725" w:rsidRPr="00ED4C44" w:rsidRDefault="00542725" w:rsidP="00B22CD0">
            <w:pPr>
              <w:pStyle w:val="TableHeadings"/>
              <w:jc w:val="center"/>
            </w:pPr>
            <w:r w:rsidRPr="00ED4C44">
              <w:t>Less than Significant Impact</w:t>
            </w:r>
          </w:p>
        </w:tc>
        <w:tc>
          <w:tcPr>
            <w:tcW w:w="1186" w:type="dxa"/>
            <w:gridSpan w:val="2"/>
            <w:tcBorders>
              <w:bottom w:val="single" w:sz="4" w:space="0" w:color="auto"/>
            </w:tcBorders>
            <w:shd w:val="clear" w:color="auto" w:fill="D9D9D9"/>
            <w:tcMar>
              <w:top w:w="20" w:type="dxa"/>
              <w:left w:w="115" w:type="dxa"/>
              <w:bottom w:w="20" w:type="dxa"/>
              <w:right w:w="115" w:type="dxa"/>
            </w:tcMar>
            <w:vAlign w:val="bottom"/>
            <w:hideMark/>
          </w:tcPr>
          <w:p w14:paraId="61FA6FA8" w14:textId="77777777" w:rsidR="00542725" w:rsidRPr="00ED4C44" w:rsidRDefault="00542725" w:rsidP="00B22CD0">
            <w:pPr>
              <w:pStyle w:val="TableHeadings"/>
              <w:jc w:val="center"/>
            </w:pPr>
            <w:r w:rsidRPr="00ED4C44">
              <w:t>No Impact</w:t>
            </w:r>
          </w:p>
        </w:tc>
      </w:tr>
      <w:tr w:rsidR="00542725" w:rsidRPr="00ED4C44" w14:paraId="73640B85" w14:textId="77777777" w:rsidTr="00A90627">
        <w:trPr>
          <w:gridBefore w:val="1"/>
          <w:wBefore w:w="11" w:type="dxa"/>
        </w:trPr>
        <w:tc>
          <w:tcPr>
            <w:tcW w:w="9036" w:type="dxa"/>
            <w:gridSpan w:val="8"/>
            <w:tcMar>
              <w:top w:w="20" w:type="dxa"/>
              <w:left w:w="115" w:type="dxa"/>
              <w:bottom w:w="20" w:type="dxa"/>
              <w:right w:w="115" w:type="dxa"/>
            </w:tcMar>
            <w:vAlign w:val="bottom"/>
            <w:hideMark/>
          </w:tcPr>
          <w:p w14:paraId="430008F2" w14:textId="77777777" w:rsidR="00542725" w:rsidRPr="00ED4C44" w:rsidRDefault="00542725" w:rsidP="002A5569">
            <w:pPr>
              <w:pStyle w:val="BodyText"/>
              <w:spacing w:before="40" w:after="40"/>
              <w:rPr>
                <w:b/>
              </w:rPr>
            </w:pPr>
            <w:r w:rsidRPr="00ED4C44">
              <w:t>Would the project:</w:t>
            </w:r>
          </w:p>
        </w:tc>
      </w:tr>
      <w:tr w:rsidR="00542725" w:rsidRPr="00ED4C44" w14:paraId="0DDA27AE" w14:textId="77777777" w:rsidTr="00A90627">
        <w:trPr>
          <w:gridBefore w:val="1"/>
          <w:gridAfter w:val="1"/>
          <w:wBefore w:w="11" w:type="dxa"/>
          <w:wAfter w:w="59" w:type="dxa"/>
        </w:trPr>
        <w:tc>
          <w:tcPr>
            <w:tcW w:w="4339" w:type="dxa"/>
            <w:tcMar>
              <w:top w:w="20" w:type="dxa"/>
              <w:left w:w="115" w:type="dxa"/>
              <w:bottom w:w="20" w:type="dxa"/>
              <w:right w:w="115" w:type="dxa"/>
            </w:tcMar>
            <w:vAlign w:val="bottom"/>
            <w:hideMark/>
          </w:tcPr>
          <w:p w14:paraId="601AE4D3" w14:textId="77777777" w:rsidR="00542725" w:rsidRPr="00ED4C44" w:rsidRDefault="000E233D" w:rsidP="002A5569">
            <w:pPr>
              <w:pStyle w:val="BulletListLettered"/>
              <w:numPr>
                <w:ilvl w:val="0"/>
                <w:numId w:val="14"/>
              </w:numPr>
              <w:spacing w:before="40" w:after="40"/>
            </w:pPr>
            <w:r w:rsidRPr="00ED4C44">
              <w:t>Directly or indirectly cause potential</w:t>
            </w:r>
            <w:r w:rsidR="00542725" w:rsidRPr="00ED4C44">
              <w:t xml:space="preserve"> </w:t>
            </w:r>
            <w:r w:rsidR="002A5569" w:rsidRPr="00ED4C44">
              <w:t xml:space="preserve">substantial </w:t>
            </w:r>
            <w:r w:rsidR="00542725" w:rsidRPr="00ED4C44">
              <w:t>adverse effects, including the risk of loss, injury, or death involving:</w:t>
            </w:r>
          </w:p>
        </w:tc>
        <w:tc>
          <w:tcPr>
            <w:tcW w:w="1254" w:type="dxa"/>
            <w:gridSpan w:val="2"/>
            <w:tcMar>
              <w:top w:w="20" w:type="dxa"/>
              <w:left w:w="115" w:type="dxa"/>
              <w:bottom w:w="20" w:type="dxa"/>
              <w:right w:w="115" w:type="dxa"/>
            </w:tcMar>
            <w:vAlign w:val="bottom"/>
          </w:tcPr>
          <w:p w14:paraId="02C96812" w14:textId="77777777" w:rsidR="00542725" w:rsidRPr="00ED4C44" w:rsidRDefault="00542725" w:rsidP="002A5569">
            <w:pPr>
              <w:spacing w:before="40" w:after="40"/>
              <w:jc w:val="center"/>
              <w:rPr>
                <w:sz w:val="28"/>
                <w:szCs w:val="28"/>
              </w:rPr>
            </w:pPr>
          </w:p>
        </w:tc>
        <w:tc>
          <w:tcPr>
            <w:tcW w:w="1127" w:type="dxa"/>
            <w:tcMar>
              <w:top w:w="20" w:type="dxa"/>
              <w:left w:w="115" w:type="dxa"/>
              <w:bottom w:w="20" w:type="dxa"/>
              <w:right w:w="115" w:type="dxa"/>
            </w:tcMar>
            <w:vAlign w:val="bottom"/>
          </w:tcPr>
          <w:p w14:paraId="03AA1FDB" w14:textId="77777777" w:rsidR="00542725" w:rsidRPr="00ED4C44" w:rsidRDefault="00542725" w:rsidP="002A5569">
            <w:pPr>
              <w:spacing w:before="40" w:after="40"/>
              <w:jc w:val="center"/>
              <w:rPr>
                <w:sz w:val="28"/>
                <w:szCs w:val="28"/>
              </w:rPr>
            </w:pPr>
          </w:p>
        </w:tc>
        <w:tc>
          <w:tcPr>
            <w:tcW w:w="1130" w:type="dxa"/>
            <w:gridSpan w:val="2"/>
            <w:tcMar>
              <w:top w:w="20" w:type="dxa"/>
              <w:left w:w="115" w:type="dxa"/>
              <w:bottom w:w="20" w:type="dxa"/>
              <w:right w:w="115" w:type="dxa"/>
            </w:tcMar>
            <w:vAlign w:val="bottom"/>
          </w:tcPr>
          <w:p w14:paraId="3094D992" w14:textId="77777777" w:rsidR="00542725" w:rsidRPr="00ED4C44" w:rsidRDefault="00542725" w:rsidP="002A5569">
            <w:pPr>
              <w:spacing w:before="40" w:after="40"/>
              <w:jc w:val="center"/>
              <w:rPr>
                <w:sz w:val="28"/>
                <w:szCs w:val="28"/>
              </w:rPr>
            </w:pPr>
          </w:p>
        </w:tc>
        <w:tc>
          <w:tcPr>
            <w:tcW w:w="1127" w:type="dxa"/>
            <w:tcMar>
              <w:top w:w="20" w:type="dxa"/>
              <w:left w:w="115" w:type="dxa"/>
              <w:bottom w:w="20" w:type="dxa"/>
              <w:right w:w="115" w:type="dxa"/>
            </w:tcMar>
            <w:vAlign w:val="bottom"/>
          </w:tcPr>
          <w:p w14:paraId="596B8BAC" w14:textId="77777777" w:rsidR="00542725" w:rsidRPr="00ED4C44" w:rsidRDefault="00542725" w:rsidP="002A5569">
            <w:pPr>
              <w:spacing w:before="40" w:after="40"/>
              <w:jc w:val="center"/>
              <w:rPr>
                <w:sz w:val="28"/>
                <w:szCs w:val="28"/>
              </w:rPr>
            </w:pPr>
          </w:p>
        </w:tc>
      </w:tr>
      <w:tr w:rsidR="00542725" w:rsidRPr="00ED4C44" w14:paraId="696F5A06" w14:textId="77777777" w:rsidTr="00A90627">
        <w:trPr>
          <w:gridBefore w:val="1"/>
          <w:gridAfter w:val="1"/>
          <w:wBefore w:w="11" w:type="dxa"/>
          <w:wAfter w:w="59" w:type="dxa"/>
        </w:trPr>
        <w:tc>
          <w:tcPr>
            <w:tcW w:w="4339" w:type="dxa"/>
            <w:tcMar>
              <w:top w:w="20" w:type="dxa"/>
              <w:left w:w="115" w:type="dxa"/>
              <w:bottom w:w="20" w:type="dxa"/>
              <w:right w:w="115" w:type="dxa"/>
            </w:tcMar>
            <w:vAlign w:val="bottom"/>
            <w:hideMark/>
          </w:tcPr>
          <w:p w14:paraId="05310672" w14:textId="77777777" w:rsidR="00542725" w:rsidRPr="00ED4C44" w:rsidRDefault="002F79A4" w:rsidP="002A5569">
            <w:pPr>
              <w:spacing w:before="40" w:after="40"/>
              <w:ind w:left="831" w:hanging="432"/>
              <w:rPr>
                <w:rFonts w:asciiTheme="minorHAnsi" w:hAnsiTheme="minorHAnsi"/>
                <w:sz w:val="22"/>
                <w:szCs w:val="22"/>
              </w:rPr>
            </w:pPr>
            <w:r w:rsidRPr="00ED4C44">
              <w:rPr>
                <w:rFonts w:asciiTheme="minorHAnsi" w:hAnsiTheme="minorHAnsi"/>
                <w:sz w:val="22"/>
                <w:szCs w:val="22"/>
              </w:rPr>
              <w:t>1.</w:t>
            </w:r>
            <w:r w:rsidRPr="00ED4C44">
              <w:rPr>
                <w:rFonts w:asciiTheme="minorHAnsi" w:hAnsiTheme="minorHAnsi"/>
                <w:sz w:val="22"/>
                <w:szCs w:val="22"/>
              </w:rPr>
              <w:tab/>
            </w:r>
            <w:r w:rsidR="00542725" w:rsidRPr="00ED4C44">
              <w:rPr>
                <w:rFonts w:asciiTheme="minorHAnsi" w:hAnsiTheme="minorHAnsi"/>
                <w:sz w:val="22"/>
                <w:szCs w:val="22"/>
              </w:rPr>
              <w:t>Rupture of a known earthquake fault, as delineated on the most recent Alquist-Priolo Earthquake Fault Zoning Map issued by the State Geologist for the area or based on other substantial evidence of a known fault?</w:t>
            </w:r>
          </w:p>
        </w:tc>
        <w:tc>
          <w:tcPr>
            <w:tcW w:w="1254" w:type="dxa"/>
            <w:gridSpan w:val="2"/>
            <w:tcMar>
              <w:top w:w="20" w:type="dxa"/>
              <w:left w:w="115" w:type="dxa"/>
              <w:bottom w:w="20" w:type="dxa"/>
              <w:right w:w="115" w:type="dxa"/>
            </w:tcMar>
            <w:vAlign w:val="bottom"/>
          </w:tcPr>
          <w:p w14:paraId="44D0FAC9" w14:textId="480CE2CE" w:rsidR="00542725" w:rsidRPr="009503C8" w:rsidRDefault="001B458E" w:rsidP="002A5569">
            <w:pPr>
              <w:spacing w:before="40" w:after="40"/>
              <w:jc w:val="center"/>
              <w:rPr>
                <w:sz w:val="22"/>
                <w:szCs w:val="22"/>
              </w:rPr>
            </w:pPr>
            <w:r w:rsidRPr="009503C8">
              <w:rPr>
                <w:rFonts w:ascii="Times New Roman" w:hAnsi="Times New Roman"/>
                <w:sz w:val="22"/>
                <w:szCs w:val="22"/>
              </w:rPr>
              <w:t>□</w:t>
            </w:r>
          </w:p>
        </w:tc>
        <w:tc>
          <w:tcPr>
            <w:tcW w:w="1127" w:type="dxa"/>
            <w:tcMar>
              <w:top w:w="20" w:type="dxa"/>
              <w:left w:w="115" w:type="dxa"/>
              <w:bottom w:w="20" w:type="dxa"/>
              <w:right w:w="115" w:type="dxa"/>
            </w:tcMar>
            <w:vAlign w:val="bottom"/>
          </w:tcPr>
          <w:p w14:paraId="2031D3C7" w14:textId="6766AA48" w:rsidR="00542725" w:rsidRPr="009503C8" w:rsidRDefault="00542725" w:rsidP="002A5569">
            <w:pPr>
              <w:spacing w:before="40" w:after="40"/>
              <w:jc w:val="center"/>
              <w:rPr>
                <w:sz w:val="22"/>
                <w:szCs w:val="22"/>
              </w:rPr>
            </w:pPr>
            <w:r w:rsidRPr="009503C8">
              <w:rPr>
                <w:rFonts w:ascii="Times New Roman" w:hAnsi="Times New Roman"/>
                <w:sz w:val="22"/>
                <w:szCs w:val="22"/>
              </w:rPr>
              <w:t>□</w:t>
            </w:r>
          </w:p>
        </w:tc>
        <w:tc>
          <w:tcPr>
            <w:tcW w:w="1130" w:type="dxa"/>
            <w:gridSpan w:val="2"/>
            <w:tcMar>
              <w:top w:w="20" w:type="dxa"/>
              <w:left w:w="115" w:type="dxa"/>
              <w:bottom w:w="20" w:type="dxa"/>
              <w:right w:w="115" w:type="dxa"/>
            </w:tcMar>
            <w:vAlign w:val="bottom"/>
          </w:tcPr>
          <w:p w14:paraId="32963C35" w14:textId="2DAC931C" w:rsidR="00542725" w:rsidRPr="009503C8" w:rsidRDefault="001B458E" w:rsidP="002A5569">
            <w:pPr>
              <w:spacing w:before="40" w:after="40"/>
              <w:jc w:val="center"/>
              <w:rPr>
                <w:sz w:val="22"/>
                <w:szCs w:val="22"/>
              </w:rPr>
            </w:pPr>
            <w:r w:rsidRPr="009503C8">
              <w:rPr>
                <w:rFonts w:ascii="Times New Roman" w:hAnsi="Times New Roman"/>
                <w:sz w:val="22"/>
                <w:szCs w:val="22"/>
              </w:rPr>
              <w:t>■</w:t>
            </w:r>
          </w:p>
        </w:tc>
        <w:tc>
          <w:tcPr>
            <w:tcW w:w="1127" w:type="dxa"/>
            <w:tcMar>
              <w:top w:w="20" w:type="dxa"/>
              <w:left w:w="115" w:type="dxa"/>
              <w:bottom w:w="20" w:type="dxa"/>
              <w:right w:w="115" w:type="dxa"/>
            </w:tcMar>
            <w:vAlign w:val="bottom"/>
          </w:tcPr>
          <w:p w14:paraId="48907899" w14:textId="39727FF3" w:rsidR="00542725" w:rsidRPr="009503C8" w:rsidRDefault="00FC7CAD" w:rsidP="002A5569">
            <w:pPr>
              <w:spacing w:before="40" w:after="40"/>
              <w:jc w:val="center"/>
              <w:rPr>
                <w:sz w:val="22"/>
                <w:szCs w:val="22"/>
              </w:rPr>
            </w:pPr>
            <w:r w:rsidRPr="009503C8">
              <w:rPr>
                <w:rFonts w:ascii="Times New Roman" w:hAnsi="Times New Roman"/>
                <w:sz w:val="22"/>
                <w:szCs w:val="22"/>
              </w:rPr>
              <w:t>□</w:t>
            </w:r>
          </w:p>
        </w:tc>
      </w:tr>
      <w:tr w:rsidR="00542725" w:rsidRPr="00ED4C44" w14:paraId="7DCD5EDF" w14:textId="77777777" w:rsidTr="00A90627">
        <w:trPr>
          <w:gridBefore w:val="1"/>
          <w:gridAfter w:val="1"/>
          <w:wBefore w:w="11" w:type="dxa"/>
          <w:wAfter w:w="59" w:type="dxa"/>
        </w:trPr>
        <w:tc>
          <w:tcPr>
            <w:tcW w:w="4339" w:type="dxa"/>
            <w:tcMar>
              <w:top w:w="20" w:type="dxa"/>
              <w:left w:w="115" w:type="dxa"/>
              <w:bottom w:w="20" w:type="dxa"/>
              <w:right w:w="115" w:type="dxa"/>
            </w:tcMar>
            <w:vAlign w:val="bottom"/>
            <w:hideMark/>
          </w:tcPr>
          <w:p w14:paraId="6FDD8D37" w14:textId="77777777" w:rsidR="00542725" w:rsidRPr="00ED4C44" w:rsidRDefault="002F79A4" w:rsidP="002A5569">
            <w:pPr>
              <w:spacing w:before="40" w:after="40"/>
              <w:ind w:left="831" w:hanging="432"/>
              <w:rPr>
                <w:rFonts w:asciiTheme="minorHAnsi" w:hAnsiTheme="minorHAnsi"/>
                <w:sz w:val="22"/>
                <w:szCs w:val="22"/>
              </w:rPr>
            </w:pPr>
            <w:r w:rsidRPr="00ED4C44">
              <w:rPr>
                <w:rFonts w:asciiTheme="minorHAnsi" w:hAnsiTheme="minorHAnsi"/>
                <w:sz w:val="22"/>
                <w:szCs w:val="22"/>
              </w:rPr>
              <w:t>2.</w:t>
            </w:r>
            <w:r w:rsidRPr="00ED4C44">
              <w:rPr>
                <w:rFonts w:asciiTheme="minorHAnsi" w:hAnsiTheme="minorHAnsi"/>
                <w:sz w:val="22"/>
                <w:szCs w:val="22"/>
              </w:rPr>
              <w:tab/>
            </w:r>
            <w:r w:rsidR="00542725" w:rsidRPr="00ED4C44">
              <w:rPr>
                <w:rFonts w:asciiTheme="minorHAnsi" w:hAnsiTheme="minorHAnsi"/>
                <w:sz w:val="22"/>
                <w:szCs w:val="22"/>
              </w:rPr>
              <w:t>Strong seismic ground shaking?</w:t>
            </w:r>
          </w:p>
        </w:tc>
        <w:tc>
          <w:tcPr>
            <w:tcW w:w="1254" w:type="dxa"/>
            <w:gridSpan w:val="2"/>
            <w:tcMar>
              <w:top w:w="20" w:type="dxa"/>
              <w:left w:w="115" w:type="dxa"/>
              <w:bottom w:w="20" w:type="dxa"/>
              <w:right w:w="115" w:type="dxa"/>
            </w:tcMar>
            <w:vAlign w:val="bottom"/>
          </w:tcPr>
          <w:p w14:paraId="217F6C8C" w14:textId="00ABF0D9" w:rsidR="00542725" w:rsidRPr="009503C8" w:rsidRDefault="004A3056" w:rsidP="002A5569">
            <w:pPr>
              <w:spacing w:before="40" w:after="40"/>
              <w:jc w:val="center"/>
              <w:rPr>
                <w:sz w:val="22"/>
                <w:szCs w:val="22"/>
              </w:rPr>
            </w:pPr>
            <w:r w:rsidRPr="009503C8">
              <w:rPr>
                <w:rFonts w:ascii="Times New Roman" w:hAnsi="Times New Roman"/>
                <w:sz w:val="22"/>
                <w:szCs w:val="22"/>
              </w:rPr>
              <w:t>□</w:t>
            </w:r>
          </w:p>
        </w:tc>
        <w:tc>
          <w:tcPr>
            <w:tcW w:w="1127" w:type="dxa"/>
            <w:tcMar>
              <w:top w:w="20" w:type="dxa"/>
              <w:left w:w="115" w:type="dxa"/>
              <w:bottom w:w="20" w:type="dxa"/>
              <w:right w:w="115" w:type="dxa"/>
            </w:tcMar>
            <w:vAlign w:val="bottom"/>
          </w:tcPr>
          <w:p w14:paraId="3073EA30" w14:textId="79A6C387" w:rsidR="00542725" w:rsidRPr="009503C8" w:rsidRDefault="00542725" w:rsidP="002A5569">
            <w:pPr>
              <w:spacing w:before="40" w:after="40"/>
              <w:jc w:val="center"/>
              <w:rPr>
                <w:sz w:val="22"/>
                <w:szCs w:val="22"/>
              </w:rPr>
            </w:pPr>
            <w:r w:rsidRPr="009503C8">
              <w:rPr>
                <w:rFonts w:ascii="Times New Roman" w:hAnsi="Times New Roman"/>
                <w:sz w:val="22"/>
                <w:szCs w:val="22"/>
              </w:rPr>
              <w:t>□</w:t>
            </w:r>
          </w:p>
        </w:tc>
        <w:tc>
          <w:tcPr>
            <w:tcW w:w="1130" w:type="dxa"/>
            <w:gridSpan w:val="2"/>
            <w:tcMar>
              <w:top w:w="20" w:type="dxa"/>
              <w:left w:w="115" w:type="dxa"/>
              <w:bottom w:w="20" w:type="dxa"/>
              <w:right w:w="115" w:type="dxa"/>
            </w:tcMar>
            <w:vAlign w:val="bottom"/>
          </w:tcPr>
          <w:p w14:paraId="69EBF72C" w14:textId="191F992A" w:rsidR="00542725" w:rsidRPr="009503C8" w:rsidRDefault="004A3056" w:rsidP="002A5569">
            <w:pPr>
              <w:spacing w:before="40" w:after="40"/>
              <w:jc w:val="center"/>
              <w:rPr>
                <w:sz w:val="22"/>
                <w:szCs w:val="22"/>
              </w:rPr>
            </w:pPr>
            <w:r w:rsidRPr="009503C8">
              <w:rPr>
                <w:rFonts w:ascii="Times New Roman" w:hAnsi="Times New Roman"/>
                <w:sz w:val="22"/>
                <w:szCs w:val="22"/>
              </w:rPr>
              <w:t>■</w:t>
            </w:r>
          </w:p>
        </w:tc>
        <w:tc>
          <w:tcPr>
            <w:tcW w:w="1127" w:type="dxa"/>
            <w:tcMar>
              <w:top w:w="20" w:type="dxa"/>
              <w:left w:w="115" w:type="dxa"/>
              <w:bottom w:w="20" w:type="dxa"/>
              <w:right w:w="115" w:type="dxa"/>
            </w:tcMar>
            <w:vAlign w:val="bottom"/>
          </w:tcPr>
          <w:p w14:paraId="1C76349E" w14:textId="41FC3162" w:rsidR="00542725" w:rsidRPr="009503C8" w:rsidRDefault="00FA662E" w:rsidP="002A5569">
            <w:pPr>
              <w:spacing w:before="40" w:after="40"/>
              <w:jc w:val="center"/>
              <w:rPr>
                <w:sz w:val="22"/>
                <w:szCs w:val="22"/>
              </w:rPr>
            </w:pPr>
            <w:r w:rsidRPr="009503C8">
              <w:rPr>
                <w:rFonts w:ascii="Times New Roman" w:hAnsi="Times New Roman"/>
                <w:sz w:val="22"/>
                <w:szCs w:val="22"/>
              </w:rPr>
              <w:t>□</w:t>
            </w:r>
          </w:p>
        </w:tc>
      </w:tr>
      <w:tr w:rsidR="00542725" w:rsidRPr="00ED4C44" w14:paraId="60F60F16" w14:textId="77777777" w:rsidTr="00A90627">
        <w:trPr>
          <w:gridBefore w:val="1"/>
          <w:gridAfter w:val="1"/>
          <w:wBefore w:w="11" w:type="dxa"/>
          <w:wAfter w:w="59" w:type="dxa"/>
        </w:trPr>
        <w:tc>
          <w:tcPr>
            <w:tcW w:w="4339" w:type="dxa"/>
            <w:tcMar>
              <w:top w:w="20" w:type="dxa"/>
              <w:left w:w="115" w:type="dxa"/>
              <w:bottom w:w="20" w:type="dxa"/>
              <w:right w:w="115" w:type="dxa"/>
            </w:tcMar>
            <w:vAlign w:val="bottom"/>
            <w:hideMark/>
          </w:tcPr>
          <w:p w14:paraId="4ABD8A2C" w14:textId="77777777" w:rsidR="00542725" w:rsidRPr="00ED4C44" w:rsidRDefault="002F79A4" w:rsidP="002A5569">
            <w:pPr>
              <w:spacing w:before="40" w:after="40"/>
              <w:ind w:left="831" w:hanging="432"/>
              <w:rPr>
                <w:rFonts w:asciiTheme="minorHAnsi" w:hAnsiTheme="minorHAnsi"/>
                <w:sz w:val="22"/>
                <w:szCs w:val="22"/>
              </w:rPr>
            </w:pPr>
            <w:r w:rsidRPr="00ED4C44">
              <w:rPr>
                <w:rFonts w:asciiTheme="minorHAnsi" w:hAnsiTheme="minorHAnsi"/>
                <w:sz w:val="22"/>
                <w:szCs w:val="22"/>
              </w:rPr>
              <w:t>3.</w:t>
            </w:r>
            <w:r w:rsidRPr="00ED4C44">
              <w:rPr>
                <w:rFonts w:asciiTheme="minorHAnsi" w:hAnsiTheme="minorHAnsi"/>
                <w:sz w:val="22"/>
                <w:szCs w:val="22"/>
              </w:rPr>
              <w:tab/>
            </w:r>
            <w:r w:rsidR="00542725" w:rsidRPr="00ED4C44">
              <w:rPr>
                <w:rFonts w:asciiTheme="minorHAnsi" w:hAnsiTheme="minorHAnsi"/>
                <w:sz w:val="22"/>
                <w:szCs w:val="22"/>
              </w:rPr>
              <w:t>Seismic-related ground failure, including liquefaction?</w:t>
            </w:r>
          </w:p>
        </w:tc>
        <w:tc>
          <w:tcPr>
            <w:tcW w:w="1254" w:type="dxa"/>
            <w:gridSpan w:val="2"/>
            <w:tcMar>
              <w:top w:w="20" w:type="dxa"/>
              <w:left w:w="115" w:type="dxa"/>
              <w:bottom w:w="20" w:type="dxa"/>
              <w:right w:w="115" w:type="dxa"/>
            </w:tcMar>
            <w:vAlign w:val="bottom"/>
          </w:tcPr>
          <w:p w14:paraId="646A88E2" w14:textId="4A9802E5" w:rsidR="00542725" w:rsidRPr="009503C8" w:rsidRDefault="004A3056" w:rsidP="002A5569">
            <w:pPr>
              <w:spacing w:before="40" w:after="40"/>
              <w:jc w:val="center"/>
              <w:rPr>
                <w:sz w:val="22"/>
                <w:szCs w:val="22"/>
              </w:rPr>
            </w:pPr>
            <w:r w:rsidRPr="009503C8">
              <w:rPr>
                <w:rFonts w:ascii="Times New Roman" w:hAnsi="Times New Roman"/>
                <w:sz w:val="22"/>
                <w:szCs w:val="22"/>
              </w:rPr>
              <w:t>□</w:t>
            </w:r>
          </w:p>
        </w:tc>
        <w:tc>
          <w:tcPr>
            <w:tcW w:w="1127" w:type="dxa"/>
            <w:tcMar>
              <w:top w:w="20" w:type="dxa"/>
              <w:left w:w="115" w:type="dxa"/>
              <w:bottom w:w="20" w:type="dxa"/>
              <w:right w:w="115" w:type="dxa"/>
            </w:tcMar>
            <w:vAlign w:val="bottom"/>
          </w:tcPr>
          <w:p w14:paraId="66122A34" w14:textId="095C3CA8" w:rsidR="00542725" w:rsidRPr="009503C8" w:rsidRDefault="00542725" w:rsidP="002A5569">
            <w:pPr>
              <w:spacing w:before="40" w:after="40"/>
              <w:jc w:val="center"/>
              <w:rPr>
                <w:sz w:val="22"/>
                <w:szCs w:val="22"/>
              </w:rPr>
            </w:pPr>
            <w:r w:rsidRPr="009503C8">
              <w:rPr>
                <w:rFonts w:ascii="Times New Roman" w:hAnsi="Times New Roman"/>
                <w:sz w:val="22"/>
                <w:szCs w:val="22"/>
              </w:rPr>
              <w:t>□</w:t>
            </w:r>
          </w:p>
        </w:tc>
        <w:tc>
          <w:tcPr>
            <w:tcW w:w="1130" w:type="dxa"/>
            <w:gridSpan w:val="2"/>
            <w:tcMar>
              <w:top w:w="20" w:type="dxa"/>
              <w:left w:w="115" w:type="dxa"/>
              <w:bottom w:w="20" w:type="dxa"/>
              <w:right w:w="115" w:type="dxa"/>
            </w:tcMar>
            <w:vAlign w:val="bottom"/>
          </w:tcPr>
          <w:p w14:paraId="61EA0081" w14:textId="1A801DD1" w:rsidR="00542725" w:rsidRPr="009503C8" w:rsidRDefault="004A3056" w:rsidP="002A5569">
            <w:pPr>
              <w:spacing w:before="40" w:after="40"/>
              <w:jc w:val="center"/>
              <w:rPr>
                <w:sz w:val="22"/>
                <w:szCs w:val="22"/>
              </w:rPr>
            </w:pPr>
            <w:r w:rsidRPr="009503C8">
              <w:rPr>
                <w:rFonts w:ascii="Times New Roman" w:hAnsi="Times New Roman"/>
                <w:sz w:val="22"/>
                <w:szCs w:val="22"/>
              </w:rPr>
              <w:t>■</w:t>
            </w:r>
          </w:p>
        </w:tc>
        <w:tc>
          <w:tcPr>
            <w:tcW w:w="1127" w:type="dxa"/>
            <w:tcMar>
              <w:top w:w="20" w:type="dxa"/>
              <w:left w:w="115" w:type="dxa"/>
              <w:bottom w:w="20" w:type="dxa"/>
              <w:right w:w="115" w:type="dxa"/>
            </w:tcMar>
            <w:vAlign w:val="bottom"/>
          </w:tcPr>
          <w:p w14:paraId="6922391D" w14:textId="12A2A52B" w:rsidR="00542725" w:rsidRPr="009503C8" w:rsidRDefault="00FC7CAD" w:rsidP="002A5569">
            <w:pPr>
              <w:spacing w:before="40" w:after="40"/>
              <w:jc w:val="center"/>
              <w:rPr>
                <w:sz w:val="22"/>
                <w:szCs w:val="22"/>
              </w:rPr>
            </w:pPr>
            <w:r w:rsidRPr="009503C8">
              <w:rPr>
                <w:rFonts w:ascii="Times New Roman" w:hAnsi="Times New Roman"/>
                <w:sz w:val="22"/>
                <w:szCs w:val="22"/>
              </w:rPr>
              <w:t>□</w:t>
            </w:r>
          </w:p>
        </w:tc>
      </w:tr>
      <w:tr w:rsidR="00542725" w:rsidRPr="00ED4C44" w14:paraId="75AA727B" w14:textId="77777777" w:rsidTr="00A90627">
        <w:trPr>
          <w:gridBefore w:val="1"/>
          <w:gridAfter w:val="1"/>
          <w:wBefore w:w="11" w:type="dxa"/>
          <w:wAfter w:w="59" w:type="dxa"/>
          <w:trHeight w:val="196"/>
        </w:trPr>
        <w:tc>
          <w:tcPr>
            <w:tcW w:w="4339" w:type="dxa"/>
            <w:tcMar>
              <w:top w:w="20" w:type="dxa"/>
              <w:left w:w="115" w:type="dxa"/>
              <w:bottom w:w="20" w:type="dxa"/>
              <w:right w:w="115" w:type="dxa"/>
            </w:tcMar>
            <w:vAlign w:val="bottom"/>
            <w:hideMark/>
          </w:tcPr>
          <w:p w14:paraId="5AAD9B01" w14:textId="77777777" w:rsidR="00542725" w:rsidRPr="00ED4C44" w:rsidRDefault="002F79A4" w:rsidP="002A5569">
            <w:pPr>
              <w:spacing w:before="40" w:after="40"/>
              <w:ind w:left="831" w:hanging="432"/>
              <w:rPr>
                <w:rFonts w:asciiTheme="minorHAnsi" w:hAnsiTheme="minorHAnsi"/>
                <w:sz w:val="22"/>
                <w:szCs w:val="22"/>
              </w:rPr>
            </w:pPr>
            <w:r w:rsidRPr="00ED4C44">
              <w:rPr>
                <w:rFonts w:asciiTheme="minorHAnsi" w:hAnsiTheme="minorHAnsi"/>
                <w:sz w:val="22"/>
                <w:szCs w:val="22"/>
              </w:rPr>
              <w:t>4.</w:t>
            </w:r>
            <w:r w:rsidRPr="00ED4C44">
              <w:rPr>
                <w:rFonts w:asciiTheme="minorHAnsi" w:hAnsiTheme="minorHAnsi"/>
                <w:sz w:val="22"/>
                <w:szCs w:val="22"/>
              </w:rPr>
              <w:tab/>
            </w:r>
            <w:r w:rsidR="00542725" w:rsidRPr="00ED4C44">
              <w:rPr>
                <w:rFonts w:asciiTheme="minorHAnsi" w:hAnsiTheme="minorHAnsi"/>
                <w:sz w:val="22"/>
                <w:szCs w:val="22"/>
              </w:rPr>
              <w:t>Landslides?</w:t>
            </w:r>
          </w:p>
        </w:tc>
        <w:tc>
          <w:tcPr>
            <w:tcW w:w="1254" w:type="dxa"/>
            <w:gridSpan w:val="2"/>
            <w:tcMar>
              <w:top w:w="20" w:type="dxa"/>
              <w:left w:w="115" w:type="dxa"/>
              <w:bottom w:w="20" w:type="dxa"/>
              <w:right w:w="115" w:type="dxa"/>
            </w:tcMar>
            <w:vAlign w:val="bottom"/>
          </w:tcPr>
          <w:p w14:paraId="5120514D" w14:textId="7889BD11" w:rsidR="00542725" w:rsidRPr="009503C8" w:rsidRDefault="00304D72" w:rsidP="002A5569">
            <w:pPr>
              <w:spacing w:before="40" w:after="40"/>
              <w:jc w:val="center"/>
              <w:rPr>
                <w:sz w:val="22"/>
                <w:szCs w:val="22"/>
              </w:rPr>
            </w:pPr>
            <w:r w:rsidRPr="009503C8">
              <w:rPr>
                <w:rFonts w:ascii="Times New Roman" w:hAnsi="Times New Roman"/>
                <w:sz w:val="22"/>
                <w:szCs w:val="22"/>
              </w:rPr>
              <w:t>□</w:t>
            </w:r>
          </w:p>
        </w:tc>
        <w:tc>
          <w:tcPr>
            <w:tcW w:w="1127" w:type="dxa"/>
            <w:tcMar>
              <w:top w:w="20" w:type="dxa"/>
              <w:left w:w="115" w:type="dxa"/>
              <w:bottom w:w="20" w:type="dxa"/>
              <w:right w:w="115" w:type="dxa"/>
            </w:tcMar>
            <w:vAlign w:val="bottom"/>
          </w:tcPr>
          <w:p w14:paraId="5FDBCBF1" w14:textId="70354EF3" w:rsidR="00542725" w:rsidRPr="009503C8" w:rsidRDefault="00542725" w:rsidP="002A5569">
            <w:pPr>
              <w:spacing w:before="40" w:after="40"/>
              <w:jc w:val="center"/>
              <w:rPr>
                <w:sz w:val="22"/>
                <w:szCs w:val="22"/>
              </w:rPr>
            </w:pPr>
            <w:r w:rsidRPr="009503C8">
              <w:rPr>
                <w:rFonts w:ascii="Times New Roman" w:hAnsi="Times New Roman"/>
                <w:sz w:val="22"/>
                <w:szCs w:val="22"/>
              </w:rPr>
              <w:t>□</w:t>
            </w:r>
          </w:p>
        </w:tc>
        <w:tc>
          <w:tcPr>
            <w:tcW w:w="1130" w:type="dxa"/>
            <w:gridSpan w:val="2"/>
            <w:tcMar>
              <w:top w:w="20" w:type="dxa"/>
              <w:left w:w="115" w:type="dxa"/>
              <w:bottom w:w="20" w:type="dxa"/>
              <w:right w:w="115" w:type="dxa"/>
            </w:tcMar>
            <w:vAlign w:val="bottom"/>
          </w:tcPr>
          <w:p w14:paraId="0E2BB5A5" w14:textId="2B11300D" w:rsidR="00542725" w:rsidRPr="009503C8" w:rsidRDefault="004A3056" w:rsidP="002A5569">
            <w:pPr>
              <w:spacing w:before="40" w:after="40"/>
              <w:jc w:val="center"/>
              <w:rPr>
                <w:sz w:val="22"/>
                <w:szCs w:val="22"/>
              </w:rPr>
            </w:pPr>
            <w:r w:rsidRPr="009503C8">
              <w:rPr>
                <w:rFonts w:ascii="Times New Roman" w:hAnsi="Times New Roman"/>
                <w:sz w:val="22"/>
                <w:szCs w:val="22"/>
              </w:rPr>
              <w:t>■</w:t>
            </w:r>
          </w:p>
        </w:tc>
        <w:tc>
          <w:tcPr>
            <w:tcW w:w="1127" w:type="dxa"/>
            <w:tcMar>
              <w:top w:w="20" w:type="dxa"/>
              <w:left w:w="115" w:type="dxa"/>
              <w:bottom w:w="20" w:type="dxa"/>
              <w:right w:w="115" w:type="dxa"/>
            </w:tcMar>
            <w:vAlign w:val="bottom"/>
          </w:tcPr>
          <w:p w14:paraId="3DE42D4B" w14:textId="6F45FD01" w:rsidR="00542725" w:rsidRPr="009503C8" w:rsidRDefault="004A3056" w:rsidP="002A5569">
            <w:pPr>
              <w:spacing w:before="40" w:after="40"/>
              <w:jc w:val="center"/>
              <w:rPr>
                <w:sz w:val="22"/>
                <w:szCs w:val="22"/>
              </w:rPr>
            </w:pPr>
            <w:r w:rsidRPr="009503C8">
              <w:rPr>
                <w:rFonts w:ascii="Times New Roman" w:hAnsi="Times New Roman"/>
                <w:sz w:val="22"/>
                <w:szCs w:val="22"/>
              </w:rPr>
              <w:t>□</w:t>
            </w:r>
          </w:p>
        </w:tc>
      </w:tr>
      <w:tr w:rsidR="00542725" w:rsidRPr="00ED4C44" w14:paraId="57D18E13" w14:textId="77777777" w:rsidTr="00A90627">
        <w:trPr>
          <w:gridBefore w:val="1"/>
          <w:gridAfter w:val="1"/>
          <w:wBefore w:w="11" w:type="dxa"/>
          <w:wAfter w:w="59" w:type="dxa"/>
          <w:trHeight w:val="196"/>
        </w:trPr>
        <w:tc>
          <w:tcPr>
            <w:tcW w:w="4339" w:type="dxa"/>
            <w:tcMar>
              <w:top w:w="20" w:type="dxa"/>
              <w:left w:w="115" w:type="dxa"/>
              <w:bottom w:w="20" w:type="dxa"/>
              <w:right w:w="115" w:type="dxa"/>
            </w:tcMar>
            <w:vAlign w:val="bottom"/>
            <w:hideMark/>
          </w:tcPr>
          <w:p w14:paraId="26F6C987" w14:textId="77777777" w:rsidR="00542725" w:rsidRPr="00ED4C44" w:rsidRDefault="00542725" w:rsidP="002A5569">
            <w:pPr>
              <w:pStyle w:val="BulletListLettered"/>
              <w:spacing w:before="40" w:after="40"/>
            </w:pPr>
            <w:r w:rsidRPr="00ED4C44">
              <w:t>Result in substantial soil erosion or the loss of topsoil?</w:t>
            </w:r>
          </w:p>
        </w:tc>
        <w:tc>
          <w:tcPr>
            <w:tcW w:w="1254" w:type="dxa"/>
            <w:gridSpan w:val="2"/>
            <w:tcMar>
              <w:top w:w="20" w:type="dxa"/>
              <w:left w:w="115" w:type="dxa"/>
              <w:bottom w:w="20" w:type="dxa"/>
              <w:right w:w="115" w:type="dxa"/>
            </w:tcMar>
            <w:vAlign w:val="bottom"/>
          </w:tcPr>
          <w:p w14:paraId="649E08CC" w14:textId="451CAB89" w:rsidR="00542725" w:rsidRPr="009503C8" w:rsidRDefault="00FC7CAD" w:rsidP="002A5569">
            <w:pPr>
              <w:spacing w:before="40" w:after="40"/>
              <w:jc w:val="center"/>
              <w:rPr>
                <w:sz w:val="22"/>
                <w:szCs w:val="22"/>
              </w:rPr>
            </w:pPr>
            <w:r w:rsidRPr="009503C8">
              <w:rPr>
                <w:rFonts w:ascii="Times New Roman" w:hAnsi="Times New Roman"/>
                <w:sz w:val="22"/>
                <w:szCs w:val="22"/>
              </w:rPr>
              <w:t>□</w:t>
            </w:r>
          </w:p>
        </w:tc>
        <w:tc>
          <w:tcPr>
            <w:tcW w:w="1127" w:type="dxa"/>
            <w:tcMar>
              <w:top w:w="20" w:type="dxa"/>
              <w:left w:w="115" w:type="dxa"/>
              <w:bottom w:w="20" w:type="dxa"/>
              <w:right w:w="115" w:type="dxa"/>
            </w:tcMar>
            <w:vAlign w:val="bottom"/>
          </w:tcPr>
          <w:p w14:paraId="1DC46243" w14:textId="0DF51DAD" w:rsidR="00542725" w:rsidRPr="009503C8" w:rsidRDefault="00542725" w:rsidP="002A5569">
            <w:pPr>
              <w:spacing w:before="40" w:after="40"/>
              <w:jc w:val="center"/>
              <w:rPr>
                <w:sz w:val="22"/>
                <w:szCs w:val="22"/>
              </w:rPr>
            </w:pPr>
            <w:r w:rsidRPr="009503C8">
              <w:rPr>
                <w:rFonts w:ascii="Times New Roman" w:hAnsi="Times New Roman"/>
                <w:sz w:val="22"/>
                <w:szCs w:val="22"/>
              </w:rPr>
              <w:t>□</w:t>
            </w:r>
          </w:p>
        </w:tc>
        <w:tc>
          <w:tcPr>
            <w:tcW w:w="1130" w:type="dxa"/>
            <w:gridSpan w:val="2"/>
            <w:tcMar>
              <w:top w:w="20" w:type="dxa"/>
              <w:left w:w="115" w:type="dxa"/>
              <w:bottom w:w="20" w:type="dxa"/>
              <w:right w:w="115" w:type="dxa"/>
            </w:tcMar>
            <w:vAlign w:val="bottom"/>
          </w:tcPr>
          <w:p w14:paraId="11FA6A40" w14:textId="6D98DD98" w:rsidR="00542725" w:rsidRPr="009503C8" w:rsidRDefault="00F83275" w:rsidP="002A5569">
            <w:pPr>
              <w:spacing w:before="40" w:after="40"/>
              <w:jc w:val="center"/>
              <w:rPr>
                <w:sz w:val="22"/>
                <w:szCs w:val="22"/>
              </w:rPr>
            </w:pPr>
            <w:r w:rsidRPr="009503C8">
              <w:rPr>
                <w:rFonts w:ascii="Times New Roman" w:hAnsi="Times New Roman"/>
                <w:sz w:val="22"/>
                <w:szCs w:val="22"/>
              </w:rPr>
              <w:t>■</w:t>
            </w:r>
          </w:p>
        </w:tc>
        <w:tc>
          <w:tcPr>
            <w:tcW w:w="1127" w:type="dxa"/>
            <w:tcMar>
              <w:top w:w="20" w:type="dxa"/>
              <w:left w:w="115" w:type="dxa"/>
              <w:bottom w:w="20" w:type="dxa"/>
              <w:right w:w="115" w:type="dxa"/>
            </w:tcMar>
            <w:vAlign w:val="bottom"/>
          </w:tcPr>
          <w:p w14:paraId="4ECADEC8" w14:textId="1E1BB5B1" w:rsidR="00542725" w:rsidRPr="009503C8" w:rsidRDefault="00F83275" w:rsidP="002A5569">
            <w:pPr>
              <w:spacing w:before="40" w:after="40"/>
              <w:jc w:val="center"/>
              <w:rPr>
                <w:sz w:val="22"/>
                <w:szCs w:val="22"/>
              </w:rPr>
            </w:pPr>
            <w:r w:rsidRPr="009503C8">
              <w:rPr>
                <w:rFonts w:ascii="Times New Roman" w:hAnsi="Times New Roman"/>
                <w:sz w:val="22"/>
                <w:szCs w:val="22"/>
              </w:rPr>
              <w:t>□</w:t>
            </w:r>
          </w:p>
        </w:tc>
      </w:tr>
      <w:tr w:rsidR="00542725" w:rsidRPr="00ED4C44" w14:paraId="36822922" w14:textId="77777777" w:rsidTr="00A90627">
        <w:trPr>
          <w:gridBefore w:val="1"/>
          <w:gridAfter w:val="1"/>
          <w:wBefore w:w="11" w:type="dxa"/>
          <w:wAfter w:w="59" w:type="dxa"/>
          <w:trHeight w:val="196"/>
        </w:trPr>
        <w:tc>
          <w:tcPr>
            <w:tcW w:w="4339" w:type="dxa"/>
            <w:tcMar>
              <w:top w:w="20" w:type="dxa"/>
              <w:left w:w="115" w:type="dxa"/>
              <w:bottom w:w="20" w:type="dxa"/>
              <w:right w:w="115" w:type="dxa"/>
            </w:tcMar>
            <w:vAlign w:val="bottom"/>
            <w:hideMark/>
          </w:tcPr>
          <w:p w14:paraId="1D444C91" w14:textId="77777777" w:rsidR="00542725" w:rsidRPr="00ED4C44" w:rsidRDefault="00542725" w:rsidP="002A5569">
            <w:pPr>
              <w:pStyle w:val="BulletListLettered"/>
              <w:spacing w:before="40" w:after="40"/>
            </w:pPr>
            <w:r w:rsidRPr="00ED4C44">
              <w:t>Be located on a geologic unit or soil that is unstable</w:t>
            </w:r>
            <w:r w:rsidR="002A5569" w:rsidRPr="00ED4C44">
              <w:t>, or that would become unstable</w:t>
            </w:r>
            <w:r w:rsidRPr="00ED4C44">
              <w:t xml:space="preserve"> as a result of the project, and potentially result in on</w:t>
            </w:r>
            <w:r w:rsidR="00527CCA" w:rsidRPr="00ED4C44">
              <w:t>-</w:t>
            </w:r>
            <w:r w:rsidRPr="00ED4C44">
              <w:t xml:space="preserve"> or off</w:t>
            </w:r>
            <w:r w:rsidR="00527CCA" w:rsidRPr="00ED4C44">
              <w:t>-</w:t>
            </w:r>
            <w:r w:rsidRPr="00ED4C44">
              <w:t>site landslide, lateral spreading, subsidence, liquefaction, or collapse?</w:t>
            </w:r>
          </w:p>
        </w:tc>
        <w:tc>
          <w:tcPr>
            <w:tcW w:w="1254" w:type="dxa"/>
            <w:gridSpan w:val="2"/>
            <w:tcMar>
              <w:top w:w="20" w:type="dxa"/>
              <w:left w:w="115" w:type="dxa"/>
              <w:bottom w:w="20" w:type="dxa"/>
              <w:right w:w="115" w:type="dxa"/>
            </w:tcMar>
            <w:vAlign w:val="bottom"/>
          </w:tcPr>
          <w:p w14:paraId="603A0C19" w14:textId="3DB716A7" w:rsidR="00542725" w:rsidRPr="009503C8" w:rsidRDefault="00FC7CAD" w:rsidP="002A5569">
            <w:pPr>
              <w:spacing w:before="40" w:after="40"/>
              <w:jc w:val="center"/>
              <w:rPr>
                <w:sz w:val="22"/>
                <w:szCs w:val="22"/>
              </w:rPr>
            </w:pPr>
            <w:r w:rsidRPr="009503C8">
              <w:rPr>
                <w:rFonts w:ascii="Times New Roman" w:hAnsi="Times New Roman"/>
                <w:sz w:val="22"/>
                <w:szCs w:val="22"/>
              </w:rPr>
              <w:t>□</w:t>
            </w:r>
          </w:p>
        </w:tc>
        <w:tc>
          <w:tcPr>
            <w:tcW w:w="1127" w:type="dxa"/>
            <w:tcMar>
              <w:top w:w="20" w:type="dxa"/>
              <w:left w:w="115" w:type="dxa"/>
              <w:bottom w:w="20" w:type="dxa"/>
              <w:right w:w="115" w:type="dxa"/>
            </w:tcMar>
            <w:vAlign w:val="bottom"/>
          </w:tcPr>
          <w:p w14:paraId="2DEF087B" w14:textId="7DA3B289" w:rsidR="00542725" w:rsidRPr="009503C8" w:rsidRDefault="00542725" w:rsidP="002A5569">
            <w:pPr>
              <w:spacing w:before="40" w:after="40"/>
              <w:jc w:val="center"/>
              <w:rPr>
                <w:sz w:val="22"/>
                <w:szCs w:val="22"/>
              </w:rPr>
            </w:pPr>
            <w:r w:rsidRPr="009503C8">
              <w:rPr>
                <w:rFonts w:ascii="Times New Roman" w:hAnsi="Times New Roman"/>
                <w:sz w:val="22"/>
                <w:szCs w:val="22"/>
              </w:rPr>
              <w:t>□</w:t>
            </w:r>
          </w:p>
        </w:tc>
        <w:tc>
          <w:tcPr>
            <w:tcW w:w="1130" w:type="dxa"/>
            <w:gridSpan w:val="2"/>
            <w:tcMar>
              <w:top w:w="20" w:type="dxa"/>
              <w:left w:w="115" w:type="dxa"/>
              <w:bottom w:w="20" w:type="dxa"/>
              <w:right w:w="115" w:type="dxa"/>
            </w:tcMar>
            <w:vAlign w:val="bottom"/>
          </w:tcPr>
          <w:p w14:paraId="462511A7" w14:textId="1701AC9E" w:rsidR="00542725" w:rsidRPr="009503C8" w:rsidRDefault="004A3056" w:rsidP="002A5569">
            <w:pPr>
              <w:spacing w:before="40" w:after="40"/>
              <w:jc w:val="center"/>
              <w:rPr>
                <w:sz w:val="22"/>
                <w:szCs w:val="22"/>
              </w:rPr>
            </w:pPr>
            <w:r w:rsidRPr="009503C8">
              <w:rPr>
                <w:rFonts w:ascii="Times New Roman" w:hAnsi="Times New Roman"/>
                <w:sz w:val="22"/>
                <w:szCs w:val="22"/>
              </w:rPr>
              <w:t>■</w:t>
            </w:r>
          </w:p>
        </w:tc>
        <w:tc>
          <w:tcPr>
            <w:tcW w:w="1127" w:type="dxa"/>
            <w:tcMar>
              <w:top w:w="20" w:type="dxa"/>
              <w:left w:w="115" w:type="dxa"/>
              <w:bottom w:w="20" w:type="dxa"/>
              <w:right w:w="115" w:type="dxa"/>
            </w:tcMar>
            <w:vAlign w:val="bottom"/>
          </w:tcPr>
          <w:p w14:paraId="17230BA3" w14:textId="3D8EF773" w:rsidR="00542725" w:rsidRPr="009503C8" w:rsidRDefault="004A3056" w:rsidP="002A5569">
            <w:pPr>
              <w:spacing w:before="40" w:after="40"/>
              <w:jc w:val="center"/>
              <w:rPr>
                <w:sz w:val="22"/>
                <w:szCs w:val="22"/>
              </w:rPr>
            </w:pPr>
            <w:r w:rsidRPr="009503C8">
              <w:rPr>
                <w:rFonts w:ascii="Times New Roman" w:hAnsi="Times New Roman"/>
                <w:sz w:val="22"/>
                <w:szCs w:val="22"/>
              </w:rPr>
              <w:t>□</w:t>
            </w:r>
          </w:p>
        </w:tc>
      </w:tr>
      <w:tr w:rsidR="00542725" w:rsidRPr="00ED4C44" w14:paraId="4F7383FE" w14:textId="77777777" w:rsidTr="00A90627">
        <w:trPr>
          <w:gridBefore w:val="1"/>
          <w:gridAfter w:val="1"/>
          <w:wBefore w:w="11" w:type="dxa"/>
          <w:wAfter w:w="59" w:type="dxa"/>
          <w:trHeight w:val="196"/>
        </w:trPr>
        <w:tc>
          <w:tcPr>
            <w:tcW w:w="4339" w:type="dxa"/>
            <w:tcMar>
              <w:top w:w="20" w:type="dxa"/>
              <w:left w:w="115" w:type="dxa"/>
              <w:bottom w:w="20" w:type="dxa"/>
              <w:right w:w="115" w:type="dxa"/>
            </w:tcMar>
            <w:vAlign w:val="bottom"/>
            <w:hideMark/>
          </w:tcPr>
          <w:p w14:paraId="3A70CAAE" w14:textId="77777777" w:rsidR="00542725" w:rsidRPr="00ED4C44" w:rsidRDefault="00542725" w:rsidP="002A5569">
            <w:pPr>
              <w:pStyle w:val="BulletListLettered"/>
              <w:spacing w:before="40" w:after="40"/>
            </w:pPr>
            <w:r w:rsidRPr="00ED4C44">
              <w:t>Be located on expansive soil, as defined in Table 1-B of the Uniform Building Code</w:t>
            </w:r>
            <w:r w:rsidR="005F29A9" w:rsidRPr="00ED4C44">
              <w:t xml:space="preserve"> (1994)</w:t>
            </w:r>
            <w:r w:rsidRPr="00ED4C44">
              <w:t xml:space="preserve">, creating substantial </w:t>
            </w:r>
            <w:r w:rsidR="00405CD7" w:rsidRPr="00ED4C44">
              <w:t xml:space="preserve">direct or indirect </w:t>
            </w:r>
            <w:r w:rsidRPr="00ED4C44">
              <w:t>risks to life or property?</w:t>
            </w:r>
          </w:p>
        </w:tc>
        <w:tc>
          <w:tcPr>
            <w:tcW w:w="1254" w:type="dxa"/>
            <w:gridSpan w:val="2"/>
            <w:tcMar>
              <w:top w:w="20" w:type="dxa"/>
              <w:left w:w="115" w:type="dxa"/>
              <w:bottom w:w="20" w:type="dxa"/>
              <w:right w:w="115" w:type="dxa"/>
            </w:tcMar>
            <w:vAlign w:val="bottom"/>
          </w:tcPr>
          <w:p w14:paraId="141C3A13" w14:textId="0CF409D9" w:rsidR="00542725" w:rsidRPr="009503C8" w:rsidRDefault="00FC7CAD" w:rsidP="002A5569">
            <w:pPr>
              <w:spacing w:before="40" w:after="40"/>
              <w:jc w:val="center"/>
              <w:rPr>
                <w:sz w:val="22"/>
                <w:szCs w:val="22"/>
              </w:rPr>
            </w:pPr>
            <w:r w:rsidRPr="009503C8">
              <w:rPr>
                <w:rFonts w:ascii="Times New Roman" w:hAnsi="Times New Roman"/>
                <w:sz w:val="22"/>
                <w:szCs w:val="22"/>
              </w:rPr>
              <w:t>□</w:t>
            </w:r>
          </w:p>
        </w:tc>
        <w:tc>
          <w:tcPr>
            <w:tcW w:w="1127" w:type="dxa"/>
            <w:tcMar>
              <w:top w:w="20" w:type="dxa"/>
              <w:left w:w="115" w:type="dxa"/>
              <w:bottom w:w="20" w:type="dxa"/>
              <w:right w:w="115" w:type="dxa"/>
            </w:tcMar>
            <w:vAlign w:val="bottom"/>
          </w:tcPr>
          <w:p w14:paraId="19EC9B9C" w14:textId="44B34263" w:rsidR="00542725" w:rsidRPr="009503C8" w:rsidRDefault="001F0C97" w:rsidP="002A5569">
            <w:pPr>
              <w:spacing w:before="40" w:after="40"/>
              <w:jc w:val="center"/>
              <w:rPr>
                <w:sz w:val="22"/>
                <w:szCs w:val="22"/>
              </w:rPr>
            </w:pPr>
            <w:r w:rsidRPr="009503C8">
              <w:rPr>
                <w:rFonts w:ascii="Times New Roman" w:hAnsi="Times New Roman"/>
                <w:sz w:val="22"/>
                <w:szCs w:val="22"/>
              </w:rPr>
              <w:t>□</w:t>
            </w:r>
          </w:p>
        </w:tc>
        <w:tc>
          <w:tcPr>
            <w:tcW w:w="1130" w:type="dxa"/>
            <w:gridSpan w:val="2"/>
            <w:tcMar>
              <w:top w:w="20" w:type="dxa"/>
              <w:left w:w="115" w:type="dxa"/>
              <w:bottom w:w="20" w:type="dxa"/>
              <w:right w:w="115" w:type="dxa"/>
            </w:tcMar>
            <w:vAlign w:val="bottom"/>
          </w:tcPr>
          <w:p w14:paraId="251A65B2" w14:textId="63AD25EF" w:rsidR="00542725" w:rsidRPr="009503C8" w:rsidRDefault="001F0C97" w:rsidP="002A5569">
            <w:pPr>
              <w:spacing w:before="40" w:after="40"/>
              <w:jc w:val="center"/>
              <w:rPr>
                <w:sz w:val="22"/>
                <w:szCs w:val="22"/>
              </w:rPr>
            </w:pPr>
            <w:r w:rsidRPr="009503C8">
              <w:rPr>
                <w:rFonts w:ascii="Times New Roman" w:hAnsi="Times New Roman"/>
                <w:sz w:val="22"/>
                <w:szCs w:val="22"/>
              </w:rPr>
              <w:t>■</w:t>
            </w:r>
          </w:p>
        </w:tc>
        <w:tc>
          <w:tcPr>
            <w:tcW w:w="1127" w:type="dxa"/>
            <w:tcMar>
              <w:top w:w="20" w:type="dxa"/>
              <w:left w:w="115" w:type="dxa"/>
              <w:bottom w:w="20" w:type="dxa"/>
              <w:right w:w="115" w:type="dxa"/>
            </w:tcMar>
            <w:vAlign w:val="bottom"/>
          </w:tcPr>
          <w:p w14:paraId="00BC3615" w14:textId="3065A413" w:rsidR="00542725" w:rsidRPr="009503C8" w:rsidRDefault="004A3056" w:rsidP="002A5569">
            <w:pPr>
              <w:spacing w:before="40" w:after="40"/>
              <w:jc w:val="center"/>
              <w:rPr>
                <w:sz w:val="22"/>
                <w:szCs w:val="22"/>
              </w:rPr>
            </w:pPr>
            <w:r w:rsidRPr="009503C8">
              <w:rPr>
                <w:rFonts w:ascii="Times New Roman" w:hAnsi="Times New Roman"/>
                <w:sz w:val="22"/>
                <w:szCs w:val="22"/>
              </w:rPr>
              <w:t>□</w:t>
            </w:r>
          </w:p>
        </w:tc>
      </w:tr>
      <w:tr w:rsidR="00405CD7" w:rsidRPr="00ED4C44" w14:paraId="3A3ED5CC" w14:textId="77777777" w:rsidTr="00A90627">
        <w:trPr>
          <w:gridBefore w:val="1"/>
          <w:gridAfter w:val="1"/>
          <w:wBefore w:w="11" w:type="dxa"/>
          <w:wAfter w:w="59" w:type="dxa"/>
          <w:trHeight w:val="196"/>
        </w:trPr>
        <w:tc>
          <w:tcPr>
            <w:tcW w:w="4339" w:type="dxa"/>
            <w:tcMar>
              <w:top w:w="20" w:type="dxa"/>
              <w:left w:w="115" w:type="dxa"/>
              <w:bottom w:w="20" w:type="dxa"/>
              <w:right w:w="115" w:type="dxa"/>
            </w:tcMar>
            <w:vAlign w:val="bottom"/>
            <w:hideMark/>
          </w:tcPr>
          <w:p w14:paraId="1D9B823D" w14:textId="77777777" w:rsidR="00405CD7" w:rsidRPr="00ED4C44" w:rsidRDefault="00405CD7" w:rsidP="002A5569">
            <w:pPr>
              <w:pStyle w:val="BulletListLettered"/>
              <w:spacing w:before="40" w:after="40"/>
            </w:pPr>
            <w:r w:rsidRPr="00ED4C44">
              <w:t>Have soils incapable of adequately supporting the use of septic tanks or alternative wastewater disposal systems where sewers are not available for the disposal of wastewater?</w:t>
            </w:r>
          </w:p>
        </w:tc>
        <w:tc>
          <w:tcPr>
            <w:tcW w:w="1254" w:type="dxa"/>
            <w:gridSpan w:val="2"/>
            <w:tcMar>
              <w:top w:w="20" w:type="dxa"/>
              <w:left w:w="115" w:type="dxa"/>
              <w:bottom w:w="20" w:type="dxa"/>
              <w:right w:w="115" w:type="dxa"/>
            </w:tcMar>
            <w:vAlign w:val="bottom"/>
          </w:tcPr>
          <w:p w14:paraId="71E030BA" w14:textId="7F505AF0" w:rsidR="00405CD7" w:rsidRPr="009503C8" w:rsidRDefault="00405CD7" w:rsidP="002A5569">
            <w:pPr>
              <w:spacing w:before="40" w:after="40"/>
              <w:jc w:val="center"/>
              <w:rPr>
                <w:sz w:val="22"/>
                <w:szCs w:val="22"/>
              </w:rPr>
            </w:pPr>
            <w:r w:rsidRPr="009503C8">
              <w:rPr>
                <w:rFonts w:ascii="Times New Roman" w:hAnsi="Times New Roman"/>
                <w:sz w:val="22"/>
                <w:szCs w:val="22"/>
              </w:rPr>
              <w:t>□</w:t>
            </w:r>
          </w:p>
        </w:tc>
        <w:tc>
          <w:tcPr>
            <w:tcW w:w="1127" w:type="dxa"/>
            <w:tcMar>
              <w:top w:w="20" w:type="dxa"/>
              <w:left w:w="115" w:type="dxa"/>
              <w:bottom w:w="20" w:type="dxa"/>
              <w:right w:w="115" w:type="dxa"/>
            </w:tcMar>
            <w:vAlign w:val="bottom"/>
          </w:tcPr>
          <w:p w14:paraId="40BA5637" w14:textId="3398D233" w:rsidR="00405CD7" w:rsidRPr="009503C8" w:rsidRDefault="00405CD7" w:rsidP="002A5569">
            <w:pPr>
              <w:spacing w:before="40" w:after="40"/>
              <w:jc w:val="center"/>
              <w:rPr>
                <w:sz w:val="22"/>
                <w:szCs w:val="22"/>
              </w:rPr>
            </w:pPr>
            <w:r w:rsidRPr="009503C8">
              <w:rPr>
                <w:rFonts w:ascii="Times New Roman" w:hAnsi="Times New Roman"/>
                <w:sz w:val="22"/>
                <w:szCs w:val="22"/>
              </w:rPr>
              <w:t>□</w:t>
            </w:r>
          </w:p>
        </w:tc>
        <w:tc>
          <w:tcPr>
            <w:tcW w:w="1130" w:type="dxa"/>
            <w:gridSpan w:val="2"/>
            <w:tcMar>
              <w:top w:w="20" w:type="dxa"/>
              <w:left w:w="115" w:type="dxa"/>
              <w:bottom w:w="20" w:type="dxa"/>
              <w:right w:w="115" w:type="dxa"/>
            </w:tcMar>
            <w:vAlign w:val="bottom"/>
          </w:tcPr>
          <w:p w14:paraId="478A658E" w14:textId="4B8CDBA3" w:rsidR="00405CD7" w:rsidRPr="009503C8" w:rsidRDefault="00405CD7" w:rsidP="002A5569">
            <w:pPr>
              <w:spacing w:before="40" w:after="40"/>
              <w:jc w:val="center"/>
              <w:rPr>
                <w:sz w:val="22"/>
                <w:szCs w:val="22"/>
              </w:rPr>
            </w:pPr>
            <w:r w:rsidRPr="009503C8">
              <w:rPr>
                <w:rFonts w:ascii="Times New Roman" w:hAnsi="Times New Roman"/>
                <w:sz w:val="22"/>
                <w:szCs w:val="22"/>
              </w:rPr>
              <w:t>□</w:t>
            </w:r>
          </w:p>
        </w:tc>
        <w:tc>
          <w:tcPr>
            <w:tcW w:w="1127" w:type="dxa"/>
            <w:tcMar>
              <w:top w:w="20" w:type="dxa"/>
              <w:left w:w="115" w:type="dxa"/>
              <w:bottom w:w="20" w:type="dxa"/>
              <w:right w:w="115" w:type="dxa"/>
            </w:tcMar>
            <w:vAlign w:val="bottom"/>
          </w:tcPr>
          <w:p w14:paraId="2366CFCE" w14:textId="716A4E09" w:rsidR="00405CD7" w:rsidRPr="009503C8" w:rsidRDefault="00405CD7" w:rsidP="002A5569">
            <w:pPr>
              <w:spacing w:before="40" w:after="40"/>
              <w:jc w:val="center"/>
              <w:rPr>
                <w:sz w:val="22"/>
                <w:szCs w:val="22"/>
              </w:rPr>
            </w:pPr>
            <w:r w:rsidRPr="009503C8">
              <w:rPr>
                <w:rFonts w:ascii="Times New Roman" w:hAnsi="Times New Roman"/>
                <w:sz w:val="22"/>
                <w:szCs w:val="22"/>
              </w:rPr>
              <w:t>■</w:t>
            </w:r>
          </w:p>
        </w:tc>
      </w:tr>
      <w:tr w:rsidR="00542725" w:rsidRPr="00E5753A" w14:paraId="64AA6F30" w14:textId="77777777" w:rsidTr="00A90627">
        <w:trPr>
          <w:gridBefore w:val="1"/>
          <w:gridAfter w:val="1"/>
          <w:wBefore w:w="11" w:type="dxa"/>
          <w:wAfter w:w="59" w:type="dxa"/>
          <w:trHeight w:val="196"/>
        </w:trPr>
        <w:tc>
          <w:tcPr>
            <w:tcW w:w="4339" w:type="dxa"/>
            <w:tcMar>
              <w:top w:w="20" w:type="dxa"/>
              <w:left w:w="115" w:type="dxa"/>
              <w:bottom w:w="20" w:type="dxa"/>
              <w:right w:w="115" w:type="dxa"/>
            </w:tcMar>
            <w:vAlign w:val="bottom"/>
            <w:hideMark/>
          </w:tcPr>
          <w:p w14:paraId="179CC349" w14:textId="77777777" w:rsidR="00542725" w:rsidRPr="00ED4C44" w:rsidRDefault="00405CD7" w:rsidP="002A5569">
            <w:pPr>
              <w:pStyle w:val="BulletListLettered"/>
              <w:spacing w:before="40" w:after="40"/>
            </w:pPr>
            <w:r w:rsidRPr="00ED4C44">
              <w:t>Directly or indirectly destroy a unique paleontological resource or site or unique geologic feature?</w:t>
            </w:r>
          </w:p>
        </w:tc>
        <w:tc>
          <w:tcPr>
            <w:tcW w:w="1254" w:type="dxa"/>
            <w:gridSpan w:val="2"/>
            <w:tcMar>
              <w:top w:w="20" w:type="dxa"/>
              <w:left w:w="115" w:type="dxa"/>
              <w:bottom w:w="20" w:type="dxa"/>
              <w:right w:w="115" w:type="dxa"/>
            </w:tcMar>
            <w:vAlign w:val="bottom"/>
          </w:tcPr>
          <w:p w14:paraId="73FC88A1" w14:textId="3973A3B3" w:rsidR="00542725" w:rsidRPr="009503C8" w:rsidRDefault="00FC7CAD" w:rsidP="002A5569">
            <w:pPr>
              <w:spacing w:before="40" w:after="40"/>
              <w:jc w:val="center"/>
              <w:rPr>
                <w:sz w:val="22"/>
                <w:szCs w:val="22"/>
              </w:rPr>
            </w:pPr>
            <w:r w:rsidRPr="009503C8">
              <w:rPr>
                <w:rFonts w:ascii="Times New Roman" w:hAnsi="Times New Roman"/>
                <w:sz w:val="22"/>
                <w:szCs w:val="22"/>
              </w:rPr>
              <w:t>□</w:t>
            </w:r>
          </w:p>
        </w:tc>
        <w:tc>
          <w:tcPr>
            <w:tcW w:w="1127" w:type="dxa"/>
            <w:tcMar>
              <w:top w:w="20" w:type="dxa"/>
              <w:left w:w="115" w:type="dxa"/>
              <w:bottom w:w="20" w:type="dxa"/>
              <w:right w:w="115" w:type="dxa"/>
            </w:tcMar>
            <w:vAlign w:val="bottom"/>
          </w:tcPr>
          <w:p w14:paraId="3A1282C6" w14:textId="3F8E2678" w:rsidR="00542725" w:rsidRPr="009503C8" w:rsidRDefault="00542725" w:rsidP="002A5569">
            <w:pPr>
              <w:spacing w:before="40" w:after="40"/>
              <w:jc w:val="center"/>
              <w:rPr>
                <w:sz w:val="22"/>
                <w:szCs w:val="22"/>
              </w:rPr>
            </w:pPr>
            <w:r w:rsidRPr="009503C8">
              <w:rPr>
                <w:rFonts w:ascii="Times New Roman" w:hAnsi="Times New Roman"/>
                <w:sz w:val="22"/>
                <w:szCs w:val="22"/>
              </w:rPr>
              <w:t>□</w:t>
            </w:r>
          </w:p>
        </w:tc>
        <w:tc>
          <w:tcPr>
            <w:tcW w:w="1130" w:type="dxa"/>
            <w:gridSpan w:val="2"/>
            <w:tcMar>
              <w:top w:w="20" w:type="dxa"/>
              <w:left w:w="115" w:type="dxa"/>
              <w:bottom w:w="20" w:type="dxa"/>
              <w:right w:w="115" w:type="dxa"/>
            </w:tcMar>
            <w:vAlign w:val="bottom"/>
          </w:tcPr>
          <w:p w14:paraId="732FAA30" w14:textId="65C1D437" w:rsidR="00542725" w:rsidRPr="009503C8" w:rsidRDefault="001C43DC" w:rsidP="002A5569">
            <w:pPr>
              <w:spacing w:before="40" w:after="40"/>
              <w:jc w:val="center"/>
              <w:rPr>
                <w:sz w:val="22"/>
                <w:szCs w:val="22"/>
              </w:rPr>
            </w:pPr>
            <w:r w:rsidRPr="009503C8">
              <w:rPr>
                <w:rFonts w:ascii="Times New Roman" w:hAnsi="Times New Roman"/>
                <w:sz w:val="22"/>
                <w:szCs w:val="22"/>
              </w:rPr>
              <w:t>■</w:t>
            </w:r>
          </w:p>
        </w:tc>
        <w:tc>
          <w:tcPr>
            <w:tcW w:w="1127" w:type="dxa"/>
            <w:tcMar>
              <w:top w:w="20" w:type="dxa"/>
              <w:left w:w="115" w:type="dxa"/>
              <w:bottom w:w="20" w:type="dxa"/>
              <w:right w:w="115" w:type="dxa"/>
            </w:tcMar>
            <w:vAlign w:val="bottom"/>
          </w:tcPr>
          <w:p w14:paraId="06A0DF7D" w14:textId="08A397C2" w:rsidR="00542725" w:rsidRPr="009503C8" w:rsidRDefault="001C43DC" w:rsidP="002A5569">
            <w:pPr>
              <w:spacing w:before="40" w:after="40"/>
              <w:jc w:val="center"/>
              <w:rPr>
                <w:sz w:val="22"/>
                <w:szCs w:val="22"/>
              </w:rPr>
            </w:pPr>
            <w:r w:rsidRPr="009503C8">
              <w:rPr>
                <w:rFonts w:ascii="Times New Roman" w:hAnsi="Times New Roman"/>
                <w:sz w:val="22"/>
                <w:szCs w:val="22"/>
              </w:rPr>
              <w:t>□</w:t>
            </w:r>
          </w:p>
        </w:tc>
      </w:tr>
    </w:tbl>
    <w:p w14:paraId="0C1B92A1" w14:textId="77777777" w:rsidR="00F63061" w:rsidRPr="00211BD5" w:rsidRDefault="00F63061" w:rsidP="00F63061">
      <w:pPr>
        <w:pStyle w:val="Heading5"/>
      </w:pPr>
      <w:r w:rsidRPr="00211BD5">
        <w:t>Setting</w:t>
      </w:r>
    </w:p>
    <w:p w14:paraId="6DD7394F" w14:textId="0D37DB81" w:rsidR="00590E5B" w:rsidRPr="00211BD5" w:rsidRDefault="00590E5B" w:rsidP="00590E5B">
      <w:pPr>
        <w:pStyle w:val="BodyText"/>
      </w:pPr>
      <w:r w:rsidRPr="00211BD5">
        <w:t xml:space="preserve">Active faults are defined by the State of California to be a fault that has surface displacement within the Holocene time (approximately the last 10,000 years). Potentially active faults as defined by the State of California to be a fault that has shown evidence of surface displacement during the Quaternary (last 1.6 million years). Any fault that is sufficiently active describes a fault that has some evidence of Holocene displacement on one or more of its segments or branches. Associated issues with earthquakes include liquefaction, which is the rapid transformation of sediment to a fluid-like state. It occurs when water-saturated, loose to medium dense, relatively clay-free sands and silts are subjected to earthquake ground motion. </w:t>
      </w:r>
    </w:p>
    <w:p w14:paraId="0FE5A725" w14:textId="7AFAC796" w:rsidR="00590E5B" w:rsidRPr="00211BD5" w:rsidRDefault="00984B04" w:rsidP="00590E5B">
      <w:pPr>
        <w:pStyle w:val="BodyText"/>
      </w:pPr>
      <w:r w:rsidRPr="00211BD5">
        <w:t>The Bay Area contains both active and potentially active faults</w:t>
      </w:r>
      <w:r w:rsidR="00211BD5">
        <w:t xml:space="preserve">. In particular, the San Andreas Fault </w:t>
      </w:r>
      <w:r w:rsidR="00E12C62">
        <w:t xml:space="preserve">which </w:t>
      </w:r>
      <w:r w:rsidR="00211BD5">
        <w:t>borders Santa Clara County to the west</w:t>
      </w:r>
      <w:r w:rsidRPr="00211BD5">
        <w:t xml:space="preserve">. </w:t>
      </w:r>
      <w:r w:rsidR="0052677C" w:rsidRPr="00211BD5">
        <w:t xml:space="preserve">Major active faults in the area are the San Andreas, San Gregorio, Hayward, and Calaveras faults. </w:t>
      </w:r>
      <w:r w:rsidR="00A9346E" w:rsidRPr="00211BD5">
        <w:t xml:space="preserve">The project site itself is </w:t>
      </w:r>
      <w:r w:rsidRPr="00211BD5">
        <w:t xml:space="preserve">not </w:t>
      </w:r>
      <w:r w:rsidR="00A9346E" w:rsidRPr="00211BD5">
        <w:t>located within an Earthquake Fault Zone (</w:t>
      </w:r>
      <w:r w:rsidR="00211BD5">
        <w:t>California Geological Survey [CGS]</w:t>
      </w:r>
      <w:r w:rsidR="00A9346E" w:rsidRPr="00211BD5">
        <w:t xml:space="preserve"> 201</w:t>
      </w:r>
      <w:r w:rsidR="00211BD5">
        <w:t>6</w:t>
      </w:r>
      <w:r w:rsidR="00A9346E" w:rsidRPr="00211BD5">
        <w:t xml:space="preserve">). </w:t>
      </w:r>
    </w:p>
    <w:p w14:paraId="220171D9" w14:textId="511A51B4" w:rsidR="00F273D2" w:rsidRPr="00211BD5" w:rsidRDefault="00F273D2" w:rsidP="00B47364">
      <w:pPr>
        <w:pStyle w:val="bodyafter"/>
        <w:spacing w:before="120"/>
      </w:pPr>
      <w:r w:rsidRPr="00211BD5">
        <w:t xml:space="preserve">Expansive soils are soils that swell in density and volume as they absorb water and contract as they lose water. Associated problems include cracking and deterioration of roadway surface, as they expand and contract during seasonal wet and dry cycles. </w:t>
      </w:r>
    </w:p>
    <w:p w14:paraId="289F17BD" w14:textId="563F6E96" w:rsidR="00383742" w:rsidRPr="00AC1C51" w:rsidRDefault="00F273D2" w:rsidP="00AC1C51">
      <w:pPr>
        <w:pStyle w:val="BodyText"/>
      </w:pPr>
      <w:r w:rsidRPr="009E267C">
        <w:t xml:space="preserve">The surface soils of the site have been mapped as </w:t>
      </w:r>
      <w:r w:rsidR="009E267C" w:rsidRPr="009E267C">
        <w:t xml:space="preserve">fine-loamy Urbanland-Hangerone </w:t>
      </w:r>
      <w:r w:rsidR="00CC41FB">
        <w:t>complex and Urbanland-Campbell complex</w:t>
      </w:r>
      <w:r w:rsidR="009E267C" w:rsidRPr="009E267C">
        <w:t xml:space="preserve"> by</w:t>
      </w:r>
      <w:r w:rsidRPr="009E267C">
        <w:t xml:space="preserve"> the United States Department of Agriculture Natural Resources Conservation Service (NRCS</w:t>
      </w:r>
      <w:r w:rsidR="009E267C" w:rsidRPr="009E267C">
        <w:t xml:space="preserve"> 2018</w:t>
      </w:r>
      <w:r w:rsidRPr="009E267C">
        <w:t>)</w:t>
      </w:r>
      <w:r w:rsidR="0082235A">
        <w:t>. These soils are not known to be expansive or unstable (NRCS 2015)</w:t>
      </w:r>
      <w:r w:rsidRPr="009E267C">
        <w:t xml:space="preserve">. </w:t>
      </w:r>
    </w:p>
    <w:p w14:paraId="74328661" w14:textId="77777777" w:rsidR="00F63061" w:rsidRPr="00ED4C44" w:rsidRDefault="00F63061" w:rsidP="00F63061">
      <w:pPr>
        <w:pStyle w:val="Heading5"/>
      </w:pPr>
      <w:r w:rsidRPr="00ED4C44">
        <w:t>Regulatory Setting</w:t>
      </w:r>
    </w:p>
    <w:p w14:paraId="515A392A" w14:textId="77777777" w:rsidR="00F63061" w:rsidRPr="00ED4C44" w:rsidRDefault="00F63061" w:rsidP="00F63061">
      <w:pPr>
        <w:pStyle w:val="Heading6"/>
      </w:pPr>
      <w:r w:rsidRPr="00ED4C44">
        <w:t>Federal and State</w:t>
      </w:r>
    </w:p>
    <w:p w14:paraId="0D4FD8E7" w14:textId="77777777" w:rsidR="00F63061" w:rsidRPr="00ED4C44" w:rsidRDefault="00F63061" w:rsidP="00F63061">
      <w:pPr>
        <w:pStyle w:val="Heading7"/>
      </w:pPr>
      <w:r w:rsidRPr="00ED4C44">
        <w:t>Alquist-Priolo Earthquake Fault Zoning Act</w:t>
      </w:r>
    </w:p>
    <w:p w14:paraId="4B40C4D3" w14:textId="77777777" w:rsidR="00F63061" w:rsidRPr="00ED4C44" w:rsidRDefault="00F63061" w:rsidP="00F63061">
      <w:pPr>
        <w:pStyle w:val="BodyText"/>
      </w:pPr>
      <w:r w:rsidRPr="00ED4C44">
        <w:t>Following the 1989 Loma Prieta earthquake, the Seismic Hazards Mapping Act (SHMA) was passed by the California legislature in 1990. The SHMA (PRC Chapter 7.8, Section 2690-2699.6) directs the Department of Conservation, California Geological Survey to identify and map areas prone to liquefaction, earthquake-induced landslides and amplified ground shaking. It also requires that agencies only approve projects in seismic hazard zones following site-specific geotechnical investigations to determine if the identified hazard is present and the inclusion of appropriate mitigation to reduce earthquake-related hazards.</w:t>
      </w:r>
    </w:p>
    <w:p w14:paraId="0ECBA141" w14:textId="77777777" w:rsidR="00F63061" w:rsidRPr="00ED4C44" w:rsidRDefault="00F63061" w:rsidP="00F63061">
      <w:pPr>
        <w:pStyle w:val="Heading7"/>
      </w:pPr>
      <w:r w:rsidRPr="00ED4C44">
        <w:t>Seismic Hazards Mapping Act</w:t>
      </w:r>
    </w:p>
    <w:p w14:paraId="34F602D8" w14:textId="77777777" w:rsidR="00F63061" w:rsidRPr="00ED4C44" w:rsidRDefault="00F63061" w:rsidP="00F63061">
      <w:pPr>
        <w:pStyle w:val="BodyText"/>
      </w:pPr>
      <w:r w:rsidRPr="00ED4C44">
        <w:t>The Seismic Hazards Mapping Act of 1990 was enacted, in part, to address seismic hazards not included in the Alquist-Priolo Act, including strong ground shaking, landslides, and liquefaction. Under the Alquist-Priolo Act, the State Geologist is responsible for identifying and mapping seismic hazards. CGS Special Publication 117, adopted in 1997 by the State Mining and Geology Board, constitutes guidelines for evaluating seismic hazards other than surface faulting and for recommending mitigation measures as required by PRC Section 2695(a). In accordance with the mapping criteria, the CGS seismic hazard zone maps identifies areas with the potential for a ground shaking event that corresponds to 10 percent probability of exceedance in 50 years.</w:t>
      </w:r>
    </w:p>
    <w:p w14:paraId="5CD7F634" w14:textId="77777777" w:rsidR="00F63061" w:rsidRPr="00ED4C44" w:rsidRDefault="00F63061" w:rsidP="000037B0">
      <w:pPr>
        <w:pStyle w:val="BodyText"/>
      </w:pPr>
      <w:r w:rsidRPr="00ED4C44">
        <w:t>The purpose of the Seismic Hazards Mapping Act is to reduce the threat to public health and safety and to minimize the loss of life and property by identifying and mitigating seismic hazards. Cities, counties, and state agencies are directed to use seismic hazard zone maps developed by CGS in their land-use planning and permitting processes. The Seismic Hazards Mapping Act requires site-specific geotechnical investigations prior to permitting most urban development projects in seismic hazard zones.</w:t>
      </w:r>
    </w:p>
    <w:p w14:paraId="640D0BA5" w14:textId="77777777" w:rsidR="00F63061" w:rsidRPr="00ED4C44" w:rsidRDefault="00F63061" w:rsidP="00F63061">
      <w:pPr>
        <w:pStyle w:val="Heading7"/>
      </w:pPr>
      <w:r w:rsidRPr="00ED4C44">
        <w:t>California Building Code (CBC)</w:t>
      </w:r>
    </w:p>
    <w:p w14:paraId="6384A237" w14:textId="77777777" w:rsidR="00F63061" w:rsidRPr="00ED4C44" w:rsidRDefault="00F63061" w:rsidP="00F63061">
      <w:pPr>
        <w:pStyle w:val="BodyText"/>
      </w:pPr>
      <w:r w:rsidRPr="00ED4C44">
        <w:t>The California Building Code (CBC), Title 24, Part 2, provides building codes and standards for the design and construction of structures in California. The purpose of the CBC is to establish minimum standards to safeguard the public health, safety, and general welfare through structural strength, means of egress facilities, and general stability by controlling the design, construction, quality of materials, use and occupancy, location, and maintenance of building and structures. The CBC contains specific requirements for seismic safety, excavation, foundations, retaining walls, and site demolition. It also regulates grading activities, including drainage and erosion control. Chapter 16 of the CBC contains definitions of seismic sources and the procedure used to calculate seismic forces on structures.</w:t>
      </w:r>
    </w:p>
    <w:p w14:paraId="724FF9AF" w14:textId="6B69399B" w:rsidR="00F63061" w:rsidRPr="00ED4C44" w:rsidRDefault="00F63061" w:rsidP="00F63061">
      <w:pPr>
        <w:pStyle w:val="BodyText"/>
      </w:pPr>
      <w:r w:rsidRPr="00ED4C44">
        <w:t>The CBC is updated every three years by order of the legislature, with supplements published in intervening years. State law mandates that local governments enforce the CBC. In addition, a city and/or county may establish more restrictive building standards reasonably necessary because of local climatic, geological, or topographical conditions. The 201</w:t>
      </w:r>
      <w:r w:rsidR="000F1CE8" w:rsidRPr="00ED4C44">
        <w:t>9</w:t>
      </w:r>
      <w:r w:rsidRPr="00ED4C44">
        <w:t xml:space="preserve"> CBC is based on the 201</w:t>
      </w:r>
      <w:r w:rsidR="000F1CE8" w:rsidRPr="00ED4C44">
        <w:t>8</w:t>
      </w:r>
      <w:r w:rsidRPr="00ED4C44">
        <w:t xml:space="preserve"> International Building Code</w:t>
      </w:r>
      <w:r w:rsidR="000F1CE8" w:rsidRPr="00ED4C44">
        <w:t>.</w:t>
      </w:r>
    </w:p>
    <w:p w14:paraId="1763043F" w14:textId="77777777" w:rsidR="00F63061" w:rsidRPr="00ED4C44" w:rsidRDefault="00F63061" w:rsidP="00F63061">
      <w:pPr>
        <w:pStyle w:val="Heading6"/>
      </w:pPr>
      <w:r w:rsidRPr="00ED4C44">
        <w:t>Regional and Local</w:t>
      </w:r>
    </w:p>
    <w:p w14:paraId="2F29DB91" w14:textId="57FB181C" w:rsidR="00F63061" w:rsidRPr="00C17A1F" w:rsidRDefault="00F63061" w:rsidP="00F63061">
      <w:pPr>
        <w:pStyle w:val="Heading7"/>
      </w:pPr>
      <w:r w:rsidRPr="00C17A1F">
        <w:t xml:space="preserve">City of </w:t>
      </w:r>
      <w:r w:rsidR="00C17A1F" w:rsidRPr="00C17A1F">
        <w:t>Mountain View 2030</w:t>
      </w:r>
      <w:r w:rsidRPr="00C17A1F">
        <w:t xml:space="preserve"> General Plan</w:t>
      </w:r>
    </w:p>
    <w:p w14:paraId="18EA6A50" w14:textId="724DAAD1" w:rsidR="00042017" w:rsidRPr="00975E6C" w:rsidRDefault="00975E6C" w:rsidP="00E223F6">
      <w:pPr>
        <w:pStyle w:val="BodyText"/>
        <w:spacing w:before="60" w:after="60"/>
        <w:ind w:left="1944" w:hanging="1584"/>
      </w:pPr>
      <w:r>
        <w:rPr>
          <w:b/>
          <w:bCs/>
        </w:rPr>
        <w:t xml:space="preserve">Policy </w:t>
      </w:r>
      <w:r w:rsidR="00C17A1F" w:rsidRPr="00975E6C">
        <w:rPr>
          <w:b/>
          <w:bCs/>
        </w:rPr>
        <w:t>PSA 5.1</w:t>
      </w:r>
      <w:r w:rsidR="00042017" w:rsidRPr="00975E6C">
        <w:rPr>
          <w:b/>
          <w:bCs/>
        </w:rPr>
        <w:tab/>
      </w:r>
      <w:r w:rsidR="00C17A1F" w:rsidRPr="00975E6C">
        <w:rPr>
          <w:i/>
          <w:iCs/>
        </w:rPr>
        <w:t xml:space="preserve">New development. </w:t>
      </w:r>
      <w:r w:rsidR="00C17A1F" w:rsidRPr="00975E6C">
        <w:t xml:space="preserve">Ensure new development addresses seismically induced geologic hazards. </w:t>
      </w:r>
    </w:p>
    <w:p w14:paraId="4F795763" w14:textId="0BA73908" w:rsidR="00B62CA7" w:rsidRPr="000E45CD" w:rsidRDefault="00975E6C" w:rsidP="00E223F6">
      <w:pPr>
        <w:pStyle w:val="BodyText"/>
        <w:spacing w:before="60" w:after="60"/>
        <w:ind w:left="1944" w:hanging="1584"/>
        <w:rPr>
          <w:highlight w:val="lightGray"/>
        </w:rPr>
      </w:pPr>
      <w:r w:rsidRPr="00EB4901">
        <w:rPr>
          <w:b/>
          <w:bCs/>
          <w:lang w:val="es-US"/>
        </w:rPr>
        <w:t xml:space="preserve">Policy </w:t>
      </w:r>
      <w:r w:rsidR="00C17A1F" w:rsidRPr="00EB4901">
        <w:rPr>
          <w:b/>
          <w:bCs/>
          <w:lang w:val="es-US"/>
        </w:rPr>
        <w:t>PSA 5.2</w:t>
      </w:r>
      <w:r w:rsidR="00C17A1F" w:rsidRPr="00EB4901">
        <w:rPr>
          <w:b/>
          <w:bCs/>
          <w:lang w:val="es-US"/>
        </w:rPr>
        <w:tab/>
      </w:r>
      <w:r w:rsidR="00C17A1F" w:rsidRPr="00EB4901">
        <w:rPr>
          <w:i/>
          <w:iCs/>
          <w:lang w:val="es-US"/>
        </w:rPr>
        <w:t xml:space="preserve">Alquist-Priolo zones. </w:t>
      </w:r>
      <w:r w:rsidR="00C17A1F" w:rsidRPr="00975E6C">
        <w:t xml:space="preserve">Development shall comply with the Alquist-Priolo </w:t>
      </w:r>
      <w:r w:rsidRPr="00975E6C">
        <w:t xml:space="preserve">Earthquake Fault Zoning Act. </w:t>
      </w:r>
    </w:p>
    <w:p w14:paraId="156A9BAC" w14:textId="0847419F" w:rsidR="00F63061" w:rsidRPr="00ED4C44" w:rsidRDefault="00F63061" w:rsidP="00F63061">
      <w:pPr>
        <w:pStyle w:val="Heading5"/>
      </w:pPr>
      <w:r w:rsidRPr="00ED4C44">
        <w:t>Impact Analysis</w:t>
      </w:r>
    </w:p>
    <w:p w14:paraId="05F9196C" w14:textId="22A25150" w:rsidR="009C1D64" w:rsidRPr="00ED4C44" w:rsidRDefault="00542725" w:rsidP="00977C17">
      <w:pPr>
        <w:pStyle w:val="BulletLtrManAFTER"/>
      </w:pPr>
      <w:r w:rsidRPr="00ED4C44">
        <w:t>a</w:t>
      </w:r>
      <w:r w:rsidR="002C708A" w:rsidRPr="00ED4C44">
        <w:t>.</w:t>
      </w:r>
      <w:r w:rsidRPr="00ED4C44">
        <w:t>1.</w:t>
      </w:r>
      <w:r w:rsidRPr="00ED4C44">
        <w:tab/>
      </w:r>
      <w:r w:rsidR="006860CA" w:rsidRPr="00ED4C44">
        <w:t>Would the project d</w:t>
      </w:r>
      <w:r w:rsidR="000E233D" w:rsidRPr="00ED4C44">
        <w:t xml:space="preserve">irectly or indirectly cause potential </w:t>
      </w:r>
      <w:r w:rsidR="002A5569" w:rsidRPr="00ED4C44">
        <w:t xml:space="preserve">substantial </w:t>
      </w:r>
      <w:r w:rsidR="000E233D" w:rsidRPr="00ED4C44">
        <w:t>adverse effects, including the risk of l</w:t>
      </w:r>
      <w:r w:rsidR="009C5806" w:rsidRPr="00ED4C44">
        <w:t>oss, injury, or death involving rupture of a known earthquake fault, as delineated on the most recent Alquist-Priolo Earthquake Fault Zoning Map issued by the State Geologist for the area or based on other substantial evidence of a known fault</w:t>
      </w:r>
      <w:r w:rsidRPr="00ED4C44">
        <w:t>?</w:t>
      </w:r>
    </w:p>
    <w:p w14:paraId="5DB69897" w14:textId="4D64F3BD" w:rsidR="00977C17" w:rsidRPr="00975E6C" w:rsidRDefault="00977C17" w:rsidP="00977C17">
      <w:pPr>
        <w:pStyle w:val="Body"/>
      </w:pPr>
      <w:r w:rsidRPr="00975E6C">
        <w:t>The project site is not within an Earthquake Fault Zone as defined by the Alquist-Priolo Earthquake Fault Zoning Act, and no known active or potentially active faults exist on the site</w:t>
      </w:r>
      <w:r w:rsidR="00975E6C">
        <w:t xml:space="preserve"> </w:t>
      </w:r>
      <w:r w:rsidR="00211BD5">
        <w:t>(</w:t>
      </w:r>
      <w:r w:rsidR="00E24EC0">
        <w:t>CGS</w:t>
      </w:r>
      <w:r w:rsidR="00975E6C">
        <w:t xml:space="preserve"> 2016)</w:t>
      </w:r>
      <w:r w:rsidRPr="00975E6C">
        <w:t xml:space="preserve">. Direct ground rupture of a known earthquake fault would be </w:t>
      </w:r>
      <w:r w:rsidR="00B62CA7" w:rsidRPr="00975E6C">
        <w:t>unlikely,</w:t>
      </w:r>
      <w:r w:rsidRPr="00975E6C">
        <w:t xml:space="preserve"> and impacts would be less than significant. </w:t>
      </w:r>
    </w:p>
    <w:p w14:paraId="532E355D" w14:textId="43857F7B" w:rsidR="00977C17" w:rsidRPr="000E45CD" w:rsidRDefault="00817BC5" w:rsidP="00977C17">
      <w:pPr>
        <w:pStyle w:val="Body"/>
        <w:rPr>
          <w:rStyle w:val="DropdownList"/>
          <w:rFonts w:asciiTheme="minorHAnsi" w:hAnsiTheme="minorHAnsi"/>
          <w:b w:val="0"/>
          <w:caps w:val="0"/>
          <w:highlight w:val="lightGray"/>
        </w:rPr>
      </w:pPr>
      <w:sdt>
        <w:sdtPr>
          <w:rPr>
            <w:rStyle w:val="DropdownList"/>
            <w:highlight w:val="lightGray"/>
          </w:rPr>
          <w:alias w:val="1a"/>
          <w:tag w:val="dropdown"/>
          <w:id w:val="-1399131352"/>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highlight w:val="none"/>
          </w:rPr>
        </w:sdtEndPr>
        <w:sdtContent>
          <w:r w:rsidR="000E45CD" w:rsidRPr="000E45CD">
            <w:rPr>
              <w:rStyle w:val="DropdownList"/>
            </w:rPr>
            <w:t>Less Than Significant Impact</w:t>
          </w:r>
        </w:sdtContent>
      </w:sdt>
    </w:p>
    <w:p w14:paraId="4050F90F" w14:textId="77777777" w:rsidR="00542725" w:rsidRPr="00E24EC0" w:rsidRDefault="00542725" w:rsidP="000037B0">
      <w:pPr>
        <w:pStyle w:val="BulletLtrManAFTER"/>
      </w:pPr>
      <w:r w:rsidRPr="00ED4C44">
        <w:t>a</w:t>
      </w:r>
      <w:r w:rsidR="002C708A" w:rsidRPr="00ED4C44">
        <w:t>.</w:t>
      </w:r>
      <w:r w:rsidR="006860CA" w:rsidRPr="00ED4C44">
        <w:t>2.</w:t>
      </w:r>
      <w:r w:rsidR="006860CA" w:rsidRPr="00ED4C44">
        <w:tab/>
        <w:t xml:space="preserve">Would the project </w:t>
      </w:r>
      <w:r w:rsidR="002A5569" w:rsidRPr="00ED4C44">
        <w:t>directly or indirectly cause</w:t>
      </w:r>
      <w:r w:rsidRPr="00ED4C44">
        <w:t xml:space="preserve"> potential substantial adverse effects, including the </w:t>
      </w:r>
      <w:r w:rsidRPr="00E24EC0">
        <w:t>risk of loss, injury, or death involving strong seismic ground shaking?</w:t>
      </w:r>
    </w:p>
    <w:p w14:paraId="3211917C" w14:textId="2E8B6AB4" w:rsidR="003879FA" w:rsidRPr="00E24EC0" w:rsidRDefault="003879FA" w:rsidP="003879FA">
      <w:pPr>
        <w:pStyle w:val="BodyText"/>
      </w:pPr>
      <w:r w:rsidRPr="00E24EC0">
        <w:t xml:space="preserve">The nearest mapped active fault, the North San Andreas Fault, is approximately </w:t>
      </w:r>
      <w:r w:rsidR="00E24EC0" w:rsidRPr="00E24EC0">
        <w:t xml:space="preserve">7.5 </w:t>
      </w:r>
      <w:r w:rsidRPr="00E24EC0">
        <w:t xml:space="preserve">miles </w:t>
      </w:r>
      <w:r w:rsidR="00E24EC0" w:rsidRPr="00E24EC0">
        <w:t>west</w:t>
      </w:r>
      <w:r w:rsidRPr="00E24EC0">
        <w:t xml:space="preserve"> of the project site </w:t>
      </w:r>
      <w:r w:rsidR="00E24EC0">
        <w:t xml:space="preserve">(CGS 2016). </w:t>
      </w:r>
      <w:r w:rsidRPr="00E24EC0">
        <w:t xml:space="preserve">The U.S. Geological Survey has stated that there is a 72 percent chance of at least one magnitude 6.7 or greater earthquake striking the San Francisco Bay region between 2014 </w:t>
      </w:r>
      <w:r w:rsidRPr="007B147A">
        <w:t>and 2043 (USGS 2016).</w:t>
      </w:r>
      <w:r w:rsidRPr="00E24EC0">
        <w:t xml:space="preserve"> Therefore, the site could be subjected to at least one moderate to severe earthquake that would cause strong ground shaking</w:t>
      </w:r>
      <w:r w:rsidR="007B147A">
        <w:t xml:space="preserve">. </w:t>
      </w:r>
      <w:r w:rsidR="00E24EC0" w:rsidRPr="00E24EC0">
        <w:t>P</w:t>
      </w:r>
      <w:r w:rsidRPr="00E24EC0">
        <w:t>roject construction would be required to comply with the seismic safety requirements in the International Building Code, the CBC, and the City of</w:t>
      </w:r>
      <w:r w:rsidR="00E24EC0">
        <w:t xml:space="preserve"> Mountain View</w:t>
      </w:r>
      <w:r w:rsidRPr="00E24EC0">
        <w:t xml:space="preserve"> Building Code. Compliance with such requirements would reduce seismic ground shaking impacts to the maximum extent practicable with current engineering properties. Therefore, impacts related to strong seismic ground shaking would be less than significant. </w:t>
      </w:r>
    </w:p>
    <w:p w14:paraId="0F2AC8CD" w14:textId="57BDFB08" w:rsidR="009C1D64" w:rsidRPr="000E45CD" w:rsidRDefault="00817BC5" w:rsidP="009C1D64">
      <w:pPr>
        <w:spacing w:before="120"/>
        <w:rPr>
          <w:rStyle w:val="DropdownList"/>
          <w:highlight w:val="lightGray"/>
        </w:rPr>
      </w:pPr>
      <w:sdt>
        <w:sdtPr>
          <w:rPr>
            <w:rStyle w:val="DropdownList"/>
            <w:highlight w:val="lightGray"/>
          </w:rPr>
          <w:alias w:val="1a"/>
          <w:tag w:val="dropdown"/>
          <w:id w:val="712782050"/>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highlight w:val="none"/>
          </w:rPr>
        </w:sdtEndPr>
        <w:sdtContent>
          <w:r w:rsidR="000E45CD" w:rsidRPr="000E45CD">
            <w:rPr>
              <w:rStyle w:val="DropdownList"/>
            </w:rPr>
            <w:t>Less Than Significant Impact</w:t>
          </w:r>
        </w:sdtContent>
      </w:sdt>
    </w:p>
    <w:p w14:paraId="77660EB3" w14:textId="3C843C5A" w:rsidR="00542725" w:rsidRPr="00C17A1F" w:rsidRDefault="00542725" w:rsidP="00C70212">
      <w:pPr>
        <w:pStyle w:val="BulletLtrManAFTER"/>
      </w:pPr>
      <w:r w:rsidRPr="00C17A1F">
        <w:t>a</w:t>
      </w:r>
      <w:r w:rsidR="002C708A" w:rsidRPr="00C17A1F">
        <w:t>.</w:t>
      </w:r>
      <w:r w:rsidR="006860CA" w:rsidRPr="00C17A1F">
        <w:t>3.</w:t>
      </w:r>
      <w:r w:rsidR="006860CA" w:rsidRPr="00C17A1F">
        <w:tab/>
      </w:r>
      <w:r w:rsidR="002A5569" w:rsidRPr="00C17A1F">
        <w:t>Would the project directly or indirectly cause potential substantial adverse effects</w:t>
      </w:r>
      <w:r w:rsidRPr="00C17A1F">
        <w:t>, including the risk of loss, injury, or death involving seismic-related ground failure, including liquefaction?</w:t>
      </w:r>
    </w:p>
    <w:p w14:paraId="62BC25E6" w14:textId="77777777" w:rsidR="00B62CA7" w:rsidRPr="00C17A1F" w:rsidRDefault="00B62CA7" w:rsidP="00F060FF">
      <w:pPr>
        <w:pStyle w:val="BulletLtrManAFTER"/>
        <w:spacing w:before="120"/>
      </w:pPr>
      <w:r w:rsidRPr="00C17A1F">
        <w:t>c.</w:t>
      </w:r>
      <w:r w:rsidRPr="00C17A1F">
        <w:tab/>
        <w:t>Would the project be located on a geologic unit or soil that is unstable, or that would become unstable as a result of the project, and potentially result in on- or off-site landslide, lateral spreading, subsidence, liquefaction, or collapse?</w:t>
      </w:r>
    </w:p>
    <w:p w14:paraId="0FBD1C9A" w14:textId="2BB5B20D" w:rsidR="00136D96" w:rsidRDefault="000109B6" w:rsidP="00F554F4">
      <w:pPr>
        <w:pStyle w:val="BodyText"/>
      </w:pPr>
      <w:r w:rsidRPr="00EB273E">
        <w:t xml:space="preserve">Soils that are most susceptible to liquefaction are clean, loose, uniformly graded, saturated, fine-grained sands that lie close to the ground surface. </w:t>
      </w:r>
      <w:r w:rsidR="00B62CA7" w:rsidRPr="009503C8">
        <w:t>T</w:t>
      </w:r>
      <w:r w:rsidR="00B62CA7" w:rsidRPr="00326A4E">
        <w:t>he</w:t>
      </w:r>
      <w:r w:rsidR="00B62CA7" w:rsidRPr="00872C02">
        <w:t xml:space="preserve"> project site </w:t>
      </w:r>
      <w:r w:rsidRPr="00872C02">
        <w:t xml:space="preserve">is </w:t>
      </w:r>
      <w:r w:rsidR="00126F08" w:rsidRPr="00872C02">
        <w:t>identified as having Urbanland-Hangerone and Urbanland-Campbell complex soils, which are defined as being poorly drained</w:t>
      </w:r>
      <w:r w:rsidR="00D21A27" w:rsidRPr="00872C02">
        <w:t xml:space="preserve"> (NRCS 2015; 2018). </w:t>
      </w:r>
      <w:r w:rsidR="00F554F4">
        <w:t xml:space="preserve">The project site is located in an identified liquefaction zone, according to Figure 8.2 in the City’s General Plan. </w:t>
      </w:r>
      <w:r w:rsidR="00F554F4" w:rsidRPr="0086426D">
        <w:t>The majority of land in Mountain View is underlain by materials that have moderate to very high liquefaction potential</w:t>
      </w:r>
      <w:r w:rsidR="00F554F4">
        <w:t>. In addition, a</w:t>
      </w:r>
      <w:r w:rsidR="00D21A27" w:rsidRPr="00872C02">
        <w:t>ccording to the United States Geological Survey (USGS) and the Association of Bay Area Governments</w:t>
      </w:r>
      <w:r w:rsidR="00B843E1">
        <w:t xml:space="preserve"> (ABAG)</w:t>
      </w:r>
      <w:r w:rsidR="00D21A27" w:rsidRPr="00872C02">
        <w:t>, the project site is in an area that experiences moderate liquefaction susceptibility (USGS 2021; ABAG 2021).</w:t>
      </w:r>
      <w:r w:rsidR="00B843E1">
        <w:t xml:space="preserve"> </w:t>
      </w:r>
      <w:r w:rsidR="00F554F4">
        <w:t xml:space="preserve">However, the proposed building would be constructed in compliance with the California Building Code (CBC), which requires structures to be designed and constructed to resist liquefaction potential from seismic-related ground failure. </w:t>
      </w:r>
      <w:r w:rsidR="00F554F4" w:rsidRPr="00993FB5">
        <w:t xml:space="preserve">Furthermore, the City </w:t>
      </w:r>
      <w:r w:rsidR="00EA2F75">
        <w:t xml:space="preserve">would apply the </w:t>
      </w:r>
      <w:r w:rsidR="00D73BF1">
        <w:t>following</w:t>
      </w:r>
      <w:r w:rsidR="00F554F4">
        <w:t xml:space="preserve"> </w:t>
      </w:r>
      <w:r w:rsidR="00F554F4" w:rsidRPr="00993FB5">
        <w:t>standard condition of approval</w:t>
      </w:r>
      <w:r w:rsidR="00F554F4">
        <w:t xml:space="preserve"> requiring</w:t>
      </w:r>
      <w:r w:rsidR="00F554F4" w:rsidRPr="00993FB5">
        <w:t xml:space="preserve"> </w:t>
      </w:r>
      <w:r w:rsidR="00F554F4">
        <w:t xml:space="preserve">that the applicant have a design-level geotechnical investigation prepared that includes recommendations to address and mitigate geologic hazards and that the recommendations made be implemented as part of the project. </w:t>
      </w:r>
    </w:p>
    <w:p w14:paraId="11001B2F" w14:textId="373DFF0F" w:rsidR="00136D96" w:rsidRDefault="00136D96" w:rsidP="00136D96">
      <w:pPr>
        <w:pStyle w:val="Heading6"/>
      </w:pPr>
      <w:r>
        <w:t>Standard Condition of Approval PL-</w:t>
      </w:r>
      <w:r w:rsidR="00AD0B9F">
        <w:t>1</w:t>
      </w:r>
      <w:r>
        <w:t xml:space="preserve">48: Geotechnical Report </w:t>
      </w:r>
    </w:p>
    <w:p w14:paraId="1E662A0D" w14:textId="0DCA9D81" w:rsidR="00136D96" w:rsidRDefault="00574CD7" w:rsidP="00574CD7">
      <w:pPr>
        <w:pStyle w:val="body0"/>
      </w:pPr>
      <w:r w:rsidRPr="00574CD7">
        <w:t xml:space="preserve">The applicant shall have a design-level geotechnical investigation prepared which includes recommendations to address and mitigate geologic hazards in accordance with the specifications of California Geological Survey (CGS) Special Publication 117, </w:t>
      </w:r>
      <w:r w:rsidRPr="00574CD7">
        <w:rPr>
          <w:i/>
          <w:iCs/>
        </w:rPr>
        <w:t>Guidelines for Evaluating and Mitigating Seismic Hazards</w:t>
      </w:r>
      <w:r w:rsidRPr="00574CD7">
        <w:t>, and the requirements of the Seismic Hazards Mapping Act. The report will be</w:t>
      </w:r>
      <w:r w:rsidRPr="00574CD7">
        <w:br/>
        <w:t>submitted to the City during building plan check, and the recommendations made in the geotechnical report will be implemented as part of the project and included in building permit drawings and civil drawings as needed. Recommendations may include considerations for design of permanent below-grade walls to resist static lateral earth pressures, lateral pressures causes by seismic activity, and traffic loads; method for backdraining walls to prevent the build-up of hydrostatic pressure; considerations for design of excavation shoring system; excavation monitoring; and seismic design.</w:t>
      </w:r>
    </w:p>
    <w:p w14:paraId="499310A8" w14:textId="6ADC567E" w:rsidR="000109B6" w:rsidRPr="0034209C" w:rsidRDefault="00F554F4" w:rsidP="0034209C">
      <w:pPr>
        <w:pStyle w:val="BodyText"/>
      </w:pPr>
      <w:r>
        <w:t>With adherence to standard condition of approval</w:t>
      </w:r>
      <w:r w:rsidR="00574CD7">
        <w:t xml:space="preserve"> PL-</w:t>
      </w:r>
      <w:r w:rsidR="00AD0B9F">
        <w:t>1</w:t>
      </w:r>
      <w:r w:rsidR="00574CD7">
        <w:t>48</w:t>
      </w:r>
      <w:r>
        <w:t xml:space="preserve"> and implementation of recommendations in the design-level geotechnical investigation, and compliance with CBC</w:t>
      </w:r>
      <w:r w:rsidRPr="00993FB5">
        <w:t xml:space="preserve"> requirements, impacts would be less than significant.</w:t>
      </w:r>
    </w:p>
    <w:p w14:paraId="592C8927" w14:textId="6935FE1C" w:rsidR="009C1D64" w:rsidRPr="000E45CD" w:rsidRDefault="00817BC5" w:rsidP="009C1D64">
      <w:pPr>
        <w:spacing w:before="120"/>
        <w:rPr>
          <w:rStyle w:val="DropdownList"/>
          <w:highlight w:val="lightGray"/>
        </w:rPr>
      </w:pPr>
      <w:sdt>
        <w:sdtPr>
          <w:rPr>
            <w:rStyle w:val="DropdownList"/>
            <w:highlight w:val="lightGray"/>
          </w:rPr>
          <w:alias w:val="1a"/>
          <w:tag w:val="dropdown"/>
          <w:id w:val="1231888720"/>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highlight w:val="none"/>
          </w:rPr>
        </w:sdtEndPr>
        <w:sdtContent>
          <w:r w:rsidR="000E45CD" w:rsidRPr="000E45CD">
            <w:rPr>
              <w:rStyle w:val="DropdownList"/>
            </w:rPr>
            <w:t>Less Than Significant Impact</w:t>
          </w:r>
        </w:sdtContent>
      </w:sdt>
    </w:p>
    <w:p w14:paraId="1C967968" w14:textId="77777777" w:rsidR="00542725" w:rsidRPr="00C17A1F" w:rsidRDefault="00542725" w:rsidP="0034209C">
      <w:pPr>
        <w:pStyle w:val="BulletLtrMan"/>
        <w:spacing w:before="240"/>
      </w:pPr>
      <w:r w:rsidRPr="00C17A1F">
        <w:t>a</w:t>
      </w:r>
      <w:r w:rsidR="002C708A" w:rsidRPr="00C17A1F">
        <w:t>.</w:t>
      </w:r>
      <w:r w:rsidR="006860CA" w:rsidRPr="00C17A1F">
        <w:t>4.</w:t>
      </w:r>
      <w:r w:rsidR="006860CA" w:rsidRPr="00C17A1F">
        <w:tab/>
      </w:r>
      <w:r w:rsidR="002A5569" w:rsidRPr="00C17A1F">
        <w:t>Would the project directly or indirectly cause potential substantial adverse effects</w:t>
      </w:r>
      <w:r w:rsidRPr="00C17A1F">
        <w:t>, including the risk of loss, injury, or death involving landslides?</w:t>
      </w:r>
    </w:p>
    <w:p w14:paraId="4715A04E" w14:textId="4A3E1DC6" w:rsidR="006F3AD3" w:rsidRPr="00D827C9" w:rsidRDefault="006F3AD3" w:rsidP="006F3AD3">
      <w:pPr>
        <w:pStyle w:val="Body"/>
      </w:pPr>
      <w:r w:rsidRPr="00D827C9">
        <w:t>Earthquakes can trigger landslides that may cause injuries and damage ma</w:t>
      </w:r>
      <w:r w:rsidR="00D827C9">
        <w:t>n</w:t>
      </w:r>
      <w:r w:rsidRPr="00D827C9">
        <w:t>y types of structures. Landslides are typically a hazard on or near slopes or hillside areas, rather than on generally level areas, like the project site. The project site is not within an area mapped as having landslides (</w:t>
      </w:r>
      <w:r w:rsidR="00D827C9" w:rsidRPr="00D827C9">
        <w:t>CDOC 2015</w:t>
      </w:r>
      <w:r w:rsidRPr="00D827C9">
        <w:t>). Therefore, the project has a low potential for slope instability occurring at the site and impacts would be less than significant.</w:t>
      </w:r>
      <w:r w:rsidR="00FE1C60" w:rsidRPr="00D827C9">
        <w:t xml:space="preserve"> </w:t>
      </w:r>
    </w:p>
    <w:p w14:paraId="0A472522" w14:textId="580A583C" w:rsidR="009C1D64" w:rsidRPr="000E45CD" w:rsidRDefault="00817BC5" w:rsidP="009C1D64">
      <w:pPr>
        <w:spacing w:before="120"/>
        <w:rPr>
          <w:rStyle w:val="DropdownList"/>
          <w:highlight w:val="lightGray"/>
        </w:rPr>
      </w:pPr>
      <w:sdt>
        <w:sdtPr>
          <w:rPr>
            <w:rStyle w:val="DropdownList"/>
            <w:highlight w:val="lightGray"/>
          </w:rPr>
          <w:alias w:val="1a"/>
          <w:tag w:val="dropdown"/>
          <w:id w:val="1184942085"/>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highlight w:val="none"/>
          </w:rPr>
        </w:sdtEndPr>
        <w:sdtContent>
          <w:r w:rsidR="000E45CD" w:rsidRPr="000E45CD">
            <w:rPr>
              <w:rStyle w:val="DropdownList"/>
            </w:rPr>
            <w:t>Less Than Significant Impact</w:t>
          </w:r>
        </w:sdtContent>
      </w:sdt>
    </w:p>
    <w:p w14:paraId="66683123" w14:textId="77777777" w:rsidR="00542725" w:rsidRPr="00C17A1F" w:rsidRDefault="00542725" w:rsidP="00356D6D">
      <w:pPr>
        <w:pStyle w:val="BulletLtrManAFTER"/>
      </w:pPr>
      <w:r w:rsidRPr="00C17A1F">
        <w:t>b.</w:t>
      </w:r>
      <w:r w:rsidRPr="00C17A1F">
        <w:tab/>
        <w:t>Would the project result in substantial soil erosion or the loss of topsoil?</w:t>
      </w:r>
    </w:p>
    <w:p w14:paraId="44ADF5F9" w14:textId="0BA5A18B" w:rsidR="00F83275" w:rsidRPr="00740F58" w:rsidRDefault="00DC4251" w:rsidP="000D75C9">
      <w:pPr>
        <w:pStyle w:val="BodyText"/>
      </w:pPr>
      <w:r w:rsidRPr="00EB273E">
        <w:t>Project construction, particularl</w:t>
      </w:r>
      <w:r w:rsidR="00EB273E" w:rsidRPr="00EB273E">
        <w:t>y</w:t>
      </w:r>
      <w:r w:rsidRPr="00EB273E">
        <w:t xml:space="preserve"> grading and site preparation, could result in erosion and loss of topsoil from the project site. </w:t>
      </w:r>
      <w:bookmarkStart w:id="213" w:name="_Hlk84494632"/>
      <w:r w:rsidR="00326A4E" w:rsidRPr="00993FB5">
        <w:t xml:space="preserve">The project would be required to follow applicable </w:t>
      </w:r>
      <w:bookmarkEnd w:id="213"/>
      <w:r w:rsidR="00B843E1">
        <w:t xml:space="preserve">CBC </w:t>
      </w:r>
      <w:r w:rsidR="00326A4E" w:rsidRPr="00993FB5">
        <w:t xml:space="preserve">and </w:t>
      </w:r>
      <w:r w:rsidR="008369AA">
        <w:t>MVMC</w:t>
      </w:r>
      <w:r w:rsidR="008369AA" w:rsidRPr="00993FB5">
        <w:t xml:space="preserve"> </w:t>
      </w:r>
      <w:r w:rsidR="00326A4E" w:rsidRPr="00993FB5">
        <w:t xml:space="preserve">requirements to reduce soil erosion, including </w:t>
      </w:r>
      <w:r w:rsidR="008369AA">
        <w:t>MVMC</w:t>
      </w:r>
      <w:r w:rsidR="008369AA" w:rsidRPr="00993FB5">
        <w:t xml:space="preserve"> </w:t>
      </w:r>
      <w:r w:rsidR="00326A4E" w:rsidRPr="00993FB5">
        <w:t>Section 35.32.10</w:t>
      </w:r>
      <w:r w:rsidR="00326A4E">
        <w:t>, which</w:t>
      </w:r>
      <w:r w:rsidR="00326A4E" w:rsidRPr="00993FB5">
        <w:t xml:space="preserve"> requires all construction projects extending into the rainy season (October 15 through April 15) to submit and implement an erosion control plan to the City. Where appropriate, the plan must include silt fences around the site perimeter, gravel bags surrounding catch basins, filter fabric over catch basins, covering exposed stockpiles, concrete washout areas, stabilized rock/gravel driveways at points of egress from site, and vegetation, hydroseeding, or other soil stabilization methods for high erosion areas. Compliance with federal, State, and City regulations would </w:t>
      </w:r>
      <w:r w:rsidR="00326A4E">
        <w:t xml:space="preserve">reduce impacts related to soil erosion and the loss of topsoil to </w:t>
      </w:r>
      <w:r w:rsidR="00326A4E" w:rsidRPr="00993FB5">
        <w:t>less than significant</w:t>
      </w:r>
      <w:r w:rsidR="00EA2F75">
        <w:t xml:space="preserve"> levels</w:t>
      </w:r>
      <w:r w:rsidR="00326A4E">
        <w:t>.</w:t>
      </w:r>
      <w:r w:rsidR="00326A4E" w:rsidRPr="00993FB5">
        <w:t xml:space="preserve"> </w:t>
      </w:r>
    </w:p>
    <w:p w14:paraId="55F72C1C" w14:textId="6DDCCD68" w:rsidR="009C1D64" w:rsidRPr="000E45CD" w:rsidRDefault="00817BC5" w:rsidP="009C1D64">
      <w:pPr>
        <w:spacing w:before="120"/>
        <w:rPr>
          <w:rStyle w:val="DropdownList"/>
          <w:highlight w:val="lightGray"/>
        </w:rPr>
      </w:pPr>
      <w:sdt>
        <w:sdtPr>
          <w:rPr>
            <w:rStyle w:val="DropdownList"/>
            <w:highlight w:val="lightGray"/>
          </w:rPr>
          <w:alias w:val="1a"/>
          <w:tag w:val="dropdown"/>
          <w:id w:val="232136361"/>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highlight w:val="none"/>
          </w:rPr>
        </w:sdtEndPr>
        <w:sdtContent>
          <w:r w:rsidR="000E45CD" w:rsidRPr="000E45CD">
            <w:rPr>
              <w:rStyle w:val="DropdownList"/>
            </w:rPr>
            <w:t>Less Than Significant Impact</w:t>
          </w:r>
        </w:sdtContent>
      </w:sdt>
    </w:p>
    <w:p w14:paraId="4203DD4B" w14:textId="77777777" w:rsidR="00542725" w:rsidRPr="00C17A1F" w:rsidRDefault="00542725" w:rsidP="00C70212">
      <w:pPr>
        <w:pStyle w:val="BulletLtrManAFTER"/>
      </w:pPr>
      <w:r w:rsidRPr="00C17A1F">
        <w:t>d.</w:t>
      </w:r>
      <w:r w:rsidRPr="00C17A1F">
        <w:tab/>
        <w:t>Would the project be located on expansive soil, as defined in Table 1-B of the Uniform Building Code</w:t>
      </w:r>
      <w:r w:rsidR="004E2A38" w:rsidRPr="00C17A1F">
        <w:t xml:space="preserve"> (1994)</w:t>
      </w:r>
      <w:r w:rsidRPr="00C17A1F">
        <w:t xml:space="preserve">, creating substantial </w:t>
      </w:r>
      <w:r w:rsidR="00405CD7" w:rsidRPr="00C17A1F">
        <w:t xml:space="preserve">direct or indirect </w:t>
      </w:r>
      <w:r w:rsidRPr="00C17A1F">
        <w:t>risks to life or property?</w:t>
      </w:r>
    </w:p>
    <w:p w14:paraId="3A4348BD" w14:textId="7E4A20FA" w:rsidR="00C0001E" w:rsidRPr="002743B2" w:rsidRDefault="00C0001E" w:rsidP="001C4F06">
      <w:pPr>
        <w:pStyle w:val="BodyText"/>
      </w:pPr>
      <w:r w:rsidRPr="002743B2">
        <w:t xml:space="preserve">Expansive soils are those that have a potential to undergo significant changes in volume, either shrinking or swelling, due to their composition and moisture content. Periodic shrinking and swelling of expansive soils can cause extensive damage to other structures and roads. </w:t>
      </w:r>
      <w:r w:rsidR="002743B2" w:rsidRPr="002743B2">
        <w:t>According to the National Resource Conservation Service, most soils on and around the project site are Urbanland-Hangerone and Urbanland-Campbell complex soils. These soils are very deep, poorly drain</w:t>
      </w:r>
      <w:r w:rsidR="00326A4E">
        <w:t>ed</w:t>
      </w:r>
      <w:r w:rsidR="002743B2" w:rsidRPr="002743B2">
        <w:t xml:space="preserve"> soils formed from mixed rock resources, and are not known to be expansive (NRCS 2015; 2018). Therefore, the project would not be located on expansive soil, and there would be no impact. </w:t>
      </w:r>
    </w:p>
    <w:p w14:paraId="31A58C80" w14:textId="63C13AD7" w:rsidR="009C1D64" w:rsidRPr="002743B2" w:rsidRDefault="00817BC5" w:rsidP="009C1D64">
      <w:pPr>
        <w:spacing w:before="120"/>
        <w:rPr>
          <w:rStyle w:val="DropdownList"/>
        </w:rPr>
      </w:pPr>
      <w:sdt>
        <w:sdtPr>
          <w:rPr>
            <w:rStyle w:val="DropdownList"/>
          </w:rPr>
          <w:alias w:val="1a"/>
          <w:tag w:val="dropdown"/>
          <w:id w:val="-391120058"/>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rPr>
        </w:sdtEndPr>
        <w:sdtContent>
          <w:r w:rsidR="001F0C97">
            <w:rPr>
              <w:rStyle w:val="DropdownList"/>
            </w:rPr>
            <w:t>Less Than Significant Impact</w:t>
          </w:r>
        </w:sdtContent>
      </w:sdt>
    </w:p>
    <w:p w14:paraId="370BCB2A" w14:textId="77777777" w:rsidR="00542725" w:rsidRPr="002743B2" w:rsidRDefault="00542725" w:rsidP="000037B0">
      <w:pPr>
        <w:pStyle w:val="BulletLtrManAFTER"/>
      </w:pPr>
      <w:r w:rsidRPr="002743B2">
        <w:t>e.</w:t>
      </w:r>
      <w:r w:rsidRPr="002743B2">
        <w:tab/>
        <w:t>Would the project have soils incapable of adequately supporting the use of septic tanks or alternative wastewater disposal systems where sewers are not available for the disposal of wastewater?</w:t>
      </w:r>
    </w:p>
    <w:p w14:paraId="293D14EC" w14:textId="1855AEF9" w:rsidR="00542725" w:rsidRPr="002743B2" w:rsidRDefault="004A3056" w:rsidP="000D75C9">
      <w:pPr>
        <w:pStyle w:val="BodyText"/>
      </w:pPr>
      <w:r w:rsidRPr="002743B2">
        <w:t xml:space="preserve">The project site would be served by the municipal sewer system and would not require the installation of an on-site septic tank or alternate wastewater treatment systems. Therefore, no impacts from septic systems or alternative wastewater disposal systems would occur. </w:t>
      </w:r>
    </w:p>
    <w:p w14:paraId="2758652C" w14:textId="77777777" w:rsidR="009C1D64" w:rsidRPr="000E45CD" w:rsidRDefault="00817BC5" w:rsidP="009C1D64">
      <w:pPr>
        <w:spacing w:before="120"/>
        <w:rPr>
          <w:rStyle w:val="DropdownList"/>
          <w:highlight w:val="lightGray"/>
        </w:rPr>
      </w:pPr>
      <w:sdt>
        <w:sdtPr>
          <w:rPr>
            <w:rStyle w:val="DropdownList"/>
            <w:highlight w:val="lightGray"/>
          </w:rPr>
          <w:alias w:val="1a"/>
          <w:tag w:val="dropdown"/>
          <w:id w:val="-1686514483"/>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highlight w:val="none"/>
          </w:rPr>
        </w:sdtEndPr>
        <w:sdtContent>
          <w:r w:rsidR="000E45CD" w:rsidRPr="000E45CD">
            <w:rPr>
              <w:rStyle w:val="DropdownList"/>
            </w:rPr>
            <w:t>No Impact</w:t>
          </w:r>
        </w:sdtContent>
      </w:sdt>
    </w:p>
    <w:p w14:paraId="052E0EBF" w14:textId="77777777" w:rsidR="00405CD7" w:rsidRPr="002743B2" w:rsidRDefault="00405CD7" w:rsidP="000037B0">
      <w:pPr>
        <w:pStyle w:val="BulletLtrManAFTER"/>
        <w:pageBreakBefore/>
        <w:spacing w:before="360"/>
      </w:pPr>
      <w:r w:rsidRPr="002743B2">
        <w:t>f.</w:t>
      </w:r>
      <w:r w:rsidRPr="002743B2">
        <w:tab/>
        <w:t>Would the project directly or indirectly destroy a unique paleontological resource or site or unique geologic feature?</w:t>
      </w:r>
    </w:p>
    <w:p w14:paraId="3DB9A23C" w14:textId="40E3B46F" w:rsidR="00D93C3B" w:rsidRDefault="00D93C3B" w:rsidP="0034209C">
      <w:pPr>
        <w:pStyle w:val="BodyText"/>
        <w:spacing w:before="140" w:after="140"/>
      </w:pPr>
      <w:r>
        <w:t xml:space="preserve">Rincon </w:t>
      </w:r>
      <w:r w:rsidR="00EA2F75">
        <w:t xml:space="preserve">Consultants </w:t>
      </w:r>
      <w:r>
        <w:t>evaluated the paleontological sensitivity of the geologic units that underlie the project area using the results of the paleontological locality search and review of existing information in the primary literature concerning known fossils within those geologic units. Rincon reviewed fossil collections records from the University of California Museum of Paleontology (UCMP) online database and Paleobiology Database (PBDB), which contains</w:t>
      </w:r>
      <w:r w:rsidRPr="00A31F14">
        <w:t xml:space="preserve"> known fossil localities </w:t>
      </w:r>
      <w:r>
        <w:t>in Santa Clara County</w:t>
      </w:r>
      <w:r w:rsidR="00275B75">
        <w:t>.</w:t>
      </w:r>
      <w:r w:rsidR="00275B75" w:rsidRPr="004E11BE">
        <w:t xml:space="preserve"> </w:t>
      </w:r>
    </w:p>
    <w:p w14:paraId="1591A49A" w14:textId="228135A1" w:rsidR="00D93C3B" w:rsidRDefault="00D93C3B" w:rsidP="0034209C">
      <w:pPr>
        <w:pStyle w:val="BodyText"/>
        <w:spacing w:before="140" w:after="140"/>
      </w:pPr>
      <w:r>
        <w:t>Following the literature review and museum record search</w:t>
      </w:r>
      <w:r w:rsidR="00EA2F75">
        <w:t>,</w:t>
      </w:r>
      <w:r>
        <w:t xml:space="preserve"> a paleontological sensitivity classification was assigned to the geologic units within the project area. The potential for impacts to significant paleontological resources is based on the potential for ground disturbance to directly impact paleontologically sensitive geologic units. The Society of Vertebrate Paleontology (SVP) has developed a system for assessing paleontological sensitivity and describes sedimentary rock units as having high, low, undetermined, or no potential for containing scientifically significant nonrenewable paleontological resources (SVP 2010). This criterion is based on rock units within which vertebrate or significant invertebrate fossils have been determined by previous studies to be present or likely to be present. </w:t>
      </w:r>
    </w:p>
    <w:p w14:paraId="0F646265" w14:textId="241FD5F4" w:rsidR="00D93C3B" w:rsidRPr="008F359F" w:rsidRDefault="00D93C3B" w:rsidP="0034209C">
      <w:pPr>
        <w:pStyle w:val="BodyText"/>
        <w:spacing w:before="140" w:after="140"/>
        <w:rPr>
          <w:b/>
          <w:bCs/>
        </w:rPr>
      </w:pPr>
      <w:r w:rsidRPr="006F696B">
        <w:t xml:space="preserve">The </w:t>
      </w:r>
      <w:r>
        <w:t>project site is located near the southern shore of San Francisco Bay (</w:t>
      </w:r>
      <w:r w:rsidR="00DA1541">
        <w:fldChar w:fldCharType="begin"/>
      </w:r>
      <w:r w:rsidR="00DA1541">
        <w:instrText xml:space="preserve"> REF _Ref482687763 \h </w:instrText>
      </w:r>
      <w:r w:rsidR="00DA1541">
        <w:fldChar w:fldCharType="separate"/>
      </w:r>
      <w:r w:rsidR="00FA55F1" w:rsidRPr="00602D23">
        <w:t>Figure </w:t>
      </w:r>
      <w:r w:rsidR="00FA55F1">
        <w:rPr>
          <w:noProof/>
        </w:rPr>
        <w:t>1</w:t>
      </w:r>
      <w:r w:rsidR="00DA1541">
        <w:fldChar w:fldCharType="end"/>
      </w:r>
      <w:r>
        <w:t xml:space="preserve">) in the Coast Ranges Province, one of the eleven major geomorphic provinces of California (California Geological Survey 2002). The project site is in the Mountain View United States Geological Survey 7.5-minute topographic quadrangle and was mapped at a scale of 1:24,000 by Dibblee and Minch (2007). According to Dibblee and Minch (2007), the project site is underlain by a single geologic unit: Quaternary silty clay and organic clay (Qac). Qac represents low-energy, intra-fan alluvial deposits and is Holocene in age. Holocene deposits are generally considered too young to preserve scientifically significant paleontological resources. However, Holocene alluvial sediments may grade into </w:t>
      </w:r>
      <w:r w:rsidR="00E25956">
        <w:t xml:space="preserve">older Holocene or </w:t>
      </w:r>
      <w:r>
        <w:t>Pleistocene</w:t>
      </w:r>
      <w:r w:rsidR="00E25956">
        <w:t>-aged</w:t>
      </w:r>
      <w:r>
        <w:t xml:space="preserve"> alluvial sediments at unknown depth in the subsurface</w:t>
      </w:r>
      <w:r w:rsidR="00E25956">
        <w:t>. These older units</w:t>
      </w:r>
      <w:r>
        <w:t xml:space="preserve"> are known to preserve scientifically significant paleontological resources including in Santa Clara County (PBDB 2022; UCMP 2022). </w:t>
      </w:r>
      <w:r w:rsidR="00E25956">
        <w:t>However</w:t>
      </w:r>
      <w:r w:rsidR="008D25F6">
        <w:t xml:space="preserve">, the project occurs away from the margins of the coast range where older sediments would be expected to occur closer to the surface, and young sediments are expected to be dozens to hundreds of feet think in the areas of the project site. Quaternary silt and clay mapped at the project site is </w:t>
      </w:r>
      <w:r>
        <w:t xml:space="preserve">assigned a </w:t>
      </w:r>
      <w:r w:rsidRPr="00AC1C51">
        <w:t>low paleontological sensitivity.</w:t>
      </w:r>
    </w:p>
    <w:p w14:paraId="1BA9AD05" w14:textId="3C5E4AC0" w:rsidR="00D20166" w:rsidRDefault="00D93C3B" w:rsidP="0034209C">
      <w:pPr>
        <w:pStyle w:val="BodyText"/>
        <w:spacing w:before="140" w:after="140"/>
      </w:pPr>
      <w:r>
        <w:t>The project site located on previously developed land within an urbanized area (</w:t>
      </w:r>
      <w:r w:rsidR="00574CD7">
        <w:fldChar w:fldCharType="begin"/>
      </w:r>
      <w:r w:rsidR="00574CD7">
        <w:instrText xml:space="preserve"> REF _Ref40267056 \h </w:instrText>
      </w:r>
      <w:r w:rsidR="00574CD7">
        <w:fldChar w:fldCharType="separate"/>
      </w:r>
      <w:r w:rsidR="00FA55F1" w:rsidRPr="00602D23">
        <w:t>Figure </w:t>
      </w:r>
      <w:r w:rsidR="00FA55F1">
        <w:rPr>
          <w:noProof/>
        </w:rPr>
        <w:t>2</w:t>
      </w:r>
      <w:r w:rsidR="00574CD7">
        <w:fldChar w:fldCharType="end"/>
      </w:r>
      <w:r>
        <w:t>)</w:t>
      </w:r>
      <w:r w:rsidR="00D73BF1">
        <w:t>,</w:t>
      </w:r>
      <w:r w:rsidR="001E3EDF">
        <w:t xml:space="preserve"> </w:t>
      </w:r>
      <w:r w:rsidR="00D73BF1">
        <w:t xml:space="preserve">the project </w:t>
      </w:r>
      <w:r w:rsidR="001E3EDF">
        <w:t>does not include extensive subgrade development</w:t>
      </w:r>
      <w:r w:rsidR="008D25F6">
        <w:t>, and the underlying geologic units have low paleontological sensitivity</w:t>
      </w:r>
      <w:r w:rsidR="001E3EDF">
        <w:t xml:space="preserve">. </w:t>
      </w:r>
      <w:r>
        <w:t xml:space="preserve">Therefore, the proposed construction activities </w:t>
      </w:r>
      <w:r w:rsidR="00383742">
        <w:t>would be</w:t>
      </w:r>
      <w:r>
        <w:t xml:space="preserve"> unlikely to disturb previously undisturbed, paleontologically sensitive sediments</w:t>
      </w:r>
      <w:r w:rsidR="001E3EDF">
        <w:t xml:space="preserve"> as project grading would not be substantially deeper than previous site grading</w:t>
      </w:r>
      <w:r>
        <w:t>.</w:t>
      </w:r>
      <w:r w:rsidR="00D20166">
        <w:t xml:space="preserve"> Further, the project would be subject to the following </w:t>
      </w:r>
      <w:r w:rsidR="00C26DA8">
        <w:t xml:space="preserve">City of </w:t>
      </w:r>
      <w:r w:rsidR="00D20166">
        <w:t xml:space="preserve">Mountain View standard condition of approval related to the potential discovery of paleontological resources: </w:t>
      </w:r>
    </w:p>
    <w:p w14:paraId="0053CC05" w14:textId="2049409C" w:rsidR="00D20166" w:rsidRDefault="00D20166" w:rsidP="00D20166">
      <w:pPr>
        <w:pStyle w:val="Heading6"/>
        <w:rPr>
          <w:i w:val="0"/>
          <w:iCs/>
        </w:rPr>
      </w:pPr>
      <w:r>
        <w:t xml:space="preserve">Standard Condition of Approval PL-196: </w:t>
      </w:r>
      <w:r>
        <w:rPr>
          <w:i w:val="0"/>
          <w:iCs/>
        </w:rPr>
        <w:t xml:space="preserve">Discovery of Paleontological Resources </w:t>
      </w:r>
    </w:p>
    <w:p w14:paraId="35405220" w14:textId="3FA2C6DD" w:rsidR="00D20166" w:rsidRPr="00D20166" w:rsidRDefault="00D20166" w:rsidP="004C7545">
      <w:pPr>
        <w:pStyle w:val="BodyText"/>
      </w:pPr>
      <w:r w:rsidRPr="004C7545">
        <w:t>In the event that a fossil is discovered during construction of the</w:t>
      </w:r>
      <w:r>
        <w:t xml:space="preserve"> </w:t>
      </w:r>
      <w:r w:rsidRPr="004C7545">
        <w:t>project, excavations within 50 feet of the find shall be temporarily halted or delayed</w:t>
      </w:r>
      <w:r>
        <w:t xml:space="preserve"> </w:t>
      </w:r>
      <w:r w:rsidRPr="004C7545">
        <w:t>until the discovery is examined by a qualified paleontologist, in accordance with</w:t>
      </w:r>
      <w:r>
        <w:t xml:space="preserve"> </w:t>
      </w:r>
      <w:r w:rsidRPr="004C7545">
        <w:t>Society of Vertebrate Paleontology standards. The City shall include a standard</w:t>
      </w:r>
      <w:r>
        <w:t xml:space="preserve"> </w:t>
      </w:r>
      <w:r w:rsidRPr="004C7545">
        <w:t>inadvertent discovery clause in every construction contract to inform contractors</w:t>
      </w:r>
      <w:r w:rsidRPr="004C7545">
        <w:br/>
        <w:t>of this requirement. If the find is determined to be significant and if avoidance is</w:t>
      </w:r>
      <w:r>
        <w:t xml:space="preserve"> </w:t>
      </w:r>
      <w:r w:rsidRPr="004C7545">
        <w:t>not feasible, the paleontologist shall design and carry out a data recovery plan</w:t>
      </w:r>
      <w:r>
        <w:t xml:space="preserve"> </w:t>
      </w:r>
      <w:r w:rsidRPr="004C7545">
        <w:t>consistent with the Society of Vertebrate Paleontology standards.</w:t>
      </w:r>
    </w:p>
    <w:p w14:paraId="191F63E2" w14:textId="638D87D3" w:rsidR="00D93C3B" w:rsidRPr="008F359F" w:rsidRDefault="00D93C3B" w:rsidP="0034209C">
      <w:pPr>
        <w:pStyle w:val="BodyText"/>
        <w:spacing w:before="140" w:after="140"/>
        <w:rPr>
          <w:rStyle w:val="DropdownList"/>
          <w:b w:val="0"/>
          <w:caps w:val="0"/>
        </w:rPr>
      </w:pPr>
      <w:r>
        <w:t>I</w:t>
      </w:r>
      <w:r w:rsidRPr="008F359F">
        <w:t xml:space="preserve">mpacts to paleontological resources </w:t>
      </w:r>
      <w:r w:rsidR="00383742">
        <w:t>would be</w:t>
      </w:r>
      <w:r w:rsidRPr="008F359F">
        <w:t xml:space="preserve"> unlikely as a result of the project and </w:t>
      </w:r>
      <w:r w:rsidR="008D25F6">
        <w:t xml:space="preserve">no </w:t>
      </w:r>
      <w:r w:rsidRPr="008F359F">
        <w:t>further paleontological resource management re</w:t>
      </w:r>
      <w:r w:rsidR="00DC2286">
        <w:t>quired</w:t>
      </w:r>
      <w:r w:rsidRPr="008F359F">
        <w:t>.</w:t>
      </w:r>
      <w:r w:rsidR="00D20166">
        <w:t xml:space="preserve"> Should paleontological resources be discovered during project ground-disturbing activities, standard condition of approval PL-196 would </w:t>
      </w:r>
      <w:r w:rsidR="00C26DA8">
        <w:t xml:space="preserve">further </w:t>
      </w:r>
      <w:r w:rsidR="00D20166">
        <w:t xml:space="preserve">ensure that impacts would be less than significant. </w:t>
      </w:r>
    </w:p>
    <w:p w14:paraId="64478880" w14:textId="77777777" w:rsidR="00D93C3B" w:rsidRPr="000E45CD" w:rsidRDefault="00817BC5" w:rsidP="00D93C3B">
      <w:pPr>
        <w:spacing w:before="120"/>
        <w:rPr>
          <w:rStyle w:val="DropdownList"/>
          <w:highlight w:val="lightGray"/>
        </w:rPr>
      </w:pPr>
      <w:sdt>
        <w:sdtPr>
          <w:rPr>
            <w:rStyle w:val="DropdownList"/>
            <w:highlight w:val="lightGray"/>
          </w:rPr>
          <w:alias w:val="1a"/>
          <w:tag w:val="dropdown"/>
          <w:id w:val="1440257267"/>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highlight w:val="none"/>
          </w:rPr>
        </w:sdtEndPr>
        <w:sdtContent>
          <w:r w:rsidR="00D93C3B" w:rsidRPr="000E45CD">
            <w:rPr>
              <w:rStyle w:val="DropdownList"/>
            </w:rPr>
            <w:t>Less Than Significant Impact</w:t>
          </w:r>
        </w:sdtContent>
      </w:sdt>
    </w:p>
    <w:p w14:paraId="274C8792" w14:textId="77777777" w:rsidR="00D93C3B" w:rsidRDefault="00D93C3B" w:rsidP="00D93C3B">
      <w:pPr>
        <w:tabs>
          <w:tab w:val="left" w:pos="2370"/>
        </w:tabs>
      </w:pPr>
    </w:p>
    <w:p w14:paraId="750B568A" w14:textId="77777777" w:rsidR="001E3EDF" w:rsidRDefault="001E3EDF" w:rsidP="00B47364">
      <w:pPr>
        <w:pStyle w:val="BlankIntentionally"/>
        <w:jc w:val="left"/>
      </w:pPr>
    </w:p>
    <w:p w14:paraId="310EBDC6" w14:textId="77777777" w:rsidR="0034209C" w:rsidRDefault="0034209C" w:rsidP="00A90627">
      <w:pPr>
        <w:pStyle w:val="BlankIntentionally"/>
      </w:pPr>
    </w:p>
    <w:p w14:paraId="07B86F46" w14:textId="379D8547" w:rsidR="00A90627" w:rsidRPr="00F03248" w:rsidRDefault="00A90627" w:rsidP="00A90627">
      <w:pPr>
        <w:pStyle w:val="BlankIntentionally"/>
      </w:pPr>
      <w:r w:rsidRPr="00F03248">
        <w:t>This page intentionally left blank.</w:t>
      </w:r>
    </w:p>
    <w:p w14:paraId="23AE6C49" w14:textId="77777777" w:rsidR="008873CE" w:rsidRPr="00D670C6" w:rsidRDefault="008873CE" w:rsidP="00275B75">
      <w:pPr>
        <w:pStyle w:val="Heading3CEQA"/>
      </w:pPr>
      <w:bookmarkStart w:id="214" w:name="_Toc453855769"/>
      <w:bookmarkStart w:id="215" w:name="_Toc475630716"/>
      <w:bookmarkStart w:id="216" w:name="_Toc112942433"/>
      <w:bookmarkStart w:id="217" w:name="_Toc453855770"/>
      <w:bookmarkStart w:id="218" w:name="_Toc475630717"/>
      <w:r w:rsidRPr="00D670C6">
        <w:t>Greenhouse Gas Emissions</w:t>
      </w:r>
      <w:bookmarkEnd w:id="214"/>
      <w:bookmarkEnd w:id="215"/>
      <w:bookmarkEnd w:id="216"/>
    </w:p>
    <w:tbl>
      <w:tblPr>
        <w:tblW w:w="9047" w:type="dxa"/>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
        <w:gridCol w:w="4339"/>
        <w:gridCol w:w="1184"/>
        <w:gridCol w:w="103"/>
        <w:gridCol w:w="1117"/>
        <w:gridCol w:w="17"/>
        <w:gridCol w:w="1093"/>
        <w:gridCol w:w="41"/>
        <w:gridCol w:w="1134"/>
        <w:gridCol w:w="9"/>
      </w:tblGrid>
      <w:tr w:rsidR="008873CE" w:rsidRPr="00D670C6" w14:paraId="4447DE92" w14:textId="77777777" w:rsidTr="00C85545">
        <w:trPr>
          <w:tblHeader/>
        </w:trPr>
        <w:tc>
          <w:tcPr>
            <w:tcW w:w="4349" w:type="dxa"/>
            <w:gridSpan w:val="2"/>
            <w:tcBorders>
              <w:top w:val="nil"/>
              <w:right w:val="nil"/>
            </w:tcBorders>
            <w:shd w:val="clear" w:color="auto" w:fill="D9D9D9"/>
            <w:tcMar>
              <w:top w:w="20" w:type="dxa"/>
              <w:left w:w="115" w:type="dxa"/>
              <w:bottom w:w="20" w:type="dxa"/>
              <w:right w:w="115" w:type="dxa"/>
            </w:tcMar>
            <w:vAlign w:val="bottom"/>
          </w:tcPr>
          <w:p w14:paraId="757CFBCA" w14:textId="77777777" w:rsidR="008873CE" w:rsidRPr="00D670C6" w:rsidRDefault="008873CE" w:rsidP="00C85545">
            <w:pPr>
              <w:rPr>
                <w:rFonts w:asciiTheme="minorHAnsi" w:hAnsiTheme="minorHAnsi"/>
                <w:b/>
                <w:i/>
                <w:sz w:val="18"/>
                <w:szCs w:val="18"/>
              </w:rPr>
            </w:pPr>
          </w:p>
        </w:tc>
        <w:tc>
          <w:tcPr>
            <w:tcW w:w="1184" w:type="dxa"/>
            <w:tcBorders>
              <w:top w:val="nil"/>
              <w:left w:val="nil"/>
              <w:right w:val="nil"/>
            </w:tcBorders>
            <w:shd w:val="clear" w:color="auto" w:fill="D9D9D9"/>
            <w:tcMar>
              <w:top w:w="20" w:type="dxa"/>
              <w:left w:w="115" w:type="dxa"/>
              <w:bottom w:w="20" w:type="dxa"/>
              <w:right w:w="115" w:type="dxa"/>
            </w:tcMar>
            <w:vAlign w:val="bottom"/>
            <w:hideMark/>
          </w:tcPr>
          <w:p w14:paraId="56D47B54" w14:textId="77777777" w:rsidR="008873CE" w:rsidRPr="00D670C6" w:rsidRDefault="008873CE" w:rsidP="00C85545">
            <w:pPr>
              <w:jc w:val="center"/>
              <w:rPr>
                <w:rFonts w:asciiTheme="minorHAnsi" w:hAnsiTheme="minorHAnsi"/>
                <w:b/>
                <w:sz w:val="18"/>
                <w:szCs w:val="18"/>
              </w:rPr>
            </w:pPr>
            <w:r w:rsidRPr="00D670C6">
              <w:rPr>
                <w:rFonts w:asciiTheme="minorHAnsi" w:hAnsiTheme="minorHAnsi"/>
                <w:b/>
                <w:sz w:val="18"/>
                <w:szCs w:val="18"/>
              </w:rPr>
              <w:t>Potentially Significant Impact</w:t>
            </w:r>
          </w:p>
        </w:tc>
        <w:tc>
          <w:tcPr>
            <w:tcW w:w="1220" w:type="dxa"/>
            <w:gridSpan w:val="2"/>
            <w:tcBorders>
              <w:top w:val="nil"/>
              <w:left w:val="nil"/>
              <w:right w:val="nil"/>
            </w:tcBorders>
            <w:shd w:val="clear" w:color="auto" w:fill="D9D9D9"/>
            <w:tcMar>
              <w:top w:w="20" w:type="dxa"/>
              <w:left w:w="115" w:type="dxa"/>
              <w:bottom w:w="20" w:type="dxa"/>
              <w:right w:w="115" w:type="dxa"/>
            </w:tcMar>
            <w:vAlign w:val="bottom"/>
            <w:hideMark/>
          </w:tcPr>
          <w:p w14:paraId="308C249A" w14:textId="77777777" w:rsidR="008873CE" w:rsidRPr="00D670C6" w:rsidRDefault="008873CE" w:rsidP="00C85545">
            <w:pPr>
              <w:ind w:left="-42" w:right="-66"/>
              <w:jc w:val="center"/>
              <w:rPr>
                <w:rFonts w:asciiTheme="minorHAnsi" w:hAnsiTheme="minorHAnsi"/>
                <w:b/>
                <w:sz w:val="18"/>
                <w:szCs w:val="18"/>
              </w:rPr>
            </w:pPr>
            <w:r w:rsidRPr="00D670C6">
              <w:rPr>
                <w:rFonts w:asciiTheme="minorHAnsi" w:hAnsiTheme="minorHAnsi"/>
                <w:b/>
                <w:sz w:val="18"/>
                <w:szCs w:val="18"/>
              </w:rPr>
              <w:t>Less than Significant with Mitigation Incorporated</w:t>
            </w:r>
          </w:p>
        </w:tc>
        <w:tc>
          <w:tcPr>
            <w:tcW w:w="1110" w:type="dxa"/>
            <w:gridSpan w:val="2"/>
            <w:tcBorders>
              <w:top w:val="nil"/>
              <w:left w:val="nil"/>
              <w:right w:val="nil"/>
            </w:tcBorders>
            <w:shd w:val="clear" w:color="auto" w:fill="D9D9D9"/>
            <w:tcMar>
              <w:top w:w="20" w:type="dxa"/>
              <w:left w:w="115" w:type="dxa"/>
              <w:bottom w:w="20" w:type="dxa"/>
              <w:right w:w="115" w:type="dxa"/>
            </w:tcMar>
            <w:vAlign w:val="bottom"/>
            <w:hideMark/>
          </w:tcPr>
          <w:p w14:paraId="0B64EEAE" w14:textId="77777777" w:rsidR="008873CE" w:rsidRPr="00D670C6" w:rsidRDefault="008873CE" w:rsidP="00C85545">
            <w:pPr>
              <w:jc w:val="center"/>
              <w:rPr>
                <w:rFonts w:asciiTheme="minorHAnsi" w:hAnsiTheme="minorHAnsi"/>
                <w:b/>
                <w:sz w:val="18"/>
                <w:szCs w:val="18"/>
              </w:rPr>
            </w:pPr>
            <w:r w:rsidRPr="00D670C6">
              <w:rPr>
                <w:rFonts w:asciiTheme="minorHAnsi" w:hAnsiTheme="minorHAnsi"/>
                <w:b/>
                <w:sz w:val="18"/>
                <w:szCs w:val="18"/>
              </w:rPr>
              <w:t>Less than Significant Impact</w:t>
            </w:r>
          </w:p>
        </w:tc>
        <w:tc>
          <w:tcPr>
            <w:tcW w:w="1184" w:type="dxa"/>
            <w:gridSpan w:val="3"/>
            <w:tcBorders>
              <w:top w:val="nil"/>
              <w:left w:val="nil"/>
            </w:tcBorders>
            <w:shd w:val="clear" w:color="auto" w:fill="D9D9D9"/>
            <w:tcMar>
              <w:top w:w="20" w:type="dxa"/>
              <w:left w:w="115" w:type="dxa"/>
              <w:bottom w:w="20" w:type="dxa"/>
              <w:right w:w="115" w:type="dxa"/>
            </w:tcMar>
            <w:vAlign w:val="bottom"/>
            <w:hideMark/>
          </w:tcPr>
          <w:p w14:paraId="3A254EAC" w14:textId="77777777" w:rsidR="008873CE" w:rsidRPr="00D670C6" w:rsidRDefault="008873CE" w:rsidP="00C85545">
            <w:pPr>
              <w:jc w:val="center"/>
              <w:rPr>
                <w:rFonts w:asciiTheme="minorHAnsi" w:hAnsiTheme="minorHAnsi"/>
                <w:b/>
                <w:sz w:val="18"/>
                <w:szCs w:val="18"/>
              </w:rPr>
            </w:pPr>
            <w:r w:rsidRPr="00D670C6">
              <w:rPr>
                <w:rFonts w:asciiTheme="minorHAnsi" w:hAnsiTheme="minorHAnsi"/>
                <w:b/>
                <w:sz w:val="18"/>
                <w:szCs w:val="18"/>
              </w:rPr>
              <w:t>No Impact</w:t>
            </w:r>
          </w:p>
        </w:tc>
      </w:tr>
      <w:tr w:rsidR="008873CE" w:rsidRPr="00D670C6" w14:paraId="6CEC1BB3" w14:textId="77777777" w:rsidTr="00C85545">
        <w:trPr>
          <w:gridBefore w:val="1"/>
          <w:wBefore w:w="10" w:type="dxa"/>
        </w:trPr>
        <w:tc>
          <w:tcPr>
            <w:tcW w:w="9037" w:type="dxa"/>
            <w:gridSpan w:val="9"/>
            <w:tcBorders>
              <w:top w:val="single" w:sz="4" w:space="0" w:color="auto"/>
              <w:bottom w:val="nil"/>
            </w:tcBorders>
            <w:tcMar>
              <w:top w:w="20" w:type="dxa"/>
              <w:left w:w="115" w:type="dxa"/>
              <w:bottom w:w="20" w:type="dxa"/>
              <w:right w:w="115" w:type="dxa"/>
            </w:tcMar>
            <w:vAlign w:val="bottom"/>
            <w:hideMark/>
          </w:tcPr>
          <w:p w14:paraId="143268D3" w14:textId="77777777" w:rsidR="008873CE" w:rsidRPr="00D670C6" w:rsidRDefault="008873CE" w:rsidP="00C85545">
            <w:pPr>
              <w:pStyle w:val="BodyText"/>
              <w:spacing w:before="60" w:after="60"/>
              <w:rPr>
                <w:b/>
              </w:rPr>
            </w:pPr>
            <w:r w:rsidRPr="00D670C6">
              <w:t>Would the project:</w:t>
            </w:r>
          </w:p>
        </w:tc>
      </w:tr>
      <w:tr w:rsidR="008873CE" w:rsidRPr="00D670C6" w14:paraId="22960015" w14:textId="77777777" w:rsidTr="00C85545">
        <w:trPr>
          <w:gridBefore w:val="1"/>
          <w:gridAfter w:val="1"/>
          <w:wBefore w:w="10" w:type="dxa"/>
          <w:wAfter w:w="9" w:type="dxa"/>
        </w:trPr>
        <w:tc>
          <w:tcPr>
            <w:tcW w:w="4339" w:type="dxa"/>
            <w:tcBorders>
              <w:top w:val="nil"/>
              <w:bottom w:val="nil"/>
              <w:right w:val="nil"/>
            </w:tcBorders>
            <w:tcMar>
              <w:top w:w="20" w:type="dxa"/>
              <w:left w:w="115" w:type="dxa"/>
              <w:bottom w:w="20" w:type="dxa"/>
              <w:right w:w="115" w:type="dxa"/>
            </w:tcMar>
            <w:vAlign w:val="bottom"/>
            <w:hideMark/>
          </w:tcPr>
          <w:p w14:paraId="38EF92F2" w14:textId="77777777" w:rsidR="008873CE" w:rsidRPr="00D670C6" w:rsidRDefault="008873CE" w:rsidP="0034209C">
            <w:pPr>
              <w:pStyle w:val="BulletListLettered"/>
              <w:numPr>
                <w:ilvl w:val="0"/>
                <w:numId w:val="114"/>
              </w:numPr>
            </w:pPr>
            <w:r w:rsidRPr="00D670C6">
              <w:t>Generate greenhouse gas emissions, either directly or indirectly, that may have a significant impact on the environment?</w:t>
            </w:r>
          </w:p>
        </w:tc>
        <w:tc>
          <w:tcPr>
            <w:tcW w:w="1287" w:type="dxa"/>
            <w:gridSpan w:val="2"/>
            <w:tcBorders>
              <w:top w:val="nil"/>
              <w:left w:val="nil"/>
              <w:bottom w:val="nil"/>
              <w:right w:val="nil"/>
            </w:tcBorders>
            <w:tcMar>
              <w:top w:w="20" w:type="dxa"/>
              <w:left w:w="115" w:type="dxa"/>
              <w:bottom w:w="20" w:type="dxa"/>
              <w:right w:w="115" w:type="dxa"/>
            </w:tcMar>
            <w:vAlign w:val="bottom"/>
          </w:tcPr>
          <w:p w14:paraId="59E51D90" w14:textId="77777777" w:rsidR="008873CE" w:rsidRPr="00D670C6" w:rsidRDefault="008873CE" w:rsidP="00C85545">
            <w:pPr>
              <w:spacing w:before="60" w:after="60"/>
              <w:jc w:val="center"/>
              <w:rPr>
                <w:sz w:val="28"/>
                <w:szCs w:val="28"/>
              </w:rPr>
            </w:pPr>
            <w:r w:rsidRPr="00D670C6">
              <w:rPr>
                <w:rFonts w:ascii="Times New Roman" w:hAnsi="Times New Roman"/>
              </w:rPr>
              <w:t>□</w:t>
            </w:r>
          </w:p>
        </w:tc>
        <w:tc>
          <w:tcPr>
            <w:tcW w:w="1134" w:type="dxa"/>
            <w:gridSpan w:val="2"/>
            <w:tcBorders>
              <w:top w:val="nil"/>
              <w:left w:val="nil"/>
              <w:bottom w:val="nil"/>
              <w:right w:val="nil"/>
            </w:tcBorders>
            <w:tcMar>
              <w:top w:w="20" w:type="dxa"/>
              <w:left w:w="115" w:type="dxa"/>
              <w:bottom w:w="20" w:type="dxa"/>
              <w:right w:w="115" w:type="dxa"/>
            </w:tcMar>
            <w:vAlign w:val="bottom"/>
          </w:tcPr>
          <w:p w14:paraId="45ABFA60" w14:textId="77777777" w:rsidR="008873CE" w:rsidRPr="00D670C6" w:rsidRDefault="008873CE" w:rsidP="00C85545">
            <w:pPr>
              <w:spacing w:before="60" w:after="60"/>
              <w:jc w:val="center"/>
              <w:rPr>
                <w:sz w:val="28"/>
                <w:szCs w:val="28"/>
              </w:rPr>
            </w:pPr>
            <w:r w:rsidRPr="00D670C6">
              <w:rPr>
                <w:rFonts w:ascii="Times New Roman" w:hAnsi="Times New Roman"/>
              </w:rPr>
              <w:t>□</w:t>
            </w:r>
          </w:p>
        </w:tc>
        <w:tc>
          <w:tcPr>
            <w:tcW w:w="1134" w:type="dxa"/>
            <w:gridSpan w:val="2"/>
            <w:tcBorders>
              <w:top w:val="nil"/>
              <w:left w:val="nil"/>
              <w:bottom w:val="nil"/>
              <w:right w:val="nil"/>
            </w:tcBorders>
            <w:tcMar>
              <w:top w:w="20" w:type="dxa"/>
              <w:left w:w="115" w:type="dxa"/>
              <w:bottom w:w="20" w:type="dxa"/>
              <w:right w:w="115" w:type="dxa"/>
            </w:tcMar>
            <w:vAlign w:val="bottom"/>
          </w:tcPr>
          <w:p w14:paraId="71B0FF47" w14:textId="77777777" w:rsidR="008873CE" w:rsidRPr="00D670C6" w:rsidRDefault="008873CE" w:rsidP="00C85545">
            <w:pPr>
              <w:spacing w:before="60" w:after="60"/>
              <w:jc w:val="center"/>
              <w:rPr>
                <w:sz w:val="28"/>
                <w:szCs w:val="28"/>
              </w:rPr>
            </w:pPr>
            <w:r w:rsidRPr="00D670C6">
              <w:rPr>
                <w:rFonts w:ascii="Times New Roman" w:hAnsi="Times New Roman"/>
              </w:rPr>
              <w:t>■</w:t>
            </w:r>
          </w:p>
        </w:tc>
        <w:tc>
          <w:tcPr>
            <w:tcW w:w="1134" w:type="dxa"/>
            <w:tcBorders>
              <w:top w:val="nil"/>
              <w:left w:val="nil"/>
              <w:bottom w:val="nil"/>
            </w:tcBorders>
            <w:tcMar>
              <w:top w:w="20" w:type="dxa"/>
              <w:left w:w="115" w:type="dxa"/>
              <w:bottom w:w="20" w:type="dxa"/>
              <w:right w:w="115" w:type="dxa"/>
            </w:tcMar>
            <w:vAlign w:val="bottom"/>
          </w:tcPr>
          <w:p w14:paraId="2E3E2ECB" w14:textId="77777777" w:rsidR="008873CE" w:rsidRPr="00D670C6" w:rsidRDefault="008873CE" w:rsidP="00C85545">
            <w:pPr>
              <w:spacing w:before="60" w:after="60"/>
              <w:jc w:val="center"/>
              <w:rPr>
                <w:sz w:val="28"/>
                <w:szCs w:val="28"/>
              </w:rPr>
            </w:pPr>
            <w:r w:rsidRPr="00D670C6">
              <w:rPr>
                <w:rFonts w:ascii="Times New Roman" w:hAnsi="Times New Roman"/>
              </w:rPr>
              <w:t>□</w:t>
            </w:r>
          </w:p>
        </w:tc>
      </w:tr>
      <w:tr w:rsidR="008873CE" w:rsidRPr="00E5753A" w14:paraId="01F9D35E" w14:textId="77777777" w:rsidTr="00C85545">
        <w:trPr>
          <w:gridBefore w:val="1"/>
          <w:gridAfter w:val="1"/>
          <w:wBefore w:w="10" w:type="dxa"/>
          <w:wAfter w:w="9" w:type="dxa"/>
        </w:trPr>
        <w:tc>
          <w:tcPr>
            <w:tcW w:w="4339" w:type="dxa"/>
            <w:tcBorders>
              <w:top w:val="nil"/>
              <w:right w:val="nil"/>
            </w:tcBorders>
            <w:tcMar>
              <w:top w:w="20" w:type="dxa"/>
              <w:left w:w="115" w:type="dxa"/>
              <w:bottom w:w="20" w:type="dxa"/>
              <w:right w:w="115" w:type="dxa"/>
            </w:tcMar>
            <w:vAlign w:val="bottom"/>
            <w:hideMark/>
          </w:tcPr>
          <w:p w14:paraId="6F8DF367" w14:textId="77777777" w:rsidR="008873CE" w:rsidRPr="00D670C6" w:rsidRDefault="008873CE" w:rsidP="00C85545">
            <w:pPr>
              <w:pStyle w:val="BulletListLettered"/>
              <w:numPr>
                <w:ilvl w:val="0"/>
                <w:numId w:val="5"/>
              </w:numPr>
            </w:pPr>
            <w:r w:rsidRPr="00D670C6">
              <w:t>Conflict with an applicable plan, policy, or regulation adopted for the purpose of reducing the emissions of greenhouse gases?</w:t>
            </w:r>
          </w:p>
        </w:tc>
        <w:tc>
          <w:tcPr>
            <w:tcW w:w="1287" w:type="dxa"/>
            <w:gridSpan w:val="2"/>
            <w:tcBorders>
              <w:top w:val="nil"/>
              <w:left w:val="nil"/>
              <w:right w:val="nil"/>
            </w:tcBorders>
            <w:tcMar>
              <w:top w:w="20" w:type="dxa"/>
              <w:left w:w="115" w:type="dxa"/>
              <w:bottom w:w="20" w:type="dxa"/>
              <w:right w:w="115" w:type="dxa"/>
            </w:tcMar>
            <w:vAlign w:val="bottom"/>
          </w:tcPr>
          <w:p w14:paraId="33BFA517" w14:textId="77777777" w:rsidR="008873CE" w:rsidRPr="00D670C6" w:rsidRDefault="008873CE" w:rsidP="00C85545">
            <w:pPr>
              <w:spacing w:before="60" w:after="60"/>
              <w:jc w:val="center"/>
              <w:rPr>
                <w:sz w:val="28"/>
                <w:szCs w:val="28"/>
              </w:rPr>
            </w:pPr>
            <w:r w:rsidRPr="00D670C6">
              <w:rPr>
                <w:rFonts w:ascii="Times New Roman" w:hAnsi="Times New Roman"/>
              </w:rPr>
              <w:t>□</w:t>
            </w:r>
          </w:p>
        </w:tc>
        <w:tc>
          <w:tcPr>
            <w:tcW w:w="1134" w:type="dxa"/>
            <w:gridSpan w:val="2"/>
            <w:tcBorders>
              <w:top w:val="nil"/>
              <w:left w:val="nil"/>
              <w:right w:val="nil"/>
            </w:tcBorders>
            <w:tcMar>
              <w:top w:w="20" w:type="dxa"/>
              <w:left w:w="115" w:type="dxa"/>
              <w:bottom w:w="20" w:type="dxa"/>
              <w:right w:w="115" w:type="dxa"/>
            </w:tcMar>
            <w:vAlign w:val="bottom"/>
          </w:tcPr>
          <w:p w14:paraId="5A2D21C5" w14:textId="77777777" w:rsidR="008873CE" w:rsidRPr="00D670C6" w:rsidRDefault="008873CE" w:rsidP="00C85545">
            <w:pPr>
              <w:spacing w:before="60" w:after="60"/>
              <w:jc w:val="center"/>
              <w:rPr>
                <w:sz w:val="28"/>
                <w:szCs w:val="28"/>
              </w:rPr>
            </w:pPr>
            <w:r w:rsidRPr="00D670C6">
              <w:rPr>
                <w:rFonts w:ascii="Times New Roman" w:hAnsi="Times New Roman"/>
              </w:rPr>
              <w:t>□</w:t>
            </w:r>
          </w:p>
        </w:tc>
        <w:tc>
          <w:tcPr>
            <w:tcW w:w="1134" w:type="dxa"/>
            <w:gridSpan w:val="2"/>
            <w:tcBorders>
              <w:top w:val="nil"/>
              <w:left w:val="nil"/>
              <w:right w:val="nil"/>
            </w:tcBorders>
            <w:tcMar>
              <w:top w:w="20" w:type="dxa"/>
              <w:left w:w="115" w:type="dxa"/>
              <w:bottom w:w="20" w:type="dxa"/>
              <w:right w:w="115" w:type="dxa"/>
            </w:tcMar>
            <w:vAlign w:val="bottom"/>
          </w:tcPr>
          <w:p w14:paraId="1075682C" w14:textId="625328F7" w:rsidR="008873CE" w:rsidRPr="00D670C6" w:rsidRDefault="0048057A" w:rsidP="00C85545">
            <w:pPr>
              <w:spacing w:before="60" w:after="60"/>
              <w:jc w:val="center"/>
              <w:rPr>
                <w:sz w:val="28"/>
                <w:szCs w:val="28"/>
              </w:rPr>
            </w:pPr>
            <w:r w:rsidRPr="00D670C6">
              <w:rPr>
                <w:rFonts w:ascii="Times New Roman" w:hAnsi="Times New Roman"/>
              </w:rPr>
              <w:t>■</w:t>
            </w:r>
          </w:p>
        </w:tc>
        <w:tc>
          <w:tcPr>
            <w:tcW w:w="1134" w:type="dxa"/>
            <w:tcBorders>
              <w:top w:val="nil"/>
              <w:left w:val="nil"/>
            </w:tcBorders>
            <w:tcMar>
              <w:top w:w="20" w:type="dxa"/>
              <w:left w:w="115" w:type="dxa"/>
              <w:bottom w:w="20" w:type="dxa"/>
              <w:right w:w="115" w:type="dxa"/>
            </w:tcMar>
            <w:vAlign w:val="bottom"/>
          </w:tcPr>
          <w:p w14:paraId="032A1F27" w14:textId="5E9BCDD5" w:rsidR="008873CE" w:rsidRPr="00D670C6" w:rsidRDefault="0048057A" w:rsidP="00C85545">
            <w:pPr>
              <w:spacing w:before="60" w:after="60"/>
              <w:jc w:val="center"/>
              <w:rPr>
                <w:sz w:val="28"/>
                <w:szCs w:val="28"/>
              </w:rPr>
            </w:pPr>
            <w:r w:rsidRPr="00D670C6">
              <w:rPr>
                <w:rFonts w:ascii="Times New Roman" w:hAnsi="Times New Roman"/>
              </w:rPr>
              <w:t>□</w:t>
            </w:r>
          </w:p>
        </w:tc>
      </w:tr>
    </w:tbl>
    <w:p w14:paraId="682E7977" w14:textId="77777777" w:rsidR="008873CE" w:rsidRDefault="008873CE" w:rsidP="008873CE">
      <w:pPr>
        <w:pStyle w:val="Heading5"/>
      </w:pPr>
      <w:r>
        <w:t>Overview of Climate Change and Greenhouse Gases</w:t>
      </w:r>
    </w:p>
    <w:p w14:paraId="59F6C389" w14:textId="1A06C3F5" w:rsidR="008873CE" w:rsidRDefault="008873CE" w:rsidP="008873CE">
      <w:pPr>
        <w:pStyle w:val="BodyText"/>
      </w:pPr>
      <w:r>
        <w:t xml:space="preserve">Climate change is the observed increase in the average temperature of the Earth’s atmosphere and oceans along with other substantial changes in climate (such as wind patterns, precipitation, and storms) over an extended period of time. Climate change is the result of numerous, cumulative sources of </w:t>
      </w:r>
      <w:r w:rsidR="00B843E1">
        <w:t xml:space="preserve">GHG </w:t>
      </w:r>
      <w:r>
        <w:t xml:space="preserve">emissions contributing to the “greenhouse effect,” a natural occurrence which takes place in Earth’s atmosphere and helps regulate the temperature of the planet. The majority of radiation from the sun hits Earth’s surface and warms it. The surface, in turn, radiates heat back towards the atmosphere in the form of infrared radiation. Gases and clouds in the atmosphere trap and prevent some of this heat from escaping into space and re-radiate it in all directions. </w:t>
      </w:r>
    </w:p>
    <w:p w14:paraId="6AB833E3" w14:textId="77777777" w:rsidR="008873CE" w:rsidRDefault="008873CE" w:rsidP="008873CE">
      <w:pPr>
        <w:pStyle w:val="BodyText"/>
      </w:pPr>
      <w:r>
        <w:t>GHG emissions occur both naturally and as a result of human activities, such as fossil fuel burning, decomposition of landfill wastes, raising livestock, deforestation, and some agricultural practices. GHGs produced by human activities include carbon dioxide (CO</w:t>
      </w:r>
      <w:r>
        <w:rPr>
          <w:vertAlign w:val="subscript"/>
        </w:rPr>
        <w:t>2</w:t>
      </w:r>
      <w:r>
        <w:t xml:space="preserve">), methane, nitrous oxide, hydrofluorocarbons, perfluorocarbons, and sulfur hexafluoride. </w:t>
      </w:r>
      <w:bookmarkStart w:id="219" w:name="_Hlk49196762"/>
      <w:r>
        <w:t>Different types of GHGs have varying global warming potentials (GWP). The GWP of a GHG is the potential of a gas or aerosol to trap heat in the atmosphere over a specified timescale (generally, 100 years). Because GHGs absorb different amounts of heat, a common reference gas (CO</w:t>
      </w:r>
      <w:r>
        <w:rPr>
          <w:vertAlign w:val="subscript"/>
        </w:rPr>
        <w:t>2</w:t>
      </w:r>
      <w:r>
        <w:t>) is used to relate the amount of heat absorbed to the amount of the gas emitted, referred to as “carbon dioxide equivalent” (CO</w:t>
      </w:r>
      <w:r>
        <w:rPr>
          <w:vertAlign w:val="subscript"/>
        </w:rPr>
        <w:t>2</w:t>
      </w:r>
      <w:r>
        <w:t>e), which is the amount of GHG emitted multiplied by its GWP. Carbon dioxide has a 100-year GWP of one. By contrast, methane has a GWP of 30, meaning its global warming effect is 30 times greater than CO</w:t>
      </w:r>
      <w:r>
        <w:rPr>
          <w:vertAlign w:val="subscript"/>
        </w:rPr>
        <w:t>2</w:t>
      </w:r>
      <w:r>
        <w:t xml:space="preserve"> on a molecul</w:t>
      </w:r>
      <w:r>
        <w:rPr>
          <w:rFonts w:cstheme="minorHAnsi"/>
        </w:rPr>
        <w:t>e per molecule basis (Intergovernmental Panel on Climate Change [IPCC] 2021).</w:t>
      </w:r>
      <w:bookmarkStart w:id="220" w:name="_Hlk49941990"/>
      <w:r>
        <w:rPr>
          <w:rStyle w:val="FootnoteReference"/>
          <w:rFonts w:cstheme="minorHAnsi"/>
          <w:vertAlign w:val="superscript"/>
        </w:rPr>
        <w:footnoteReference w:id="4"/>
      </w:r>
      <w:bookmarkEnd w:id="220"/>
    </w:p>
    <w:p w14:paraId="47541C3F" w14:textId="77777777" w:rsidR="008873CE" w:rsidRDefault="008873CE" w:rsidP="008873CE">
      <w:pPr>
        <w:pStyle w:val="ISHeading4"/>
      </w:pPr>
      <w:bookmarkStart w:id="222" w:name="_Toc472498410"/>
      <w:bookmarkStart w:id="223" w:name="_Toc472498496"/>
      <w:bookmarkEnd w:id="219"/>
      <w:r>
        <w:t>Regulatory Framework</w:t>
      </w:r>
    </w:p>
    <w:p w14:paraId="00CC79E0" w14:textId="77777777" w:rsidR="008873CE" w:rsidRPr="00746051" w:rsidRDefault="008873CE" w:rsidP="008873CE">
      <w:pPr>
        <w:pStyle w:val="Heading6"/>
      </w:pPr>
      <w:r>
        <w:t>State</w:t>
      </w:r>
    </w:p>
    <w:bookmarkEnd w:id="222"/>
    <w:bookmarkEnd w:id="223"/>
    <w:p w14:paraId="3F6C49D0" w14:textId="75B43E07" w:rsidR="008873CE" w:rsidRDefault="008873CE" w:rsidP="008873CE">
      <w:pPr>
        <w:pStyle w:val="BodyText"/>
      </w:pPr>
      <w:r>
        <w:t xml:space="preserve">In response to climate change, California implemented Assembly Bill (AB) 32, the “California Global Warming Solutions Act of 2006.” AB 32 required the reduction of statewide GHG emissions to 1990 emissions levels (essentially a 15 percent reduction below 2005 emission levels) by 2020 and the adoption of rules and regulations to achieve the maximum technologically feasible and cost-effective GHG emissions reductions. On September 8, 2016, the Governor signed Senate Bill 32 into law, extending AB 32 by requiring the State to further reduce GHG emissions to 40 percent below 1990 levels by 2030 (the other provisions of AB 32 remain unchanged). On December 14, 2017, </w:t>
      </w:r>
      <w:r w:rsidR="00B843E1">
        <w:t xml:space="preserve">CARB </w:t>
      </w:r>
      <w:r>
        <w:t>adopted the 2017 Scoping Plan, which provides a framework for achieving the 2030 target. The 2017 Scoping Plan relies on the continuation and expansion of existing policies and regulations, such as the Cap-and-Trade Program and the Low Carbon Fuel Standard, and implementation of recently adopted policies and legislation, such as SB 1383 (aimed at reducing short-lived climate pollutants including methane, hydrofluorocarbon gases, and anthropogenic black carbon) and SB 100 (discussed further below). The 2017 Scoping Plan also puts an increased emphasis on innovation, adoption of existing technology, and strategic investment to support its strategies. As with the 2013 Scoping Plan Update, the 2017 Scoping Plan does not provide project-level thresholds for land use development. Instead, it recommends local governments adopt policies and locally appropriate quantitative thresholds consistent with a statewide per capita goal of six metric tons (MT) of CO</w:t>
      </w:r>
      <w:r>
        <w:rPr>
          <w:vertAlign w:val="subscript"/>
        </w:rPr>
        <w:t>2</w:t>
      </w:r>
      <w:r>
        <w:t>e by 2030 and two MT of CO</w:t>
      </w:r>
      <w:r>
        <w:rPr>
          <w:vertAlign w:val="subscript"/>
        </w:rPr>
        <w:t>2</w:t>
      </w:r>
      <w:r>
        <w:t xml:space="preserve">e by 2050 (CARB 2017). </w:t>
      </w:r>
    </w:p>
    <w:p w14:paraId="38587653" w14:textId="77777777" w:rsidR="008873CE" w:rsidRDefault="008873CE" w:rsidP="008873CE">
      <w:pPr>
        <w:pStyle w:val="BodyText"/>
      </w:pPr>
      <w:r>
        <w:t>Other relevant state laws and regulations include:</w:t>
      </w:r>
    </w:p>
    <w:p w14:paraId="34C01137" w14:textId="77770D35" w:rsidR="008873CE" w:rsidRDefault="008873CE" w:rsidP="00275B75">
      <w:pPr>
        <w:pStyle w:val="BulletListLevel1"/>
      </w:pPr>
      <w:r>
        <w:rPr>
          <w:b/>
        </w:rPr>
        <w:t>SB 375</w:t>
      </w:r>
      <w:r w:rsidR="0034209C">
        <w:rPr>
          <w:b/>
        </w:rPr>
        <w:t>.</w:t>
      </w:r>
      <w:r>
        <w:t xml:space="preserve"> The Sustainable Communities and Climate Protection Act of 2008 (SB 375), signed in August 2008, enhances the state’s ability to reach AB 32 goals by directing the CARB to develop regional GHG emission reduction targets to be achieved from passenger vehicles by 2020 and 2035. Metropolitan Planning Organizations are required to adopt a Sustainable Communities Strategy (SCS), which allocates land uses in the Metropolitan Planning Organization’s Regional Transportation Plan (RTP). On March 22, 2018, CARB adopted updated regional targets for reducing GHG emissions from 2005 levels by 2020 and 2035. The current target for the Association of Bay Area Governments (ABAG) region, which includes the City of Mountain View and the nine county San Francisco Bay Area, is a 19 percent reduction relative to 2005 emissions by 2035. </w:t>
      </w:r>
    </w:p>
    <w:p w14:paraId="47613443" w14:textId="2066FE94" w:rsidR="008873CE" w:rsidRDefault="008873CE" w:rsidP="00275B75">
      <w:pPr>
        <w:pStyle w:val="BulletListLevel1"/>
      </w:pPr>
      <w:r>
        <w:rPr>
          <w:b/>
        </w:rPr>
        <w:t>SB 100</w:t>
      </w:r>
      <w:r w:rsidR="0034209C">
        <w:rPr>
          <w:b/>
        </w:rPr>
        <w:t>.</w:t>
      </w:r>
      <w:r>
        <w:t xml:space="preserve"> Adopted on September 10, 2018, SB 100 supports the reduction of GHG emissions from the electricity sector by accelerating the state’s Renewables Portfolio Standard Program. SB 100 requires electricity providers to increase procurement from eligible renewable energy resources to 33 percent of total retail sales by 2020, 60 percent by 2030, and 100 percent by 2045.</w:t>
      </w:r>
    </w:p>
    <w:p w14:paraId="7B691FA3" w14:textId="3293F1DF" w:rsidR="00383742" w:rsidRDefault="008873CE" w:rsidP="00275B75">
      <w:pPr>
        <w:pStyle w:val="BulletListLevel1"/>
      </w:pPr>
      <w:r>
        <w:rPr>
          <w:b/>
        </w:rPr>
        <w:t>California Building Standards Code (California Code of Regulations Title 24)</w:t>
      </w:r>
      <w:r w:rsidR="0034209C">
        <w:rPr>
          <w:b/>
        </w:rPr>
        <w:t>.</w:t>
      </w:r>
      <w:r>
        <w:rPr>
          <w:bCs/>
        </w:rPr>
        <w:t xml:space="preserve"> The California Building Standards Code </w:t>
      </w:r>
      <w:r>
        <w:t xml:space="preserve">consists of a compilation of several distinct standards and codes related to building construction including plumbing, electrical, interior acoustics, energy efficiency, and handicap accessibility for persons with physical and sensory disabilities. </w:t>
      </w:r>
      <w:bookmarkStart w:id="224" w:name="_Hlk57991718"/>
      <w:r>
        <w:t xml:space="preserve">The current iteration is the 2019 Title 24 standards. </w:t>
      </w:r>
      <w:bookmarkEnd w:id="224"/>
      <w:r>
        <w:t>Part 6 is the Building Energy Efficiency Standards, which establishes energy-efficiency standards for residential and non-residential buildings in order to reduce California’s energy demand. Part 12 is the California Green Building Standards Code (C</w:t>
      </w:r>
      <w:r w:rsidR="003F1A31">
        <w:t>al</w:t>
      </w:r>
      <w:r>
        <w:t>Green), which includes mandatory minimum environmental performance standards for all ground-up new construction of residential and non-residential structures.</w:t>
      </w:r>
      <w:r w:rsidR="003F1A31">
        <w:t xml:space="preserve"> </w:t>
      </w:r>
    </w:p>
    <w:p w14:paraId="771EBA8A" w14:textId="5F568AD0" w:rsidR="008873CE" w:rsidRDefault="00383742" w:rsidP="00275B75">
      <w:pPr>
        <w:pStyle w:val="BulletListLevel1"/>
      </w:pPr>
      <w:r>
        <w:rPr>
          <w:b/>
        </w:rPr>
        <w:t>Mountain View Green Building Code</w:t>
      </w:r>
      <w:r w:rsidR="0034209C">
        <w:rPr>
          <w:b/>
        </w:rPr>
        <w:t>.</w:t>
      </w:r>
      <w:r>
        <w:t xml:space="preserve"> </w:t>
      </w:r>
      <w:r w:rsidR="003F1A31">
        <w:t>Mountain View also establishes efficiency standards in the Mountain View Green Building Code, such as requiring all new, non-residential construction to meet the intent of LEED Gold Certified and be all-electric structures.</w:t>
      </w:r>
    </w:p>
    <w:p w14:paraId="70E735EB" w14:textId="77777777" w:rsidR="008873CE" w:rsidRDefault="008873CE" w:rsidP="008873CE">
      <w:pPr>
        <w:pStyle w:val="Heading6"/>
      </w:pPr>
      <w:r>
        <w:t xml:space="preserve">City of Mountain View </w:t>
      </w:r>
    </w:p>
    <w:p w14:paraId="710C66E3" w14:textId="77777777" w:rsidR="008873CE" w:rsidRPr="00D40033" w:rsidRDefault="008873CE" w:rsidP="008873CE">
      <w:pPr>
        <w:pStyle w:val="EIRBodyText"/>
      </w:pPr>
      <w:r>
        <w:t xml:space="preserve">In August 2012, The Mountain View City Council adopted the </w:t>
      </w:r>
      <w:r w:rsidRPr="000511F6">
        <w:rPr>
          <w:i/>
        </w:rPr>
        <w:t>Mountain View Greenhouse Gas Reduction Program</w:t>
      </w:r>
      <w:r>
        <w:t xml:space="preserve"> (GGRP), which details the City’s efforts to reduce GHG emissions consistent with BAAQMD’s </w:t>
      </w:r>
      <w:r w:rsidRPr="000511F6">
        <w:rPr>
          <w:i/>
        </w:rPr>
        <w:t>CEQA Guidelines</w:t>
      </w:r>
      <w:r>
        <w:t xml:space="preserve"> (City of Mountain View 2012b). The GGRP estimates current (2005) and future (2020 and 2030) GHG emissions generated by community activities. The GGRP specifies 2020 and 2030 reduction goals and identifies a list of mitigation measures recommended to achieve these goals. The city intends for the GGRP to serve as a streamlining tool for CEQA analysis, in which projects consistent with applicable mitigation measures can tier from the GGRP and associated </w:t>
      </w:r>
      <w:r w:rsidRPr="00C55321">
        <w:rPr>
          <w:i/>
        </w:rPr>
        <w:t>Mountain View 2030 General Plan and Greenhouse Gas Reduction Program Environmental Impact Report</w:t>
      </w:r>
      <w:r>
        <w:t xml:space="preserve"> (City of Mountain View 2012b). Additionally, in September 2015 the City adopted the </w:t>
      </w:r>
      <w:r w:rsidRPr="000511F6">
        <w:rPr>
          <w:i/>
        </w:rPr>
        <w:t>City of Mountain View Climate Protection Roadmap</w:t>
      </w:r>
      <w:r>
        <w:t xml:space="preserve"> (CPR) that identifies strategies and mechanisms to reduce community-wide GHGs 80 percent by 2050 (City of Mountain View 2015).</w:t>
      </w:r>
    </w:p>
    <w:p w14:paraId="03D40FAD" w14:textId="77777777" w:rsidR="008873CE" w:rsidRDefault="008873CE" w:rsidP="008873CE">
      <w:pPr>
        <w:pStyle w:val="Heading5"/>
      </w:pPr>
      <w:r>
        <w:t>Methodology</w:t>
      </w:r>
    </w:p>
    <w:p w14:paraId="796A010A" w14:textId="77777777" w:rsidR="008873CE" w:rsidRDefault="008873CE" w:rsidP="008873CE">
      <w:pPr>
        <w:pStyle w:val="BodyText"/>
      </w:pPr>
      <w:bookmarkStart w:id="225" w:name="_Hlk76559980"/>
      <w:r>
        <w:t>GHG emissions associated with project construction and operation were estimated using CalEEMod, version 2020.4.0</w:t>
      </w:r>
      <w:bookmarkEnd w:id="225"/>
      <w:r>
        <w:t>, with the assumptions described under Section 3,</w:t>
      </w:r>
      <w:r>
        <w:rPr>
          <w:i/>
        </w:rPr>
        <w:t xml:space="preserve"> Air Quality</w:t>
      </w:r>
      <w:r>
        <w:t xml:space="preserve">. </w:t>
      </w:r>
    </w:p>
    <w:p w14:paraId="72B6C860" w14:textId="77777777" w:rsidR="008873CE" w:rsidRDefault="008873CE" w:rsidP="008873CE">
      <w:pPr>
        <w:pStyle w:val="Heading5"/>
      </w:pPr>
      <w:r>
        <w:t>Significance Thresholds</w:t>
      </w:r>
    </w:p>
    <w:p w14:paraId="539211F8" w14:textId="77777777" w:rsidR="008873CE" w:rsidRPr="00393E25" w:rsidRDefault="008873CE" w:rsidP="0034209C">
      <w:pPr>
        <w:pStyle w:val="BodyText"/>
      </w:pPr>
      <w:r w:rsidRPr="00393E25">
        <w:t>The majority of individual projects do not generate sufficient GHG emissions to create significant project-specific environment</w:t>
      </w:r>
      <w:r>
        <w:t>al</w:t>
      </w:r>
      <w:r w:rsidRPr="00393E25">
        <w:t xml:space="preserve"> effects. However, the environmental effects of a project’s GHG emissions can contribute incrementally to cumulative environmental effects that are significant, contributing to climate change, even if an individual project’s environmental effects are limited (</w:t>
      </w:r>
      <w:r w:rsidRPr="006A7216">
        <w:rPr>
          <w:i/>
          <w:iCs/>
        </w:rPr>
        <w:t>CEQA Guidelines</w:t>
      </w:r>
      <w:r w:rsidRPr="00393E25">
        <w:t xml:space="preserve"> Section 15064[h][1]). The issue of a project’s environmental effects and contribution towards climate change typically involves an analysis of whether or not a project’s contribution towards climate change is cumulatively considerable. Cumulatively considerable means that the incremental effects of an individual project are significant when viewed in connection with the effects of past projects, other current projects, and probable future projects (</w:t>
      </w:r>
      <w:r w:rsidRPr="006A7216">
        <w:rPr>
          <w:i/>
          <w:iCs/>
        </w:rPr>
        <w:t>CEQA Guidelines</w:t>
      </w:r>
      <w:r w:rsidRPr="00393E25">
        <w:t xml:space="preserve">, </w:t>
      </w:r>
      <w:r>
        <w:t xml:space="preserve">Section </w:t>
      </w:r>
      <w:r w:rsidRPr="00393E25">
        <w:t>15064[h][1]).</w:t>
      </w:r>
    </w:p>
    <w:p w14:paraId="25C8349B" w14:textId="77777777" w:rsidR="008873CE" w:rsidRPr="003D5D22" w:rsidRDefault="008873CE" w:rsidP="008873CE">
      <w:pPr>
        <w:pStyle w:val="BodyText"/>
      </w:pPr>
      <w:r w:rsidRPr="00BC3B5C">
        <w:t xml:space="preserve">According to </w:t>
      </w:r>
      <w:r w:rsidRPr="004A7DA9">
        <w:rPr>
          <w:i/>
          <w:iCs/>
        </w:rPr>
        <w:t>CEQA Guidelines</w:t>
      </w:r>
      <w:r>
        <w:t xml:space="preserve"> Section 15183.5</w:t>
      </w:r>
      <w:r w:rsidRPr="00BC3B5C">
        <w:t xml:space="preserve">, projects can tier </w:t>
      </w:r>
      <w:r>
        <w:t>off of</w:t>
      </w:r>
      <w:r w:rsidRPr="00BC3B5C">
        <w:t xml:space="preserve"> a qualified GHG reduction plan, which allows for project-level evaluation of GHG emissions through the comparison of the project’s consistency with the GHG reduction policies included in a qualified GHG reduction plan. This approach is considered by the </w:t>
      </w:r>
      <w:bookmarkStart w:id="226" w:name="_Hlk25224414"/>
      <w:r w:rsidRPr="00BC3B5C">
        <w:t xml:space="preserve">Association of Environmental Professionals </w:t>
      </w:r>
      <w:bookmarkEnd w:id="226"/>
      <w:r w:rsidRPr="00BC3B5C">
        <w:t xml:space="preserve">(AEP) in their white paper, </w:t>
      </w:r>
      <w:r w:rsidRPr="00BC3B5C">
        <w:rPr>
          <w:i/>
        </w:rPr>
        <w:t>Beyond Newhall and 2020</w:t>
      </w:r>
      <w:r w:rsidRPr="00BC3B5C">
        <w:t>, to be the most defensible approach presently available under CEQA to determine the significance of a project’s GHG emissions (</w:t>
      </w:r>
      <w:r>
        <w:t xml:space="preserve">AEP </w:t>
      </w:r>
      <w:r w:rsidRPr="00DC45E4">
        <w:t xml:space="preserve">2016). </w:t>
      </w:r>
      <w:r>
        <w:t>However, although t</w:t>
      </w:r>
      <w:r w:rsidRPr="00506530">
        <w:t xml:space="preserve">he </w:t>
      </w:r>
      <w:r>
        <w:t>City’s C</w:t>
      </w:r>
      <w:r w:rsidRPr="00506530">
        <w:t>P</w:t>
      </w:r>
      <w:r>
        <w:t xml:space="preserve">R and GGRP </w:t>
      </w:r>
      <w:r w:rsidRPr="00506530">
        <w:t xml:space="preserve">provide emission reduction </w:t>
      </w:r>
      <w:r>
        <w:t xml:space="preserve">measures and interim targets for the years through 2050, they do </w:t>
      </w:r>
      <w:r w:rsidRPr="00506530">
        <w:t xml:space="preserve">not include </w:t>
      </w:r>
      <w:r>
        <w:t xml:space="preserve">goals or </w:t>
      </w:r>
      <w:r w:rsidRPr="00506530">
        <w:t xml:space="preserve">emission reduction </w:t>
      </w:r>
      <w:r>
        <w:t>measures</w:t>
      </w:r>
      <w:r w:rsidRPr="00506530">
        <w:t xml:space="preserve"> to meet </w:t>
      </w:r>
      <w:r>
        <w:t xml:space="preserve">the State’s </w:t>
      </w:r>
      <w:r w:rsidRPr="00506530">
        <w:t xml:space="preserve">SB 32 target </w:t>
      </w:r>
      <w:r>
        <w:t>by</w:t>
      </w:r>
      <w:r w:rsidRPr="00506530">
        <w:t xml:space="preserve"> 2030.</w:t>
      </w:r>
      <w:r>
        <w:t xml:space="preserve"> The GGRP details plans to achieve a 30 percent reduction in GHG emissions from 2005 levels by 2030, which is not consistent with SB 32’s 2030 reduction target of 40 percent below 1990 levels. Therefore, the GGRP is not relied on to make significance determinations. However, the project’s general consistency with the GGRP will remain part of the analysis. </w:t>
      </w:r>
    </w:p>
    <w:p w14:paraId="0C96EC2A" w14:textId="77777777" w:rsidR="008873CE" w:rsidRDefault="008873CE" w:rsidP="000037B0">
      <w:pPr>
        <w:pStyle w:val="BodyText"/>
        <w:pageBreakBefore/>
        <w:rPr>
          <w:rFonts w:eastAsiaTheme="minorHAnsi" w:cstheme="minorBidi"/>
        </w:rPr>
      </w:pPr>
      <w:r w:rsidRPr="00B109BB">
        <w:t xml:space="preserve">According to the BAAQMD </w:t>
      </w:r>
      <w:r w:rsidRPr="00B109BB">
        <w:rPr>
          <w:i/>
          <w:iCs/>
        </w:rPr>
        <w:t>CEQA Air Quality Guidelines</w:t>
      </w:r>
      <w:r w:rsidRPr="00B109BB">
        <w:t xml:space="preserve"> (2017</w:t>
      </w:r>
      <w:r>
        <w:t>a</w:t>
      </w:r>
      <w:r w:rsidRPr="00B109BB">
        <w:t xml:space="preserve">), </w:t>
      </w:r>
      <w:r>
        <w:t>an</w:t>
      </w:r>
      <w:r w:rsidRPr="00B109BB">
        <w:t xml:space="preserve"> efficiency threshold</w:t>
      </w:r>
      <w:r>
        <w:t xml:space="preserve"> of 1,100 MT CO</w:t>
      </w:r>
      <w:r>
        <w:rPr>
          <w:vertAlign w:val="subscript"/>
        </w:rPr>
        <w:t>2</w:t>
      </w:r>
      <w:r>
        <w:t>e per year</w:t>
      </w:r>
      <w:r w:rsidRPr="00B109BB">
        <w:t xml:space="preserve"> is </w:t>
      </w:r>
      <w:r w:rsidRPr="00CD634E">
        <w:t xml:space="preserve">appropriate for </w:t>
      </w:r>
      <w:r>
        <w:t>commercial</w:t>
      </w:r>
      <w:r w:rsidRPr="00CD634E">
        <w:t xml:space="preserve"> projects. Therefore, this approach is appropriate for the project, which includes </w:t>
      </w:r>
      <w:r>
        <w:t>the development of a general office</w:t>
      </w:r>
      <w:r w:rsidRPr="00CD634E">
        <w:t xml:space="preserve">. </w:t>
      </w:r>
      <w:r w:rsidRPr="00B109BB">
        <w:t>A</w:t>
      </w:r>
      <w:r w:rsidRPr="00B109BB">
        <w:rPr>
          <w:rFonts w:eastAsiaTheme="minorHAnsi"/>
        </w:rPr>
        <w:t>lthough th</w:t>
      </w:r>
      <w:r>
        <w:rPr>
          <w:rFonts w:eastAsiaTheme="minorHAnsi"/>
        </w:rPr>
        <w:t>e</w:t>
      </w:r>
      <w:r w:rsidRPr="00B109BB">
        <w:rPr>
          <w:rFonts w:eastAsiaTheme="minorHAnsi"/>
        </w:rPr>
        <w:t xml:space="preserve"> BAAQMD has not yet quantified a threshold for 2030, </w:t>
      </w:r>
      <w:r>
        <w:rPr>
          <w:rFonts w:eastAsiaTheme="minorHAnsi"/>
        </w:rPr>
        <w:t>reducing the 1,100 MT CO</w:t>
      </w:r>
      <w:r>
        <w:rPr>
          <w:rFonts w:eastAsiaTheme="minorHAnsi"/>
          <w:vertAlign w:val="subscript"/>
        </w:rPr>
        <w:t>2</w:t>
      </w:r>
      <w:r>
        <w:rPr>
          <w:rFonts w:eastAsiaTheme="minorHAnsi"/>
        </w:rPr>
        <w:t>e per year threshold by 40 percent to 660 MT CO</w:t>
      </w:r>
      <w:r w:rsidRPr="009A1E52">
        <w:rPr>
          <w:rFonts w:eastAsiaTheme="minorHAnsi"/>
          <w:vertAlign w:val="subscript"/>
        </w:rPr>
        <w:t>2</w:t>
      </w:r>
      <w:r>
        <w:rPr>
          <w:rFonts w:eastAsiaTheme="minorHAnsi"/>
        </w:rPr>
        <w:t>e per year would be consistent with the State reduction target established in SB 32</w:t>
      </w:r>
      <w:r>
        <w:t xml:space="preserve">. As such, </w:t>
      </w:r>
      <w:r>
        <w:rPr>
          <w:rFonts w:eastAsiaTheme="minorHAnsi"/>
        </w:rPr>
        <w:t>the adjusted bright-line threshold of 660 MT CO</w:t>
      </w:r>
      <w:r w:rsidRPr="00257E19">
        <w:rPr>
          <w:rFonts w:eastAsiaTheme="minorHAnsi"/>
          <w:vertAlign w:val="subscript"/>
        </w:rPr>
        <w:t>2</w:t>
      </w:r>
      <w:r>
        <w:rPr>
          <w:rFonts w:eastAsiaTheme="minorHAnsi"/>
        </w:rPr>
        <w:t xml:space="preserve">e per year is </w:t>
      </w:r>
      <w:r w:rsidRPr="00897FFA">
        <w:rPr>
          <w:rFonts w:eastAsiaTheme="minorHAnsi"/>
        </w:rPr>
        <w:t>the most appropriate threshold for the project</w:t>
      </w:r>
      <w:r>
        <w:rPr>
          <w:rFonts w:eastAsiaTheme="minorHAnsi"/>
        </w:rPr>
        <w:t xml:space="preserve">. </w:t>
      </w:r>
      <w:r>
        <w:rPr>
          <w:rFonts w:eastAsiaTheme="minorHAnsi" w:cstheme="minorBidi"/>
        </w:rPr>
        <w:t>Additionally,</w:t>
      </w:r>
      <w:r w:rsidRPr="004C619A">
        <w:rPr>
          <w:rFonts w:eastAsiaTheme="minorHAnsi" w:cstheme="minorBidi"/>
        </w:rPr>
        <w:t xml:space="preserve"> this analysis qualitatively assesses consistency with local and statewide GHG reduction regulations.</w:t>
      </w:r>
    </w:p>
    <w:p w14:paraId="14EEB02C" w14:textId="77777777" w:rsidR="008873CE" w:rsidRPr="00AC353D" w:rsidRDefault="008873CE" w:rsidP="008873CE">
      <w:pPr>
        <w:pStyle w:val="Heading5"/>
        <w:rPr>
          <w:i/>
          <w:iCs/>
        </w:rPr>
      </w:pPr>
      <w:r w:rsidRPr="00AC353D">
        <w:t>Construction Emissio</w:t>
      </w:r>
      <w:r>
        <w:t>ns Thresholds</w:t>
      </w:r>
    </w:p>
    <w:p w14:paraId="23E94235" w14:textId="77777777" w:rsidR="008873CE" w:rsidRPr="00F86B40" w:rsidRDefault="008873CE" w:rsidP="008873CE">
      <w:pPr>
        <w:pStyle w:val="BodyText"/>
      </w:pPr>
      <w:r w:rsidRPr="003D5D22">
        <w:t>Construction of the project would generate temporary GHG emissions from the operation of construction equipment on-site, from vehicles transporting construction workers to and from the project site, and from the use of heavy trucks to export earth materials offsite. Site preparation and grading typically generate the greatest amount of emissions due to the use of grading equipment and soil hauling equipment. CalEEMod provides an estimate of emissions associated with the construction period, based on parameters such as duration of construction activity, area of disturbance, and types of equipment used during construction.</w:t>
      </w:r>
    </w:p>
    <w:p w14:paraId="469DA3E6" w14:textId="3B4AB659" w:rsidR="008873CE" w:rsidRDefault="008873CE" w:rsidP="008873CE">
      <w:pPr>
        <w:pStyle w:val="BodyText"/>
        <w:rPr>
          <w:szCs w:val="23"/>
        </w:rPr>
      </w:pPr>
      <w:r w:rsidRPr="003D5D22">
        <w:rPr>
          <w:szCs w:val="23"/>
        </w:rPr>
        <w:t xml:space="preserve">Neither the </w:t>
      </w:r>
      <w:r>
        <w:rPr>
          <w:szCs w:val="23"/>
        </w:rPr>
        <w:t>City</w:t>
      </w:r>
      <w:r w:rsidRPr="003D5D22">
        <w:rPr>
          <w:szCs w:val="23"/>
        </w:rPr>
        <w:t xml:space="preserve"> nor BAAQMD have an adopted threshold of significance for construction related GHG emissions</w:t>
      </w:r>
      <w:r>
        <w:rPr>
          <w:szCs w:val="23"/>
        </w:rPr>
        <w:t xml:space="preserve">, </w:t>
      </w:r>
      <w:r w:rsidRPr="00311C2A">
        <w:rPr>
          <w:szCs w:val="23"/>
        </w:rPr>
        <w:t xml:space="preserve">although the BAAQMD recommends quantifying emissions and disclosing GHG construction emissions. </w:t>
      </w:r>
      <w:r>
        <w:rPr>
          <w:szCs w:val="23"/>
        </w:rPr>
        <w:t xml:space="preserve">This analysis presents total construction-related GHG emissions for informational purposes. </w:t>
      </w:r>
    </w:p>
    <w:p w14:paraId="3C4239F1" w14:textId="753ADE10" w:rsidR="00B331B0" w:rsidRDefault="00B331B0" w:rsidP="00412A91">
      <w:pPr>
        <w:pStyle w:val="Heading5"/>
      </w:pPr>
      <w:r>
        <w:t>Impact Analysis</w:t>
      </w:r>
    </w:p>
    <w:p w14:paraId="28A594AF" w14:textId="77777777" w:rsidR="008873CE" w:rsidRDefault="008873CE" w:rsidP="008873CE">
      <w:pPr>
        <w:pStyle w:val="BulletLtrManAFTER"/>
      </w:pPr>
      <w:r>
        <w:t xml:space="preserve">a. </w:t>
      </w:r>
      <w:r>
        <w:tab/>
        <w:t>Would the project generate GHG emissions, either directly or indirectly, that may have a significant impact on the environment?</w:t>
      </w:r>
    </w:p>
    <w:p w14:paraId="7345C727" w14:textId="4C301A69" w:rsidR="008873CE" w:rsidRPr="007068EA" w:rsidRDefault="008873CE" w:rsidP="008873CE">
      <w:pPr>
        <w:pStyle w:val="BodyText"/>
      </w:pPr>
      <w:bookmarkStart w:id="227" w:name="_Ref40795319"/>
      <w:r w:rsidRPr="007068EA">
        <w:t xml:space="preserve">Project-related construction emissions are confined to a relatively short period in relation to the overall life of the project. As described under </w:t>
      </w:r>
      <w:r w:rsidRPr="007068EA">
        <w:rPr>
          <w:i/>
          <w:iCs/>
        </w:rPr>
        <w:t>Significance Thresholds</w:t>
      </w:r>
      <w:r w:rsidRPr="007068EA">
        <w:t xml:space="preserve">, neither the </w:t>
      </w:r>
      <w:r>
        <w:t>City</w:t>
      </w:r>
      <w:r w:rsidRPr="007068EA">
        <w:t xml:space="preserve"> nor BAAQMD have adopted a threshold of significance for construction</w:t>
      </w:r>
      <w:r>
        <w:t>-</w:t>
      </w:r>
      <w:r w:rsidRPr="007068EA">
        <w:t>related GHG emissions. However, BAAQMD recommends quantifying and disclosing GHG construction emissions. Therefore, construction</w:t>
      </w:r>
      <w:r>
        <w:t>-</w:t>
      </w:r>
      <w:r w:rsidRPr="007068EA">
        <w:t>related GHG emissions were quantified for informational purposes</w:t>
      </w:r>
      <w:r>
        <w:t>.</w:t>
      </w:r>
      <w:r w:rsidRPr="007068EA">
        <w:t xml:space="preserve"> </w:t>
      </w:r>
      <w:r w:rsidRPr="007068EA">
        <w:fldChar w:fldCharType="begin"/>
      </w:r>
      <w:r w:rsidRPr="007068EA">
        <w:instrText xml:space="preserve"> REF _Ref58233434 \h </w:instrText>
      </w:r>
      <w:r>
        <w:instrText xml:space="preserve"> \* MERGEFORMAT </w:instrText>
      </w:r>
      <w:r w:rsidRPr="007068EA">
        <w:fldChar w:fldCharType="separate"/>
      </w:r>
      <w:r w:rsidR="00FA55F1" w:rsidRPr="007068EA">
        <w:t xml:space="preserve">Table </w:t>
      </w:r>
      <w:r w:rsidR="00FA55F1">
        <w:rPr>
          <w:noProof/>
        </w:rPr>
        <w:t>15</w:t>
      </w:r>
      <w:r w:rsidRPr="007068EA">
        <w:fldChar w:fldCharType="end"/>
      </w:r>
      <w:r w:rsidRPr="007068EA">
        <w:t xml:space="preserve"> shows that project construction would result in a total of approximately </w:t>
      </w:r>
      <w:r>
        <w:t>1,110</w:t>
      </w:r>
      <w:r w:rsidRPr="007068EA">
        <w:t xml:space="preserve"> MT CO</w:t>
      </w:r>
      <w:r w:rsidRPr="007068EA">
        <w:rPr>
          <w:vertAlign w:val="subscript"/>
        </w:rPr>
        <w:t>2</w:t>
      </w:r>
      <w:r w:rsidRPr="007068EA">
        <w:t xml:space="preserve">e. </w:t>
      </w:r>
    </w:p>
    <w:p w14:paraId="56F60B3E" w14:textId="59ECBC27" w:rsidR="008873CE" w:rsidRPr="007068EA" w:rsidRDefault="008873CE" w:rsidP="008873CE">
      <w:pPr>
        <w:pStyle w:val="TableCaption"/>
      </w:pPr>
      <w:bookmarkStart w:id="228" w:name="_Ref58233434"/>
      <w:bookmarkStart w:id="229" w:name="_Toc59096378"/>
      <w:bookmarkStart w:id="230" w:name="_Toc112942464"/>
      <w:r w:rsidRPr="007068EA">
        <w:t xml:space="preserve">Table </w:t>
      </w:r>
      <w:fldSimple w:instr=" SEQ Table \* ARABIC ">
        <w:r w:rsidR="00FA55F1">
          <w:rPr>
            <w:noProof/>
          </w:rPr>
          <w:t>15</w:t>
        </w:r>
      </w:fldSimple>
      <w:bookmarkEnd w:id="227"/>
      <w:bookmarkEnd w:id="228"/>
      <w:r>
        <w:tab/>
      </w:r>
      <w:r w:rsidRPr="007068EA">
        <w:t>Estimated Construction GHG Emissions</w:t>
      </w:r>
      <w:bookmarkEnd w:id="229"/>
      <w:bookmarkEnd w:id="230"/>
    </w:p>
    <w:tbl>
      <w:tblPr>
        <w:tblStyle w:val="TableGrid"/>
        <w:tblW w:w="90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8"/>
        <w:gridCol w:w="6415"/>
      </w:tblGrid>
      <w:tr w:rsidR="008873CE" w:rsidRPr="0034209C" w14:paraId="3834AD0E" w14:textId="77777777" w:rsidTr="000037B0">
        <w:tc>
          <w:tcPr>
            <w:tcW w:w="2628" w:type="dxa"/>
            <w:tcBorders>
              <w:left w:val="nil"/>
              <w:right w:val="nil"/>
            </w:tcBorders>
            <w:shd w:val="clear" w:color="auto" w:fill="000000" w:themeFill="text1"/>
            <w:tcMar>
              <w:top w:w="58" w:type="dxa"/>
              <w:left w:w="115" w:type="dxa"/>
              <w:bottom w:w="58" w:type="dxa"/>
              <w:right w:w="115" w:type="dxa"/>
            </w:tcMar>
            <w:vAlign w:val="bottom"/>
            <w:hideMark/>
          </w:tcPr>
          <w:p w14:paraId="381A2EE7" w14:textId="77777777" w:rsidR="008873CE" w:rsidRPr="0034209C" w:rsidRDefault="008873CE" w:rsidP="0034209C">
            <w:pPr>
              <w:pStyle w:val="ISTableColumnHeadings"/>
              <w:rPr>
                <w:rFonts w:cstheme="minorHAnsi"/>
                <w:color w:val="auto"/>
                <w:szCs w:val="18"/>
              </w:rPr>
            </w:pPr>
            <w:r w:rsidRPr="0034209C">
              <w:rPr>
                <w:rFonts w:cstheme="minorHAnsi"/>
                <w:color w:val="auto"/>
                <w:szCs w:val="18"/>
              </w:rPr>
              <w:t>Construction</w:t>
            </w:r>
          </w:p>
        </w:tc>
        <w:tc>
          <w:tcPr>
            <w:tcW w:w="6415" w:type="dxa"/>
            <w:tcBorders>
              <w:left w:val="nil"/>
              <w:right w:val="nil"/>
            </w:tcBorders>
            <w:shd w:val="clear" w:color="auto" w:fill="000000" w:themeFill="text1"/>
            <w:tcMar>
              <w:top w:w="58" w:type="dxa"/>
              <w:left w:w="115" w:type="dxa"/>
              <w:bottom w:w="58" w:type="dxa"/>
              <w:right w:w="115" w:type="dxa"/>
            </w:tcMar>
            <w:vAlign w:val="bottom"/>
            <w:hideMark/>
          </w:tcPr>
          <w:p w14:paraId="5F86248A" w14:textId="77777777" w:rsidR="008873CE" w:rsidRPr="0034209C" w:rsidRDefault="008873CE" w:rsidP="0034209C">
            <w:pPr>
              <w:pStyle w:val="ISTableColumnHeadings"/>
              <w:rPr>
                <w:rFonts w:cstheme="minorHAnsi"/>
                <w:color w:val="auto"/>
                <w:szCs w:val="18"/>
              </w:rPr>
            </w:pPr>
            <w:r w:rsidRPr="0034209C">
              <w:rPr>
                <w:rFonts w:cstheme="minorHAnsi"/>
                <w:color w:val="auto"/>
                <w:szCs w:val="18"/>
              </w:rPr>
              <w:t>Project Emissions (MT CO</w:t>
            </w:r>
            <w:r w:rsidRPr="0034209C">
              <w:rPr>
                <w:rFonts w:cstheme="minorHAnsi"/>
                <w:color w:val="auto"/>
                <w:szCs w:val="18"/>
                <w:vertAlign w:val="subscript"/>
              </w:rPr>
              <w:t>2</w:t>
            </w:r>
            <w:r w:rsidRPr="0034209C">
              <w:rPr>
                <w:rFonts w:cstheme="minorHAnsi"/>
                <w:color w:val="auto"/>
                <w:szCs w:val="18"/>
              </w:rPr>
              <w:t>e)</w:t>
            </w:r>
          </w:p>
        </w:tc>
      </w:tr>
      <w:tr w:rsidR="008873CE" w:rsidRPr="0034209C" w14:paraId="33413DB2" w14:textId="77777777" w:rsidTr="000037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28" w:type="dxa"/>
            <w:tcBorders>
              <w:top w:val="nil"/>
              <w:left w:val="nil"/>
              <w:bottom w:val="single" w:sz="4" w:space="0" w:color="BFBFBF" w:themeColor="background1" w:themeShade="BF"/>
              <w:right w:val="nil"/>
            </w:tcBorders>
            <w:tcMar>
              <w:top w:w="58" w:type="dxa"/>
              <w:left w:w="115" w:type="dxa"/>
              <w:bottom w:w="58" w:type="dxa"/>
              <w:right w:w="115" w:type="dxa"/>
            </w:tcMar>
            <w:vAlign w:val="center"/>
          </w:tcPr>
          <w:p w14:paraId="57DFD3A4" w14:textId="77777777" w:rsidR="008873CE" w:rsidRPr="0034209C" w:rsidRDefault="008873CE" w:rsidP="0034209C">
            <w:pPr>
              <w:pStyle w:val="ISTableText"/>
              <w:spacing w:before="0" w:after="0"/>
              <w:rPr>
                <w:rFonts w:asciiTheme="minorHAnsi" w:hAnsiTheme="minorHAnsi" w:cstheme="minorHAnsi"/>
              </w:rPr>
            </w:pPr>
            <w:r w:rsidRPr="0034209C">
              <w:rPr>
                <w:rFonts w:asciiTheme="minorHAnsi" w:hAnsiTheme="minorHAnsi" w:cstheme="minorHAnsi"/>
              </w:rPr>
              <w:t>2023</w:t>
            </w:r>
          </w:p>
        </w:tc>
        <w:tc>
          <w:tcPr>
            <w:tcW w:w="6415" w:type="dxa"/>
            <w:tcBorders>
              <w:top w:val="nil"/>
              <w:left w:val="nil"/>
              <w:bottom w:val="single" w:sz="4" w:space="0" w:color="BFBFBF" w:themeColor="background1" w:themeShade="BF"/>
              <w:right w:val="nil"/>
            </w:tcBorders>
            <w:tcMar>
              <w:top w:w="58" w:type="dxa"/>
              <w:left w:w="115" w:type="dxa"/>
              <w:bottom w:w="58" w:type="dxa"/>
              <w:right w:w="115" w:type="dxa"/>
            </w:tcMar>
            <w:vAlign w:val="center"/>
          </w:tcPr>
          <w:p w14:paraId="40C72773" w14:textId="77777777" w:rsidR="008873CE" w:rsidRPr="0034209C" w:rsidRDefault="008873CE" w:rsidP="0034209C">
            <w:pPr>
              <w:pStyle w:val="ISTableText"/>
              <w:spacing w:before="0" w:after="0"/>
              <w:ind w:right="4998"/>
              <w:jc w:val="right"/>
              <w:rPr>
                <w:rFonts w:asciiTheme="minorHAnsi" w:hAnsiTheme="minorHAnsi" w:cstheme="minorHAnsi"/>
              </w:rPr>
            </w:pPr>
            <w:r w:rsidRPr="0034209C">
              <w:rPr>
                <w:rFonts w:asciiTheme="minorHAnsi" w:hAnsiTheme="minorHAnsi" w:cstheme="minorHAnsi"/>
              </w:rPr>
              <w:t>548</w:t>
            </w:r>
          </w:p>
        </w:tc>
      </w:tr>
      <w:tr w:rsidR="008873CE" w:rsidRPr="0034209C" w14:paraId="7A88B6C6" w14:textId="77777777" w:rsidTr="003420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28" w:type="dxa"/>
            <w:tcBorders>
              <w:top w:val="single" w:sz="4" w:space="0" w:color="BFBFBF" w:themeColor="background1" w:themeShade="BF"/>
              <w:left w:val="nil"/>
              <w:bottom w:val="single" w:sz="4" w:space="0" w:color="BFBFBF" w:themeColor="background1" w:themeShade="BF"/>
              <w:right w:val="nil"/>
            </w:tcBorders>
            <w:shd w:val="clear" w:color="auto" w:fill="auto"/>
            <w:tcMar>
              <w:top w:w="58" w:type="dxa"/>
              <w:left w:w="115" w:type="dxa"/>
              <w:bottom w:w="58" w:type="dxa"/>
              <w:right w:w="115" w:type="dxa"/>
            </w:tcMar>
            <w:vAlign w:val="center"/>
          </w:tcPr>
          <w:p w14:paraId="68E8A41D" w14:textId="77777777" w:rsidR="008873CE" w:rsidRPr="0034209C" w:rsidRDefault="008873CE" w:rsidP="0034209C">
            <w:pPr>
              <w:pStyle w:val="ISTableText"/>
              <w:spacing w:before="0" w:after="0"/>
              <w:rPr>
                <w:rFonts w:asciiTheme="minorHAnsi" w:hAnsiTheme="minorHAnsi" w:cstheme="minorHAnsi"/>
              </w:rPr>
            </w:pPr>
            <w:r w:rsidRPr="0034209C">
              <w:rPr>
                <w:rFonts w:asciiTheme="minorHAnsi" w:hAnsiTheme="minorHAnsi" w:cstheme="minorHAnsi"/>
              </w:rPr>
              <w:t>2024</w:t>
            </w:r>
          </w:p>
        </w:tc>
        <w:tc>
          <w:tcPr>
            <w:tcW w:w="6415" w:type="dxa"/>
            <w:tcBorders>
              <w:top w:val="single" w:sz="4" w:space="0" w:color="BFBFBF" w:themeColor="background1" w:themeShade="BF"/>
              <w:left w:val="nil"/>
              <w:bottom w:val="single" w:sz="4" w:space="0" w:color="BFBFBF" w:themeColor="background1" w:themeShade="BF"/>
              <w:right w:val="nil"/>
            </w:tcBorders>
            <w:shd w:val="clear" w:color="auto" w:fill="auto"/>
            <w:tcMar>
              <w:top w:w="58" w:type="dxa"/>
              <w:left w:w="115" w:type="dxa"/>
              <w:bottom w:w="58" w:type="dxa"/>
              <w:right w:w="115" w:type="dxa"/>
            </w:tcMar>
            <w:vAlign w:val="center"/>
          </w:tcPr>
          <w:p w14:paraId="3FECCD31" w14:textId="77777777" w:rsidR="008873CE" w:rsidRPr="0034209C" w:rsidRDefault="008873CE" w:rsidP="0034209C">
            <w:pPr>
              <w:pStyle w:val="ISTableText"/>
              <w:spacing w:before="0" w:after="0"/>
              <w:ind w:right="4998"/>
              <w:jc w:val="right"/>
              <w:rPr>
                <w:rFonts w:asciiTheme="minorHAnsi" w:hAnsiTheme="minorHAnsi" w:cstheme="minorHAnsi"/>
              </w:rPr>
            </w:pPr>
            <w:r w:rsidRPr="0034209C">
              <w:rPr>
                <w:rFonts w:asciiTheme="minorHAnsi" w:hAnsiTheme="minorHAnsi" w:cstheme="minorHAnsi"/>
              </w:rPr>
              <w:t>538</w:t>
            </w:r>
          </w:p>
        </w:tc>
      </w:tr>
      <w:tr w:rsidR="008873CE" w:rsidRPr="0034209C" w14:paraId="6B9F71A6" w14:textId="77777777" w:rsidTr="003420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28" w:type="dxa"/>
            <w:tcBorders>
              <w:top w:val="single" w:sz="4" w:space="0" w:color="BFBFBF" w:themeColor="background1" w:themeShade="BF"/>
              <w:left w:val="nil"/>
              <w:bottom w:val="single" w:sz="4" w:space="0" w:color="BFBFBF" w:themeColor="background1" w:themeShade="BF"/>
              <w:right w:val="nil"/>
            </w:tcBorders>
            <w:shd w:val="clear" w:color="auto" w:fill="auto"/>
            <w:tcMar>
              <w:top w:w="58" w:type="dxa"/>
              <w:left w:w="115" w:type="dxa"/>
              <w:bottom w:w="58" w:type="dxa"/>
              <w:right w:w="115" w:type="dxa"/>
            </w:tcMar>
            <w:vAlign w:val="center"/>
          </w:tcPr>
          <w:p w14:paraId="69D8D24C" w14:textId="77777777" w:rsidR="008873CE" w:rsidRPr="0034209C" w:rsidRDefault="008873CE" w:rsidP="0034209C">
            <w:pPr>
              <w:pStyle w:val="ISTableText"/>
              <w:spacing w:before="0" w:after="0"/>
              <w:rPr>
                <w:rFonts w:asciiTheme="minorHAnsi" w:hAnsiTheme="minorHAnsi" w:cstheme="minorHAnsi"/>
              </w:rPr>
            </w:pPr>
            <w:r w:rsidRPr="0034209C">
              <w:rPr>
                <w:rFonts w:asciiTheme="minorHAnsi" w:hAnsiTheme="minorHAnsi" w:cstheme="minorHAnsi"/>
              </w:rPr>
              <w:t>2025</w:t>
            </w:r>
          </w:p>
        </w:tc>
        <w:tc>
          <w:tcPr>
            <w:tcW w:w="6415" w:type="dxa"/>
            <w:tcBorders>
              <w:top w:val="single" w:sz="4" w:space="0" w:color="BFBFBF" w:themeColor="background1" w:themeShade="BF"/>
              <w:left w:val="nil"/>
              <w:bottom w:val="single" w:sz="4" w:space="0" w:color="BFBFBF" w:themeColor="background1" w:themeShade="BF"/>
              <w:right w:val="nil"/>
            </w:tcBorders>
            <w:shd w:val="clear" w:color="auto" w:fill="auto"/>
            <w:tcMar>
              <w:top w:w="58" w:type="dxa"/>
              <w:left w:w="115" w:type="dxa"/>
              <w:bottom w:w="58" w:type="dxa"/>
              <w:right w:w="115" w:type="dxa"/>
            </w:tcMar>
            <w:vAlign w:val="center"/>
          </w:tcPr>
          <w:p w14:paraId="3E089DED" w14:textId="77777777" w:rsidR="008873CE" w:rsidRPr="0034209C" w:rsidRDefault="008873CE" w:rsidP="0034209C">
            <w:pPr>
              <w:pStyle w:val="ISTableText"/>
              <w:spacing w:before="0" w:after="0"/>
              <w:ind w:right="4998"/>
              <w:jc w:val="right"/>
              <w:rPr>
                <w:rFonts w:asciiTheme="minorHAnsi" w:hAnsiTheme="minorHAnsi" w:cstheme="minorHAnsi"/>
              </w:rPr>
            </w:pPr>
            <w:r w:rsidRPr="0034209C">
              <w:rPr>
                <w:rFonts w:asciiTheme="minorHAnsi" w:hAnsiTheme="minorHAnsi" w:cstheme="minorHAnsi"/>
              </w:rPr>
              <w:t>24</w:t>
            </w:r>
          </w:p>
        </w:tc>
      </w:tr>
      <w:tr w:rsidR="008873CE" w:rsidRPr="0034209C" w14:paraId="68296B27" w14:textId="77777777" w:rsidTr="0034209C">
        <w:tc>
          <w:tcPr>
            <w:tcW w:w="2628" w:type="dxa"/>
            <w:tcBorders>
              <w:top w:val="single" w:sz="4" w:space="0" w:color="BFBFBF" w:themeColor="background1" w:themeShade="BF"/>
              <w:left w:val="nil"/>
              <w:bottom w:val="single" w:sz="4" w:space="0" w:color="auto"/>
              <w:right w:val="nil"/>
            </w:tcBorders>
            <w:tcMar>
              <w:top w:w="58" w:type="dxa"/>
              <w:left w:w="115" w:type="dxa"/>
              <w:bottom w:w="58" w:type="dxa"/>
              <w:right w:w="115" w:type="dxa"/>
            </w:tcMar>
            <w:vAlign w:val="center"/>
            <w:hideMark/>
          </w:tcPr>
          <w:p w14:paraId="5ED7E45D" w14:textId="77777777" w:rsidR="008873CE" w:rsidRPr="0034209C" w:rsidRDefault="008873CE" w:rsidP="0034209C">
            <w:pPr>
              <w:pStyle w:val="ISTableText"/>
              <w:spacing w:before="0" w:after="0"/>
              <w:rPr>
                <w:rFonts w:asciiTheme="minorHAnsi" w:hAnsiTheme="minorHAnsi" w:cstheme="minorHAnsi"/>
                <w:b/>
                <w:bCs w:val="0"/>
              </w:rPr>
            </w:pPr>
            <w:r w:rsidRPr="0034209C">
              <w:rPr>
                <w:rFonts w:asciiTheme="minorHAnsi" w:hAnsiTheme="minorHAnsi" w:cstheme="minorHAnsi"/>
                <w:b/>
                <w:bCs w:val="0"/>
              </w:rPr>
              <w:t>Total</w:t>
            </w:r>
          </w:p>
        </w:tc>
        <w:tc>
          <w:tcPr>
            <w:tcW w:w="6415" w:type="dxa"/>
            <w:tcBorders>
              <w:top w:val="single" w:sz="4" w:space="0" w:color="BFBFBF" w:themeColor="background1" w:themeShade="BF"/>
              <w:left w:val="nil"/>
              <w:bottom w:val="single" w:sz="4" w:space="0" w:color="auto"/>
              <w:right w:val="nil"/>
            </w:tcBorders>
            <w:tcMar>
              <w:top w:w="58" w:type="dxa"/>
              <w:left w:w="115" w:type="dxa"/>
              <w:bottom w:w="58" w:type="dxa"/>
              <w:right w:w="115" w:type="dxa"/>
            </w:tcMar>
            <w:vAlign w:val="center"/>
          </w:tcPr>
          <w:p w14:paraId="1B60B5C1" w14:textId="77777777" w:rsidR="008873CE" w:rsidRPr="0034209C" w:rsidRDefault="008873CE" w:rsidP="0034209C">
            <w:pPr>
              <w:pStyle w:val="ISTableText"/>
              <w:spacing w:before="0" w:after="0"/>
              <w:ind w:right="4998"/>
              <w:jc w:val="right"/>
              <w:rPr>
                <w:rFonts w:asciiTheme="minorHAnsi" w:hAnsiTheme="minorHAnsi" w:cstheme="minorHAnsi"/>
                <w:b/>
                <w:bCs w:val="0"/>
              </w:rPr>
            </w:pPr>
            <w:r w:rsidRPr="0034209C">
              <w:rPr>
                <w:rFonts w:asciiTheme="minorHAnsi" w:hAnsiTheme="minorHAnsi" w:cstheme="minorHAnsi"/>
                <w:b/>
                <w:bCs w:val="0"/>
              </w:rPr>
              <w:t>1,110</w:t>
            </w:r>
          </w:p>
        </w:tc>
      </w:tr>
      <w:tr w:rsidR="008873CE" w:rsidRPr="0034209C" w14:paraId="6B123103" w14:textId="77777777" w:rsidTr="00C85545">
        <w:tc>
          <w:tcPr>
            <w:tcW w:w="9043" w:type="dxa"/>
            <w:gridSpan w:val="2"/>
            <w:tcBorders>
              <w:top w:val="single" w:sz="4" w:space="0" w:color="auto"/>
              <w:left w:val="nil"/>
              <w:bottom w:val="single" w:sz="4" w:space="0" w:color="auto"/>
              <w:right w:val="nil"/>
            </w:tcBorders>
            <w:tcMar>
              <w:top w:w="58" w:type="dxa"/>
              <w:left w:w="115" w:type="dxa"/>
              <w:bottom w:w="58" w:type="dxa"/>
              <w:right w:w="115" w:type="dxa"/>
            </w:tcMar>
            <w:vAlign w:val="center"/>
          </w:tcPr>
          <w:p w14:paraId="56FE4A52" w14:textId="77777777" w:rsidR="0034209C" w:rsidRPr="0034209C" w:rsidRDefault="008873CE" w:rsidP="000037B0">
            <w:pPr>
              <w:pStyle w:val="ISTableText"/>
              <w:spacing w:before="20" w:after="20"/>
              <w:ind w:right="2880"/>
              <w:rPr>
                <w:rFonts w:asciiTheme="minorHAnsi" w:hAnsiTheme="minorHAnsi" w:cstheme="minorHAnsi"/>
                <w:sz w:val="16"/>
                <w:szCs w:val="16"/>
              </w:rPr>
            </w:pPr>
            <w:r w:rsidRPr="0034209C">
              <w:rPr>
                <w:rFonts w:asciiTheme="minorHAnsi" w:hAnsiTheme="minorHAnsi" w:cstheme="minorHAnsi"/>
                <w:sz w:val="16"/>
                <w:szCs w:val="16"/>
              </w:rPr>
              <w:t>MT of CO</w:t>
            </w:r>
            <w:r w:rsidRPr="0034209C">
              <w:rPr>
                <w:rFonts w:asciiTheme="minorHAnsi" w:hAnsiTheme="minorHAnsi" w:cstheme="minorHAnsi"/>
                <w:sz w:val="16"/>
                <w:szCs w:val="16"/>
                <w:vertAlign w:val="subscript"/>
              </w:rPr>
              <w:t>2</w:t>
            </w:r>
            <w:r w:rsidRPr="0034209C">
              <w:rPr>
                <w:rFonts w:asciiTheme="minorHAnsi" w:hAnsiTheme="minorHAnsi" w:cstheme="minorHAnsi"/>
                <w:sz w:val="16"/>
                <w:szCs w:val="16"/>
              </w:rPr>
              <w:t>e = metric tons of carbon dioxide equivalent.</w:t>
            </w:r>
          </w:p>
          <w:p w14:paraId="1800A04C" w14:textId="15ED9874" w:rsidR="008873CE" w:rsidRPr="0034209C" w:rsidRDefault="008873CE" w:rsidP="000037B0">
            <w:pPr>
              <w:pStyle w:val="ISTableText"/>
              <w:spacing w:before="20" w:after="20"/>
              <w:ind w:right="2880"/>
              <w:rPr>
                <w:rFonts w:asciiTheme="minorHAnsi" w:hAnsiTheme="minorHAnsi" w:cstheme="minorHAnsi"/>
                <w:b/>
                <w:bCs w:val="0"/>
                <w:sz w:val="16"/>
                <w:szCs w:val="16"/>
              </w:rPr>
            </w:pPr>
            <w:r w:rsidRPr="0034209C">
              <w:rPr>
                <w:rFonts w:asciiTheme="minorHAnsi" w:hAnsiTheme="minorHAnsi" w:cstheme="minorHAnsi"/>
                <w:sz w:val="16"/>
                <w:szCs w:val="16"/>
              </w:rPr>
              <w:t xml:space="preserve">Source: Appendix AQ </w:t>
            </w:r>
          </w:p>
        </w:tc>
      </w:tr>
    </w:tbl>
    <w:p w14:paraId="33EF4324" w14:textId="77777777" w:rsidR="008873CE" w:rsidRPr="00095DE3" w:rsidRDefault="008873CE" w:rsidP="0034209C">
      <w:pPr>
        <w:pStyle w:val="Heading5"/>
        <w:pageBreakBefore/>
      </w:pPr>
      <w:r w:rsidRPr="00095DE3">
        <w:t xml:space="preserve">Operational Emissions </w:t>
      </w:r>
    </w:p>
    <w:p w14:paraId="7CEF8A13" w14:textId="1990AAC2" w:rsidR="008873CE" w:rsidRDefault="008873CE" w:rsidP="008873CE">
      <w:pPr>
        <w:pStyle w:val="BodyText"/>
      </w:pPr>
      <w:r>
        <w:fldChar w:fldCharType="begin"/>
      </w:r>
      <w:r>
        <w:instrText xml:space="preserve"> REF _Ref58582314 \h </w:instrText>
      </w:r>
      <w:r>
        <w:fldChar w:fldCharType="separate"/>
      </w:r>
      <w:r w:rsidR="00FA55F1" w:rsidRPr="00095DE3">
        <w:t xml:space="preserve">Table </w:t>
      </w:r>
      <w:r w:rsidR="00FA55F1">
        <w:rPr>
          <w:noProof/>
        </w:rPr>
        <w:t>16</w:t>
      </w:r>
      <w:r>
        <w:fldChar w:fldCharType="end"/>
      </w:r>
      <w:r>
        <w:t xml:space="preserve"> </w:t>
      </w:r>
      <w:r w:rsidRPr="00095DE3">
        <w:t>shows GHG emissions associated with operation of the proposed project.</w:t>
      </w:r>
      <w:r>
        <w:t xml:space="preserve"> As shown therein, the project would generate a</w:t>
      </w:r>
      <w:r w:rsidRPr="00B36622">
        <w:t xml:space="preserve">pproximately </w:t>
      </w:r>
      <w:r>
        <w:t>113</w:t>
      </w:r>
      <w:r w:rsidRPr="00B36622">
        <w:t xml:space="preserve"> MT of CO</w:t>
      </w:r>
      <w:r w:rsidRPr="00C15407">
        <w:rPr>
          <w:vertAlign w:val="subscript"/>
        </w:rPr>
        <w:t>2</w:t>
      </w:r>
      <w:r w:rsidRPr="00B36622">
        <w:t xml:space="preserve">e per year, which would not exceed the </w:t>
      </w:r>
      <w:r>
        <w:t xml:space="preserve">interpolated </w:t>
      </w:r>
      <w:r w:rsidRPr="00B36622">
        <w:t>BAAQMD threshold of 660 MT CO2e per year. Therefore, impacts would be less than significant.</w:t>
      </w:r>
    </w:p>
    <w:p w14:paraId="0C90FE7B" w14:textId="31F19F6F" w:rsidR="008873CE" w:rsidRPr="00095DE3" w:rsidRDefault="008873CE" w:rsidP="00412A91">
      <w:pPr>
        <w:pStyle w:val="TableCaption"/>
        <w:rPr>
          <w:bCs/>
        </w:rPr>
      </w:pPr>
      <w:bookmarkStart w:id="231" w:name="_Ref58582314"/>
      <w:bookmarkStart w:id="232" w:name="_Toc59096379"/>
      <w:bookmarkStart w:id="233" w:name="_Toc112942465"/>
      <w:r w:rsidRPr="00095DE3">
        <w:t xml:space="preserve">Table </w:t>
      </w:r>
      <w:fldSimple w:instr=" SEQ Table \* ARABIC ">
        <w:r w:rsidR="00FA55F1">
          <w:rPr>
            <w:noProof/>
          </w:rPr>
          <w:t>16</w:t>
        </w:r>
      </w:fldSimple>
      <w:bookmarkEnd w:id="231"/>
      <w:r>
        <w:tab/>
      </w:r>
      <w:r w:rsidRPr="00095DE3">
        <w:t>2030 Annual GHG Emissions for Proposed Project</w:t>
      </w:r>
      <w:bookmarkEnd w:id="232"/>
      <w:bookmarkEnd w:id="233"/>
      <w:r w:rsidRPr="00095DE3">
        <w:rPr>
          <w:bCs/>
        </w:rPr>
        <w:t xml:space="preserve"> </w:t>
      </w:r>
    </w:p>
    <w:tbl>
      <w:tblPr>
        <w:tblStyle w:val="TableGrid"/>
        <w:tblW w:w="90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2"/>
        <w:gridCol w:w="5927"/>
      </w:tblGrid>
      <w:tr w:rsidR="008873CE" w:rsidRPr="0034209C" w14:paraId="28DA5441" w14:textId="77777777" w:rsidTr="000037B0">
        <w:trPr>
          <w:tblHeader/>
        </w:trPr>
        <w:tc>
          <w:tcPr>
            <w:tcW w:w="1718" w:type="pct"/>
            <w:tcBorders>
              <w:top w:val="nil"/>
              <w:left w:val="nil"/>
              <w:right w:val="nil"/>
            </w:tcBorders>
            <w:shd w:val="clear" w:color="auto" w:fill="000000" w:themeFill="text1"/>
            <w:tcMar>
              <w:top w:w="58" w:type="dxa"/>
              <w:left w:w="115" w:type="dxa"/>
              <w:bottom w:w="58" w:type="dxa"/>
              <w:right w:w="115" w:type="dxa"/>
            </w:tcMar>
            <w:vAlign w:val="bottom"/>
            <w:hideMark/>
          </w:tcPr>
          <w:p w14:paraId="317F66A9" w14:textId="77777777" w:rsidR="008873CE" w:rsidRPr="0034209C" w:rsidRDefault="008873CE" w:rsidP="0034209C">
            <w:pPr>
              <w:pStyle w:val="ISTableColumnHeadings"/>
              <w:rPr>
                <w:rFonts w:cstheme="minorHAnsi"/>
                <w:color w:val="auto"/>
                <w:szCs w:val="18"/>
              </w:rPr>
            </w:pPr>
            <w:bookmarkStart w:id="234" w:name="_Hlk93579207"/>
            <w:r w:rsidRPr="0034209C">
              <w:rPr>
                <w:rFonts w:cstheme="minorHAnsi"/>
                <w:color w:val="auto"/>
                <w:szCs w:val="18"/>
              </w:rPr>
              <w:t>Emission Source</w:t>
            </w:r>
          </w:p>
        </w:tc>
        <w:tc>
          <w:tcPr>
            <w:tcW w:w="3282" w:type="pct"/>
            <w:tcBorders>
              <w:top w:val="nil"/>
              <w:left w:val="nil"/>
              <w:right w:val="nil"/>
            </w:tcBorders>
            <w:shd w:val="clear" w:color="auto" w:fill="000000" w:themeFill="text1"/>
            <w:tcMar>
              <w:top w:w="58" w:type="dxa"/>
              <w:left w:w="115" w:type="dxa"/>
              <w:bottom w:w="58" w:type="dxa"/>
              <w:right w:w="115" w:type="dxa"/>
            </w:tcMar>
            <w:vAlign w:val="center"/>
            <w:hideMark/>
          </w:tcPr>
          <w:p w14:paraId="7F924126" w14:textId="77777777" w:rsidR="008873CE" w:rsidRPr="0034209C" w:rsidRDefault="008873CE" w:rsidP="0034209C">
            <w:pPr>
              <w:pStyle w:val="ISTableColumnHeadings"/>
              <w:rPr>
                <w:rFonts w:cstheme="minorHAnsi"/>
                <w:color w:val="auto"/>
                <w:szCs w:val="18"/>
              </w:rPr>
            </w:pPr>
            <w:r w:rsidRPr="0034209C">
              <w:rPr>
                <w:rFonts w:cstheme="minorHAnsi"/>
                <w:bCs/>
                <w:color w:val="auto"/>
                <w:szCs w:val="18"/>
              </w:rPr>
              <w:t>Annual Emissions (MT CO</w:t>
            </w:r>
            <w:r w:rsidRPr="0034209C">
              <w:rPr>
                <w:rFonts w:cstheme="minorHAnsi"/>
                <w:bCs/>
                <w:color w:val="auto"/>
                <w:szCs w:val="18"/>
                <w:vertAlign w:val="subscript"/>
              </w:rPr>
              <w:t>2</w:t>
            </w:r>
            <w:r w:rsidRPr="0034209C">
              <w:rPr>
                <w:rFonts w:cstheme="minorHAnsi"/>
                <w:bCs/>
                <w:color w:val="auto"/>
                <w:szCs w:val="18"/>
              </w:rPr>
              <w:t>e)</w:t>
            </w:r>
          </w:p>
        </w:tc>
      </w:tr>
      <w:tr w:rsidR="008873CE" w:rsidRPr="000037B0" w14:paraId="3BF4AEB9" w14:textId="77777777" w:rsidTr="000037B0">
        <w:tc>
          <w:tcPr>
            <w:tcW w:w="1718" w:type="pct"/>
            <w:shd w:val="clear" w:color="auto" w:fill="D9D9D9" w:themeFill="background1" w:themeFillShade="D9"/>
            <w:tcMar>
              <w:top w:w="58" w:type="dxa"/>
              <w:left w:w="115" w:type="dxa"/>
              <w:bottom w:w="58" w:type="dxa"/>
              <w:right w:w="115" w:type="dxa"/>
            </w:tcMar>
            <w:vAlign w:val="center"/>
            <w:hideMark/>
          </w:tcPr>
          <w:p w14:paraId="5ADF086B" w14:textId="77777777" w:rsidR="008873CE" w:rsidRPr="000037B0" w:rsidRDefault="008873CE" w:rsidP="000037B0">
            <w:pPr>
              <w:pStyle w:val="ISTableText"/>
              <w:spacing w:before="0" w:after="0"/>
              <w:rPr>
                <w:rFonts w:asciiTheme="minorHAnsi" w:hAnsiTheme="minorHAnsi" w:cstheme="minorHAnsi"/>
                <w:b/>
              </w:rPr>
            </w:pPr>
            <w:r w:rsidRPr="000037B0">
              <w:rPr>
                <w:rFonts w:asciiTheme="minorHAnsi" w:hAnsiTheme="minorHAnsi" w:cstheme="minorHAnsi"/>
                <w:b/>
              </w:rPr>
              <w:t>Operational</w:t>
            </w:r>
          </w:p>
        </w:tc>
        <w:tc>
          <w:tcPr>
            <w:tcW w:w="3282" w:type="pct"/>
            <w:shd w:val="clear" w:color="auto" w:fill="D9D9D9" w:themeFill="background1" w:themeFillShade="D9"/>
            <w:tcMar>
              <w:top w:w="58" w:type="dxa"/>
              <w:left w:w="115" w:type="dxa"/>
              <w:bottom w:w="58" w:type="dxa"/>
              <w:right w:w="115" w:type="dxa"/>
            </w:tcMar>
            <w:vAlign w:val="center"/>
          </w:tcPr>
          <w:p w14:paraId="3952E3A9" w14:textId="77777777" w:rsidR="008873CE" w:rsidRPr="000037B0" w:rsidRDefault="008873CE" w:rsidP="000037B0">
            <w:pPr>
              <w:pStyle w:val="ISTableText"/>
              <w:spacing w:before="0" w:after="0"/>
              <w:ind w:right="3145"/>
              <w:jc w:val="right"/>
              <w:rPr>
                <w:rFonts w:asciiTheme="minorHAnsi" w:hAnsiTheme="minorHAnsi" w:cstheme="minorHAnsi"/>
                <w:b/>
              </w:rPr>
            </w:pPr>
          </w:p>
        </w:tc>
      </w:tr>
      <w:tr w:rsidR="008873CE" w:rsidRPr="0034209C" w14:paraId="1D732D29" w14:textId="77777777" w:rsidTr="000037B0">
        <w:tc>
          <w:tcPr>
            <w:tcW w:w="1718" w:type="pct"/>
            <w:tcBorders>
              <w:bottom w:val="single" w:sz="4" w:space="0" w:color="BFBFBF" w:themeColor="background1" w:themeShade="BF"/>
            </w:tcBorders>
            <w:shd w:val="clear" w:color="auto" w:fill="auto"/>
            <w:tcMar>
              <w:top w:w="58" w:type="dxa"/>
              <w:left w:w="115" w:type="dxa"/>
              <w:bottom w:w="58" w:type="dxa"/>
              <w:right w:w="115" w:type="dxa"/>
            </w:tcMar>
            <w:vAlign w:val="center"/>
            <w:hideMark/>
          </w:tcPr>
          <w:p w14:paraId="34DFD15D" w14:textId="77777777" w:rsidR="008873CE" w:rsidRPr="0034209C" w:rsidRDefault="008873CE" w:rsidP="000037B0">
            <w:pPr>
              <w:pStyle w:val="ISTableText"/>
              <w:spacing w:before="0" w:after="0"/>
              <w:ind w:left="150"/>
              <w:rPr>
                <w:rFonts w:asciiTheme="minorHAnsi" w:hAnsiTheme="minorHAnsi" w:cstheme="minorHAnsi"/>
              </w:rPr>
            </w:pPr>
            <w:r w:rsidRPr="0034209C">
              <w:rPr>
                <w:rFonts w:asciiTheme="minorHAnsi" w:hAnsiTheme="minorHAnsi" w:cstheme="minorHAnsi"/>
              </w:rPr>
              <w:t>Area</w:t>
            </w:r>
          </w:p>
        </w:tc>
        <w:tc>
          <w:tcPr>
            <w:tcW w:w="3282" w:type="pct"/>
            <w:tcBorders>
              <w:bottom w:val="single" w:sz="4" w:space="0" w:color="BFBFBF" w:themeColor="background1" w:themeShade="BF"/>
            </w:tcBorders>
            <w:shd w:val="clear" w:color="auto" w:fill="auto"/>
            <w:tcMar>
              <w:top w:w="58" w:type="dxa"/>
              <w:left w:w="115" w:type="dxa"/>
              <w:bottom w:w="58" w:type="dxa"/>
              <w:right w:w="115" w:type="dxa"/>
            </w:tcMar>
            <w:vAlign w:val="center"/>
            <w:hideMark/>
          </w:tcPr>
          <w:p w14:paraId="096FB4AE" w14:textId="77777777" w:rsidR="008873CE" w:rsidRPr="0034209C" w:rsidRDefault="008873CE" w:rsidP="000037B0">
            <w:pPr>
              <w:pStyle w:val="ISTableText"/>
              <w:spacing w:before="0" w:after="0"/>
              <w:ind w:right="4456"/>
              <w:jc w:val="right"/>
              <w:rPr>
                <w:rFonts w:asciiTheme="minorHAnsi" w:hAnsiTheme="minorHAnsi" w:cstheme="minorHAnsi"/>
              </w:rPr>
            </w:pPr>
            <w:r w:rsidRPr="0034209C">
              <w:rPr>
                <w:rFonts w:asciiTheme="minorHAnsi" w:hAnsiTheme="minorHAnsi" w:cstheme="minorHAnsi"/>
              </w:rPr>
              <w:t>&lt;1</w:t>
            </w:r>
          </w:p>
        </w:tc>
      </w:tr>
      <w:tr w:rsidR="008873CE" w:rsidRPr="0034209C" w14:paraId="3EACE7BB" w14:textId="77777777" w:rsidTr="000037B0">
        <w:tc>
          <w:tcPr>
            <w:tcW w:w="1718" w:type="pct"/>
            <w:tcBorders>
              <w:top w:val="single" w:sz="4" w:space="0" w:color="BFBFBF" w:themeColor="background1" w:themeShade="BF"/>
              <w:bottom w:val="single" w:sz="4" w:space="0" w:color="BFBFBF" w:themeColor="background1" w:themeShade="BF"/>
            </w:tcBorders>
            <w:shd w:val="clear" w:color="auto" w:fill="auto"/>
            <w:tcMar>
              <w:top w:w="58" w:type="dxa"/>
              <w:left w:w="115" w:type="dxa"/>
              <w:bottom w:w="58" w:type="dxa"/>
              <w:right w:w="115" w:type="dxa"/>
            </w:tcMar>
            <w:vAlign w:val="center"/>
            <w:hideMark/>
          </w:tcPr>
          <w:p w14:paraId="66984F57" w14:textId="77777777" w:rsidR="008873CE" w:rsidRPr="0034209C" w:rsidRDefault="008873CE" w:rsidP="000037B0">
            <w:pPr>
              <w:pStyle w:val="ISTableText"/>
              <w:spacing w:before="0" w:after="0"/>
              <w:ind w:left="150"/>
              <w:rPr>
                <w:rFonts w:asciiTheme="minorHAnsi" w:hAnsiTheme="minorHAnsi" w:cstheme="minorHAnsi"/>
              </w:rPr>
            </w:pPr>
            <w:r w:rsidRPr="0034209C">
              <w:rPr>
                <w:rFonts w:asciiTheme="minorHAnsi" w:hAnsiTheme="minorHAnsi" w:cstheme="minorHAnsi"/>
              </w:rPr>
              <w:t>Energy</w:t>
            </w:r>
          </w:p>
        </w:tc>
        <w:tc>
          <w:tcPr>
            <w:tcW w:w="3282" w:type="pct"/>
            <w:tcBorders>
              <w:top w:val="single" w:sz="4" w:space="0" w:color="BFBFBF" w:themeColor="background1" w:themeShade="BF"/>
              <w:bottom w:val="single" w:sz="4" w:space="0" w:color="BFBFBF" w:themeColor="background1" w:themeShade="BF"/>
            </w:tcBorders>
            <w:shd w:val="clear" w:color="auto" w:fill="auto"/>
            <w:tcMar>
              <w:top w:w="58" w:type="dxa"/>
              <w:left w:w="115" w:type="dxa"/>
              <w:bottom w:w="58" w:type="dxa"/>
              <w:right w:w="115" w:type="dxa"/>
            </w:tcMar>
            <w:vAlign w:val="center"/>
            <w:hideMark/>
          </w:tcPr>
          <w:p w14:paraId="7C28A773" w14:textId="77777777" w:rsidR="008873CE" w:rsidRPr="0034209C" w:rsidRDefault="008873CE" w:rsidP="000037B0">
            <w:pPr>
              <w:pStyle w:val="ISTableText"/>
              <w:spacing w:before="0" w:after="0"/>
              <w:ind w:right="4456"/>
              <w:jc w:val="right"/>
              <w:rPr>
                <w:rFonts w:asciiTheme="minorHAnsi" w:hAnsiTheme="minorHAnsi" w:cstheme="minorHAnsi"/>
              </w:rPr>
            </w:pPr>
            <w:r w:rsidRPr="0034209C">
              <w:rPr>
                <w:rFonts w:asciiTheme="minorHAnsi" w:hAnsiTheme="minorHAnsi" w:cstheme="minorHAnsi"/>
              </w:rPr>
              <w:t>&lt;1</w:t>
            </w:r>
          </w:p>
        </w:tc>
      </w:tr>
      <w:tr w:rsidR="008873CE" w:rsidRPr="0034209C" w14:paraId="5824626B" w14:textId="77777777" w:rsidTr="000037B0">
        <w:tc>
          <w:tcPr>
            <w:tcW w:w="1718" w:type="pct"/>
            <w:tcBorders>
              <w:top w:val="single" w:sz="4" w:space="0" w:color="BFBFBF" w:themeColor="background1" w:themeShade="BF"/>
              <w:bottom w:val="single" w:sz="4" w:space="0" w:color="BFBFBF" w:themeColor="background1" w:themeShade="BF"/>
            </w:tcBorders>
            <w:shd w:val="clear" w:color="auto" w:fill="auto"/>
            <w:tcMar>
              <w:top w:w="58" w:type="dxa"/>
              <w:left w:w="115" w:type="dxa"/>
              <w:bottom w:w="58" w:type="dxa"/>
              <w:right w:w="115" w:type="dxa"/>
            </w:tcMar>
            <w:vAlign w:val="center"/>
          </w:tcPr>
          <w:p w14:paraId="0A42BBA4" w14:textId="77777777" w:rsidR="008873CE" w:rsidRPr="0034209C" w:rsidRDefault="008873CE" w:rsidP="000037B0">
            <w:pPr>
              <w:pStyle w:val="ISTableText"/>
              <w:spacing w:before="0" w:after="0"/>
              <w:ind w:left="150"/>
              <w:rPr>
                <w:rFonts w:asciiTheme="minorHAnsi" w:hAnsiTheme="minorHAnsi" w:cstheme="minorHAnsi"/>
              </w:rPr>
            </w:pPr>
            <w:r w:rsidRPr="0034209C">
              <w:rPr>
                <w:rFonts w:asciiTheme="minorHAnsi" w:hAnsiTheme="minorHAnsi" w:cstheme="minorHAnsi"/>
              </w:rPr>
              <w:t>Mobile</w:t>
            </w:r>
          </w:p>
        </w:tc>
        <w:tc>
          <w:tcPr>
            <w:tcW w:w="3282" w:type="pct"/>
            <w:tcBorders>
              <w:top w:val="single" w:sz="4" w:space="0" w:color="BFBFBF" w:themeColor="background1" w:themeShade="BF"/>
              <w:bottom w:val="single" w:sz="4" w:space="0" w:color="BFBFBF" w:themeColor="background1" w:themeShade="BF"/>
            </w:tcBorders>
            <w:shd w:val="clear" w:color="auto" w:fill="auto"/>
            <w:tcMar>
              <w:top w:w="58" w:type="dxa"/>
              <w:left w:w="115" w:type="dxa"/>
              <w:bottom w:w="58" w:type="dxa"/>
              <w:right w:w="115" w:type="dxa"/>
            </w:tcMar>
            <w:vAlign w:val="center"/>
          </w:tcPr>
          <w:p w14:paraId="3D2539BA" w14:textId="77777777" w:rsidR="008873CE" w:rsidRPr="0034209C" w:rsidRDefault="008873CE" w:rsidP="000037B0">
            <w:pPr>
              <w:pStyle w:val="ISTableText"/>
              <w:spacing w:before="0" w:after="0"/>
              <w:ind w:right="4456"/>
              <w:jc w:val="right"/>
              <w:rPr>
                <w:rFonts w:asciiTheme="minorHAnsi" w:hAnsiTheme="minorHAnsi" w:cstheme="minorHAnsi"/>
              </w:rPr>
            </w:pPr>
            <w:r w:rsidRPr="0034209C">
              <w:rPr>
                <w:rFonts w:asciiTheme="minorHAnsi" w:hAnsiTheme="minorHAnsi" w:cstheme="minorHAnsi"/>
              </w:rPr>
              <w:t>102</w:t>
            </w:r>
          </w:p>
        </w:tc>
      </w:tr>
      <w:tr w:rsidR="008873CE" w:rsidRPr="0034209C" w14:paraId="61FE4B35" w14:textId="77777777" w:rsidTr="000037B0">
        <w:tc>
          <w:tcPr>
            <w:tcW w:w="1718" w:type="pct"/>
            <w:tcBorders>
              <w:top w:val="single" w:sz="4" w:space="0" w:color="BFBFBF" w:themeColor="background1" w:themeShade="BF"/>
              <w:bottom w:val="single" w:sz="4" w:space="0" w:color="BFBFBF" w:themeColor="background1" w:themeShade="BF"/>
            </w:tcBorders>
            <w:shd w:val="clear" w:color="auto" w:fill="auto"/>
            <w:tcMar>
              <w:top w:w="58" w:type="dxa"/>
              <w:left w:w="115" w:type="dxa"/>
              <w:bottom w:w="58" w:type="dxa"/>
              <w:right w:w="115" w:type="dxa"/>
            </w:tcMar>
            <w:vAlign w:val="center"/>
            <w:hideMark/>
          </w:tcPr>
          <w:p w14:paraId="06E09883" w14:textId="77777777" w:rsidR="008873CE" w:rsidRPr="0034209C" w:rsidRDefault="008873CE" w:rsidP="000037B0">
            <w:pPr>
              <w:pStyle w:val="ISTableText"/>
              <w:spacing w:before="0" w:after="0"/>
              <w:ind w:left="150"/>
              <w:rPr>
                <w:rFonts w:asciiTheme="minorHAnsi" w:hAnsiTheme="minorHAnsi" w:cstheme="minorHAnsi"/>
              </w:rPr>
            </w:pPr>
            <w:r w:rsidRPr="0034209C">
              <w:rPr>
                <w:rFonts w:asciiTheme="minorHAnsi" w:hAnsiTheme="minorHAnsi" w:cstheme="minorHAnsi"/>
              </w:rPr>
              <w:t>Solid Waste</w:t>
            </w:r>
          </w:p>
        </w:tc>
        <w:tc>
          <w:tcPr>
            <w:tcW w:w="3282" w:type="pct"/>
            <w:tcBorders>
              <w:top w:val="single" w:sz="4" w:space="0" w:color="BFBFBF" w:themeColor="background1" w:themeShade="BF"/>
              <w:bottom w:val="single" w:sz="4" w:space="0" w:color="BFBFBF" w:themeColor="background1" w:themeShade="BF"/>
            </w:tcBorders>
            <w:shd w:val="clear" w:color="auto" w:fill="auto"/>
            <w:tcMar>
              <w:top w:w="58" w:type="dxa"/>
              <w:left w:w="115" w:type="dxa"/>
              <w:bottom w:w="58" w:type="dxa"/>
              <w:right w:w="115" w:type="dxa"/>
            </w:tcMar>
            <w:vAlign w:val="center"/>
            <w:hideMark/>
          </w:tcPr>
          <w:p w14:paraId="714793CE" w14:textId="77777777" w:rsidR="008873CE" w:rsidRPr="0034209C" w:rsidRDefault="008873CE" w:rsidP="000037B0">
            <w:pPr>
              <w:pStyle w:val="ISTableText"/>
              <w:spacing w:before="0" w:after="0"/>
              <w:ind w:right="4456"/>
              <w:jc w:val="right"/>
              <w:rPr>
                <w:rFonts w:asciiTheme="minorHAnsi" w:hAnsiTheme="minorHAnsi" w:cstheme="minorHAnsi"/>
              </w:rPr>
            </w:pPr>
            <w:r w:rsidRPr="0034209C">
              <w:rPr>
                <w:rFonts w:asciiTheme="minorHAnsi" w:hAnsiTheme="minorHAnsi" w:cstheme="minorHAnsi"/>
              </w:rPr>
              <w:t>9</w:t>
            </w:r>
          </w:p>
        </w:tc>
      </w:tr>
      <w:tr w:rsidR="008873CE" w:rsidRPr="0034209C" w14:paraId="7CAC07EF" w14:textId="77777777" w:rsidTr="000037B0">
        <w:tc>
          <w:tcPr>
            <w:tcW w:w="1718" w:type="pct"/>
            <w:tcBorders>
              <w:top w:val="single" w:sz="4" w:space="0" w:color="BFBFBF" w:themeColor="background1" w:themeShade="BF"/>
              <w:bottom w:val="single" w:sz="4" w:space="0" w:color="BFBFBF" w:themeColor="background1" w:themeShade="BF"/>
            </w:tcBorders>
            <w:shd w:val="clear" w:color="auto" w:fill="auto"/>
            <w:tcMar>
              <w:top w:w="58" w:type="dxa"/>
              <w:left w:w="115" w:type="dxa"/>
              <w:bottom w:w="58" w:type="dxa"/>
              <w:right w:w="115" w:type="dxa"/>
            </w:tcMar>
            <w:vAlign w:val="center"/>
            <w:hideMark/>
          </w:tcPr>
          <w:p w14:paraId="73981661" w14:textId="77777777" w:rsidR="008873CE" w:rsidRPr="0034209C" w:rsidRDefault="008873CE" w:rsidP="000037B0">
            <w:pPr>
              <w:pStyle w:val="ISTableText"/>
              <w:spacing w:before="0" w:after="0"/>
              <w:ind w:left="150"/>
              <w:rPr>
                <w:rFonts w:asciiTheme="minorHAnsi" w:hAnsiTheme="minorHAnsi" w:cstheme="minorHAnsi"/>
              </w:rPr>
            </w:pPr>
            <w:r w:rsidRPr="0034209C">
              <w:rPr>
                <w:rFonts w:asciiTheme="minorHAnsi" w:hAnsiTheme="minorHAnsi" w:cstheme="minorHAnsi"/>
              </w:rPr>
              <w:t>Water</w:t>
            </w:r>
          </w:p>
        </w:tc>
        <w:tc>
          <w:tcPr>
            <w:tcW w:w="3282" w:type="pct"/>
            <w:tcBorders>
              <w:top w:val="single" w:sz="4" w:space="0" w:color="BFBFBF" w:themeColor="background1" w:themeShade="BF"/>
              <w:bottom w:val="single" w:sz="4" w:space="0" w:color="BFBFBF" w:themeColor="background1" w:themeShade="BF"/>
            </w:tcBorders>
            <w:shd w:val="clear" w:color="auto" w:fill="auto"/>
            <w:tcMar>
              <w:top w:w="58" w:type="dxa"/>
              <w:left w:w="115" w:type="dxa"/>
              <w:bottom w:w="58" w:type="dxa"/>
              <w:right w:w="115" w:type="dxa"/>
            </w:tcMar>
            <w:vAlign w:val="center"/>
            <w:hideMark/>
          </w:tcPr>
          <w:p w14:paraId="2C9F772F" w14:textId="77777777" w:rsidR="008873CE" w:rsidRPr="0034209C" w:rsidRDefault="008873CE" w:rsidP="000037B0">
            <w:pPr>
              <w:pStyle w:val="ISTableText"/>
              <w:spacing w:before="0" w:after="0"/>
              <w:ind w:right="4456"/>
              <w:jc w:val="right"/>
              <w:rPr>
                <w:rFonts w:asciiTheme="minorHAnsi" w:hAnsiTheme="minorHAnsi" w:cstheme="minorHAnsi"/>
              </w:rPr>
            </w:pPr>
            <w:r w:rsidRPr="0034209C">
              <w:rPr>
                <w:rFonts w:asciiTheme="minorHAnsi" w:hAnsiTheme="minorHAnsi" w:cstheme="minorHAnsi"/>
              </w:rPr>
              <w:t>2</w:t>
            </w:r>
          </w:p>
        </w:tc>
      </w:tr>
      <w:tr w:rsidR="008873CE" w:rsidRPr="0034209C" w14:paraId="64F82A19" w14:textId="77777777" w:rsidTr="000037B0">
        <w:tc>
          <w:tcPr>
            <w:tcW w:w="1718" w:type="pct"/>
            <w:tcBorders>
              <w:top w:val="single" w:sz="4" w:space="0" w:color="BFBFBF" w:themeColor="background1" w:themeShade="BF"/>
              <w:bottom w:val="single" w:sz="4" w:space="0" w:color="BFBFBF" w:themeColor="background1" w:themeShade="BF"/>
            </w:tcBorders>
            <w:tcMar>
              <w:top w:w="58" w:type="dxa"/>
              <w:left w:w="115" w:type="dxa"/>
              <w:bottom w:w="58" w:type="dxa"/>
              <w:right w:w="115" w:type="dxa"/>
            </w:tcMar>
            <w:vAlign w:val="center"/>
          </w:tcPr>
          <w:p w14:paraId="6EB94F10" w14:textId="77777777" w:rsidR="008873CE" w:rsidRPr="0034209C" w:rsidRDefault="008873CE" w:rsidP="000037B0">
            <w:pPr>
              <w:pStyle w:val="ISTableText"/>
              <w:spacing w:before="0" w:after="0"/>
              <w:rPr>
                <w:rFonts w:asciiTheme="minorHAnsi" w:hAnsiTheme="minorHAnsi" w:cstheme="minorHAnsi"/>
                <w:b/>
                <w:bCs w:val="0"/>
              </w:rPr>
            </w:pPr>
            <w:r w:rsidRPr="0034209C">
              <w:rPr>
                <w:rFonts w:asciiTheme="minorHAnsi" w:hAnsiTheme="minorHAnsi" w:cstheme="minorHAnsi"/>
                <w:b/>
                <w:bCs w:val="0"/>
              </w:rPr>
              <w:t xml:space="preserve">Total Project Emissions </w:t>
            </w:r>
          </w:p>
        </w:tc>
        <w:tc>
          <w:tcPr>
            <w:tcW w:w="3282" w:type="pct"/>
            <w:tcBorders>
              <w:top w:val="single" w:sz="4" w:space="0" w:color="BFBFBF" w:themeColor="background1" w:themeShade="BF"/>
              <w:bottom w:val="single" w:sz="4" w:space="0" w:color="BFBFBF" w:themeColor="background1" w:themeShade="BF"/>
            </w:tcBorders>
            <w:tcMar>
              <w:top w:w="58" w:type="dxa"/>
              <w:left w:w="115" w:type="dxa"/>
              <w:bottom w:w="58" w:type="dxa"/>
              <w:right w:w="115" w:type="dxa"/>
            </w:tcMar>
            <w:vAlign w:val="center"/>
          </w:tcPr>
          <w:p w14:paraId="561B00BD" w14:textId="77777777" w:rsidR="008873CE" w:rsidRPr="0034209C" w:rsidRDefault="008873CE" w:rsidP="000037B0">
            <w:pPr>
              <w:pStyle w:val="ISTableText"/>
              <w:spacing w:before="0" w:after="0"/>
              <w:ind w:right="4456"/>
              <w:jc w:val="right"/>
              <w:rPr>
                <w:rFonts w:asciiTheme="minorHAnsi" w:hAnsiTheme="minorHAnsi" w:cstheme="minorHAnsi"/>
                <w:b/>
                <w:bCs w:val="0"/>
              </w:rPr>
            </w:pPr>
            <w:r w:rsidRPr="0034209C">
              <w:rPr>
                <w:rFonts w:asciiTheme="minorHAnsi" w:hAnsiTheme="minorHAnsi" w:cstheme="minorHAnsi"/>
                <w:b/>
                <w:bCs w:val="0"/>
              </w:rPr>
              <w:t xml:space="preserve">113 </w:t>
            </w:r>
          </w:p>
        </w:tc>
      </w:tr>
      <w:tr w:rsidR="008873CE" w:rsidRPr="0034209C" w14:paraId="75C0139C" w14:textId="77777777" w:rsidTr="000037B0">
        <w:tc>
          <w:tcPr>
            <w:tcW w:w="1718" w:type="pct"/>
            <w:tcBorders>
              <w:top w:val="single" w:sz="4" w:space="0" w:color="BFBFBF" w:themeColor="background1" w:themeShade="BF"/>
              <w:bottom w:val="single" w:sz="4" w:space="0" w:color="BFBFBF" w:themeColor="background1" w:themeShade="BF"/>
            </w:tcBorders>
            <w:tcMar>
              <w:top w:w="58" w:type="dxa"/>
              <w:left w:w="115" w:type="dxa"/>
              <w:bottom w:w="58" w:type="dxa"/>
              <w:right w:w="115" w:type="dxa"/>
            </w:tcMar>
            <w:vAlign w:val="center"/>
          </w:tcPr>
          <w:p w14:paraId="1F740050" w14:textId="77777777" w:rsidR="008873CE" w:rsidRPr="0034209C" w:rsidRDefault="008873CE" w:rsidP="000037B0">
            <w:pPr>
              <w:pStyle w:val="ISTableText"/>
              <w:spacing w:before="0" w:after="0"/>
              <w:rPr>
                <w:rFonts w:asciiTheme="minorHAnsi" w:hAnsiTheme="minorHAnsi" w:cstheme="minorHAnsi"/>
                <w:b/>
                <w:bCs w:val="0"/>
              </w:rPr>
            </w:pPr>
            <w:r w:rsidRPr="0034209C">
              <w:rPr>
                <w:rFonts w:asciiTheme="minorHAnsi" w:hAnsiTheme="minorHAnsi" w:cstheme="minorHAnsi"/>
                <w:b/>
                <w:bCs w:val="0"/>
              </w:rPr>
              <w:t>Interpolated Threshold</w:t>
            </w:r>
          </w:p>
        </w:tc>
        <w:tc>
          <w:tcPr>
            <w:tcW w:w="3282" w:type="pct"/>
            <w:tcBorders>
              <w:top w:val="single" w:sz="4" w:space="0" w:color="BFBFBF" w:themeColor="background1" w:themeShade="BF"/>
              <w:bottom w:val="single" w:sz="4" w:space="0" w:color="BFBFBF" w:themeColor="background1" w:themeShade="BF"/>
            </w:tcBorders>
            <w:tcMar>
              <w:top w:w="58" w:type="dxa"/>
              <w:left w:w="115" w:type="dxa"/>
              <w:bottom w:w="58" w:type="dxa"/>
              <w:right w:w="115" w:type="dxa"/>
            </w:tcMar>
            <w:vAlign w:val="center"/>
          </w:tcPr>
          <w:p w14:paraId="403CC0DF" w14:textId="77777777" w:rsidR="008873CE" w:rsidRPr="0034209C" w:rsidRDefault="008873CE" w:rsidP="000037B0">
            <w:pPr>
              <w:pStyle w:val="ISTableText"/>
              <w:spacing w:before="0" w:after="0"/>
              <w:ind w:right="4456"/>
              <w:jc w:val="right"/>
              <w:rPr>
                <w:rFonts w:asciiTheme="minorHAnsi" w:hAnsiTheme="minorHAnsi" w:cstheme="minorHAnsi"/>
                <w:b/>
                <w:bCs w:val="0"/>
              </w:rPr>
            </w:pPr>
            <w:r w:rsidRPr="0034209C">
              <w:rPr>
                <w:rFonts w:asciiTheme="minorHAnsi" w:hAnsiTheme="minorHAnsi" w:cstheme="minorHAnsi"/>
                <w:b/>
                <w:bCs w:val="0"/>
              </w:rPr>
              <w:t xml:space="preserve">660 </w:t>
            </w:r>
          </w:p>
        </w:tc>
      </w:tr>
      <w:tr w:rsidR="008873CE" w:rsidRPr="0034209C" w14:paraId="68223BAC" w14:textId="77777777" w:rsidTr="000037B0">
        <w:tc>
          <w:tcPr>
            <w:tcW w:w="1718" w:type="pct"/>
            <w:tcBorders>
              <w:top w:val="single" w:sz="4" w:space="0" w:color="BFBFBF" w:themeColor="background1" w:themeShade="BF"/>
              <w:bottom w:val="single" w:sz="4" w:space="0" w:color="auto"/>
            </w:tcBorders>
            <w:tcMar>
              <w:top w:w="58" w:type="dxa"/>
              <w:left w:w="115" w:type="dxa"/>
              <w:bottom w:w="58" w:type="dxa"/>
              <w:right w:w="115" w:type="dxa"/>
            </w:tcMar>
            <w:vAlign w:val="center"/>
          </w:tcPr>
          <w:p w14:paraId="64BD3763" w14:textId="77777777" w:rsidR="008873CE" w:rsidRPr="0034209C" w:rsidRDefault="008873CE" w:rsidP="000037B0">
            <w:pPr>
              <w:pStyle w:val="ISTableText"/>
              <w:spacing w:before="0" w:after="0"/>
              <w:rPr>
                <w:rFonts w:asciiTheme="minorHAnsi" w:hAnsiTheme="minorHAnsi" w:cstheme="minorHAnsi"/>
                <w:b/>
                <w:bCs w:val="0"/>
              </w:rPr>
            </w:pPr>
            <w:r w:rsidRPr="0034209C">
              <w:rPr>
                <w:rFonts w:asciiTheme="minorHAnsi" w:hAnsiTheme="minorHAnsi" w:cstheme="minorHAnsi"/>
                <w:b/>
                <w:bCs w:val="0"/>
              </w:rPr>
              <w:t>Exceeds Threshold?</w:t>
            </w:r>
          </w:p>
        </w:tc>
        <w:tc>
          <w:tcPr>
            <w:tcW w:w="3282" w:type="pct"/>
            <w:tcBorders>
              <w:top w:val="single" w:sz="4" w:space="0" w:color="BFBFBF" w:themeColor="background1" w:themeShade="BF"/>
              <w:bottom w:val="single" w:sz="4" w:space="0" w:color="auto"/>
            </w:tcBorders>
            <w:tcMar>
              <w:top w:w="58" w:type="dxa"/>
              <w:left w:w="115" w:type="dxa"/>
              <w:bottom w:w="58" w:type="dxa"/>
              <w:right w:w="115" w:type="dxa"/>
            </w:tcMar>
            <w:vAlign w:val="center"/>
          </w:tcPr>
          <w:p w14:paraId="4A02CA93" w14:textId="77777777" w:rsidR="008873CE" w:rsidRPr="0034209C" w:rsidRDefault="008873CE" w:rsidP="000037B0">
            <w:pPr>
              <w:pStyle w:val="ISTableText"/>
              <w:spacing w:before="0" w:after="0"/>
              <w:ind w:right="4456"/>
              <w:jc w:val="right"/>
              <w:rPr>
                <w:rFonts w:asciiTheme="minorHAnsi" w:hAnsiTheme="minorHAnsi" w:cstheme="minorHAnsi"/>
                <w:b/>
                <w:bCs w:val="0"/>
              </w:rPr>
            </w:pPr>
            <w:r w:rsidRPr="0034209C">
              <w:rPr>
                <w:rFonts w:asciiTheme="minorHAnsi" w:hAnsiTheme="minorHAnsi" w:cstheme="minorHAnsi"/>
                <w:b/>
                <w:bCs w:val="0"/>
              </w:rPr>
              <w:t xml:space="preserve">No </w:t>
            </w:r>
          </w:p>
        </w:tc>
      </w:tr>
      <w:bookmarkEnd w:id="234"/>
      <w:tr w:rsidR="0034209C" w:rsidRPr="0034209C" w14:paraId="2A5F5755" w14:textId="77777777" w:rsidTr="000037B0">
        <w:tc>
          <w:tcPr>
            <w:tcW w:w="5000" w:type="pct"/>
            <w:gridSpan w:val="2"/>
            <w:tcBorders>
              <w:top w:val="single" w:sz="4" w:space="0" w:color="auto"/>
              <w:bottom w:val="single" w:sz="4" w:space="0" w:color="auto"/>
            </w:tcBorders>
            <w:tcMar>
              <w:top w:w="58" w:type="dxa"/>
              <w:left w:w="115" w:type="dxa"/>
              <w:bottom w:w="58" w:type="dxa"/>
              <w:right w:w="115" w:type="dxa"/>
            </w:tcMar>
            <w:vAlign w:val="center"/>
          </w:tcPr>
          <w:p w14:paraId="3FB3E4E4" w14:textId="77777777" w:rsidR="0034209C" w:rsidRDefault="0034209C" w:rsidP="000037B0">
            <w:pPr>
              <w:pStyle w:val="ISTableText"/>
              <w:spacing w:before="20" w:after="20"/>
              <w:rPr>
                <w:rFonts w:asciiTheme="minorHAnsi" w:hAnsiTheme="minorHAnsi" w:cstheme="minorHAnsi"/>
                <w:sz w:val="16"/>
                <w:szCs w:val="16"/>
              </w:rPr>
            </w:pPr>
            <w:r w:rsidRPr="0034209C">
              <w:rPr>
                <w:rFonts w:asciiTheme="minorHAnsi" w:hAnsiTheme="minorHAnsi" w:cstheme="minorHAnsi"/>
                <w:sz w:val="16"/>
                <w:szCs w:val="16"/>
              </w:rPr>
              <w:t>MT of CO</w:t>
            </w:r>
            <w:r w:rsidRPr="0034209C">
              <w:rPr>
                <w:rFonts w:asciiTheme="minorHAnsi" w:hAnsiTheme="minorHAnsi" w:cstheme="minorHAnsi"/>
                <w:sz w:val="16"/>
                <w:szCs w:val="16"/>
                <w:vertAlign w:val="subscript"/>
              </w:rPr>
              <w:t>2</w:t>
            </w:r>
            <w:r w:rsidRPr="0034209C">
              <w:rPr>
                <w:rFonts w:asciiTheme="minorHAnsi" w:hAnsiTheme="minorHAnsi" w:cstheme="minorHAnsi"/>
                <w:sz w:val="16"/>
                <w:szCs w:val="16"/>
              </w:rPr>
              <w:t>e = metric tons of carbon dioxide equivalent.</w:t>
            </w:r>
          </w:p>
          <w:p w14:paraId="43DA5799" w14:textId="0E53CB88" w:rsidR="0034209C" w:rsidRPr="0034209C" w:rsidRDefault="0034209C" w:rsidP="000037B0">
            <w:pPr>
              <w:pStyle w:val="ISTableText"/>
              <w:spacing w:before="20" w:after="20"/>
              <w:rPr>
                <w:rFonts w:asciiTheme="minorHAnsi" w:hAnsiTheme="minorHAnsi" w:cstheme="minorHAnsi"/>
                <w:sz w:val="16"/>
                <w:szCs w:val="16"/>
              </w:rPr>
            </w:pPr>
            <w:r w:rsidRPr="0034209C">
              <w:rPr>
                <w:rFonts w:asciiTheme="minorHAnsi" w:hAnsiTheme="minorHAnsi" w:cstheme="minorHAnsi"/>
                <w:sz w:val="16"/>
                <w:szCs w:val="16"/>
              </w:rPr>
              <w:t>Source: Appendix AQ</w:t>
            </w:r>
          </w:p>
        </w:tc>
      </w:tr>
    </w:tbl>
    <w:p w14:paraId="26A62E0C" w14:textId="77777777" w:rsidR="008873CE" w:rsidRPr="000675F4" w:rsidRDefault="00817BC5" w:rsidP="0034209C">
      <w:pPr>
        <w:spacing w:before="240"/>
        <w:rPr>
          <w:rFonts w:ascii="Calibri" w:hAnsi="Calibri"/>
          <w:b/>
          <w:caps/>
          <w:sz w:val="22"/>
        </w:rPr>
      </w:pPr>
      <w:sdt>
        <w:sdtPr>
          <w:rPr>
            <w:rStyle w:val="DropdownList"/>
          </w:rPr>
          <w:alias w:val="1a"/>
          <w:tag w:val="dropdown"/>
          <w:id w:val="-1107969291"/>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rPr>
        </w:sdtEndPr>
        <w:sdtContent>
          <w:r w:rsidR="008873CE">
            <w:rPr>
              <w:rStyle w:val="DropdownList"/>
            </w:rPr>
            <w:t>Less Than Significant Impact</w:t>
          </w:r>
        </w:sdtContent>
      </w:sdt>
    </w:p>
    <w:p w14:paraId="504157DA" w14:textId="77777777" w:rsidR="008873CE" w:rsidRDefault="008873CE" w:rsidP="008873CE">
      <w:pPr>
        <w:pStyle w:val="BulletLtrManAFTER"/>
        <w:rPr>
          <w:rFonts w:ascii="Calibri" w:hAnsi="Calibri"/>
        </w:rPr>
      </w:pPr>
      <w:r>
        <w:t xml:space="preserve">b. </w:t>
      </w:r>
      <w:r>
        <w:tab/>
        <w:t>Would the project conflict with an applicable plan, policy, or regulation adopted for the purpose of reducing the emissions of greenhouse gases?</w:t>
      </w:r>
    </w:p>
    <w:p w14:paraId="75D429B2" w14:textId="73AD51AA" w:rsidR="008873CE" w:rsidRDefault="008873CE" w:rsidP="008873CE">
      <w:pPr>
        <w:pStyle w:val="BodyText"/>
        <w:rPr>
          <w:rFonts w:cstheme="minorHAnsi"/>
        </w:rPr>
      </w:pPr>
      <w:r w:rsidRPr="00F965C1">
        <w:rPr>
          <w:rFonts w:cstheme="minorHAnsi"/>
        </w:rPr>
        <w:t xml:space="preserve">Several plans and policies have been adopted to reduce GHG emissions in the </w:t>
      </w:r>
      <w:r w:rsidR="00B96B10">
        <w:rPr>
          <w:rFonts w:cstheme="minorHAnsi"/>
        </w:rPr>
        <w:t>northern</w:t>
      </w:r>
      <w:r w:rsidR="00B96B10" w:rsidRPr="00F965C1">
        <w:rPr>
          <w:rFonts w:cstheme="minorHAnsi"/>
        </w:rPr>
        <w:t xml:space="preserve"> </w:t>
      </w:r>
      <w:r w:rsidRPr="00F965C1">
        <w:rPr>
          <w:rFonts w:cstheme="minorHAnsi"/>
        </w:rPr>
        <w:t>California region, including the State’s 2017 Scoping Plan</w:t>
      </w:r>
      <w:r>
        <w:rPr>
          <w:rFonts w:cstheme="minorHAnsi"/>
        </w:rPr>
        <w:t>, the Association of Bay Area Governments’ Plan Bay Area 2050, a</w:t>
      </w:r>
      <w:r w:rsidRPr="00F965C1">
        <w:rPr>
          <w:rFonts w:cstheme="minorHAnsi"/>
        </w:rPr>
        <w:t xml:space="preserve">nd local policies contained in the City’s </w:t>
      </w:r>
      <w:r>
        <w:rPr>
          <w:rFonts w:cstheme="minorHAnsi"/>
        </w:rPr>
        <w:t>Climate Protection Roadmap, Greenhouse Gas Reduction Program, and General Plan.</w:t>
      </w:r>
      <w:r w:rsidRPr="00F965C1">
        <w:rPr>
          <w:rFonts w:cstheme="minorHAnsi"/>
        </w:rPr>
        <w:t xml:space="preserve"> The proposed project’s consistency with these plans is discussed in the following subsections. </w:t>
      </w:r>
    </w:p>
    <w:p w14:paraId="67509A42" w14:textId="77777777" w:rsidR="008873CE" w:rsidRPr="0079414A" w:rsidRDefault="008873CE" w:rsidP="008873CE">
      <w:pPr>
        <w:pStyle w:val="Heading6"/>
      </w:pPr>
      <w:r w:rsidRPr="0079414A">
        <w:t>2017 Scoping Plan</w:t>
      </w:r>
    </w:p>
    <w:p w14:paraId="0BC7BEF3" w14:textId="34784280" w:rsidR="00A07DFA" w:rsidRDefault="008873CE" w:rsidP="008873CE">
      <w:pPr>
        <w:pStyle w:val="BodyText"/>
      </w:pPr>
      <w:bookmarkStart w:id="235" w:name="_Hlk59045660"/>
      <w:r w:rsidRPr="0079414A">
        <w:t>The principal state plans and policies are AB 32, the California Global Warming Solutions Act of 2006, and the subsequent legislation, SB 32. The quantitative goal of AB 32 is to reduce GHG emissions to 1990 levels by 2020 and the goal of SB 32 is to reduce GHG emissions to 40 percent below 1990 levels by 2030. Pursuant to the SB 32 goal, the 2017 Scoping Plan was created to outline goals and measures for the state to achieve the reductions</w:t>
      </w:r>
      <w:r w:rsidR="00005542">
        <w:t>.</w:t>
      </w:r>
      <w:r w:rsidR="00B843E1">
        <w:t xml:space="preserve"> </w:t>
      </w:r>
      <w:r w:rsidR="00005542">
        <w:fldChar w:fldCharType="begin"/>
      </w:r>
      <w:r w:rsidR="00005542">
        <w:instrText xml:space="preserve"> REF _Ref93649889 \h </w:instrText>
      </w:r>
      <w:r w:rsidR="00005542">
        <w:fldChar w:fldCharType="separate"/>
      </w:r>
      <w:r w:rsidR="00FA55F1">
        <w:t xml:space="preserve">Table </w:t>
      </w:r>
      <w:r w:rsidR="00FA55F1">
        <w:rPr>
          <w:noProof/>
        </w:rPr>
        <w:t>17</w:t>
      </w:r>
      <w:r w:rsidR="00005542">
        <w:fldChar w:fldCharType="end"/>
      </w:r>
      <w:r w:rsidR="00005542">
        <w:t xml:space="preserve"> demonstrates the project’s consistency with </w:t>
      </w:r>
      <w:r w:rsidR="00383742">
        <w:t>applicable</w:t>
      </w:r>
      <w:r w:rsidR="00005542">
        <w:t xml:space="preserve"> </w:t>
      </w:r>
      <w:r w:rsidR="00005542" w:rsidRPr="0079414A">
        <w:t>2017 Scoping Plan</w:t>
      </w:r>
      <w:r w:rsidR="00EE2D0B">
        <w:t xml:space="preserve"> goals </w:t>
      </w:r>
      <w:r w:rsidR="00005542">
        <w:t>(CARB 2017)</w:t>
      </w:r>
      <w:r w:rsidR="0034209C">
        <w:t>.</w:t>
      </w:r>
    </w:p>
    <w:p w14:paraId="140CF844" w14:textId="45C2F816" w:rsidR="00005542" w:rsidRDefault="00005542" w:rsidP="009102C0">
      <w:pPr>
        <w:pStyle w:val="TableCaption"/>
        <w:pageBreakBefore/>
      </w:pPr>
      <w:bookmarkStart w:id="236" w:name="_Ref93649889"/>
      <w:bookmarkStart w:id="237" w:name="_Ref93649886"/>
      <w:bookmarkStart w:id="238" w:name="_Toc112942466"/>
      <w:r>
        <w:t xml:space="preserve">Table </w:t>
      </w:r>
      <w:fldSimple w:instr=" SEQ Table \* ARABIC ">
        <w:r w:rsidR="00FA55F1">
          <w:rPr>
            <w:noProof/>
          </w:rPr>
          <w:t>17</w:t>
        </w:r>
      </w:fldSimple>
      <w:bookmarkEnd w:id="236"/>
      <w:r w:rsidR="001D4BBB">
        <w:rPr>
          <w:noProof/>
        </w:rPr>
        <w:tab/>
      </w:r>
      <w:r>
        <w:t>Project Consistency with 2017 Scoping Plan</w:t>
      </w:r>
      <w:bookmarkEnd w:id="237"/>
      <w:bookmarkEnd w:id="238"/>
      <w:r>
        <w:t xml:space="preserve"> </w:t>
      </w:r>
    </w:p>
    <w:tbl>
      <w:tblPr>
        <w:tblW w:w="9029" w:type="dxa"/>
        <w:tblLook w:val="04A0" w:firstRow="1" w:lastRow="0" w:firstColumn="1" w:lastColumn="0" w:noHBand="0" w:noVBand="1"/>
      </w:tblPr>
      <w:tblGrid>
        <w:gridCol w:w="3366"/>
        <w:gridCol w:w="5663"/>
      </w:tblGrid>
      <w:tr w:rsidR="00AB1783" w14:paraId="05726338" w14:textId="77777777" w:rsidTr="0034209C">
        <w:trPr>
          <w:tblHeader/>
        </w:trPr>
        <w:tc>
          <w:tcPr>
            <w:tcW w:w="3366" w:type="dxa"/>
            <w:shd w:val="clear" w:color="auto" w:fill="000000" w:themeFill="text1"/>
            <w:hideMark/>
          </w:tcPr>
          <w:p w14:paraId="25CD29F3" w14:textId="77777777" w:rsidR="00AB1783" w:rsidRDefault="00AB1783" w:rsidP="0069381E">
            <w:pPr>
              <w:pStyle w:val="EIRTableColumnHeadings"/>
              <w:keepNext w:val="0"/>
              <w:spacing w:before="80" w:after="80"/>
              <w:rPr>
                <w:color w:val="auto"/>
              </w:rPr>
            </w:pPr>
            <w:r>
              <w:rPr>
                <w:color w:val="auto"/>
              </w:rPr>
              <w:t xml:space="preserve">Goal/Policy </w:t>
            </w:r>
          </w:p>
        </w:tc>
        <w:tc>
          <w:tcPr>
            <w:tcW w:w="5663" w:type="dxa"/>
            <w:shd w:val="clear" w:color="auto" w:fill="000000" w:themeFill="text1"/>
            <w:hideMark/>
          </w:tcPr>
          <w:p w14:paraId="4ACF1556" w14:textId="77777777" w:rsidR="00AB1783" w:rsidRDefault="00AB1783" w:rsidP="0069381E">
            <w:pPr>
              <w:pStyle w:val="EIRTableColumnHeadings"/>
              <w:keepNext w:val="0"/>
              <w:spacing w:before="80" w:after="80"/>
              <w:rPr>
                <w:color w:val="auto"/>
              </w:rPr>
            </w:pPr>
            <w:r>
              <w:rPr>
                <w:color w:val="auto"/>
              </w:rPr>
              <w:t>Consistency</w:t>
            </w:r>
          </w:p>
        </w:tc>
      </w:tr>
      <w:tr w:rsidR="00AB1783" w:rsidRPr="00C01816" w14:paraId="3D00BAF4" w14:textId="77777777" w:rsidTr="0034209C">
        <w:tc>
          <w:tcPr>
            <w:tcW w:w="3366" w:type="dxa"/>
            <w:tcBorders>
              <w:left w:val="nil"/>
              <w:bottom w:val="single" w:sz="4" w:space="0" w:color="BFBFBF" w:themeColor="background1" w:themeShade="BF"/>
              <w:right w:val="nil"/>
            </w:tcBorders>
          </w:tcPr>
          <w:p w14:paraId="10550468" w14:textId="77777777" w:rsidR="00AB1783" w:rsidRPr="00D6290C" w:rsidRDefault="00AB1783" w:rsidP="0069381E">
            <w:pPr>
              <w:pStyle w:val="EIRTableText"/>
            </w:pPr>
            <w:r>
              <w:t xml:space="preserve">Effectively integrate at least 50 percent renewables as the primary source of power in the State through coordinated planning, additional deployments of energy storage, and grid regionalization. </w:t>
            </w:r>
          </w:p>
        </w:tc>
        <w:tc>
          <w:tcPr>
            <w:tcW w:w="5663" w:type="dxa"/>
            <w:tcBorders>
              <w:left w:val="nil"/>
              <w:bottom w:val="single" w:sz="4" w:space="0" w:color="BFBFBF" w:themeColor="background1" w:themeShade="BF"/>
              <w:right w:val="nil"/>
            </w:tcBorders>
          </w:tcPr>
          <w:p w14:paraId="2896D1F0" w14:textId="77777777" w:rsidR="00AB1783" w:rsidRPr="00EE2D0B" w:rsidRDefault="00AB1783" w:rsidP="0069381E">
            <w:pPr>
              <w:pStyle w:val="EIRTableText"/>
            </w:pPr>
            <w:r>
              <w:rPr>
                <w:b/>
                <w:bCs w:val="0"/>
              </w:rPr>
              <w:t xml:space="preserve">Consistent. </w:t>
            </w:r>
            <w:r>
              <w:t>The project would be served by SVCE, which procures energy from at least 50 percent renewable sources. The project would also be designed to include photovoltaic solar panels that would generate approximately 75 kWh to power the proposed office structure.</w:t>
            </w:r>
          </w:p>
        </w:tc>
      </w:tr>
      <w:tr w:rsidR="00AB1783" w:rsidRPr="00C01816" w14:paraId="0832916D" w14:textId="77777777" w:rsidTr="0034209C">
        <w:tc>
          <w:tcPr>
            <w:tcW w:w="3366" w:type="dxa"/>
            <w:tcBorders>
              <w:top w:val="single" w:sz="4" w:space="0" w:color="BFBFBF" w:themeColor="background1" w:themeShade="BF"/>
              <w:left w:val="nil"/>
              <w:bottom w:val="single" w:sz="4" w:space="0" w:color="BFBFBF" w:themeColor="background1" w:themeShade="BF"/>
              <w:right w:val="nil"/>
            </w:tcBorders>
            <w:shd w:val="clear" w:color="auto" w:fill="auto"/>
          </w:tcPr>
          <w:p w14:paraId="60110984" w14:textId="77777777" w:rsidR="00AB1783" w:rsidRDefault="00AB1783" w:rsidP="0069381E">
            <w:pPr>
              <w:pStyle w:val="EIRTableText"/>
            </w:pPr>
            <w:r>
              <w:t xml:space="preserve">Ensure air pollution reductions happen where they are needed the most. </w:t>
            </w:r>
          </w:p>
        </w:tc>
        <w:tc>
          <w:tcPr>
            <w:tcW w:w="5663" w:type="dxa"/>
            <w:tcBorders>
              <w:top w:val="single" w:sz="4" w:space="0" w:color="BFBFBF" w:themeColor="background1" w:themeShade="BF"/>
              <w:left w:val="nil"/>
              <w:bottom w:val="single" w:sz="4" w:space="0" w:color="BFBFBF" w:themeColor="background1" w:themeShade="BF"/>
              <w:right w:val="nil"/>
            </w:tcBorders>
            <w:shd w:val="clear" w:color="auto" w:fill="auto"/>
          </w:tcPr>
          <w:p w14:paraId="08A6F5DB" w14:textId="77777777" w:rsidR="00AB1783" w:rsidRPr="00EE2D0B" w:rsidRDefault="00AB1783" w:rsidP="0069381E">
            <w:pPr>
              <w:pStyle w:val="EIRTableText"/>
            </w:pPr>
            <w:r>
              <w:rPr>
                <w:b/>
                <w:bCs w:val="0"/>
              </w:rPr>
              <w:t xml:space="preserve">Consistent. </w:t>
            </w:r>
            <w:r>
              <w:t xml:space="preserve">The project would be served by SVCE, which procures energy from at least 50 percent renewable sources. The proposed office structure would be an entirely electric development, which would reduce associated operational air pollution and GHG emissions. </w:t>
            </w:r>
          </w:p>
        </w:tc>
      </w:tr>
      <w:tr w:rsidR="00AB1783" w14:paraId="529B8098" w14:textId="77777777" w:rsidTr="0034209C">
        <w:tc>
          <w:tcPr>
            <w:tcW w:w="3366" w:type="dxa"/>
            <w:tcBorders>
              <w:top w:val="single" w:sz="4" w:space="0" w:color="BFBFBF" w:themeColor="background1" w:themeShade="BF"/>
              <w:left w:val="nil"/>
              <w:bottom w:val="single" w:sz="4" w:space="0" w:color="BFBFBF" w:themeColor="background1" w:themeShade="BF"/>
              <w:right w:val="nil"/>
            </w:tcBorders>
            <w:shd w:val="clear" w:color="auto" w:fill="auto"/>
          </w:tcPr>
          <w:p w14:paraId="1701C549" w14:textId="77777777" w:rsidR="00AB1783" w:rsidRPr="00D6290C" w:rsidRDefault="00AB1783" w:rsidP="0069381E">
            <w:pPr>
              <w:pStyle w:val="EIRTableText"/>
            </w:pPr>
            <w:r>
              <w:t>Reduce the use of heating fuels while concurrently making what is used cleaner by minimizing fugitive methane leaks, prioritizing natural gas efficiency and demand reduction, and enabling cost-effective access to renewable gas.</w:t>
            </w:r>
          </w:p>
        </w:tc>
        <w:tc>
          <w:tcPr>
            <w:tcW w:w="5663" w:type="dxa"/>
            <w:tcBorders>
              <w:top w:val="single" w:sz="4" w:space="0" w:color="BFBFBF" w:themeColor="background1" w:themeShade="BF"/>
              <w:left w:val="nil"/>
              <w:bottom w:val="single" w:sz="4" w:space="0" w:color="BFBFBF" w:themeColor="background1" w:themeShade="BF"/>
              <w:right w:val="nil"/>
            </w:tcBorders>
            <w:shd w:val="clear" w:color="auto" w:fill="auto"/>
          </w:tcPr>
          <w:p w14:paraId="39FA4E52" w14:textId="77777777" w:rsidR="00AB1783" w:rsidRPr="00EE2D0B" w:rsidRDefault="00AB1783" w:rsidP="0069381E">
            <w:pPr>
              <w:pStyle w:val="EIRTableText"/>
            </w:pPr>
            <w:r>
              <w:rPr>
                <w:b/>
                <w:bCs w:val="0"/>
              </w:rPr>
              <w:t>Consistent.</w:t>
            </w:r>
            <w:r>
              <w:t xml:space="preserve"> The proposed office structure would be an entirely electric development and would use electricity for building power and heating in place of natural gas. </w:t>
            </w:r>
          </w:p>
        </w:tc>
      </w:tr>
      <w:tr w:rsidR="00AB1783" w14:paraId="68A8869A" w14:textId="77777777" w:rsidTr="0034209C">
        <w:tc>
          <w:tcPr>
            <w:tcW w:w="3366" w:type="dxa"/>
            <w:tcBorders>
              <w:top w:val="single" w:sz="4" w:space="0" w:color="BFBFBF" w:themeColor="background1" w:themeShade="BF"/>
              <w:left w:val="nil"/>
              <w:bottom w:val="single" w:sz="4" w:space="0" w:color="BFBFBF" w:themeColor="background1" w:themeShade="BF"/>
              <w:right w:val="nil"/>
            </w:tcBorders>
            <w:shd w:val="clear" w:color="auto" w:fill="auto"/>
          </w:tcPr>
          <w:p w14:paraId="32A13B22" w14:textId="77777777" w:rsidR="00AB1783" w:rsidRPr="003636CA" w:rsidRDefault="00AB1783" w:rsidP="0069381E">
            <w:pPr>
              <w:pStyle w:val="EIRTableText"/>
              <w:rPr>
                <w:b/>
                <w:bCs w:val="0"/>
              </w:rPr>
            </w:pPr>
            <w:r>
              <w:t xml:space="preserve">Improve productivity and strengthen economic competitiveness by further improving energy efficiency and diversifying fuel supplies with low carbon alternatives. </w:t>
            </w:r>
          </w:p>
        </w:tc>
        <w:tc>
          <w:tcPr>
            <w:tcW w:w="5663" w:type="dxa"/>
            <w:tcBorders>
              <w:top w:val="single" w:sz="4" w:space="0" w:color="BFBFBF" w:themeColor="background1" w:themeShade="BF"/>
              <w:left w:val="nil"/>
              <w:bottom w:val="single" w:sz="4" w:space="0" w:color="BFBFBF" w:themeColor="background1" w:themeShade="BF"/>
              <w:right w:val="nil"/>
            </w:tcBorders>
            <w:shd w:val="clear" w:color="auto" w:fill="auto"/>
          </w:tcPr>
          <w:p w14:paraId="6E66611D" w14:textId="77777777" w:rsidR="00AB1783" w:rsidRDefault="00AB1783" w:rsidP="0069381E">
            <w:pPr>
              <w:pStyle w:val="EIRTableText"/>
              <w:rPr>
                <w:b/>
                <w:bCs w:val="0"/>
              </w:rPr>
            </w:pPr>
            <w:r>
              <w:rPr>
                <w:b/>
                <w:bCs w:val="0"/>
              </w:rPr>
              <w:t xml:space="preserve">Consistent. </w:t>
            </w:r>
            <w:r>
              <w:t xml:space="preserve">The project would be designed to comply with </w:t>
            </w:r>
            <w:r w:rsidRPr="0079414A">
              <w:t>the latest Title 24 Green Building Code and Building Efficiency Energy Standards</w:t>
            </w:r>
            <w:r>
              <w:t xml:space="preserve">, which would include efficient energy usage and </w:t>
            </w:r>
            <w:r w:rsidRPr="0079414A">
              <w:t>installing energy-efficient LED lighting</w:t>
            </w:r>
            <w:r>
              <w:t>.</w:t>
            </w:r>
          </w:p>
        </w:tc>
      </w:tr>
      <w:tr w:rsidR="00AB1783" w14:paraId="3149F13A" w14:textId="77777777" w:rsidTr="0034209C">
        <w:tc>
          <w:tcPr>
            <w:tcW w:w="3366" w:type="dxa"/>
            <w:tcBorders>
              <w:top w:val="single" w:sz="4" w:space="0" w:color="BFBFBF" w:themeColor="background1" w:themeShade="BF"/>
              <w:left w:val="nil"/>
              <w:bottom w:val="single" w:sz="4" w:space="0" w:color="auto"/>
              <w:right w:val="nil"/>
            </w:tcBorders>
          </w:tcPr>
          <w:p w14:paraId="24409F88" w14:textId="77777777" w:rsidR="00AB1783" w:rsidRDefault="00AB1783" w:rsidP="0069381E">
            <w:pPr>
              <w:pStyle w:val="EIRTableText"/>
            </w:pPr>
            <w:r>
              <w:t xml:space="preserve">Promote vibrant communities and landscapes through better planning efforts to curb vehicle-miles-traveled and increase walking, biking and transit. </w:t>
            </w:r>
          </w:p>
        </w:tc>
        <w:tc>
          <w:tcPr>
            <w:tcW w:w="5663" w:type="dxa"/>
            <w:tcBorders>
              <w:top w:val="single" w:sz="4" w:space="0" w:color="BFBFBF" w:themeColor="background1" w:themeShade="BF"/>
              <w:left w:val="nil"/>
              <w:bottom w:val="single" w:sz="4" w:space="0" w:color="auto"/>
              <w:right w:val="nil"/>
            </w:tcBorders>
          </w:tcPr>
          <w:p w14:paraId="5E34F939" w14:textId="77777777" w:rsidR="00AB1783" w:rsidRPr="00AB1783" w:rsidRDefault="00AB1783" w:rsidP="0069381E">
            <w:pPr>
              <w:pStyle w:val="EIRTableText"/>
            </w:pPr>
            <w:r>
              <w:rPr>
                <w:b/>
                <w:bCs w:val="0"/>
              </w:rPr>
              <w:t xml:space="preserve">Consistent. </w:t>
            </w:r>
            <w:r>
              <w:t xml:space="preserve">The project site is within walking distance of several transit options (see Section 17, </w:t>
            </w:r>
            <w:r>
              <w:rPr>
                <w:i/>
                <w:iCs/>
              </w:rPr>
              <w:t>Transportation</w:t>
            </w:r>
            <w:r>
              <w:t xml:space="preserve">) that would increase transit ridership and reduce vehicle miles traveled associated with the project. The project site is located near several bicycle facilities and is served by adequate pedestrian facilities. </w:t>
            </w:r>
          </w:p>
        </w:tc>
      </w:tr>
      <w:tr w:rsidR="009102C0" w14:paraId="6F2ADB7B" w14:textId="77777777" w:rsidTr="004625AE">
        <w:tc>
          <w:tcPr>
            <w:tcW w:w="9029" w:type="dxa"/>
            <w:gridSpan w:val="2"/>
            <w:tcBorders>
              <w:top w:val="single" w:sz="4" w:space="0" w:color="auto"/>
              <w:left w:val="nil"/>
              <w:bottom w:val="single" w:sz="4" w:space="0" w:color="auto"/>
              <w:right w:val="nil"/>
            </w:tcBorders>
          </w:tcPr>
          <w:p w14:paraId="38CB6D3F" w14:textId="1EB4A883" w:rsidR="009102C0" w:rsidRDefault="009102C0" w:rsidP="0034209C">
            <w:pPr>
              <w:pStyle w:val="EIRTableText"/>
              <w:spacing w:before="60" w:after="60"/>
              <w:rPr>
                <w:b/>
                <w:bCs w:val="0"/>
              </w:rPr>
            </w:pPr>
            <w:r>
              <w:t>Source: CARB 2017</w:t>
            </w:r>
          </w:p>
        </w:tc>
      </w:tr>
    </w:tbl>
    <w:bookmarkEnd w:id="235"/>
    <w:p w14:paraId="4E590589" w14:textId="77777777" w:rsidR="008873CE" w:rsidRDefault="008873CE" w:rsidP="008873CE">
      <w:pPr>
        <w:pStyle w:val="Heading6"/>
      </w:pPr>
      <w:r>
        <w:t xml:space="preserve">Plan Bay Area 2050 </w:t>
      </w:r>
    </w:p>
    <w:p w14:paraId="7AFF70F8" w14:textId="59730CE0" w:rsidR="00AB1783" w:rsidRDefault="008873CE" w:rsidP="008873CE">
      <w:pPr>
        <w:pStyle w:val="BodyText"/>
      </w:pPr>
      <w:r>
        <w:t>Plan Bay Area 2050 is a long-range regional planning document, adopted by the Metropolitan Transportation Commission and the Association of Bay Area Governments in October 2021 (ABAG 2021a). Plan Bay Area 2050 details goals and strategies for reaching the state-mandated emissions reduction targets, in the sectors of housing, economy, transportation, and the environment.</w:t>
      </w:r>
      <w:r w:rsidR="00AB1783">
        <w:t xml:space="preserve"> </w:t>
      </w:r>
      <w:r w:rsidR="00AB1783">
        <w:fldChar w:fldCharType="begin"/>
      </w:r>
      <w:r w:rsidR="00AB1783">
        <w:instrText xml:space="preserve"> REF _Ref93650797 \h </w:instrText>
      </w:r>
      <w:r w:rsidR="00AB1783">
        <w:fldChar w:fldCharType="separate"/>
      </w:r>
      <w:r w:rsidR="00FA55F1">
        <w:t>Table </w:t>
      </w:r>
      <w:r w:rsidR="00FA55F1">
        <w:rPr>
          <w:noProof/>
        </w:rPr>
        <w:t>18</w:t>
      </w:r>
      <w:r w:rsidR="00AB1783">
        <w:fldChar w:fldCharType="end"/>
      </w:r>
      <w:r w:rsidR="0034209C">
        <w:t xml:space="preserve"> </w:t>
      </w:r>
      <w:r w:rsidR="00AB1783">
        <w:t xml:space="preserve">demonstrates the project’s consistency with </w:t>
      </w:r>
      <w:r w:rsidR="003D504E">
        <w:t xml:space="preserve">applicable </w:t>
      </w:r>
      <w:r w:rsidR="00AB1783">
        <w:t xml:space="preserve">Plan Bay Area 2050 </w:t>
      </w:r>
      <w:r w:rsidR="003B6C4F">
        <w:t>strategies</w:t>
      </w:r>
      <w:r w:rsidR="00AB1783">
        <w:t xml:space="preserve"> (ABAG 2021a)</w:t>
      </w:r>
      <w:r w:rsidR="0034209C">
        <w:t>.</w:t>
      </w:r>
    </w:p>
    <w:p w14:paraId="181B7696" w14:textId="0E56FC01" w:rsidR="00AB1783" w:rsidRDefault="00AB1783" w:rsidP="009102C0">
      <w:pPr>
        <w:pStyle w:val="TableCaption"/>
      </w:pPr>
      <w:bookmarkStart w:id="239" w:name="_Ref93650797"/>
      <w:bookmarkStart w:id="240" w:name="_Toc112942467"/>
      <w:r>
        <w:t>Table</w:t>
      </w:r>
      <w:r w:rsidR="0034209C">
        <w:t> </w:t>
      </w:r>
      <w:fldSimple w:instr=" SEQ Table \* ARABIC ">
        <w:r w:rsidR="00FA55F1">
          <w:rPr>
            <w:noProof/>
          </w:rPr>
          <w:t>18</w:t>
        </w:r>
      </w:fldSimple>
      <w:bookmarkEnd w:id="239"/>
      <w:r>
        <w:t xml:space="preserve"> </w:t>
      </w:r>
      <w:r>
        <w:tab/>
        <w:t>Project Consistency with Plan Bay Area 2050</w:t>
      </w:r>
      <w:bookmarkEnd w:id="240"/>
      <w:r>
        <w:t xml:space="preserve"> </w:t>
      </w:r>
    </w:p>
    <w:tbl>
      <w:tblPr>
        <w:tblW w:w="9029" w:type="dxa"/>
        <w:tblLook w:val="04A0" w:firstRow="1" w:lastRow="0" w:firstColumn="1" w:lastColumn="0" w:noHBand="0" w:noVBand="1"/>
      </w:tblPr>
      <w:tblGrid>
        <w:gridCol w:w="4032"/>
        <w:gridCol w:w="4997"/>
      </w:tblGrid>
      <w:tr w:rsidR="00AB1783" w14:paraId="07BDE4CD" w14:textId="77777777" w:rsidTr="0034209C">
        <w:trPr>
          <w:tblHeader/>
        </w:trPr>
        <w:tc>
          <w:tcPr>
            <w:tcW w:w="4032" w:type="dxa"/>
            <w:shd w:val="clear" w:color="auto" w:fill="000000" w:themeFill="text1"/>
            <w:hideMark/>
          </w:tcPr>
          <w:p w14:paraId="22176288" w14:textId="13F52B05" w:rsidR="00AB1783" w:rsidRDefault="003B6C4F" w:rsidP="0069381E">
            <w:pPr>
              <w:pStyle w:val="EIRTableColumnHeadings"/>
              <w:keepNext w:val="0"/>
              <w:spacing w:before="80" w:after="80"/>
              <w:rPr>
                <w:color w:val="auto"/>
              </w:rPr>
            </w:pPr>
            <w:r>
              <w:rPr>
                <w:color w:val="auto"/>
              </w:rPr>
              <w:t>Strategy</w:t>
            </w:r>
            <w:r w:rsidR="00AB1783">
              <w:rPr>
                <w:color w:val="auto"/>
              </w:rPr>
              <w:t xml:space="preserve"> </w:t>
            </w:r>
          </w:p>
        </w:tc>
        <w:tc>
          <w:tcPr>
            <w:tcW w:w="4997" w:type="dxa"/>
            <w:shd w:val="clear" w:color="auto" w:fill="000000" w:themeFill="text1"/>
            <w:hideMark/>
          </w:tcPr>
          <w:p w14:paraId="762BC1FC" w14:textId="77777777" w:rsidR="00AB1783" w:rsidRDefault="00AB1783" w:rsidP="0069381E">
            <w:pPr>
              <w:pStyle w:val="EIRTableColumnHeadings"/>
              <w:keepNext w:val="0"/>
              <w:spacing w:before="80" w:after="80"/>
              <w:rPr>
                <w:color w:val="auto"/>
              </w:rPr>
            </w:pPr>
            <w:r>
              <w:rPr>
                <w:color w:val="auto"/>
              </w:rPr>
              <w:t>Consistency</w:t>
            </w:r>
          </w:p>
        </w:tc>
      </w:tr>
      <w:tr w:rsidR="00AB1783" w:rsidRPr="00EE2D0B" w14:paraId="3317F431" w14:textId="77777777" w:rsidTr="0034209C">
        <w:tc>
          <w:tcPr>
            <w:tcW w:w="4032" w:type="dxa"/>
            <w:tcBorders>
              <w:left w:val="nil"/>
              <w:bottom w:val="single" w:sz="4" w:space="0" w:color="BFBFBF" w:themeColor="background1" w:themeShade="BF"/>
              <w:right w:val="nil"/>
            </w:tcBorders>
          </w:tcPr>
          <w:p w14:paraId="1AFF3084" w14:textId="0A15D5A9" w:rsidR="00AB1783" w:rsidRPr="003B6C4F" w:rsidRDefault="003B6C4F" w:rsidP="0069381E">
            <w:pPr>
              <w:pStyle w:val="EIRTableText"/>
              <w:rPr>
                <w:b/>
                <w:bCs w:val="0"/>
              </w:rPr>
            </w:pPr>
            <w:r>
              <w:rPr>
                <w:b/>
                <w:bCs w:val="0"/>
              </w:rPr>
              <w:t xml:space="preserve">EN3. </w:t>
            </w:r>
            <w:r>
              <w:t>Fund energy upgrades to enable carbon neutrality in all existing commercial and public buildings. Support electrification and resilient power system upgrades in all public and commercial buildings.</w:t>
            </w:r>
            <w:r w:rsidR="00AB1783" w:rsidRPr="003B6C4F">
              <w:rPr>
                <w:b/>
                <w:bCs w:val="0"/>
              </w:rPr>
              <w:t xml:space="preserve"> </w:t>
            </w:r>
          </w:p>
        </w:tc>
        <w:tc>
          <w:tcPr>
            <w:tcW w:w="4997" w:type="dxa"/>
            <w:tcBorders>
              <w:left w:val="nil"/>
              <w:bottom w:val="single" w:sz="4" w:space="0" w:color="BFBFBF" w:themeColor="background1" w:themeShade="BF"/>
              <w:right w:val="nil"/>
            </w:tcBorders>
          </w:tcPr>
          <w:p w14:paraId="4AF4F997" w14:textId="3D4C6686" w:rsidR="00AB1783" w:rsidRPr="00EE2D0B" w:rsidRDefault="00AB1783" w:rsidP="0069381E">
            <w:pPr>
              <w:pStyle w:val="EIRTableText"/>
            </w:pPr>
            <w:r>
              <w:rPr>
                <w:b/>
                <w:bCs w:val="0"/>
              </w:rPr>
              <w:t xml:space="preserve">Consistent. </w:t>
            </w:r>
            <w:r>
              <w:t>The project would be served by SVCE, which procures energy from at least 50 percent renewable sources. The project would also be designed to include photovoltaic solar panels that would generate approximately 75 kWh to power the proposed office structure.</w:t>
            </w:r>
            <w:r w:rsidR="003B6C4F">
              <w:t xml:space="preserve"> The project would be an entirely electric development. </w:t>
            </w:r>
          </w:p>
        </w:tc>
      </w:tr>
      <w:tr w:rsidR="00AB1783" w:rsidRPr="00EE2D0B" w14:paraId="3680C63E" w14:textId="77777777" w:rsidTr="0034209C">
        <w:tc>
          <w:tcPr>
            <w:tcW w:w="4032" w:type="dxa"/>
            <w:tcBorders>
              <w:top w:val="single" w:sz="4" w:space="0" w:color="BFBFBF" w:themeColor="background1" w:themeShade="BF"/>
              <w:left w:val="nil"/>
              <w:bottom w:val="single" w:sz="4" w:space="0" w:color="BFBFBF" w:themeColor="background1" w:themeShade="BF"/>
              <w:right w:val="nil"/>
            </w:tcBorders>
            <w:shd w:val="clear" w:color="auto" w:fill="auto"/>
          </w:tcPr>
          <w:p w14:paraId="38FFC994" w14:textId="5CC59588" w:rsidR="00AB1783" w:rsidRDefault="003B6C4F" w:rsidP="009102C0">
            <w:pPr>
              <w:pStyle w:val="EIRTableText"/>
              <w:pageBreakBefore/>
            </w:pPr>
            <w:r w:rsidRPr="003B6C4F">
              <w:rPr>
                <w:b/>
                <w:bCs w:val="0"/>
              </w:rPr>
              <w:t>EN7.</w:t>
            </w:r>
            <w:r>
              <w:t xml:space="preserve"> Expand commute trip reduction programs at major employers. Set a sustainable commute target for major employers as part of an expanded Bay Area Commuter Benefits Program, with employers responsible for funding incentives and disincentives to shift auto commuters to any combination of telecommuting, transit, walking and/or bicycling.</w:t>
            </w:r>
          </w:p>
        </w:tc>
        <w:tc>
          <w:tcPr>
            <w:tcW w:w="4997" w:type="dxa"/>
            <w:tcBorders>
              <w:top w:val="single" w:sz="4" w:space="0" w:color="BFBFBF" w:themeColor="background1" w:themeShade="BF"/>
              <w:left w:val="nil"/>
              <w:bottom w:val="single" w:sz="4" w:space="0" w:color="BFBFBF" w:themeColor="background1" w:themeShade="BF"/>
              <w:right w:val="nil"/>
            </w:tcBorders>
            <w:shd w:val="clear" w:color="auto" w:fill="auto"/>
          </w:tcPr>
          <w:p w14:paraId="47E4FB12" w14:textId="0AAAB12F" w:rsidR="00AB1783" w:rsidRPr="003B6C4F" w:rsidRDefault="00AB1783" w:rsidP="009102C0">
            <w:pPr>
              <w:pStyle w:val="EIRTableText"/>
              <w:pageBreakBefore/>
            </w:pPr>
            <w:r>
              <w:rPr>
                <w:b/>
                <w:bCs w:val="0"/>
              </w:rPr>
              <w:t xml:space="preserve">Consistent. </w:t>
            </w:r>
            <w:r>
              <w:t xml:space="preserve">The project would </w:t>
            </w:r>
            <w:r w:rsidR="003B6C4F">
              <w:t xml:space="preserve">implement several transportation demand management strategies (see Section 17, </w:t>
            </w:r>
            <w:r w:rsidR="003B6C4F">
              <w:rPr>
                <w:i/>
                <w:iCs/>
              </w:rPr>
              <w:t>Transportation)</w:t>
            </w:r>
            <w:r w:rsidR="003B6C4F">
              <w:t xml:space="preserve"> that would encourage telecommuting, transit, and bicycling at the project site. The project site is within walking distance of several transit options and is served by adequate bicycle and pedestrian facilities. </w:t>
            </w:r>
          </w:p>
        </w:tc>
      </w:tr>
      <w:tr w:rsidR="00576CF9" w:rsidRPr="00EE2D0B" w14:paraId="78C8A82B" w14:textId="77777777" w:rsidTr="0034209C">
        <w:tc>
          <w:tcPr>
            <w:tcW w:w="4032" w:type="dxa"/>
            <w:tcBorders>
              <w:top w:val="single" w:sz="4" w:space="0" w:color="BFBFBF" w:themeColor="background1" w:themeShade="BF"/>
              <w:left w:val="nil"/>
              <w:bottom w:val="single" w:sz="4" w:space="0" w:color="BFBFBF" w:themeColor="background1" w:themeShade="BF"/>
              <w:right w:val="nil"/>
            </w:tcBorders>
            <w:shd w:val="clear" w:color="auto" w:fill="auto"/>
          </w:tcPr>
          <w:p w14:paraId="3C5FDDCC" w14:textId="5EA64696" w:rsidR="00576CF9" w:rsidRPr="003B6C4F" w:rsidRDefault="00576CF9" w:rsidP="0069381E">
            <w:pPr>
              <w:pStyle w:val="EIRTableText"/>
              <w:rPr>
                <w:b/>
                <w:bCs w:val="0"/>
              </w:rPr>
            </w:pPr>
            <w:r w:rsidRPr="00576CF9">
              <w:rPr>
                <w:b/>
                <w:bCs w:val="0"/>
              </w:rPr>
              <w:t>EN8.</w:t>
            </w:r>
            <w:r>
              <w:t xml:space="preserve"> Expand clean vehicle initiatives. Expand investments in clean vehicles, including more fuel-efficient vehicles and electric vehicle subsidies and chargers.</w:t>
            </w:r>
          </w:p>
        </w:tc>
        <w:tc>
          <w:tcPr>
            <w:tcW w:w="4997" w:type="dxa"/>
            <w:tcBorders>
              <w:top w:val="single" w:sz="4" w:space="0" w:color="BFBFBF" w:themeColor="background1" w:themeShade="BF"/>
              <w:left w:val="nil"/>
              <w:bottom w:val="single" w:sz="4" w:space="0" w:color="BFBFBF" w:themeColor="background1" w:themeShade="BF"/>
              <w:right w:val="nil"/>
            </w:tcBorders>
            <w:shd w:val="clear" w:color="auto" w:fill="auto"/>
          </w:tcPr>
          <w:p w14:paraId="44CC9DA5" w14:textId="5D594038" w:rsidR="00576CF9" w:rsidRPr="00576CF9" w:rsidRDefault="00576CF9" w:rsidP="0069381E">
            <w:pPr>
              <w:pStyle w:val="EIRTableText"/>
            </w:pPr>
            <w:r>
              <w:rPr>
                <w:b/>
                <w:bCs w:val="0"/>
              </w:rPr>
              <w:t>Consistent.</w:t>
            </w:r>
            <w:r>
              <w:t xml:space="preserve"> The project would include the provision of 12 electric vehicle charging stations, which would encourage the use of electric vehicles. </w:t>
            </w:r>
          </w:p>
        </w:tc>
      </w:tr>
      <w:tr w:rsidR="003B6C4F" w:rsidRPr="00EE2D0B" w14:paraId="1BB812C5" w14:textId="77777777" w:rsidTr="0034209C">
        <w:tc>
          <w:tcPr>
            <w:tcW w:w="4032" w:type="dxa"/>
            <w:tcBorders>
              <w:top w:val="single" w:sz="4" w:space="0" w:color="BFBFBF" w:themeColor="background1" w:themeShade="BF"/>
              <w:left w:val="nil"/>
              <w:bottom w:val="single" w:sz="4" w:space="0" w:color="auto"/>
              <w:right w:val="nil"/>
            </w:tcBorders>
          </w:tcPr>
          <w:p w14:paraId="554AA5F9" w14:textId="0B1ABAAE" w:rsidR="003B6C4F" w:rsidRPr="003B6C4F" w:rsidRDefault="003B6C4F" w:rsidP="0069381E">
            <w:pPr>
              <w:pStyle w:val="EIRTableText"/>
              <w:rPr>
                <w:b/>
                <w:bCs w:val="0"/>
              </w:rPr>
            </w:pPr>
            <w:r w:rsidRPr="00576CF9">
              <w:rPr>
                <w:b/>
                <w:bCs w:val="0"/>
              </w:rPr>
              <w:t>EN9.</w:t>
            </w:r>
            <w:r>
              <w:t xml:space="preserve"> Expand transportation demand management initiatives. Expand investments in programs like vanpools, bikeshare, carshare and parking fees to discourage solo driving.</w:t>
            </w:r>
          </w:p>
        </w:tc>
        <w:tc>
          <w:tcPr>
            <w:tcW w:w="4997" w:type="dxa"/>
            <w:tcBorders>
              <w:top w:val="single" w:sz="4" w:space="0" w:color="BFBFBF" w:themeColor="background1" w:themeShade="BF"/>
              <w:left w:val="nil"/>
              <w:bottom w:val="single" w:sz="4" w:space="0" w:color="auto"/>
              <w:right w:val="nil"/>
            </w:tcBorders>
          </w:tcPr>
          <w:p w14:paraId="2BCE12E8" w14:textId="015B64E7" w:rsidR="003B6C4F" w:rsidRDefault="003B6C4F" w:rsidP="0069381E">
            <w:pPr>
              <w:pStyle w:val="EIRTableText"/>
              <w:rPr>
                <w:b/>
                <w:bCs w:val="0"/>
              </w:rPr>
            </w:pPr>
            <w:r>
              <w:rPr>
                <w:b/>
                <w:bCs w:val="0"/>
              </w:rPr>
              <w:t xml:space="preserve">Consistent. </w:t>
            </w:r>
            <w:r>
              <w:t xml:space="preserve">The project would implement several transportation demand management strategies (see Section 17, </w:t>
            </w:r>
            <w:r>
              <w:rPr>
                <w:i/>
                <w:iCs/>
              </w:rPr>
              <w:t>Transportation)</w:t>
            </w:r>
            <w:r>
              <w:t xml:space="preserve"> that would involve bike sharing, ride sharing, </w:t>
            </w:r>
            <w:r w:rsidR="00576CF9">
              <w:t xml:space="preserve">and parking cash-out programs. </w:t>
            </w:r>
          </w:p>
        </w:tc>
      </w:tr>
      <w:tr w:rsidR="00576CF9" w:rsidRPr="00EE2D0B" w14:paraId="4C4F02D2" w14:textId="77777777" w:rsidTr="0034209C">
        <w:tc>
          <w:tcPr>
            <w:tcW w:w="4032" w:type="dxa"/>
            <w:tcBorders>
              <w:top w:val="single" w:sz="4" w:space="0" w:color="auto"/>
              <w:left w:val="nil"/>
              <w:bottom w:val="single" w:sz="4" w:space="0" w:color="auto"/>
              <w:right w:val="nil"/>
            </w:tcBorders>
          </w:tcPr>
          <w:p w14:paraId="0214D92F" w14:textId="34844694" w:rsidR="00576CF9" w:rsidRPr="00576CF9" w:rsidRDefault="00576CF9" w:rsidP="0034209C">
            <w:pPr>
              <w:pStyle w:val="EIRTableNotes"/>
            </w:pPr>
            <w:r>
              <w:t xml:space="preserve">Source: ABAG 2021a </w:t>
            </w:r>
          </w:p>
        </w:tc>
        <w:tc>
          <w:tcPr>
            <w:tcW w:w="4997" w:type="dxa"/>
            <w:tcBorders>
              <w:top w:val="single" w:sz="4" w:space="0" w:color="auto"/>
              <w:left w:val="nil"/>
              <w:bottom w:val="single" w:sz="4" w:space="0" w:color="auto"/>
              <w:right w:val="nil"/>
            </w:tcBorders>
          </w:tcPr>
          <w:p w14:paraId="74DC8E61" w14:textId="77777777" w:rsidR="00576CF9" w:rsidRDefault="00576CF9" w:rsidP="0034209C">
            <w:pPr>
              <w:pStyle w:val="EIRTableText"/>
              <w:spacing w:before="60" w:after="60"/>
              <w:rPr>
                <w:b/>
                <w:bCs w:val="0"/>
              </w:rPr>
            </w:pPr>
          </w:p>
        </w:tc>
      </w:tr>
    </w:tbl>
    <w:p w14:paraId="6454246B" w14:textId="77777777" w:rsidR="008873CE" w:rsidRDefault="008873CE" w:rsidP="008873CE">
      <w:pPr>
        <w:pStyle w:val="Heading6"/>
      </w:pPr>
      <w:r>
        <w:t xml:space="preserve">City of Mountain View Climate Protection Roadmap </w:t>
      </w:r>
    </w:p>
    <w:p w14:paraId="71FEA49F" w14:textId="1F72DEEF" w:rsidR="00576CF9" w:rsidRDefault="008873CE" w:rsidP="008873CE">
      <w:pPr>
        <w:pStyle w:val="BodyText"/>
      </w:pPr>
      <w:r>
        <w:t>Adopted in September 2015, the Mountain View Climate Protection Roadmap contains greenhouse gas inventories, emissions forecasts, past and current reduction efforts, regional policy context, and potential reduction scenarios specific to the City of Mountain View (City of Mountain View 2015). The roadmap focuses on the sectors of building energy, transportation, and solid waste, which the City identified as the three largest contributors to City greenhouse gas emissions. The document supports the City’s Greenhouse Gas Reduction Program, which outlines specific emissions reduction targets.</w:t>
      </w:r>
      <w:r w:rsidR="00576CF9">
        <w:t xml:space="preserve"> </w:t>
      </w:r>
      <w:r w:rsidR="00576CF9">
        <w:fldChar w:fldCharType="begin"/>
      </w:r>
      <w:r w:rsidR="00576CF9">
        <w:instrText xml:space="preserve"> REF _Ref93651427 \h </w:instrText>
      </w:r>
      <w:r w:rsidR="00576CF9">
        <w:fldChar w:fldCharType="separate"/>
      </w:r>
      <w:r w:rsidR="00FA55F1">
        <w:t xml:space="preserve">Table </w:t>
      </w:r>
      <w:r w:rsidR="00FA55F1">
        <w:rPr>
          <w:noProof/>
        </w:rPr>
        <w:t>19</w:t>
      </w:r>
      <w:r w:rsidR="00576CF9">
        <w:fldChar w:fldCharType="end"/>
      </w:r>
      <w:r w:rsidR="00576CF9">
        <w:t xml:space="preserve"> demonstrates the project’s consiste</w:t>
      </w:r>
      <w:r w:rsidR="003D504E">
        <w:t>ncy</w:t>
      </w:r>
      <w:r w:rsidR="00576CF9">
        <w:t xml:space="preserve"> with the Climate Protection Roadmap (City of Mountain View 2015): </w:t>
      </w:r>
    </w:p>
    <w:p w14:paraId="2921A03A" w14:textId="7A6D67F3" w:rsidR="00576CF9" w:rsidRDefault="00576CF9" w:rsidP="009102C0">
      <w:pPr>
        <w:pStyle w:val="TableCaption"/>
      </w:pPr>
      <w:bookmarkStart w:id="241" w:name="_Ref93651427"/>
      <w:bookmarkStart w:id="242" w:name="_Toc112942468"/>
      <w:r>
        <w:t xml:space="preserve">Table </w:t>
      </w:r>
      <w:fldSimple w:instr=" SEQ Table \* ARABIC ">
        <w:r w:rsidR="00FA55F1">
          <w:rPr>
            <w:noProof/>
          </w:rPr>
          <w:t>19</w:t>
        </w:r>
      </w:fldSimple>
      <w:bookmarkEnd w:id="241"/>
      <w:r>
        <w:tab/>
        <w:t>Project Consistency with the Mountain View Climate Protection Roadmap</w:t>
      </w:r>
      <w:bookmarkEnd w:id="242"/>
      <w:r>
        <w:t xml:space="preserve"> </w:t>
      </w:r>
    </w:p>
    <w:tbl>
      <w:tblPr>
        <w:tblW w:w="9029" w:type="dxa"/>
        <w:tblLook w:val="04A0" w:firstRow="1" w:lastRow="0" w:firstColumn="1" w:lastColumn="0" w:noHBand="0" w:noVBand="1"/>
      </w:tblPr>
      <w:tblGrid>
        <w:gridCol w:w="2682"/>
        <w:gridCol w:w="6347"/>
      </w:tblGrid>
      <w:tr w:rsidR="00576CF9" w14:paraId="32171CC1" w14:textId="77777777" w:rsidTr="0034209C">
        <w:trPr>
          <w:tblHeader/>
        </w:trPr>
        <w:tc>
          <w:tcPr>
            <w:tcW w:w="2682" w:type="dxa"/>
            <w:shd w:val="clear" w:color="auto" w:fill="000000" w:themeFill="text1"/>
            <w:hideMark/>
          </w:tcPr>
          <w:p w14:paraId="441E758A" w14:textId="77777777" w:rsidR="00576CF9" w:rsidRDefault="00576CF9" w:rsidP="0069381E">
            <w:pPr>
              <w:pStyle w:val="EIRTableColumnHeadings"/>
              <w:keepNext w:val="0"/>
              <w:spacing w:before="80" w:after="80"/>
              <w:rPr>
                <w:color w:val="auto"/>
              </w:rPr>
            </w:pPr>
            <w:r>
              <w:rPr>
                <w:color w:val="auto"/>
              </w:rPr>
              <w:t xml:space="preserve">Strategy </w:t>
            </w:r>
          </w:p>
        </w:tc>
        <w:tc>
          <w:tcPr>
            <w:tcW w:w="6347" w:type="dxa"/>
            <w:shd w:val="clear" w:color="auto" w:fill="000000" w:themeFill="text1"/>
            <w:hideMark/>
          </w:tcPr>
          <w:p w14:paraId="5F8FFE2E" w14:textId="77777777" w:rsidR="00576CF9" w:rsidRDefault="00576CF9" w:rsidP="0069381E">
            <w:pPr>
              <w:pStyle w:val="EIRTableColumnHeadings"/>
              <w:keepNext w:val="0"/>
              <w:spacing w:before="80" w:after="80"/>
              <w:rPr>
                <w:color w:val="auto"/>
              </w:rPr>
            </w:pPr>
            <w:r>
              <w:rPr>
                <w:color w:val="auto"/>
              </w:rPr>
              <w:t>Consistency</w:t>
            </w:r>
          </w:p>
        </w:tc>
      </w:tr>
      <w:tr w:rsidR="00576CF9" w:rsidRPr="00EE2D0B" w14:paraId="51AEABD9" w14:textId="77777777" w:rsidTr="0034209C">
        <w:tc>
          <w:tcPr>
            <w:tcW w:w="2682" w:type="dxa"/>
            <w:tcBorders>
              <w:left w:val="nil"/>
              <w:bottom w:val="single" w:sz="4" w:space="0" w:color="BFBFBF" w:themeColor="background1" w:themeShade="BF"/>
              <w:right w:val="nil"/>
            </w:tcBorders>
          </w:tcPr>
          <w:p w14:paraId="3BB6DD1F" w14:textId="0AF715DE" w:rsidR="00576CF9" w:rsidRPr="0034209C" w:rsidRDefault="001436AF" w:rsidP="0034209C">
            <w:pPr>
              <w:pStyle w:val="EIRTableText"/>
              <w:ind w:left="288" w:hanging="288"/>
            </w:pPr>
            <w:r w:rsidRPr="0034209C">
              <w:t>A)</w:t>
            </w:r>
            <w:r w:rsidR="0034209C">
              <w:tab/>
            </w:r>
            <w:r w:rsidRPr="0034209C">
              <w:t xml:space="preserve">Lower-Carbon Electricity </w:t>
            </w:r>
          </w:p>
        </w:tc>
        <w:tc>
          <w:tcPr>
            <w:tcW w:w="6347" w:type="dxa"/>
            <w:tcBorders>
              <w:left w:val="nil"/>
              <w:bottom w:val="single" w:sz="4" w:space="0" w:color="BFBFBF" w:themeColor="background1" w:themeShade="BF"/>
              <w:right w:val="nil"/>
            </w:tcBorders>
          </w:tcPr>
          <w:p w14:paraId="714DD343" w14:textId="77777777" w:rsidR="00576CF9" w:rsidRPr="00EE2D0B" w:rsidRDefault="00576CF9" w:rsidP="0069381E">
            <w:pPr>
              <w:pStyle w:val="EIRTableText"/>
            </w:pPr>
            <w:r>
              <w:rPr>
                <w:b/>
                <w:bCs w:val="0"/>
              </w:rPr>
              <w:t xml:space="preserve">Consistent. </w:t>
            </w:r>
            <w:r>
              <w:t xml:space="preserve">The project would be served by SVCE, which procures energy from at least 50 percent renewable sources. The project would also be designed to include photovoltaic solar panels that would generate approximately 75 kWh to power the proposed office structure. The project would be an entirely electric development. </w:t>
            </w:r>
          </w:p>
        </w:tc>
      </w:tr>
      <w:tr w:rsidR="001436AF" w:rsidRPr="00EE2D0B" w14:paraId="22570E2E" w14:textId="77777777" w:rsidTr="0034209C">
        <w:tc>
          <w:tcPr>
            <w:tcW w:w="2682" w:type="dxa"/>
            <w:tcBorders>
              <w:top w:val="single" w:sz="4" w:space="0" w:color="BFBFBF" w:themeColor="background1" w:themeShade="BF"/>
              <w:left w:val="nil"/>
              <w:bottom w:val="single" w:sz="4" w:space="0" w:color="BFBFBF" w:themeColor="background1" w:themeShade="BF"/>
              <w:right w:val="nil"/>
            </w:tcBorders>
            <w:shd w:val="clear" w:color="auto" w:fill="auto"/>
          </w:tcPr>
          <w:p w14:paraId="4F2456A3" w14:textId="0C0834F0" w:rsidR="001436AF" w:rsidRPr="0034209C" w:rsidRDefault="001436AF" w:rsidP="0034209C">
            <w:pPr>
              <w:pStyle w:val="EIRTableText"/>
              <w:ind w:left="288" w:hanging="288"/>
            </w:pPr>
            <w:r w:rsidRPr="0034209C">
              <w:t>B)</w:t>
            </w:r>
            <w:r w:rsidR="0034209C">
              <w:tab/>
            </w:r>
            <w:r w:rsidRPr="0034209C">
              <w:t xml:space="preserve">Renewable Energy Generation – Solar Photovoltaic </w:t>
            </w:r>
          </w:p>
        </w:tc>
        <w:tc>
          <w:tcPr>
            <w:tcW w:w="6347" w:type="dxa"/>
            <w:tcBorders>
              <w:top w:val="single" w:sz="4" w:space="0" w:color="BFBFBF" w:themeColor="background1" w:themeShade="BF"/>
              <w:left w:val="nil"/>
              <w:bottom w:val="single" w:sz="4" w:space="0" w:color="BFBFBF" w:themeColor="background1" w:themeShade="BF"/>
              <w:right w:val="nil"/>
            </w:tcBorders>
            <w:shd w:val="clear" w:color="auto" w:fill="auto"/>
          </w:tcPr>
          <w:p w14:paraId="401C8CEC" w14:textId="70C61FA7" w:rsidR="001436AF" w:rsidRDefault="001436AF" w:rsidP="0069381E">
            <w:pPr>
              <w:pStyle w:val="EIRTableText"/>
              <w:rPr>
                <w:b/>
                <w:bCs w:val="0"/>
              </w:rPr>
            </w:pPr>
            <w:r>
              <w:rPr>
                <w:b/>
                <w:bCs w:val="0"/>
              </w:rPr>
              <w:t xml:space="preserve">Consistent. </w:t>
            </w:r>
            <w:r>
              <w:t>The project would include photovoltaic solar panels that would generate approximately 75 kWh to power the proposed office structure.</w:t>
            </w:r>
          </w:p>
        </w:tc>
      </w:tr>
      <w:tr w:rsidR="001436AF" w:rsidRPr="00EE2D0B" w14:paraId="56D1A14A" w14:textId="77777777" w:rsidTr="0034209C">
        <w:tc>
          <w:tcPr>
            <w:tcW w:w="2682" w:type="dxa"/>
            <w:tcBorders>
              <w:top w:val="single" w:sz="4" w:space="0" w:color="BFBFBF" w:themeColor="background1" w:themeShade="BF"/>
              <w:left w:val="nil"/>
              <w:bottom w:val="single" w:sz="4" w:space="0" w:color="BFBFBF" w:themeColor="background1" w:themeShade="BF"/>
              <w:right w:val="nil"/>
            </w:tcBorders>
            <w:shd w:val="clear" w:color="auto" w:fill="auto"/>
          </w:tcPr>
          <w:p w14:paraId="79B44169" w14:textId="29F96214" w:rsidR="001436AF" w:rsidRPr="0034209C" w:rsidRDefault="001436AF" w:rsidP="0034209C">
            <w:pPr>
              <w:pStyle w:val="EIRTableText"/>
              <w:ind w:left="288" w:hanging="288"/>
            </w:pPr>
            <w:r w:rsidRPr="0034209C">
              <w:t>D)</w:t>
            </w:r>
            <w:r w:rsidR="0034209C">
              <w:tab/>
            </w:r>
            <w:r w:rsidRPr="0034209C">
              <w:t>Fuel Switching – Heating and Hot Water: From Natural Gas to Electric Heat Pumps</w:t>
            </w:r>
          </w:p>
        </w:tc>
        <w:tc>
          <w:tcPr>
            <w:tcW w:w="6347" w:type="dxa"/>
            <w:tcBorders>
              <w:top w:val="single" w:sz="4" w:space="0" w:color="BFBFBF" w:themeColor="background1" w:themeShade="BF"/>
              <w:left w:val="nil"/>
              <w:bottom w:val="single" w:sz="4" w:space="0" w:color="BFBFBF" w:themeColor="background1" w:themeShade="BF"/>
              <w:right w:val="nil"/>
            </w:tcBorders>
            <w:shd w:val="clear" w:color="auto" w:fill="auto"/>
          </w:tcPr>
          <w:p w14:paraId="133E445F" w14:textId="1B2A12A6" w:rsidR="001436AF" w:rsidRPr="001436AF" w:rsidRDefault="001436AF" w:rsidP="0069381E">
            <w:pPr>
              <w:pStyle w:val="EIRTableText"/>
            </w:pPr>
            <w:r>
              <w:rPr>
                <w:b/>
                <w:bCs w:val="0"/>
              </w:rPr>
              <w:t xml:space="preserve">Consistent. </w:t>
            </w:r>
            <w:r>
              <w:t>The proposed office structure would be an entirely electric development and would use electricity for building power and heating in place of natural gas.</w:t>
            </w:r>
          </w:p>
        </w:tc>
      </w:tr>
      <w:tr w:rsidR="001436AF" w:rsidRPr="00EE2D0B" w14:paraId="742DEC30" w14:textId="77777777" w:rsidTr="0034209C">
        <w:tc>
          <w:tcPr>
            <w:tcW w:w="2682" w:type="dxa"/>
            <w:tcBorders>
              <w:top w:val="single" w:sz="4" w:space="0" w:color="BFBFBF" w:themeColor="background1" w:themeShade="BF"/>
              <w:left w:val="nil"/>
              <w:bottom w:val="single" w:sz="4" w:space="0" w:color="auto"/>
              <w:right w:val="nil"/>
            </w:tcBorders>
          </w:tcPr>
          <w:p w14:paraId="3ED5F2D5" w14:textId="63435271" w:rsidR="001436AF" w:rsidRPr="0034209C" w:rsidRDefault="001436AF" w:rsidP="0034209C">
            <w:pPr>
              <w:pStyle w:val="EIRTableText"/>
              <w:ind w:left="288" w:hanging="288"/>
            </w:pPr>
            <w:r w:rsidRPr="0034209C">
              <w:t>E)</w:t>
            </w:r>
            <w:r w:rsidR="0034209C">
              <w:tab/>
            </w:r>
            <w:r w:rsidRPr="0034209C">
              <w:t xml:space="preserve">Energy Efficiency – New Construction </w:t>
            </w:r>
          </w:p>
        </w:tc>
        <w:tc>
          <w:tcPr>
            <w:tcW w:w="6347" w:type="dxa"/>
            <w:tcBorders>
              <w:top w:val="single" w:sz="4" w:space="0" w:color="BFBFBF" w:themeColor="background1" w:themeShade="BF"/>
              <w:left w:val="nil"/>
              <w:bottom w:val="single" w:sz="4" w:space="0" w:color="auto"/>
              <w:right w:val="nil"/>
            </w:tcBorders>
          </w:tcPr>
          <w:p w14:paraId="30D19AD7" w14:textId="171099FA" w:rsidR="003D504E" w:rsidRPr="00AC1C51" w:rsidRDefault="00874A48" w:rsidP="0069381E">
            <w:pPr>
              <w:pStyle w:val="EIRTableText"/>
            </w:pPr>
            <w:r>
              <w:rPr>
                <w:b/>
                <w:bCs w:val="0"/>
              </w:rPr>
              <w:t xml:space="preserve">Consistent. </w:t>
            </w:r>
            <w:r>
              <w:t xml:space="preserve">The project would be designed to comply with </w:t>
            </w:r>
            <w:r w:rsidRPr="0079414A">
              <w:t>the latest Title 24 Green Building Code and Building Efficiency Energy Standards</w:t>
            </w:r>
            <w:r>
              <w:t xml:space="preserve">, which would include efficient energy usage and </w:t>
            </w:r>
            <w:r w:rsidRPr="0079414A">
              <w:t>installing energy-efficient LED lighting</w:t>
            </w:r>
            <w:r>
              <w:t>. The project would also be designed to comply with the Mountain View Green Building Code, which requires that non-residential structures meet or exceed CalGreen efficiency standards</w:t>
            </w:r>
            <w:r w:rsidRPr="00874A48">
              <w:t xml:space="preserve">. </w:t>
            </w:r>
            <w:r w:rsidRPr="00AC1C51">
              <w:t xml:space="preserve">The project would </w:t>
            </w:r>
            <w:r w:rsidR="008C6BA8">
              <w:t>include</w:t>
            </w:r>
            <w:r w:rsidRPr="0079414A">
              <w:t xml:space="preserve"> energy-efficient LED lighting, water-efficient faucets and toilets, water efficient landscaping and irrigation, and EV charging stations</w:t>
            </w:r>
            <w:r w:rsidR="004B65B7">
              <w:t xml:space="preserve"> (</w:t>
            </w:r>
            <w:r w:rsidR="0053638B">
              <w:t>Appendix PPS</w:t>
            </w:r>
            <w:r w:rsidR="004B65B7">
              <w:t>)</w:t>
            </w:r>
            <w:r w:rsidRPr="0079414A">
              <w:t>.</w:t>
            </w:r>
          </w:p>
        </w:tc>
      </w:tr>
      <w:tr w:rsidR="009102C0" w:rsidRPr="0034209C" w14:paraId="324D9D1D" w14:textId="77777777" w:rsidTr="006F10F8">
        <w:tc>
          <w:tcPr>
            <w:tcW w:w="9029" w:type="dxa"/>
            <w:gridSpan w:val="2"/>
            <w:tcBorders>
              <w:top w:val="single" w:sz="4" w:space="0" w:color="auto"/>
              <w:left w:val="nil"/>
              <w:bottom w:val="single" w:sz="4" w:space="0" w:color="auto"/>
              <w:right w:val="nil"/>
            </w:tcBorders>
          </w:tcPr>
          <w:p w14:paraId="4C13E539" w14:textId="32B2230D" w:rsidR="009102C0" w:rsidRPr="0034209C" w:rsidRDefault="009102C0" w:rsidP="0034209C">
            <w:pPr>
              <w:pStyle w:val="EIRTableText"/>
              <w:spacing w:before="60" w:after="60"/>
            </w:pPr>
            <w:r w:rsidRPr="0034209C">
              <w:rPr>
                <w:sz w:val="16"/>
                <w:szCs w:val="16"/>
              </w:rPr>
              <w:t>Source: Appendix PPS</w:t>
            </w:r>
          </w:p>
        </w:tc>
      </w:tr>
    </w:tbl>
    <w:p w14:paraId="7F800E28" w14:textId="77777777" w:rsidR="008873CE" w:rsidRDefault="008873CE" w:rsidP="008873CE">
      <w:pPr>
        <w:pStyle w:val="Heading6"/>
      </w:pPr>
      <w:r>
        <w:t xml:space="preserve">City of Mountain View Greenhouse Gas Reduction Program </w:t>
      </w:r>
    </w:p>
    <w:p w14:paraId="3EEAF4A8" w14:textId="1D45DBF9" w:rsidR="00874A48" w:rsidRDefault="008873CE" w:rsidP="00C4331A">
      <w:pPr>
        <w:pStyle w:val="BodyText"/>
      </w:pPr>
      <w:r>
        <w:t xml:space="preserve">Adopted in August 2012, the Mountain View GGRP is designed to implement greenhouse gas reduction policies contained in the City’s 2030 General Plan and to comply with BAAQMD emissions thresholds and guidelines (City of </w:t>
      </w:r>
      <w:r w:rsidR="006A30B5">
        <w:t>M</w:t>
      </w:r>
      <w:r>
        <w:t xml:space="preserve">ountain View 2012b). Specifically, the GGRP implements Goal MOB-9 and Policy MOB 9.1 of the 2030 General Plan, which intend to achieve state and regional air quality and greenhouse gas emissions reduction targets. </w:t>
      </w:r>
      <w:r w:rsidR="009555A2">
        <w:fldChar w:fldCharType="begin"/>
      </w:r>
      <w:r w:rsidR="009555A2">
        <w:instrText xml:space="preserve"> REF _Ref93652129 \h </w:instrText>
      </w:r>
      <w:r w:rsidR="009555A2">
        <w:fldChar w:fldCharType="separate"/>
      </w:r>
      <w:r w:rsidR="00FA55F1">
        <w:t xml:space="preserve">Table </w:t>
      </w:r>
      <w:r w:rsidR="00FA55F1">
        <w:rPr>
          <w:noProof/>
        </w:rPr>
        <w:t>20</w:t>
      </w:r>
      <w:r w:rsidR="009555A2">
        <w:fldChar w:fldCharType="end"/>
      </w:r>
      <w:r w:rsidR="009555A2">
        <w:t xml:space="preserve"> demonstrates the project’s consistency with </w:t>
      </w:r>
      <w:r w:rsidR="008F7F68">
        <w:t>selected</w:t>
      </w:r>
      <w:r w:rsidR="009555A2">
        <w:t xml:space="preserve"> GGRP</w:t>
      </w:r>
      <w:r w:rsidR="008F7F68">
        <w:t xml:space="preserve"> measures</w:t>
      </w:r>
      <w:r w:rsidR="009555A2">
        <w:t xml:space="preserve"> (City of Mountain View 2012b)</w:t>
      </w:r>
      <w:r w:rsidR="00C4331A">
        <w:t>.</w:t>
      </w:r>
    </w:p>
    <w:p w14:paraId="4031DB51" w14:textId="715184E4" w:rsidR="00874A48" w:rsidRDefault="00874A48" w:rsidP="009555A2">
      <w:pPr>
        <w:pStyle w:val="TableCaption"/>
      </w:pPr>
      <w:bookmarkStart w:id="243" w:name="_Ref93652129"/>
      <w:bookmarkStart w:id="244" w:name="_Toc112942469"/>
      <w:r>
        <w:t xml:space="preserve">Table </w:t>
      </w:r>
      <w:fldSimple w:instr=" SEQ Table \* ARABIC ">
        <w:r w:rsidR="00FA55F1">
          <w:rPr>
            <w:noProof/>
          </w:rPr>
          <w:t>20</w:t>
        </w:r>
      </w:fldSimple>
      <w:bookmarkEnd w:id="243"/>
      <w:r w:rsidR="009555A2">
        <w:tab/>
        <w:t>Project Consistency with the Mountain View Greenhouse Gas Reduction Program</w:t>
      </w:r>
      <w:bookmarkEnd w:id="244"/>
      <w:r w:rsidR="009555A2">
        <w:t xml:space="preserve"> </w:t>
      </w:r>
    </w:p>
    <w:tbl>
      <w:tblPr>
        <w:tblW w:w="9029" w:type="dxa"/>
        <w:tblLook w:val="04A0" w:firstRow="1" w:lastRow="0" w:firstColumn="1" w:lastColumn="0" w:noHBand="0" w:noVBand="1"/>
      </w:tblPr>
      <w:tblGrid>
        <w:gridCol w:w="2887"/>
        <w:gridCol w:w="6142"/>
      </w:tblGrid>
      <w:tr w:rsidR="009555A2" w14:paraId="554A652D" w14:textId="77777777" w:rsidTr="00AC1C51">
        <w:trPr>
          <w:tblHeader/>
        </w:trPr>
        <w:tc>
          <w:tcPr>
            <w:tcW w:w="2887" w:type="dxa"/>
            <w:shd w:val="clear" w:color="auto" w:fill="000000" w:themeFill="text1"/>
            <w:hideMark/>
          </w:tcPr>
          <w:p w14:paraId="77D00E7F" w14:textId="3A351D99" w:rsidR="009555A2" w:rsidRDefault="00C9214D" w:rsidP="0069381E">
            <w:pPr>
              <w:pStyle w:val="EIRTableColumnHeadings"/>
              <w:keepNext w:val="0"/>
              <w:spacing w:before="80" w:after="80"/>
              <w:rPr>
                <w:color w:val="auto"/>
              </w:rPr>
            </w:pPr>
            <w:r>
              <w:rPr>
                <w:color w:val="auto"/>
              </w:rPr>
              <w:t>Measure</w:t>
            </w:r>
          </w:p>
        </w:tc>
        <w:tc>
          <w:tcPr>
            <w:tcW w:w="6142" w:type="dxa"/>
            <w:shd w:val="clear" w:color="auto" w:fill="000000" w:themeFill="text1"/>
            <w:hideMark/>
          </w:tcPr>
          <w:p w14:paraId="03C91C2C" w14:textId="77777777" w:rsidR="009555A2" w:rsidRDefault="009555A2" w:rsidP="0069381E">
            <w:pPr>
              <w:pStyle w:val="EIRTableColumnHeadings"/>
              <w:keepNext w:val="0"/>
              <w:spacing w:before="80" w:after="80"/>
              <w:rPr>
                <w:color w:val="auto"/>
              </w:rPr>
            </w:pPr>
            <w:r>
              <w:rPr>
                <w:color w:val="auto"/>
              </w:rPr>
              <w:t>Consistency</w:t>
            </w:r>
          </w:p>
        </w:tc>
      </w:tr>
      <w:tr w:rsidR="008F7F68" w:rsidRPr="00EE2D0B" w14:paraId="0983FF53" w14:textId="77777777" w:rsidTr="00AC1C51">
        <w:tc>
          <w:tcPr>
            <w:tcW w:w="2887" w:type="dxa"/>
            <w:tcBorders>
              <w:left w:val="nil"/>
              <w:bottom w:val="single" w:sz="4" w:space="0" w:color="BFBFBF" w:themeColor="background1" w:themeShade="BF"/>
              <w:right w:val="nil"/>
            </w:tcBorders>
          </w:tcPr>
          <w:p w14:paraId="45AC63EF" w14:textId="3A180DB6" w:rsidR="008F7F68" w:rsidRPr="009C7D5D" w:rsidRDefault="009C7D5D" w:rsidP="009102C0">
            <w:pPr>
              <w:pStyle w:val="EIRTableText"/>
            </w:pPr>
            <w:r>
              <w:rPr>
                <w:b/>
                <w:bCs w:val="0"/>
              </w:rPr>
              <w:t>Measure E-1.7.</w:t>
            </w:r>
            <w:r>
              <w:t xml:space="preserve"> Exceed State energy standards in new non-residential development </w:t>
            </w:r>
          </w:p>
        </w:tc>
        <w:tc>
          <w:tcPr>
            <w:tcW w:w="6142" w:type="dxa"/>
            <w:tcBorders>
              <w:left w:val="nil"/>
              <w:bottom w:val="single" w:sz="4" w:space="0" w:color="BFBFBF" w:themeColor="background1" w:themeShade="BF"/>
              <w:right w:val="nil"/>
            </w:tcBorders>
          </w:tcPr>
          <w:p w14:paraId="01829468" w14:textId="47BAD4D3" w:rsidR="008F7F68" w:rsidRDefault="009C7D5D" w:rsidP="009102C0">
            <w:pPr>
              <w:pStyle w:val="EIRTableText"/>
              <w:rPr>
                <w:b/>
                <w:bCs w:val="0"/>
              </w:rPr>
            </w:pPr>
            <w:r>
              <w:rPr>
                <w:b/>
                <w:bCs w:val="0"/>
              </w:rPr>
              <w:t>Consistent</w:t>
            </w:r>
            <w:r>
              <w:t>. The project would be designed to comply with the Mountain View Green Building Code, which requires that non-residential structures meet or exceed CalGreen efficiency standards</w:t>
            </w:r>
            <w:r w:rsidRPr="00874A48">
              <w:t xml:space="preserve">. </w:t>
            </w:r>
            <w:r w:rsidRPr="0069381E">
              <w:t>The project would involve</w:t>
            </w:r>
            <w:r w:rsidRPr="00874A48">
              <w:t xml:space="preserve"> installing</w:t>
            </w:r>
            <w:r w:rsidRPr="0079414A">
              <w:t xml:space="preserve"> energy-efficient LED lighting, water-efficient faucets and toilets, water efficient landscaping and irrigation, and EV charging stations.</w:t>
            </w:r>
          </w:p>
        </w:tc>
      </w:tr>
      <w:tr w:rsidR="009555A2" w:rsidRPr="00EE2D0B" w14:paraId="077B4F6F" w14:textId="77777777" w:rsidTr="00AC1C51">
        <w:tc>
          <w:tcPr>
            <w:tcW w:w="2887" w:type="dxa"/>
            <w:tcBorders>
              <w:top w:val="single" w:sz="4" w:space="0" w:color="BFBFBF" w:themeColor="background1" w:themeShade="BF"/>
              <w:left w:val="nil"/>
              <w:bottom w:val="single" w:sz="4" w:space="0" w:color="BFBFBF" w:themeColor="background1" w:themeShade="BF"/>
              <w:right w:val="nil"/>
            </w:tcBorders>
          </w:tcPr>
          <w:p w14:paraId="22185B19" w14:textId="0ACDAC80" w:rsidR="009555A2" w:rsidRPr="001436AF" w:rsidRDefault="00C9214D" w:rsidP="009102C0">
            <w:pPr>
              <w:pStyle w:val="EIRTableText"/>
            </w:pPr>
            <w:r>
              <w:rPr>
                <w:b/>
                <w:bCs w:val="0"/>
              </w:rPr>
              <w:t>Measure E-2.4</w:t>
            </w:r>
            <w:r w:rsidR="00275B75">
              <w:rPr>
                <w:b/>
                <w:bCs w:val="0"/>
              </w:rPr>
              <w:t xml:space="preserve">. </w:t>
            </w:r>
            <w:r>
              <w:t>Non-residential solar photovoltaic systems</w:t>
            </w:r>
          </w:p>
        </w:tc>
        <w:tc>
          <w:tcPr>
            <w:tcW w:w="6142" w:type="dxa"/>
            <w:tcBorders>
              <w:top w:val="single" w:sz="4" w:space="0" w:color="BFBFBF" w:themeColor="background1" w:themeShade="BF"/>
              <w:left w:val="nil"/>
              <w:bottom w:val="single" w:sz="4" w:space="0" w:color="BFBFBF" w:themeColor="background1" w:themeShade="BF"/>
              <w:right w:val="nil"/>
            </w:tcBorders>
          </w:tcPr>
          <w:p w14:paraId="1B6B8934" w14:textId="45BB3555" w:rsidR="009555A2" w:rsidRPr="00EE2D0B" w:rsidRDefault="009555A2" w:rsidP="009102C0">
            <w:pPr>
              <w:pStyle w:val="EIRTableText"/>
            </w:pPr>
            <w:r>
              <w:rPr>
                <w:b/>
                <w:bCs w:val="0"/>
              </w:rPr>
              <w:t xml:space="preserve">Consistent. </w:t>
            </w:r>
            <w:r>
              <w:t xml:space="preserve">The project would include photovoltaic solar panels that would generate approximately 75 kWh to power the proposed office structure. The project would be an entirely electric development. </w:t>
            </w:r>
          </w:p>
        </w:tc>
      </w:tr>
      <w:tr w:rsidR="00C9214D" w:rsidRPr="00EE2D0B" w14:paraId="60769C5B" w14:textId="77777777" w:rsidTr="00AC1C51">
        <w:tc>
          <w:tcPr>
            <w:tcW w:w="2887" w:type="dxa"/>
            <w:tcBorders>
              <w:top w:val="single" w:sz="4" w:space="0" w:color="BFBFBF" w:themeColor="background1" w:themeShade="BF"/>
              <w:left w:val="nil"/>
              <w:bottom w:val="single" w:sz="4" w:space="0" w:color="BFBFBF" w:themeColor="background1" w:themeShade="BF"/>
              <w:right w:val="nil"/>
            </w:tcBorders>
          </w:tcPr>
          <w:p w14:paraId="71EB1169" w14:textId="5C354952" w:rsidR="00C9214D" w:rsidRPr="008F7F68" w:rsidRDefault="008F7F68" w:rsidP="009102C0">
            <w:pPr>
              <w:pStyle w:val="EIRTableText"/>
            </w:pPr>
            <w:r>
              <w:rPr>
                <w:b/>
                <w:bCs w:val="0"/>
              </w:rPr>
              <w:t xml:space="preserve">Measure T-1.1. </w:t>
            </w:r>
            <w:r>
              <w:t xml:space="preserve">Transportation Demand Management </w:t>
            </w:r>
          </w:p>
        </w:tc>
        <w:tc>
          <w:tcPr>
            <w:tcW w:w="6142" w:type="dxa"/>
            <w:tcBorders>
              <w:top w:val="single" w:sz="4" w:space="0" w:color="BFBFBF" w:themeColor="background1" w:themeShade="BF"/>
              <w:left w:val="nil"/>
              <w:bottom w:val="single" w:sz="4" w:space="0" w:color="BFBFBF" w:themeColor="background1" w:themeShade="BF"/>
              <w:right w:val="nil"/>
            </w:tcBorders>
          </w:tcPr>
          <w:p w14:paraId="6207CDFF" w14:textId="6DDE0D73" w:rsidR="00C9214D" w:rsidRDefault="008F7F68" w:rsidP="009102C0">
            <w:pPr>
              <w:pStyle w:val="EIRTableText"/>
              <w:rPr>
                <w:b/>
                <w:bCs w:val="0"/>
              </w:rPr>
            </w:pPr>
            <w:r>
              <w:rPr>
                <w:b/>
                <w:bCs w:val="0"/>
              </w:rPr>
              <w:t xml:space="preserve">Consistent. </w:t>
            </w:r>
            <w:r>
              <w:t xml:space="preserve">The project would implement several transportation demand management strategies (see Section 17, </w:t>
            </w:r>
            <w:r>
              <w:rPr>
                <w:i/>
                <w:iCs/>
              </w:rPr>
              <w:t>Transportation)</w:t>
            </w:r>
            <w:r>
              <w:t xml:space="preserve"> that would encourage telecommuting, transit, and bicycling at the project site. The project site is within walking distance of several transit options and is served by adequate bicycle and pedestrian facilities.</w:t>
            </w:r>
          </w:p>
        </w:tc>
      </w:tr>
      <w:tr w:rsidR="008F7F68" w:rsidRPr="00EE2D0B" w14:paraId="074E22A8" w14:textId="77777777" w:rsidTr="00AC1C51">
        <w:tc>
          <w:tcPr>
            <w:tcW w:w="2887" w:type="dxa"/>
            <w:tcBorders>
              <w:top w:val="single" w:sz="4" w:space="0" w:color="BFBFBF" w:themeColor="background1" w:themeShade="BF"/>
              <w:left w:val="nil"/>
              <w:bottom w:val="single" w:sz="4" w:space="0" w:color="auto"/>
              <w:right w:val="nil"/>
            </w:tcBorders>
          </w:tcPr>
          <w:p w14:paraId="1D79D8DC" w14:textId="0E078AB1" w:rsidR="008F7F68" w:rsidRPr="008F7F68" w:rsidRDefault="008F7F68" w:rsidP="009102C0">
            <w:pPr>
              <w:pStyle w:val="EIRTableText"/>
            </w:pPr>
            <w:r>
              <w:rPr>
                <w:b/>
                <w:bCs w:val="0"/>
              </w:rPr>
              <w:t xml:space="preserve">Measure CS-1.1. </w:t>
            </w:r>
            <w:r>
              <w:t xml:space="preserve">Enhance the urban forest </w:t>
            </w:r>
          </w:p>
        </w:tc>
        <w:tc>
          <w:tcPr>
            <w:tcW w:w="6142" w:type="dxa"/>
            <w:tcBorders>
              <w:top w:val="single" w:sz="4" w:space="0" w:color="BFBFBF" w:themeColor="background1" w:themeShade="BF"/>
              <w:left w:val="nil"/>
              <w:bottom w:val="single" w:sz="4" w:space="0" w:color="auto"/>
              <w:right w:val="nil"/>
            </w:tcBorders>
          </w:tcPr>
          <w:p w14:paraId="66813EAB" w14:textId="4C8A1AEC" w:rsidR="008F7F68" w:rsidRPr="008F7F68" w:rsidRDefault="008F7F68" w:rsidP="009102C0">
            <w:pPr>
              <w:pStyle w:val="EIRTableText"/>
            </w:pPr>
            <w:r>
              <w:rPr>
                <w:b/>
                <w:bCs w:val="0"/>
              </w:rPr>
              <w:t xml:space="preserve">Consistent. </w:t>
            </w:r>
            <w:r>
              <w:t xml:space="preserve">The project would involve the planting of </w:t>
            </w:r>
            <w:r w:rsidR="00C6054F">
              <w:t xml:space="preserve">approximately 70 </w:t>
            </w:r>
            <w:r>
              <w:t>trees, which would increase the shaded area within the project site and contribute to the urban forest</w:t>
            </w:r>
            <w:r w:rsidR="004B65B7">
              <w:t xml:space="preserve"> (</w:t>
            </w:r>
            <w:r w:rsidR="0053638B">
              <w:t>Appendix PPS</w:t>
            </w:r>
            <w:r w:rsidR="004B65B7">
              <w:t>)</w:t>
            </w:r>
            <w:r>
              <w:t xml:space="preserve">. </w:t>
            </w:r>
          </w:p>
        </w:tc>
      </w:tr>
      <w:tr w:rsidR="009102C0" w:rsidRPr="00C4331A" w14:paraId="1C2CBB42" w14:textId="77777777" w:rsidTr="00C52A80">
        <w:tc>
          <w:tcPr>
            <w:tcW w:w="9029" w:type="dxa"/>
            <w:gridSpan w:val="2"/>
            <w:tcBorders>
              <w:top w:val="single" w:sz="4" w:space="0" w:color="auto"/>
              <w:left w:val="nil"/>
              <w:bottom w:val="single" w:sz="4" w:space="0" w:color="auto"/>
              <w:right w:val="nil"/>
            </w:tcBorders>
          </w:tcPr>
          <w:p w14:paraId="775893D8" w14:textId="66FF7A61" w:rsidR="009102C0" w:rsidRPr="00C4331A" w:rsidRDefault="009102C0" w:rsidP="009102C0">
            <w:pPr>
              <w:pStyle w:val="EIRTableText"/>
              <w:spacing w:before="60" w:after="60"/>
            </w:pPr>
            <w:r w:rsidRPr="00C4331A">
              <w:rPr>
                <w:sz w:val="16"/>
                <w:szCs w:val="16"/>
              </w:rPr>
              <w:t>Source: Appendix PPS</w:t>
            </w:r>
          </w:p>
        </w:tc>
      </w:tr>
    </w:tbl>
    <w:p w14:paraId="4F479621" w14:textId="45E5E93B" w:rsidR="008873CE" w:rsidRDefault="008873CE" w:rsidP="008873CE">
      <w:pPr>
        <w:pStyle w:val="Heading6"/>
      </w:pPr>
      <w:r>
        <w:t>City of Mountain View 2030 General Plan</w:t>
      </w:r>
      <w:r w:rsidR="00275B75">
        <w:t xml:space="preserve"> </w:t>
      </w:r>
    </w:p>
    <w:p w14:paraId="08574EDA" w14:textId="7158326C" w:rsidR="008873CE" w:rsidRDefault="008873CE" w:rsidP="008873CE">
      <w:pPr>
        <w:pStyle w:val="BodyText"/>
      </w:pPr>
      <w:r>
        <w:t xml:space="preserve">The Mountain View 2030 General Plan is a long-range planning document that includes goals, policies, </w:t>
      </w:r>
      <w:r w:rsidR="002A120B">
        <w:t xml:space="preserve">and </w:t>
      </w:r>
      <w:r>
        <w:t>implementing actions</w:t>
      </w:r>
      <w:r w:rsidR="002A120B">
        <w:t xml:space="preserve"> to </w:t>
      </w:r>
      <w:r>
        <w:t xml:space="preserve">guide development and growth through the </w:t>
      </w:r>
      <w:r w:rsidR="006A30B5">
        <w:t xml:space="preserve">2030 </w:t>
      </w:r>
      <w:r>
        <w:t xml:space="preserve">horizon year. </w:t>
      </w:r>
      <w:r w:rsidR="006A30B5">
        <w:t>Applicable goals and policies and the project consistency are detailed</w:t>
      </w:r>
      <w:r>
        <w:t xml:space="preserve"> in </w:t>
      </w:r>
      <w:r>
        <w:fldChar w:fldCharType="begin"/>
      </w:r>
      <w:r>
        <w:instrText xml:space="preserve"> REF _Ref90369081 \h </w:instrText>
      </w:r>
      <w:r>
        <w:fldChar w:fldCharType="separate"/>
      </w:r>
      <w:r w:rsidR="00FA55F1">
        <w:t xml:space="preserve">Table </w:t>
      </w:r>
      <w:r w:rsidR="00FA55F1">
        <w:rPr>
          <w:noProof/>
        </w:rPr>
        <w:t>21</w:t>
      </w:r>
      <w:r>
        <w:fldChar w:fldCharType="end"/>
      </w:r>
      <w:r>
        <w:t xml:space="preserve">. </w:t>
      </w:r>
    </w:p>
    <w:p w14:paraId="1878B306" w14:textId="7C41ED0C" w:rsidR="008873CE" w:rsidRDefault="008873CE" w:rsidP="008873CE">
      <w:pPr>
        <w:pStyle w:val="TableCaption"/>
      </w:pPr>
      <w:bookmarkStart w:id="245" w:name="_Ref90369081"/>
      <w:bookmarkStart w:id="246" w:name="_Toc112942470"/>
      <w:r>
        <w:t xml:space="preserve">Table </w:t>
      </w:r>
      <w:fldSimple w:instr=" SEQ Table \* ARABIC ">
        <w:r w:rsidR="00FA55F1">
          <w:rPr>
            <w:noProof/>
          </w:rPr>
          <w:t>21</w:t>
        </w:r>
      </w:fldSimple>
      <w:bookmarkEnd w:id="245"/>
      <w:r w:rsidR="001D4BBB">
        <w:tab/>
      </w:r>
      <w:r>
        <w:t>Project Consistency with the 2030 General Plan</w:t>
      </w:r>
      <w:bookmarkEnd w:id="246"/>
      <w:r>
        <w:t xml:space="preserve"> </w:t>
      </w:r>
    </w:p>
    <w:tbl>
      <w:tblPr>
        <w:tblW w:w="9029" w:type="dxa"/>
        <w:tblLook w:val="04A0" w:firstRow="1" w:lastRow="0" w:firstColumn="1" w:lastColumn="0" w:noHBand="0" w:noVBand="1"/>
      </w:tblPr>
      <w:tblGrid>
        <w:gridCol w:w="3375"/>
        <w:gridCol w:w="5654"/>
      </w:tblGrid>
      <w:tr w:rsidR="008873CE" w14:paraId="4EE43E80" w14:textId="77777777" w:rsidTr="00C4331A">
        <w:trPr>
          <w:tblHeader/>
        </w:trPr>
        <w:tc>
          <w:tcPr>
            <w:tcW w:w="3375" w:type="dxa"/>
            <w:shd w:val="clear" w:color="auto" w:fill="000000" w:themeFill="text1"/>
            <w:hideMark/>
          </w:tcPr>
          <w:p w14:paraId="6978BF00" w14:textId="77777777" w:rsidR="008873CE" w:rsidRDefault="008873CE" w:rsidP="00C85545">
            <w:pPr>
              <w:pStyle w:val="EIRTableColumnHeadings"/>
              <w:keepNext w:val="0"/>
              <w:spacing w:before="80" w:after="80"/>
              <w:rPr>
                <w:color w:val="auto"/>
              </w:rPr>
            </w:pPr>
            <w:r>
              <w:rPr>
                <w:color w:val="auto"/>
              </w:rPr>
              <w:t xml:space="preserve">Goal/Policy </w:t>
            </w:r>
          </w:p>
        </w:tc>
        <w:tc>
          <w:tcPr>
            <w:tcW w:w="5654" w:type="dxa"/>
            <w:shd w:val="clear" w:color="auto" w:fill="000000" w:themeFill="text1"/>
            <w:hideMark/>
          </w:tcPr>
          <w:p w14:paraId="58444A53" w14:textId="77777777" w:rsidR="008873CE" w:rsidRDefault="008873CE" w:rsidP="00C85545">
            <w:pPr>
              <w:pStyle w:val="EIRTableColumnHeadings"/>
              <w:keepNext w:val="0"/>
              <w:spacing w:before="80" w:after="80"/>
              <w:rPr>
                <w:color w:val="auto"/>
              </w:rPr>
            </w:pPr>
            <w:r>
              <w:rPr>
                <w:color w:val="auto"/>
              </w:rPr>
              <w:t>Consistency</w:t>
            </w:r>
          </w:p>
        </w:tc>
      </w:tr>
      <w:tr w:rsidR="008873CE" w14:paraId="7BFBE9A4" w14:textId="77777777" w:rsidTr="00C4331A">
        <w:tc>
          <w:tcPr>
            <w:tcW w:w="3375" w:type="dxa"/>
            <w:tcBorders>
              <w:left w:val="nil"/>
              <w:bottom w:val="single" w:sz="4" w:space="0" w:color="BFBFBF" w:themeColor="background1" w:themeShade="BF"/>
              <w:right w:val="nil"/>
            </w:tcBorders>
          </w:tcPr>
          <w:p w14:paraId="253E8101" w14:textId="77777777" w:rsidR="008873CE" w:rsidRPr="00D6290C" w:rsidRDefault="008873CE" w:rsidP="00C85545">
            <w:pPr>
              <w:pStyle w:val="EIRTableText"/>
            </w:pPr>
            <w:r w:rsidRPr="00D6290C">
              <w:rPr>
                <w:b/>
                <w:bCs w:val="0"/>
              </w:rPr>
              <w:t>Policy INC 5.2.</w:t>
            </w:r>
            <w:r w:rsidRPr="00D6290C">
              <w:t xml:space="preserve"> Citywide water conservation. Reduce water waste and implement water conservation and efficiency measures throughout the city. </w:t>
            </w:r>
          </w:p>
        </w:tc>
        <w:tc>
          <w:tcPr>
            <w:tcW w:w="5654" w:type="dxa"/>
            <w:tcBorders>
              <w:left w:val="nil"/>
              <w:bottom w:val="single" w:sz="4" w:space="0" w:color="BFBFBF" w:themeColor="background1" w:themeShade="BF"/>
              <w:right w:val="nil"/>
            </w:tcBorders>
          </w:tcPr>
          <w:p w14:paraId="69E7C84C" w14:textId="434B0A09" w:rsidR="008873CE" w:rsidRPr="00C01816" w:rsidRDefault="008873CE" w:rsidP="00C85545">
            <w:pPr>
              <w:pStyle w:val="EIRTableText"/>
            </w:pPr>
            <w:r>
              <w:rPr>
                <w:b/>
                <w:bCs w:val="0"/>
              </w:rPr>
              <w:t xml:space="preserve">Consistent. </w:t>
            </w:r>
            <w:r>
              <w:t xml:space="preserve">The project </w:t>
            </w:r>
            <w:r w:rsidR="00654188">
              <w:t>would be</w:t>
            </w:r>
            <w:r>
              <w:t xml:space="preserve"> designed to comply with </w:t>
            </w:r>
            <w:r w:rsidRPr="0079414A">
              <w:t>the latest Title 24 Green Building Code and Building Efficiency Energy Standards</w:t>
            </w:r>
            <w:r>
              <w:t xml:space="preserve">, which includes </w:t>
            </w:r>
            <w:r w:rsidRPr="0079414A">
              <w:t>water-efficient faucets and toilets</w:t>
            </w:r>
            <w:r>
              <w:t xml:space="preserve">, and </w:t>
            </w:r>
            <w:r w:rsidRPr="0079414A">
              <w:t>water</w:t>
            </w:r>
            <w:r>
              <w:t>-</w:t>
            </w:r>
            <w:r w:rsidRPr="0079414A">
              <w:t>efficient landscaping and irrigation</w:t>
            </w:r>
            <w:r>
              <w:t xml:space="preserve">. By design, the proposed project would use low-flow water fixtures and efficient landscape irrigation. </w:t>
            </w:r>
          </w:p>
        </w:tc>
      </w:tr>
      <w:tr w:rsidR="008873CE" w14:paraId="47DAD9F1" w14:textId="77777777" w:rsidTr="00C4331A">
        <w:tc>
          <w:tcPr>
            <w:tcW w:w="3375" w:type="dxa"/>
            <w:tcBorders>
              <w:top w:val="single" w:sz="4" w:space="0" w:color="BFBFBF" w:themeColor="background1" w:themeShade="BF"/>
              <w:left w:val="nil"/>
              <w:bottom w:val="single" w:sz="4" w:space="0" w:color="BFBFBF" w:themeColor="background1" w:themeShade="BF"/>
              <w:right w:val="nil"/>
            </w:tcBorders>
          </w:tcPr>
          <w:p w14:paraId="0A3F3736" w14:textId="77777777" w:rsidR="008873CE" w:rsidRPr="00D6290C" w:rsidRDefault="008873CE" w:rsidP="00C85545">
            <w:pPr>
              <w:pStyle w:val="EIRTableText"/>
            </w:pPr>
            <w:r w:rsidRPr="00D6290C">
              <w:rPr>
                <w:b/>
                <w:bCs w:val="0"/>
              </w:rPr>
              <w:t>Policy INC 5.6.</w:t>
            </w:r>
            <w:r w:rsidRPr="00D6290C">
              <w:t xml:space="preserve"> Indoor efficiency. Promote the use of water-efficient fixtures and appliances. </w:t>
            </w:r>
          </w:p>
        </w:tc>
        <w:tc>
          <w:tcPr>
            <w:tcW w:w="5654" w:type="dxa"/>
            <w:tcBorders>
              <w:top w:val="single" w:sz="4" w:space="0" w:color="BFBFBF" w:themeColor="background1" w:themeShade="BF"/>
              <w:left w:val="nil"/>
              <w:bottom w:val="single" w:sz="4" w:space="0" w:color="BFBFBF" w:themeColor="background1" w:themeShade="BF"/>
              <w:right w:val="nil"/>
            </w:tcBorders>
          </w:tcPr>
          <w:p w14:paraId="3635C532" w14:textId="30CCE645" w:rsidR="008873CE" w:rsidRDefault="008873CE" w:rsidP="00C85545">
            <w:pPr>
              <w:pStyle w:val="EIRTableText"/>
              <w:rPr>
                <w:b/>
                <w:bCs w:val="0"/>
              </w:rPr>
            </w:pPr>
            <w:r>
              <w:rPr>
                <w:b/>
                <w:bCs w:val="0"/>
              </w:rPr>
              <w:t xml:space="preserve">Consistent. </w:t>
            </w:r>
            <w:r>
              <w:t xml:space="preserve">The project </w:t>
            </w:r>
            <w:r w:rsidR="002A120B">
              <w:t xml:space="preserve">would be </w:t>
            </w:r>
            <w:r>
              <w:t xml:space="preserve">designed to comply with </w:t>
            </w:r>
            <w:r w:rsidRPr="0079414A">
              <w:t>the latest Title 24 Green Building Code and Building Efficiency Energy Standards</w:t>
            </w:r>
            <w:r>
              <w:t xml:space="preserve">, which includes </w:t>
            </w:r>
            <w:r w:rsidRPr="0079414A">
              <w:t>water-efficient faucets and toilets</w:t>
            </w:r>
            <w:r>
              <w:t xml:space="preserve">. By design, the proposed project would use low-flow water fixtures. </w:t>
            </w:r>
          </w:p>
        </w:tc>
      </w:tr>
      <w:tr w:rsidR="008873CE" w14:paraId="446497DD" w14:textId="77777777" w:rsidTr="00C4331A">
        <w:tc>
          <w:tcPr>
            <w:tcW w:w="3375" w:type="dxa"/>
            <w:tcBorders>
              <w:top w:val="single" w:sz="4" w:space="0" w:color="BFBFBF" w:themeColor="background1" w:themeShade="BF"/>
              <w:left w:val="nil"/>
              <w:bottom w:val="single" w:sz="4" w:space="0" w:color="BFBFBF" w:themeColor="background1" w:themeShade="BF"/>
              <w:right w:val="nil"/>
            </w:tcBorders>
          </w:tcPr>
          <w:p w14:paraId="31E7D708" w14:textId="77777777" w:rsidR="008873CE" w:rsidRPr="003636CA" w:rsidRDefault="008873CE" w:rsidP="00C85545">
            <w:pPr>
              <w:pStyle w:val="EIRTableText"/>
              <w:rPr>
                <w:b/>
                <w:bCs w:val="0"/>
              </w:rPr>
            </w:pPr>
            <w:r w:rsidRPr="003636CA">
              <w:rPr>
                <w:b/>
                <w:bCs w:val="0"/>
              </w:rPr>
              <w:t>Goal MOB-9</w:t>
            </w:r>
            <w:r>
              <w:rPr>
                <w:b/>
              </w:rPr>
              <w:t>.</w:t>
            </w:r>
            <w:r>
              <w:t xml:space="preserve"> Achievement of state and regional air quality and greenhouse gas emission reduction targets. </w:t>
            </w:r>
          </w:p>
        </w:tc>
        <w:tc>
          <w:tcPr>
            <w:tcW w:w="5654" w:type="dxa"/>
            <w:tcBorders>
              <w:top w:val="single" w:sz="4" w:space="0" w:color="BFBFBF" w:themeColor="background1" w:themeShade="BF"/>
              <w:left w:val="nil"/>
              <w:bottom w:val="single" w:sz="4" w:space="0" w:color="BFBFBF" w:themeColor="background1" w:themeShade="BF"/>
              <w:right w:val="nil"/>
            </w:tcBorders>
          </w:tcPr>
          <w:p w14:paraId="263117A3" w14:textId="20AD360F" w:rsidR="008873CE" w:rsidRDefault="008873CE" w:rsidP="00C85545">
            <w:pPr>
              <w:pStyle w:val="EIRTableText"/>
              <w:rPr>
                <w:b/>
                <w:bCs w:val="0"/>
              </w:rPr>
            </w:pPr>
            <w:r>
              <w:rPr>
                <w:b/>
                <w:bCs w:val="0"/>
              </w:rPr>
              <w:t xml:space="preserve">Consistent. </w:t>
            </w:r>
            <w:r>
              <w:t xml:space="preserve">The project </w:t>
            </w:r>
            <w:r w:rsidR="006A30B5">
              <w:t xml:space="preserve">would </w:t>
            </w:r>
            <w:r>
              <w:t>not exceed the interpolated BAAQMD’s greenhouse gas emissions threshold of 660MT of</w:t>
            </w:r>
            <w:r w:rsidRPr="005C52F6">
              <w:t xml:space="preserve"> CO</w:t>
            </w:r>
            <w:r w:rsidRPr="005C52F6">
              <w:rPr>
                <w:vertAlign w:val="subscript"/>
              </w:rPr>
              <w:t>2</w:t>
            </w:r>
            <w:r w:rsidRPr="005C52F6">
              <w:t>e per year</w:t>
            </w:r>
            <w:r>
              <w:t>. Therefore, the project w</w:t>
            </w:r>
            <w:r w:rsidR="00654188">
              <w:t>ould</w:t>
            </w:r>
            <w:r>
              <w:t xml:space="preserve"> not </w:t>
            </w:r>
            <w:r w:rsidR="00654188">
              <w:t xml:space="preserve">contribute to </w:t>
            </w:r>
            <w:r>
              <w:t xml:space="preserve">the nonattainment </w:t>
            </w:r>
            <w:r w:rsidR="00654188">
              <w:t xml:space="preserve">of </w:t>
            </w:r>
            <w:r>
              <w:t xml:space="preserve">greenhouse gas emission reduction targets. </w:t>
            </w:r>
          </w:p>
        </w:tc>
      </w:tr>
      <w:tr w:rsidR="008873CE" w14:paraId="43BEBA4C" w14:textId="77777777" w:rsidTr="00C4331A">
        <w:tc>
          <w:tcPr>
            <w:tcW w:w="3375" w:type="dxa"/>
            <w:tcBorders>
              <w:top w:val="single" w:sz="4" w:space="0" w:color="BFBFBF" w:themeColor="background1" w:themeShade="BF"/>
              <w:left w:val="nil"/>
              <w:bottom w:val="single" w:sz="4" w:space="0" w:color="BFBFBF" w:themeColor="background1" w:themeShade="BF"/>
              <w:right w:val="nil"/>
            </w:tcBorders>
          </w:tcPr>
          <w:p w14:paraId="6222D658" w14:textId="77777777" w:rsidR="008873CE" w:rsidRPr="003636CA" w:rsidRDefault="008873CE" w:rsidP="00C85545">
            <w:pPr>
              <w:pStyle w:val="EIRTableText"/>
            </w:pPr>
            <w:r w:rsidRPr="003636CA">
              <w:rPr>
                <w:b/>
                <w:bCs w:val="0"/>
              </w:rPr>
              <w:t>Policy MOB 9.1</w:t>
            </w:r>
            <w:r>
              <w:rPr>
                <w:b/>
                <w:bCs w:val="0"/>
              </w:rPr>
              <w:t xml:space="preserve">. </w:t>
            </w:r>
            <w:r>
              <w:t xml:space="preserve">greenhouse gas emissions. Develop cost-effective strategies for reducing greenhouse gas emissions in coordination with the Greenhouse Gas Reduction Program. </w:t>
            </w:r>
          </w:p>
        </w:tc>
        <w:tc>
          <w:tcPr>
            <w:tcW w:w="5654" w:type="dxa"/>
            <w:tcBorders>
              <w:top w:val="single" w:sz="4" w:space="0" w:color="BFBFBF" w:themeColor="background1" w:themeShade="BF"/>
              <w:left w:val="nil"/>
              <w:bottom w:val="single" w:sz="4" w:space="0" w:color="BFBFBF" w:themeColor="background1" w:themeShade="BF"/>
              <w:right w:val="nil"/>
            </w:tcBorders>
          </w:tcPr>
          <w:p w14:paraId="6D85DEBC" w14:textId="7E167B59" w:rsidR="008873CE" w:rsidRPr="00CF723B" w:rsidRDefault="008873CE" w:rsidP="00C85545">
            <w:pPr>
              <w:pStyle w:val="EIRTableText"/>
            </w:pPr>
            <w:r>
              <w:rPr>
                <w:b/>
                <w:bCs w:val="0"/>
              </w:rPr>
              <w:t xml:space="preserve">Consistent. </w:t>
            </w:r>
            <w:r>
              <w:t xml:space="preserve">As described above, the project </w:t>
            </w:r>
            <w:r w:rsidR="002A120B">
              <w:t xml:space="preserve">would be </w:t>
            </w:r>
            <w:r>
              <w:t xml:space="preserve">consistent with the GGRP and would not generate emissions that exceed the interpolated BAAQMD threshold. The GGRP implements Goal MOB-9 and Policy MOB 9.1 of the 2030 General Plan, which intend to achieve state and regional air quality and greenhouse gas emissions reduction targets. Therefore, the </w:t>
            </w:r>
            <w:r w:rsidR="002A120B">
              <w:t>project would be</w:t>
            </w:r>
            <w:r>
              <w:t xml:space="preserve"> consistent with the General Plan. </w:t>
            </w:r>
          </w:p>
        </w:tc>
      </w:tr>
      <w:tr w:rsidR="008873CE" w14:paraId="1392269C" w14:textId="77777777" w:rsidTr="00C4331A">
        <w:tc>
          <w:tcPr>
            <w:tcW w:w="3375" w:type="dxa"/>
            <w:tcBorders>
              <w:top w:val="single" w:sz="4" w:space="0" w:color="BFBFBF" w:themeColor="background1" w:themeShade="BF"/>
              <w:left w:val="nil"/>
              <w:bottom w:val="single" w:sz="4" w:space="0" w:color="BFBFBF" w:themeColor="background1" w:themeShade="BF"/>
              <w:right w:val="nil"/>
            </w:tcBorders>
          </w:tcPr>
          <w:p w14:paraId="06FDD3F3" w14:textId="77777777" w:rsidR="008873CE" w:rsidRPr="006B1829" w:rsidRDefault="008873CE" w:rsidP="00C85545">
            <w:pPr>
              <w:pStyle w:val="EIRTableText"/>
            </w:pPr>
            <w:r>
              <w:rPr>
                <w:b/>
                <w:bCs w:val="0"/>
              </w:rPr>
              <w:t xml:space="preserve">Policy LUD 10.5. </w:t>
            </w:r>
            <w:r>
              <w:t xml:space="preserve">Building energy efficiency. Incorporate energy-efficient design features and materials into new and remodeled buildings. </w:t>
            </w:r>
          </w:p>
        </w:tc>
        <w:tc>
          <w:tcPr>
            <w:tcW w:w="5654" w:type="dxa"/>
            <w:tcBorders>
              <w:top w:val="single" w:sz="4" w:space="0" w:color="BFBFBF" w:themeColor="background1" w:themeShade="BF"/>
              <w:left w:val="nil"/>
              <w:bottom w:val="single" w:sz="4" w:space="0" w:color="BFBFBF" w:themeColor="background1" w:themeShade="BF"/>
              <w:right w:val="nil"/>
            </w:tcBorders>
          </w:tcPr>
          <w:p w14:paraId="52B8B8B0" w14:textId="3881FAD0" w:rsidR="008873CE" w:rsidRDefault="008873CE" w:rsidP="00C85545">
            <w:pPr>
              <w:pStyle w:val="EIRTableText"/>
              <w:rPr>
                <w:b/>
                <w:bCs w:val="0"/>
              </w:rPr>
            </w:pPr>
            <w:r>
              <w:rPr>
                <w:b/>
                <w:bCs w:val="0"/>
              </w:rPr>
              <w:t xml:space="preserve">Consistent. </w:t>
            </w:r>
            <w:r>
              <w:t xml:space="preserve">The project </w:t>
            </w:r>
            <w:r w:rsidR="002A120B">
              <w:t xml:space="preserve">would be </w:t>
            </w:r>
            <w:r>
              <w:t xml:space="preserve">designed to comply with </w:t>
            </w:r>
            <w:r w:rsidRPr="0079414A">
              <w:t>the latest Title 24 Green Building Code and Building Efficiency Energy Standards</w:t>
            </w:r>
            <w:r>
              <w:t>, which</w:t>
            </w:r>
            <w:r w:rsidR="00654188">
              <w:t xml:space="preserve"> would</w:t>
            </w:r>
            <w:r>
              <w:t xml:space="preserve"> include efficient energy usage and </w:t>
            </w:r>
            <w:r w:rsidRPr="0079414A">
              <w:t>installing energy-efficient LED lighting</w:t>
            </w:r>
            <w:r>
              <w:t xml:space="preserve">. </w:t>
            </w:r>
          </w:p>
        </w:tc>
      </w:tr>
      <w:tr w:rsidR="008873CE" w14:paraId="65CF24DB" w14:textId="77777777" w:rsidTr="00C4331A">
        <w:tc>
          <w:tcPr>
            <w:tcW w:w="3375" w:type="dxa"/>
            <w:tcBorders>
              <w:top w:val="single" w:sz="4" w:space="0" w:color="BFBFBF" w:themeColor="background1" w:themeShade="BF"/>
              <w:left w:val="nil"/>
              <w:bottom w:val="single" w:sz="4" w:space="0" w:color="BFBFBF" w:themeColor="background1" w:themeShade="BF"/>
              <w:right w:val="nil"/>
            </w:tcBorders>
          </w:tcPr>
          <w:p w14:paraId="68DFED03" w14:textId="77777777" w:rsidR="008873CE" w:rsidRPr="006B1829" w:rsidRDefault="008873CE" w:rsidP="00C85545">
            <w:pPr>
              <w:pStyle w:val="EIRTableText"/>
              <w:rPr>
                <w:bCs w:val="0"/>
              </w:rPr>
            </w:pPr>
            <w:r>
              <w:rPr>
                <w:b/>
                <w:bCs w:val="0"/>
              </w:rPr>
              <w:t xml:space="preserve">Policy LUD 10.6. </w:t>
            </w:r>
            <w:r>
              <w:rPr>
                <w:bCs w:val="0"/>
              </w:rPr>
              <w:t xml:space="preserve">On-site energy technologies. Support on-site renewable energy technologies that help reduce community energy demand. </w:t>
            </w:r>
          </w:p>
        </w:tc>
        <w:tc>
          <w:tcPr>
            <w:tcW w:w="5654" w:type="dxa"/>
            <w:tcBorders>
              <w:top w:val="single" w:sz="4" w:space="0" w:color="BFBFBF" w:themeColor="background1" w:themeShade="BF"/>
              <w:left w:val="nil"/>
              <w:bottom w:val="single" w:sz="4" w:space="0" w:color="BFBFBF" w:themeColor="background1" w:themeShade="BF"/>
              <w:right w:val="nil"/>
            </w:tcBorders>
          </w:tcPr>
          <w:p w14:paraId="71946AB9" w14:textId="6D7FCC16" w:rsidR="008873CE" w:rsidRDefault="008873CE" w:rsidP="00C85545">
            <w:pPr>
              <w:pStyle w:val="EIRTableText"/>
              <w:rPr>
                <w:b/>
                <w:bCs w:val="0"/>
              </w:rPr>
            </w:pPr>
            <w:r>
              <w:rPr>
                <w:b/>
                <w:bCs w:val="0"/>
              </w:rPr>
              <w:t xml:space="preserve">Consistent. </w:t>
            </w:r>
            <w:r>
              <w:t xml:space="preserve">The project </w:t>
            </w:r>
            <w:r w:rsidR="002A120B">
              <w:t xml:space="preserve">would be </w:t>
            </w:r>
            <w:r>
              <w:t xml:space="preserve">designed to include photovoltaic solar panels that would generate approximately 75 kWh to power the proposed office structure. </w:t>
            </w:r>
          </w:p>
        </w:tc>
      </w:tr>
      <w:tr w:rsidR="008873CE" w14:paraId="1900F367" w14:textId="77777777" w:rsidTr="00C4331A">
        <w:tc>
          <w:tcPr>
            <w:tcW w:w="3375" w:type="dxa"/>
            <w:tcBorders>
              <w:top w:val="single" w:sz="4" w:space="0" w:color="BFBFBF" w:themeColor="background1" w:themeShade="BF"/>
              <w:left w:val="nil"/>
              <w:bottom w:val="single" w:sz="4" w:space="0" w:color="BFBFBF" w:themeColor="background1" w:themeShade="BF"/>
              <w:right w:val="nil"/>
            </w:tcBorders>
          </w:tcPr>
          <w:p w14:paraId="56C5C3E4" w14:textId="77777777" w:rsidR="008873CE" w:rsidRPr="003636CA" w:rsidRDefault="008873CE" w:rsidP="00C85545">
            <w:pPr>
              <w:pStyle w:val="TableText"/>
              <w:spacing w:before="20" w:after="20"/>
              <w:rPr>
                <w:rFonts w:eastAsiaTheme="minorHAnsi"/>
                <w:b/>
              </w:rPr>
            </w:pPr>
            <w:r w:rsidRPr="00E95D83">
              <w:rPr>
                <w:rFonts w:eastAsiaTheme="minorHAnsi"/>
                <w:b/>
              </w:rPr>
              <w:t xml:space="preserve">Goal INC-12. </w:t>
            </w:r>
            <w:r w:rsidRPr="00E95D83">
              <w:rPr>
                <w:rFonts w:eastAsiaTheme="minorHAnsi"/>
                <w:bCs w:val="0"/>
              </w:rPr>
              <w:t>Environmental stewardship that recognizes the importance of addressing climate change and community commitment to sustainability.</w:t>
            </w:r>
            <w:r>
              <w:rPr>
                <w:rFonts w:eastAsiaTheme="minorHAnsi"/>
                <w:b/>
              </w:rPr>
              <w:t xml:space="preserve"> </w:t>
            </w:r>
          </w:p>
        </w:tc>
        <w:tc>
          <w:tcPr>
            <w:tcW w:w="5654" w:type="dxa"/>
            <w:tcBorders>
              <w:top w:val="single" w:sz="4" w:space="0" w:color="BFBFBF" w:themeColor="background1" w:themeShade="BF"/>
              <w:left w:val="nil"/>
              <w:bottom w:val="single" w:sz="4" w:space="0" w:color="BFBFBF" w:themeColor="background1" w:themeShade="BF"/>
              <w:right w:val="nil"/>
            </w:tcBorders>
          </w:tcPr>
          <w:p w14:paraId="7BF8F5F7" w14:textId="77777777" w:rsidR="008873CE" w:rsidRPr="003636CA" w:rsidRDefault="008873CE" w:rsidP="00C85545">
            <w:pPr>
              <w:pStyle w:val="EIRTableText"/>
            </w:pPr>
            <w:r>
              <w:rPr>
                <w:b/>
                <w:bCs w:val="0"/>
              </w:rPr>
              <w:t xml:space="preserve">Consistent. </w:t>
            </w:r>
            <w:r>
              <w:t xml:space="preserve">As previously described, the project would be consistent with applicable regional and local plans related to climate change and greenhouse gas emissions, including the 2017 Scoping Plan, Plan Bay Area 2050, the Climate Protection Roadmap, and the Greenhouse Gas Reduction Plan. </w:t>
            </w:r>
          </w:p>
        </w:tc>
      </w:tr>
      <w:tr w:rsidR="008873CE" w14:paraId="4E8F26B6" w14:textId="77777777" w:rsidTr="00C4331A">
        <w:tc>
          <w:tcPr>
            <w:tcW w:w="3375" w:type="dxa"/>
            <w:tcBorders>
              <w:top w:val="single" w:sz="4" w:space="0" w:color="BFBFBF" w:themeColor="background1" w:themeShade="BF"/>
              <w:left w:val="nil"/>
              <w:bottom w:val="single" w:sz="4" w:space="0" w:color="BFBFBF" w:themeColor="background1" w:themeShade="BF"/>
              <w:right w:val="nil"/>
            </w:tcBorders>
          </w:tcPr>
          <w:p w14:paraId="548674D5" w14:textId="77777777" w:rsidR="008873CE" w:rsidRPr="00D6290C" w:rsidRDefault="008873CE" w:rsidP="00C85545">
            <w:pPr>
              <w:pStyle w:val="TableText"/>
              <w:spacing w:before="20" w:after="20"/>
              <w:rPr>
                <w:rFonts w:eastAsiaTheme="minorHAnsi"/>
              </w:rPr>
            </w:pPr>
            <w:r>
              <w:rPr>
                <w:rFonts w:eastAsiaTheme="minorHAnsi"/>
                <w:b/>
                <w:bCs w:val="0"/>
              </w:rPr>
              <w:t xml:space="preserve">Policy INC 14.1. </w:t>
            </w:r>
            <w:r>
              <w:rPr>
                <w:rFonts w:eastAsiaTheme="minorHAnsi"/>
              </w:rPr>
              <w:t xml:space="preserve">Renewable energy. Promote the deployment of renewable energy technologies throughout the city. </w:t>
            </w:r>
          </w:p>
        </w:tc>
        <w:tc>
          <w:tcPr>
            <w:tcW w:w="5654" w:type="dxa"/>
            <w:tcBorders>
              <w:top w:val="single" w:sz="4" w:space="0" w:color="BFBFBF" w:themeColor="background1" w:themeShade="BF"/>
              <w:left w:val="nil"/>
              <w:bottom w:val="single" w:sz="4" w:space="0" w:color="BFBFBF" w:themeColor="background1" w:themeShade="BF"/>
              <w:right w:val="nil"/>
            </w:tcBorders>
          </w:tcPr>
          <w:p w14:paraId="453CF4FB" w14:textId="5AC54F9E" w:rsidR="008873CE" w:rsidRPr="003636CA" w:rsidRDefault="008873CE" w:rsidP="00C85545">
            <w:pPr>
              <w:pStyle w:val="EIRTableText"/>
            </w:pPr>
            <w:r>
              <w:rPr>
                <w:b/>
                <w:bCs w:val="0"/>
              </w:rPr>
              <w:t xml:space="preserve">Consistent. </w:t>
            </w:r>
            <w:r>
              <w:t xml:space="preserve">The project </w:t>
            </w:r>
            <w:r w:rsidR="002A120B">
              <w:t xml:space="preserve">would be </w:t>
            </w:r>
            <w:r>
              <w:t xml:space="preserve">designed to include photovoltaic solar panels that would generate approximately 75 kWh to power the proposed office structure. </w:t>
            </w:r>
          </w:p>
        </w:tc>
      </w:tr>
      <w:tr w:rsidR="008873CE" w14:paraId="3C885259" w14:textId="77777777" w:rsidTr="00C4331A">
        <w:tc>
          <w:tcPr>
            <w:tcW w:w="3375" w:type="dxa"/>
            <w:tcBorders>
              <w:top w:val="single" w:sz="4" w:space="0" w:color="BFBFBF" w:themeColor="background1" w:themeShade="BF"/>
              <w:left w:val="nil"/>
              <w:bottom w:val="single" w:sz="4" w:space="0" w:color="BFBFBF" w:themeColor="background1" w:themeShade="BF"/>
              <w:right w:val="nil"/>
            </w:tcBorders>
          </w:tcPr>
          <w:p w14:paraId="64CCF2AD" w14:textId="77777777" w:rsidR="008873CE" w:rsidRPr="00D6290C" w:rsidRDefault="008873CE" w:rsidP="00C85545">
            <w:pPr>
              <w:pStyle w:val="TableText"/>
              <w:spacing w:before="20" w:after="20"/>
              <w:rPr>
                <w:rFonts w:eastAsiaTheme="minorHAnsi"/>
              </w:rPr>
            </w:pPr>
            <w:r>
              <w:rPr>
                <w:rFonts w:eastAsiaTheme="minorHAnsi"/>
                <w:b/>
                <w:bCs w:val="0"/>
              </w:rPr>
              <w:t xml:space="preserve">Policy INC 14.2. </w:t>
            </w:r>
            <w:r>
              <w:rPr>
                <w:rFonts w:eastAsiaTheme="minorHAnsi"/>
              </w:rPr>
              <w:t xml:space="preserve">Solar energy. Encourage active and passive solar energy use. </w:t>
            </w:r>
          </w:p>
        </w:tc>
        <w:tc>
          <w:tcPr>
            <w:tcW w:w="5654" w:type="dxa"/>
            <w:tcBorders>
              <w:top w:val="single" w:sz="4" w:space="0" w:color="BFBFBF" w:themeColor="background1" w:themeShade="BF"/>
              <w:left w:val="nil"/>
              <w:bottom w:val="single" w:sz="4" w:space="0" w:color="BFBFBF" w:themeColor="background1" w:themeShade="BF"/>
              <w:right w:val="nil"/>
            </w:tcBorders>
          </w:tcPr>
          <w:p w14:paraId="2586B988" w14:textId="5E8C4254" w:rsidR="008873CE" w:rsidRPr="003636CA" w:rsidRDefault="008873CE" w:rsidP="00C85545">
            <w:pPr>
              <w:pStyle w:val="EIRTableText"/>
            </w:pPr>
            <w:r>
              <w:rPr>
                <w:b/>
                <w:bCs w:val="0"/>
              </w:rPr>
              <w:t xml:space="preserve">Consistent. </w:t>
            </w:r>
            <w:r>
              <w:t xml:space="preserve">The project </w:t>
            </w:r>
            <w:r w:rsidR="002A120B">
              <w:t xml:space="preserve">would be </w:t>
            </w:r>
            <w:r>
              <w:t xml:space="preserve">designed to include photovoltaic solar panels that would generate approximately 75 kWh to power the proposed office structure. </w:t>
            </w:r>
          </w:p>
        </w:tc>
      </w:tr>
      <w:tr w:rsidR="008873CE" w14:paraId="7084A3ED" w14:textId="77777777" w:rsidTr="00C4331A">
        <w:tc>
          <w:tcPr>
            <w:tcW w:w="3375" w:type="dxa"/>
            <w:tcBorders>
              <w:top w:val="single" w:sz="4" w:space="0" w:color="BFBFBF" w:themeColor="background1" w:themeShade="BF"/>
              <w:left w:val="nil"/>
              <w:bottom w:val="single" w:sz="4" w:space="0" w:color="BFBFBF" w:themeColor="background1" w:themeShade="BF"/>
              <w:right w:val="nil"/>
            </w:tcBorders>
          </w:tcPr>
          <w:p w14:paraId="54CC0629" w14:textId="77777777" w:rsidR="008873CE" w:rsidRPr="00D6290C" w:rsidRDefault="008873CE" w:rsidP="00C85545">
            <w:pPr>
              <w:pStyle w:val="TableText"/>
              <w:spacing w:before="20" w:after="20"/>
              <w:rPr>
                <w:rFonts w:eastAsiaTheme="minorHAnsi"/>
                <w:bCs w:val="0"/>
              </w:rPr>
            </w:pPr>
            <w:r>
              <w:rPr>
                <w:rFonts w:eastAsiaTheme="minorHAnsi"/>
                <w:b/>
                <w:bCs w:val="0"/>
              </w:rPr>
              <w:t xml:space="preserve">Policy INC 15.3. </w:t>
            </w:r>
            <w:r>
              <w:rPr>
                <w:rFonts w:eastAsiaTheme="minorHAnsi"/>
                <w:bCs w:val="0"/>
              </w:rPr>
              <w:t xml:space="preserve">Citywide green building. Support green building technologies and innovations throughout the city. </w:t>
            </w:r>
          </w:p>
        </w:tc>
        <w:tc>
          <w:tcPr>
            <w:tcW w:w="5654" w:type="dxa"/>
            <w:tcBorders>
              <w:top w:val="single" w:sz="4" w:space="0" w:color="BFBFBF" w:themeColor="background1" w:themeShade="BF"/>
              <w:left w:val="nil"/>
              <w:bottom w:val="single" w:sz="4" w:space="0" w:color="BFBFBF" w:themeColor="background1" w:themeShade="BF"/>
              <w:right w:val="nil"/>
            </w:tcBorders>
          </w:tcPr>
          <w:p w14:paraId="321526F7" w14:textId="45D979DD" w:rsidR="008873CE" w:rsidRPr="0079745E" w:rsidRDefault="008873CE" w:rsidP="00C85545">
            <w:pPr>
              <w:pStyle w:val="EIRTableText"/>
              <w:rPr>
                <w:bCs w:val="0"/>
              </w:rPr>
            </w:pPr>
            <w:r>
              <w:rPr>
                <w:b/>
                <w:bCs w:val="0"/>
              </w:rPr>
              <w:t xml:space="preserve">Consistent. </w:t>
            </w:r>
            <w:r>
              <w:rPr>
                <w:bCs w:val="0"/>
              </w:rPr>
              <w:t xml:space="preserve">As previously described, the project </w:t>
            </w:r>
            <w:r w:rsidR="002A120B">
              <w:rPr>
                <w:bCs w:val="0"/>
              </w:rPr>
              <w:t xml:space="preserve">would be </w:t>
            </w:r>
            <w:r>
              <w:rPr>
                <w:bCs w:val="0"/>
              </w:rPr>
              <w:t xml:space="preserve">designed to comply with </w:t>
            </w:r>
            <w:r w:rsidRPr="0079414A">
              <w:t>the latest Title 24 Green Building Code and Building Efficiency Energy Standards</w:t>
            </w:r>
            <w:r>
              <w:t>, which includes</w:t>
            </w:r>
            <w:r w:rsidRPr="0079414A">
              <w:t xml:space="preserve"> and installing energy-efficient LED lighting, water-efficient faucets and toilets, water efficient landscaping and irrigation, and EV charging stations.</w:t>
            </w:r>
          </w:p>
        </w:tc>
      </w:tr>
      <w:tr w:rsidR="008873CE" w14:paraId="1FBCB0C6" w14:textId="77777777" w:rsidTr="00C4331A">
        <w:tc>
          <w:tcPr>
            <w:tcW w:w="3375" w:type="dxa"/>
            <w:tcBorders>
              <w:top w:val="single" w:sz="4" w:space="0" w:color="BFBFBF" w:themeColor="background1" w:themeShade="BF"/>
              <w:left w:val="nil"/>
              <w:bottom w:val="single" w:sz="4" w:space="0" w:color="auto"/>
              <w:right w:val="nil"/>
            </w:tcBorders>
          </w:tcPr>
          <w:p w14:paraId="2B919EE7" w14:textId="77777777" w:rsidR="008873CE" w:rsidRPr="00CF723B" w:rsidRDefault="008873CE" w:rsidP="00C85545">
            <w:pPr>
              <w:pStyle w:val="TableText"/>
              <w:spacing w:before="20" w:after="20"/>
              <w:rPr>
                <w:rFonts w:eastAsiaTheme="minorHAnsi"/>
              </w:rPr>
            </w:pPr>
            <w:r w:rsidRPr="00841B56">
              <w:rPr>
                <w:rFonts w:eastAsiaTheme="minorHAnsi"/>
                <w:b/>
                <w:bCs w:val="0"/>
              </w:rPr>
              <w:t>Policy</w:t>
            </w:r>
            <w:r>
              <w:rPr>
                <w:rFonts w:eastAsiaTheme="minorHAnsi"/>
                <w:b/>
                <w:bCs w:val="0"/>
              </w:rPr>
              <w:t xml:space="preserve"> POS</w:t>
            </w:r>
            <w:r w:rsidRPr="00841B56">
              <w:rPr>
                <w:rFonts w:eastAsiaTheme="minorHAnsi"/>
                <w:b/>
                <w:bCs w:val="0"/>
              </w:rPr>
              <w:t xml:space="preserve"> 12.2. </w:t>
            </w:r>
            <w:r w:rsidRPr="00841B56">
              <w:rPr>
                <w:rFonts w:eastAsiaTheme="minorHAnsi"/>
              </w:rPr>
              <w:t xml:space="preserve">Urban tree canopy. Increase tree canopy coverage to expand shaded areas, enhance aesthetics and help reduce greenhouse gases. </w:t>
            </w:r>
          </w:p>
        </w:tc>
        <w:tc>
          <w:tcPr>
            <w:tcW w:w="5654" w:type="dxa"/>
            <w:tcBorders>
              <w:top w:val="single" w:sz="4" w:space="0" w:color="BFBFBF" w:themeColor="background1" w:themeShade="BF"/>
              <w:left w:val="nil"/>
              <w:bottom w:val="single" w:sz="4" w:space="0" w:color="auto"/>
              <w:right w:val="nil"/>
            </w:tcBorders>
          </w:tcPr>
          <w:p w14:paraId="0C89DBAA" w14:textId="6937BA21" w:rsidR="008873CE" w:rsidRPr="0079745E" w:rsidRDefault="008873CE" w:rsidP="00C85545">
            <w:pPr>
              <w:pStyle w:val="EIRTableText"/>
            </w:pPr>
            <w:r>
              <w:rPr>
                <w:b/>
                <w:bCs w:val="0"/>
              </w:rPr>
              <w:t xml:space="preserve">Consistent. </w:t>
            </w:r>
            <w:r>
              <w:t xml:space="preserve">The project would involve the planting of </w:t>
            </w:r>
            <w:r w:rsidR="00C6054F">
              <w:t xml:space="preserve">approximately 70 </w:t>
            </w:r>
            <w:r>
              <w:t xml:space="preserve">trees, which would increase the shaded area within the project site. </w:t>
            </w:r>
          </w:p>
        </w:tc>
      </w:tr>
      <w:tr w:rsidR="009102C0" w14:paraId="64C3D9BF" w14:textId="77777777" w:rsidTr="00A42C65">
        <w:tc>
          <w:tcPr>
            <w:tcW w:w="9029" w:type="dxa"/>
            <w:gridSpan w:val="2"/>
            <w:tcBorders>
              <w:top w:val="single" w:sz="4" w:space="0" w:color="auto"/>
              <w:left w:val="nil"/>
              <w:bottom w:val="single" w:sz="4" w:space="0" w:color="auto"/>
              <w:right w:val="nil"/>
            </w:tcBorders>
          </w:tcPr>
          <w:p w14:paraId="4CAB5AB6" w14:textId="12AFFE0F" w:rsidR="009102C0" w:rsidRPr="003636CA" w:rsidRDefault="009102C0" w:rsidP="009102C0">
            <w:pPr>
              <w:pStyle w:val="EIRTableText"/>
              <w:spacing w:before="60" w:after="60"/>
            </w:pPr>
            <w:r w:rsidRPr="00D6290C">
              <w:rPr>
                <w:rFonts w:eastAsiaTheme="minorHAnsi"/>
                <w:sz w:val="16"/>
                <w:szCs w:val="16"/>
              </w:rPr>
              <w:t>Source: City of Mountain View 2012a</w:t>
            </w:r>
          </w:p>
        </w:tc>
      </w:tr>
    </w:tbl>
    <w:p w14:paraId="4885683A" w14:textId="4324FBF6" w:rsidR="008873CE" w:rsidRPr="004974C9" w:rsidRDefault="008873CE" w:rsidP="008873CE">
      <w:pPr>
        <w:pStyle w:val="bodyafter"/>
      </w:pPr>
      <w:r>
        <w:t xml:space="preserve">The proposed project would be consistent with the 2017 Scoping Plan, Plan Bay Area 2050, the Climate Protection Roadmap, the Greenhouse Gas Reduction Plan, and the 2030 General Plan. The project would not conflict with any existing greenhouse gas emissions reduction targets. </w:t>
      </w:r>
      <w:r w:rsidR="00654188">
        <w:t xml:space="preserve">Impacts related to GHG emissions would be less than significant. </w:t>
      </w:r>
    </w:p>
    <w:p w14:paraId="40FC4BDE" w14:textId="7CE2DCB0" w:rsidR="008873CE" w:rsidRDefault="00817BC5" w:rsidP="008873CE">
      <w:pPr>
        <w:pStyle w:val="BodyTextAfterTable"/>
      </w:pPr>
      <w:sdt>
        <w:sdtPr>
          <w:rPr>
            <w:rStyle w:val="DropdownList"/>
          </w:rPr>
          <w:alias w:val="1a"/>
          <w:tag w:val="dropdown"/>
          <w:id w:val="971720134"/>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rPr>
        </w:sdtEndPr>
        <w:sdtContent>
          <w:r w:rsidR="00654188">
            <w:rPr>
              <w:rStyle w:val="DropdownList"/>
            </w:rPr>
            <w:t>Less Than Significant Impact</w:t>
          </w:r>
        </w:sdtContent>
      </w:sdt>
    </w:p>
    <w:p w14:paraId="320EBCF6" w14:textId="77777777" w:rsidR="009102C0" w:rsidRDefault="009102C0" w:rsidP="006455E5">
      <w:pPr>
        <w:pStyle w:val="BlankPage"/>
      </w:pPr>
    </w:p>
    <w:p w14:paraId="5787360D" w14:textId="21360FF4" w:rsidR="009102C0" w:rsidRDefault="009102C0" w:rsidP="006455E5">
      <w:pPr>
        <w:pStyle w:val="BlankPage"/>
      </w:pPr>
      <w:r>
        <w:t>This page intentionally left blank.</w:t>
      </w:r>
    </w:p>
    <w:p w14:paraId="29F7527A" w14:textId="5BBC07E1" w:rsidR="008873CE" w:rsidRDefault="008873CE" w:rsidP="008873CE"/>
    <w:p w14:paraId="592868DF" w14:textId="77777777" w:rsidR="00542725" w:rsidRPr="00E02663" w:rsidRDefault="00542725" w:rsidP="00275B75">
      <w:pPr>
        <w:pStyle w:val="Heading3CEQA"/>
      </w:pPr>
      <w:bookmarkStart w:id="247" w:name="_Toc112942434"/>
      <w:bookmarkStart w:id="248" w:name="_Hlk93921864"/>
      <w:r w:rsidRPr="00E02663">
        <w:t>Hazards and Hazardous Materials</w:t>
      </w:r>
      <w:bookmarkEnd w:id="217"/>
      <w:bookmarkEnd w:id="218"/>
      <w:bookmarkEnd w:id="247"/>
    </w:p>
    <w:tbl>
      <w:tblPr>
        <w:tblW w:w="9047" w:type="dxa"/>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
        <w:gridCol w:w="4339"/>
        <w:gridCol w:w="1183"/>
        <w:gridCol w:w="6"/>
        <w:gridCol w:w="1214"/>
        <w:gridCol w:w="1109"/>
        <w:gridCol w:w="1158"/>
        <w:gridCol w:w="29"/>
      </w:tblGrid>
      <w:tr w:rsidR="00542725" w:rsidRPr="00E5753A" w14:paraId="7B2258DD" w14:textId="77777777" w:rsidTr="00B733AD">
        <w:trPr>
          <w:tblHeader/>
        </w:trPr>
        <w:tc>
          <w:tcPr>
            <w:tcW w:w="4348" w:type="dxa"/>
            <w:gridSpan w:val="2"/>
            <w:tcBorders>
              <w:top w:val="nil"/>
              <w:right w:val="nil"/>
            </w:tcBorders>
            <w:shd w:val="clear" w:color="auto" w:fill="D9D9D9"/>
            <w:tcMar>
              <w:top w:w="20" w:type="dxa"/>
              <w:left w:w="115" w:type="dxa"/>
              <w:bottom w:w="20" w:type="dxa"/>
              <w:right w:w="115" w:type="dxa"/>
            </w:tcMar>
            <w:vAlign w:val="bottom"/>
          </w:tcPr>
          <w:p w14:paraId="7E4C11F1" w14:textId="77777777" w:rsidR="00542725" w:rsidRPr="00E02663" w:rsidRDefault="00542725" w:rsidP="001C766D">
            <w:pPr>
              <w:pStyle w:val="TableHeadings"/>
              <w:jc w:val="center"/>
            </w:pPr>
          </w:p>
        </w:tc>
        <w:tc>
          <w:tcPr>
            <w:tcW w:w="1183" w:type="dxa"/>
            <w:tcBorders>
              <w:top w:val="nil"/>
              <w:left w:val="nil"/>
              <w:right w:val="nil"/>
            </w:tcBorders>
            <w:shd w:val="clear" w:color="auto" w:fill="D9D9D9"/>
            <w:tcMar>
              <w:top w:w="20" w:type="dxa"/>
              <w:left w:w="115" w:type="dxa"/>
              <w:bottom w:w="20" w:type="dxa"/>
              <w:right w:w="115" w:type="dxa"/>
            </w:tcMar>
            <w:vAlign w:val="bottom"/>
            <w:hideMark/>
          </w:tcPr>
          <w:p w14:paraId="47595013" w14:textId="77777777" w:rsidR="00542725" w:rsidRPr="00E02663" w:rsidRDefault="00542725" w:rsidP="001C766D">
            <w:pPr>
              <w:pStyle w:val="TableHeadings"/>
              <w:jc w:val="center"/>
            </w:pPr>
            <w:r w:rsidRPr="00E02663">
              <w:t>Potentially Significant Impact</w:t>
            </w:r>
          </w:p>
        </w:tc>
        <w:tc>
          <w:tcPr>
            <w:tcW w:w="1220" w:type="dxa"/>
            <w:gridSpan w:val="2"/>
            <w:tcBorders>
              <w:top w:val="nil"/>
              <w:left w:val="nil"/>
              <w:right w:val="nil"/>
            </w:tcBorders>
            <w:shd w:val="clear" w:color="auto" w:fill="D9D9D9"/>
            <w:tcMar>
              <w:top w:w="20" w:type="dxa"/>
              <w:left w:w="115" w:type="dxa"/>
              <w:bottom w:w="20" w:type="dxa"/>
              <w:right w:w="115" w:type="dxa"/>
            </w:tcMar>
            <w:vAlign w:val="bottom"/>
            <w:hideMark/>
          </w:tcPr>
          <w:p w14:paraId="4861B6C1" w14:textId="77777777" w:rsidR="00542725" w:rsidRPr="00E02663" w:rsidRDefault="00542725" w:rsidP="001C766D">
            <w:pPr>
              <w:pStyle w:val="TableHeadings"/>
              <w:jc w:val="center"/>
            </w:pPr>
            <w:r w:rsidRPr="00E02663">
              <w:t>Less than Significant with Mitigation Incorporated</w:t>
            </w:r>
          </w:p>
        </w:tc>
        <w:tc>
          <w:tcPr>
            <w:tcW w:w="1109" w:type="dxa"/>
            <w:tcBorders>
              <w:top w:val="nil"/>
              <w:left w:val="nil"/>
              <w:right w:val="nil"/>
            </w:tcBorders>
            <w:shd w:val="clear" w:color="auto" w:fill="D9D9D9"/>
            <w:tcMar>
              <w:top w:w="20" w:type="dxa"/>
              <w:left w:w="115" w:type="dxa"/>
              <w:bottom w:w="20" w:type="dxa"/>
              <w:right w:w="115" w:type="dxa"/>
            </w:tcMar>
            <w:vAlign w:val="bottom"/>
            <w:hideMark/>
          </w:tcPr>
          <w:p w14:paraId="67ACD963" w14:textId="77777777" w:rsidR="00542725" w:rsidRPr="00E02663" w:rsidRDefault="00542725" w:rsidP="001C766D">
            <w:pPr>
              <w:pStyle w:val="TableHeadings"/>
              <w:jc w:val="center"/>
            </w:pPr>
            <w:r w:rsidRPr="00E02663">
              <w:t>Less than Significant Impact</w:t>
            </w:r>
          </w:p>
        </w:tc>
        <w:tc>
          <w:tcPr>
            <w:tcW w:w="1187" w:type="dxa"/>
            <w:gridSpan w:val="2"/>
            <w:tcBorders>
              <w:top w:val="nil"/>
              <w:left w:val="nil"/>
            </w:tcBorders>
            <w:shd w:val="clear" w:color="auto" w:fill="D9D9D9"/>
            <w:tcMar>
              <w:top w:w="20" w:type="dxa"/>
              <w:left w:w="115" w:type="dxa"/>
              <w:bottom w:w="20" w:type="dxa"/>
              <w:right w:w="115" w:type="dxa"/>
            </w:tcMar>
            <w:vAlign w:val="bottom"/>
            <w:hideMark/>
          </w:tcPr>
          <w:p w14:paraId="6D1C8B8C" w14:textId="77777777" w:rsidR="00542725" w:rsidRPr="00E02663" w:rsidRDefault="00542725" w:rsidP="001C766D">
            <w:pPr>
              <w:pStyle w:val="TableHeadings"/>
              <w:jc w:val="center"/>
            </w:pPr>
            <w:r w:rsidRPr="00E02663">
              <w:t>No Impact</w:t>
            </w:r>
          </w:p>
        </w:tc>
      </w:tr>
      <w:tr w:rsidR="00542725" w:rsidRPr="00E5753A" w14:paraId="061AF5F4" w14:textId="77777777" w:rsidTr="00B733AD">
        <w:trPr>
          <w:gridBefore w:val="1"/>
          <w:wBefore w:w="9" w:type="dxa"/>
        </w:trPr>
        <w:tc>
          <w:tcPr>
            <w:tcW w:w="9038" w:type="dxa"/>
            <w:gridSpan w:val="7"/>
            <w:tcBorders>
              <w:top w:val="single" w:sz="4" w:space="0" w:color="auto"/>
              <w:bottom w:val="nil"/>
            </w:tcBorders>
            <w:tcMar>
              <w:top w:w="20" w:type="dxa"/>
              <w:left w:w="115" w:type="dxa"/>
              <w:bottom w:w="20" w:type="dxa"/>
              <w:right w:w="115" w:type="dxa"/>
            </w:tcMar>
            <w:vAlign w:val="bottom"/>
            <w:hideMark/>
          </w:tcPr>
          <w:p w14:paraId="6FB822C6" w14:textId="77777777" w:rsidR="00542725" w:rsidRPr="00E02663" w:rsidRDefault="00542725" w:rsidP="00A75653">
            <w:pPr>
              <w:pStyle w:val="BodyText"/>
              <w:spacing w:before="40" w:after="40"/>
              <w:rPr>
                <w:b/>
              </w:rPr>
            </w:pPr>
            <w:r w:rsidRPr="00E02663">
              <w:t>Would the project:</w:t>
            </w:r>
          </w:p>
        </w:tc>
      </w:tr>
      <w:tr w:rsidR="00542725" w:rsidRPr="00E02663" w14:paraId="7000632F" w14:textId="77777777" w:rsidTr="00B733AD">
        <w:trPr>
          <w:gridBefore w:val="1"/>
          <w:gridAfter w:val="1"/>
          <w:wBefore w:w="9" w:type="dxa"/>
          <w:wAfter w:w="29" w:type="dxa"/>
        </w:trPr>
        <w:tc>
          <w:tcPr>
            <w:tcW w:w="4339" w:type="dxa"/>
            <w:tcBorders>
              <w:top w:val="nil"/>
              <w:bottom w:val="nil"/>
              <w:right w:val="nil"/>
            </w:tcBorders>
            <w:tcMar>
              <w:top w:w="20" w:type="dxa"/>
              <w:left w:w="115" w:type="dxa"/>
              <w:bottom w:w="20" w:type="dxa"/>
              <w:right w:w="115" w:type="dxa"/>
            </w:tcMar>
            <w:vAlign w:val="bottom"/>
            <w:hideMark/>
          </w:tcPr>
          <w:p w14:paraId="535A3408" w14:textId="77777777" w:rsidR="00542725" w:rsidRPr="00E02663" w:rsidRDefault="00542725" w:rsidP="00A75653">
            <w:pPr>
              <w:pStyle w:val="BulletListLettered"/>
              <w:numPr>
                <w:ilvl w:val="0"/>
                <w:numId w:val="16"/>
              </w:numPr>
              <w:spacing w:before="40" w:after="40"/>
            </w:pPr>
            <w:r w:rsidRPr="00E02663">
              <w:t>Create a significant hazard to the public or the environment through the routine transport, use, or disposal of hazardous materials?</w:t>
            </w:r>
          </w:p>
        </w:tc>
        <w:tc>
          <w:tcPr>
            <w:tcW w:w="1189" w:type="dxa"/>
            <w:gridSpan w:val="2"/>
            <w:tcBorders>
              <w:top w:val="nil"/>
              <w:left w:val="nil"/>
              <w:bottom w:val="nil"/>
              <w:right w:val="nil"/>
            </w:tcBorders>
            <w:tcMar>
              <w:top w:w="20" w:type="dxa"/>
              <w:left w:w="115" w:type="dxa"/>
              <w:bottom w:w="20" w:type="dxa"/>
              <w:right w:w="115" w:type="dxa"/>
            </w:tcMar>
            <w:vAlign w:val="bottom"/>
          </w:tcPr>
          <w:p w14:paraId="468AFF0E" w14:textId="5E7D6D9D" w:rsidR="00542725" w:rsidRPr="00E02663" w:rsidRDefault="00040911" w:rsidP="00A75653">
            <w:pPr>
              <w:spacing w:before="40" w:after="40"/>
              <w:jc w:val="center"/>
              <w:rPr>
                <w:sz w:val="28"/>
                <w:szCs w:val="28"/>
              </w:rPr>
            </w:pPr>
            <w:r w:rsidRPr="00E02663">
              <w:rPr>
                <w:rFonts w:ascii="Times New Roman" w:hAnsi="Times New Roman"/>
              </w:rPr>
              <w:t>□</w:t>
            </w:r>
          </w:p>
        </w:tc>
        <w:tc>
          <w:tcPr>
            <w:tcW w:w="1214" w:type="dxa"/>
            <w:tcBorders>
              <w:top w:val="nil"/>
              <w:left w:val="nil"/>
              <w:bottom w:val="nil"/>
              <w:right w:val="nil"/>
            </w:tcBorders>
            <w:tcMar>
              <w:top w:w="20" w:type="dxa"/>
              <w:left w:w="115" w:type="dxa"/>
              <w:bottom w:w="20" w:type="dxa"/>
              <w:right w:w="115" w:type="dxa"/>
            </w:tcMar>
            <w:vAlign w:val="bottom"/>
          </w:tcPr>
          <w:p w14:paraId="5D67A85B" w14:textId="44951A1F" w:rsidR="00542725" w:rsidRPr="00E02663" w:rsidRDefault="00542725" w:rsidP="00A75653">
            <w:pPr>
              <w:spacing w:before="40" w:after="40"/>
              <w:jc w:val="center"/>
              <w:rPr>
                <w:sz w:val="28"/>
                <w:szCs w:val="28"/>
              </w:rPr>
            </w:pPr>
            <w:r w:rsidRPr="00E02663">
              <w:rPr>
                <w:rFonts w:ascii="Times New Roman" w:hAnsi="Times New Roman"/>
              </w:rPr>
              <w:t>□</w:t>
            </w:r>
          </w:p>
        </w:tc>
        <w:tc>
          <w:tcPr>
            <w:tcW w:w="1109" w:type="dxa"/>
            <w:tcBorders>
              <w:top w:val="nil"/>
              <w:left w:val="nil"/>
              <w:bottom w:val="nil"/>
              <w:right w:val="nil"/>
            </w:tcBorders>
            <w:tcMar>
              <w:top w:w="20" w:type="dxa"/>
              <w:left w:w="115" w:type="dxa"/>
              <w:bottom w:w="20" w:type="dxa"/>
              <w:right w:w="115" w:type="dxa"/>
            </w:tcMar>
            <w:vAlign w:val="bottom"/>
          </w:tcPr>
          <w:p w14:paraId="6CB296F4" w14:textId="048FA3BC" w:rsidR="00542725" w:rsidRPr="00E02663" w:rsidRDefault="00C034E9" w:rsidP="00A75653">
            <w:pPr>
              <w:spacing w:before="40" w:after="40"/>
              <w:jc w:val="center"/>
              <w:rPr>
                <w:sz w:val="28"/>
                <w:szCs w:val="28"/>
              </w:rPr>
            </w:pPr>
            <w:r w:rsidRPr="00E02663">
              <w:rPr>
                <w:rFonts w:ascii="Times New Roman" w:hAnsi="Times New Roman"/>
              </w:rPr>
              <w:t>■</w:t>
            </w:r>
          </w:p>
        </w:tc>
        <w:tc>
          <w:tcPr>
            <w:tcW w:w="1158" w:type="dxa"/>
            <w:tcBorders>
              <w:top w:val="nil"/>
              <w:left w:val="nil"/>
              <w:bottom w:val="nil"/>
            </w:tcBorders>
            <w:tcMar>
              <w:top w:w="20" w:type="dxa"/>
              <w:left w:w="115" w:type="dxa"/>
              <w:bottom w:w="20" w:type="dxa"/>
              <w:right w:w="115" w:type="dxa"/>
            </w:tcMar>
            <w:vAlign w:val="bottom"/>
          </w:tcPr>
          <w:p w14:paraId="1A55FE10" w14:textId="673DEF19" w:rsidR="00542725" w:rsidRPr="00E02663" w:rsidRDefault="00C034E9" w:rsidP="00A75653">
            <w:pPr>
              <w:spacing w:before="40" w:after="40"/>
              <w:jc w:val="center"/>
              <w:rPr>
                <w:sz w:val="28"/>
                <w:szCs w:val="28"/>
              </w:rPr>
            </w:pPr>
            <w:r w:rsidRPr="00E02663">
              <w:rPr>
                <w:rFonts w:ascii="Times New Roman" w:hAnsi="Times New Roman"/>
              </w:rPr>
              <w:t>□</w:t>
            </w:r>
          </w:p>
        </w:tc>
      </w:tr>
      <w:tr w:rsidR="00542725" w:rsidRPr="00E02663" w14:paraId="4CC2E0E5" w14:textId="77777777" w:rsidTr="00B733AD">
        <w:trPr>
          <w:gridBefore w:val="1"/>
          <w:gridAfter w:val="1"/>
          <w:wBefore w:w="9" w:type="dxa"/>
          <w:wAfter w:w="29" w:type="dxa"/>
        </w:trPr>
        <w:tc>
          <w:tcPr>
            <w:tcW w:w="4339" w:type="dxa"/>
            <w:tcBorders>
              <w:top w:val="nil"/>
              <w:bottom w:val="nil"/>
              <w:right w:val="nil"/>
            </w:tcBorders>
            <w:tcMar>
              <w:top w:w="20" w:type="dxa"/>
              <w:left w:w="115" w:type="dxa"/>
              <w:bottom w:w="20" w:type="dxa"/>
              <w:right w:w="115" w:type="dxa"/>
            </w:tcMar>
            <w:vAlign w:val="bottom"/>
            <w:hideMark/>
          </w:tcPr>
          <w:p w14:paraId="59E9E4D4" w14:textId="77777777" w:rsidR="00542725" w:rsidRPr="00E02663" w:rsidRDefault="00542725" w:rsidP="00A75653">
            <w:pPr>
              <w:pStyle w:val="BulletListLettered"/>
              <w:spacing w:before="40" w:after="40"/>
            </w:pPr>
            <w:r w:rsidRPr="00E02663">
              <w:t>Create a significant hazard to the public or the environment through reasonably foreseeable upset and accident conditions involving the release of hazardous materials into the environment?</w:t>
            </w:r>
          </w:p>
        </w:tc>
        <w:tc>
          <w:tcPr>
            <w:tcW w:w="1189" w:type="dxa"/>
            <w:gridSpan w:val="2"/>
            <w:tcBorders>
              <w:top w:val="nil"/>
              <w:left w:val="nil"/>
              <w:bottom w:val="nil"/>
              <w:right w:val="nil"/>
            </w:tcBorders>
            <w:tcMar>
              <w:top w:w="20" w:type="dxa"/>
              <w:left w:w="115" w:type="dxa"/>
              <w:bottom w:w="20" w:type="dxa"/>
              <w:right w:w="115" w:type="dxa"/>
            </w:tcMar>
            <w:vAlign w:val="bottom"/>
          </w:tcPr>
          <w:p w14:paraId="7CFC8270" w14:textId="5EC0F9F1" w:rsidR="00542725" w:rsidRPr="00E02663" w:rsidRDefault="00A614A8" w:rsidP="00A75653">
            <w:pPr>
              <w:spacing w:before="40" w:after="40"/>
              <w:jc w:val="center"/>
              <w:rPr>
                <w:sz w:val="28"/>
                <w:szCs w:val="28"/>
              </w:rPr>
            </w:pPr>
            <w:r w:rsidRPr="00E02663">
              <w:rPr>
                <w:rFonts w:ascii="Times New Roman" w:hAnsi="Times New Roman"/>
              </w:rPr>
              <w:t>□</w:t>
            </w:r>
          </w:p>
        </w:tc>
        <w:tc>
          <w:tcPr>
            <w:tcW w:w="1214" w:type="dxa"/>
            <w:tcBorders>
              <w:top w:val="nil"/>
              <w:left w:val="nil"/>
              <w:bottom w:val="nil"/>
              <w:right w:val="nil"/>
            </w:tcBorders>
            <w:tcMar>
              <w:top w:w="20" w:type="dxa"/>
              <w:left w:w="115" w:type="dxa"/>
              <w:bottom w:w="20" w:type="dxa"/>
              <w:right w:w="115" w:type="dxa"/>
            </w:tcMar>
            <w:vAlign w:val="bottom"/>
          </w:tcPr>
          <w:p w14:paraId="7E24F254" w14:textId="0C2ECFB1" w:rsidR="00542725" w:rsidRPr="00E02663" w:rsidRDefault="00A614A8" w:rsidP="00A75653">
            <w:pPr>
              <w:spacing w:before="40" w:after="40"/>
              <w:jc w:val="center"/>
              <w:rPr>
                <w:sz w:val="28"/>
                <w:szCs w:val="28"/>
              </w:rPr>
            </w:pPr>
            <w:r w:rsidRPr="00E02663">
              <w:rPr>
                <w:rFonts w:ascii="Times New Roman" w:hAnsi="Times New Roman"/>
              </w:rPr>
              <w:t>□</w:t>
            </w:r>
          </w:p>
        </w:tc>
        <w:tc>
          <w:tcPr>
            <w:tcW w:w="1109" w:type="dxa"/>
            <w:tcBorders>
              <w:top w:val="nil"/>
              <w:left w:val="nil"/>
              <w:bottom w:val="nil"/>
              <w:right w:val="nil"/>
            </w:tcBorders>
            <w:tcMar>
              <w:top w:w="20" w:type="dxa"/>
              <w:left w:w="115" w:type="dxa"/>
              <w:bottom w:w="20" w:type="dxa"/>
              <w:right w:w="115" w:type="dxa"/>
            </w:tcMar>
            <w:vAlign w:val="bottom"/>
          </w:tcPr>
          <w:p w14:paraId="6A71733B" w14:textId="25FC70B0" w:rsidR="00542725" w:rsidRPr="00E02663" w:rsidRDefault="00C034E9" w:rsidP="00A75653">
            <w:pPr>
              <w:spacing w:before="40" w:after="40"/>
              <w:jc w:val="center"/>
              <w:rPr>
                <w:sz w:val="28"/>
                <w:szCs w:val="28"/>
              </w:rPr>
            </w:pPr>
            <w:r w:rsidRPr="00E02663">
              <w:rPr>
                <w:rFonts w:ascii="Times New Roman" w:hAnsi="Times New Roman"/>
              </w:rPr>
              <w:t>■</w:t>
            </w:r>
          </w:p>
        </w:tc>
        <w:tc>
          <w:tcPr>
            <w:tcW w:w="1158" w:type="dxa"/>
            <w:tcBorders>
              <w:top w:val="nil"/>
              <w:left w:val="nil"/>
              <w:bottom w:val="nil"/>
            </w:tcBorders>
            <w:tcMar>
              <w:top w:w="20" w:type="dxa"/>
              <w:left w:w="115" w:type="dxa"/>
              <w:bottom w:w="20" w:type="dxa"/>
              <w:right w:w="115" w:type="dxa"/>
            </w:tcMar>
            <w:vAlign w:val="bottom"/>
          </w:tcPr>
          <w:p w14:paraId="1D5E7BDF" w14:textId="6D54E88D" w:rsidR="00542725" w:rsidRPr="00E02663" w:rsidRDefault="00C034E9" w:rsidP="00A75653">
            <w:pPr>
              <w:spacing w:before="40" w:after="40"/>
              <w:jc w:val="center"/>
              <w:rPr>
                <w:sz w:val="28"/>
                <w:szCs w:val="28"/>
              </w:rPr>
            </w:pPr>
            <w:r w:rsidRPr="00E02663">
              <w:rPr>
                <w:rFonts w:ascii="Times New Roman" w:hAnsi="Times New Roman"/>
              </w:rPr>
              <w:t>□</w:t>
            </w:r>
          </w:p>
        </w:tc>
      </w:tr>
      <w:tr w:rsidR="00542725" w:rsidRPr="00E02663" w14:paraId="55BE1175" w14:textId="77777777" w:rsidTr="00B733AD">
        <w:trPr>
          <w:gridBefore w:val="1"/>
          <w:gridAfter w:val="1"/>
          <w:wBefore w:w="9" w:type="dxa"/>
          <w:wAfter w:w="29" w:type="dxa"/>
        </w:trPr>
        <w:tc>
          <w:tcPr>
            <w:tcW w:w="4339" w:type="dxa"/>
            <w:tcBorders>
              <w:top w:val="nil"/>
              <w:bottom w:val="nil"/>
              <w:right w:val="nil"/>
            </w:tcBorders>
            <w:tcMar>
              <w:top w:w="20" w:type="dxa"/>
              <w:left w:w="115" w:type="dxa"/>
              <w:bottom w:w="20" w:type="dxa"/>
              <w:right w:w="115" w:type="dxa"/>
            </w:tcMar>
            <w:vAlign w:val="bottom"/>
            <w:hideMark/>
          </w:tcPr>
          <w:p w14:paraId="6B3A8496" w14:textId="77777777" w:rsidR="00542725" w:rsidRPr="00E02663" w:rsidRDefault="00542725" w:rsidP="00A75653">
            <w:pPr>
              <w:pStyle w:val="BulletListLettered"/>
              <w:spacing w:before="40" w:after="40"/>
            </w:pPr>
            <w:r w:rsidRPr="00E02663">
              <w:t>Emit hazardous emissions or handle hazardous or acutely hazardous materials, substances, or waste within 0.25 mile of an existing or proposed school?</w:t>
            </w:r>
          </w:p>
        </w:tc>
        <w:tc>
          <w:tcPr>
            <w:tcW w:w="1189" w:type="dxa"/>
            <w:gridSpan w:val="2"/>
            <w:tcBorders>
              <w:top w:val="nil"/>
              <w:left w:val="nil"/>
              <w:bottom w:val="nil"/>
              <w:right w:val="nil"/>
            </w:tcBorders>
            <w:tcMar>
              <w:top w:w="20" w:type="dxa"/>
              <w:left w:w="115" w:type="dxa"/>
              <w:bottom w:w="20" w:type="dxa"/>
              <w:right w:w="115" w:type="dxa"/>
            </w:tcMar>
            <w:vAlign w:val="bottom"/>
          </w:tcPr>
          <w:p w14:paraId="3EFD4EB3" w14:textId="7E2336A7" w:rsidR="00542725" w:rsidRPr="00E02663" w:rsidRDefault="00A614A8" w:rsidP="00A75653">
            <w:pPr>
              <w:spacing w:before="40" w:after="40"/>
              <w:jc w:val="center"/>
              <w:rPr>
                <w:sz w:val="28"/>
                <w:szCs w:val="28"/>
              </w:rPr>
            </w:pPr>
            <w:r w:rsidRPr="00E02663">
              <w:rPr>
                <w:rFonts w:ascii="Times New Roman" w:hAnsi="Times New Roman"/>
              </w:rPr>
              <w:t>□</w:t>
            </w:r>
          </w:p>
        </w:tc>
        <w:tc>
          <w:tcPr>
            <w:tcW w:w="1214" w:type="dxa"/>
            <w:tcBorders>
              <w:top w:val="nil"/>
              <w:left w:val="nil"/>
              <w:bottom w:val="nil"/>
              <w:right w:val="nil"/>
            </w:tcBorders>
            <w:tcMar>
              <w:top w:w="20" w:type="dxa"/>
              <w:left w:w="115" w:type="dxa"/>
              <w:bottom w:w="20" w:type="dxa"/>
              <w:right w:w="115" w:type="dxa"/>
            </w:tcMar>
            <w:vAlign w:val="bottom"/>
          </w:tcPr>
          <w:p w14:paraId="16C10B90" w14:textId="04BB9924" w:rsidR="00542725" w:rsidRPr="00E02663" w:rsidRDefault="00A614A8" w:rsidP="00A75653">
            <w:pPr>
              <w:spacing w:before="40" w:after="40"/>
              <w:jc w:val="center"/>
              <w:rPr>
                <w:sz w:val="28"/>
                <w:szCs w:val="28"/>
              </w:rPr>
            </w:pPr>
            <w:r w:rsidRPr="00E02663">
              <w:rPr>
                <w:rFonts w:ascii="Times New Roman" w:hAnsi="Times New Roman"/>
              </w:rPr>
              <w:t>□</w:t>
            </w:r>
          </w:p>
        </w:tc>
        <w:tc>
          <w:tcPr>
            <w:tcW w:w="1109" w:type="dxa"/>
            <w:tcBorders>
              <w:top w:val="nil"/>
              <w:left w:val="nil"/>
              <w:bottom w:val="nil"/>
              <w:right w:val="nil"/>
            </w:tcBorders>
            <w:tcMar>
              <w:top w:w="20" w:type="dxa"/>
              <w:left w:w="115" w:type="dxa"/>
              <w:bottom w:w="20" w:type="dxa"/>
              <w:right w:w="115" w:type="dxa"/>
            </w:tcMar>
            <w:vAlign w:val="bottom"/>
          </w:tcPr>
          <w:p w14:paraId="06E54153" w14:textId="055E6C8E" w:rsidR="00542725" w:rsidRPr="00E02663" w:rsidRDefault="000D378E" w:rsidP="00A75653">
            <w:pPr>
              <w:spacing w:before="40" w:after="40"/>
              <w:jc w:val="center"/>
              <w:rPr>
                <w:sz w:val="28"/>
                <w:szCs w:val="28"/>
              </w:rPr>
            </w:pPr>
            <w:r w:rsidRPr="00E02663">
              <w:rPr>
                <w:rFonts w:ascii="Times New Roman" w:hAnsi="Times New Roman"/>
              </w:rPr>
              <w:t>■</w:t>
            </w:r>
          </w:p>
        </w:tc>
        <w:tc>
          <w:tcPr>
            <w:tcW w:w="1158" w:type="dxa"/>
            <w:tcBorders>
              <w:top w:val="nil"/>
              <w:left w:val="nil"/>
              <w:bottom w:val="nil"/>
            </w:tcBorders>
            <w:tcMar>
              <w:top w:w="20" w:type="dxa"/>
              <w:left w:w="115" w:type="dxa"/>
              <w:bottom w:w="20" w:type="dxa"/>
              <w:right w:w="115" w:type="dxa"/>
            </w:tcMar>
            <w:vAlign w:val="bottom"/>
          </w:tcPr>
          <w:p w14:paraId="2407AE7F" w14:textId="356F29E2" w:rsidR="00542725" w:rsidRPr="00E02663" w:rsidRDefault="000D378E" w:rsidP="00A75653">
            <w:pPr>
              <w:spacing w:before="40" w:after="40"/>
              <w:jc w:val="center"/>
              <w:rPr>
                <w:sz w:val="28"/>
                <w:szCs w:val="28"/>
              </w:rPr>
            </w:pPr>
            <w:r w:rsidRPr="00E02663">
              <w:rPr>
                <w:rFonts w:ascii="Times New Roman" w:hAnsi="Times New Roman"/>
              </w:rPr>
              <w:t>□</w:t>
            </w:r>
          </w:p>
        </w:tc>
      </w:tr>
      <w:tr w:rsidR="00542725" w:rsidRPr="00E02663" w14:paraId="5E4BD2A0" w14:textId="77777777" w:rsidTr="00B733AD">
        <w:trPr>
          <w:gridBefore w:val="1"/>
          <w:gridAfter w:val="1"/>
          <w:wBefore w:w="9" w:type="dxa"/>
          <w:wAfter w:w="29" w:type="dxa"/>
        </w:trPr>
        <w:tc>
          <w:tcPr>
            <w:tcW w:w="4339" w:type="dxa"/>
            <w:tcBorders>
              <w:top w:val="nil"/>
              <w:bottom w:val="nil"/>
              <w:right w:val="nil"/>
            </w:tcBorders>
            <w:tcMar>
              <w:top w:w="20" w:type="dxa"/>
              <w:left w:w="115" w:type="dxa"/>
              <w:bottom w:w="20" w:type="dxa"/>
              <w:right w:w="115" w:type="dxa"/>
            </w:tcMar>
            <w:vAlign w:val="bottom"/>
            <w:hideMark/>
          </w:tcPr>
          <w:p w14:paraId="77B08EBE" w14:textId="77777777" w:rsidR="00542725" w:rsidRPr="00E02663" w:rsidRDefault="00542725" w:rsidP="00A75653">
            <w:pPr>
              <w:pStyle w:val="BulletListLettered"/>
              <w:spacing w:before="40" w:after="40"/>
            </w:pPr>
            <w:r w:rsidRPr="00E02663">
              <w:t>Be located on a site that is included on a list of hazardous material sites compiled pursuant to Government Code Section 65962.5 and, as a result, would it create a significant hazard to the public or the environment?</w:t>
            </w:r>
          </w:p>
        </w:tc>
        <w:tc>
          <w:tcPr>
            <w:tcW w:w="1189" w:type="dxa"/>
            <w:gridSpan w:val="2"/>
            <w:tcBorders>
              <w:top w:val="nil"/>
              <w:left w:val="nil"/>
              <w:bottom w:val="nil"/>
              <w:right w:val="nil"/>
            </w:tcBorders>
            <w:tcMar>
              <w:top w:w="20" w:type="dxa"/>
              <w:left w:w="115" w:type="dxa"/>
              <w:bottom w:w="20" w:type="dxa"/>
              <w:right w:w="115" w:type="dxa"/>
            </w:tcMar>
            <w:vAlign w:val="bottom"/>
          </w:tcPr>
          <w:p w14:paraId="4B60F5AD" w14:textId="3930A8A5" w:rsidR="00542725" w:rsidRPr="00E02663" w:rsidRDefault="00040911" w:rsidP="00A75653">
            <w:pPr>
              <w:spacing w:before="40" w:after="40"/>
              <w:jc w:val="center"/>
              <w:rPr>
                <w:sz w:val="28"/>
                <w:szCs w:val="28"/>
              </w:rPr>
            </w:pPr>
            <w:r w:rsidRPr="00E02663">
              <w:rPr>
                <w:rFonts w:ascii="Times New Roman" w:hAnsi="Times New Roman"/>
              </w:rPr>
              <w:t>□</w:t>
            </w:r>
          </w:p>
        </w:tc>
        <w:tc>
          <w:tcPr>
            <w:tcW w:w="1214" w:type="dxa"/>
            <w:tcBorders>
              <w:top w:val="nil"/>
              <w:left w:val="nil"/>
              <w:bottom w:val="nil"/>
              <w:right w:val="nil"/>
            </w:tcBorders>
            <w:tcMar>
              <w:top w:w="20" w:type="dxa"/>
              <w:left w:w="115" w:type="dxa"/>
              <w:bottom w:w="20" w:type="dxa"/>
              <w:right w:w="115" w:type="dxa"/>
            </w:tcMar>
            <w:vAlign w:val="bottom"/>
          </w:tcPr>
          <w:p w14:paraId="61BDC1FE" w14:textId="6D49F73E" w:rsidR="00542725" w:rsidRPr="00E02663" w:rsidRDefault="0048057A" w:rsidP="00A75653">
            <w:pPr>
              <w:spacing w:before="40" w:after="40"/>
              <w:jc w:val="center"/>
              <w:rPr>
                <w:sz w:val="28"/>
                <w:szCs w:val="28"/>
              </w:rPr>
            </w:pPr>
            <w:r w:rsidRPr="00E02663">
              <w:rPr>
                <w:rFonts w:ascii="Times New Roman" w:hAnsi="Times New Roman"/>
              </w:rPr>
              <w:t>□</w:t>
            </w:r>
          </w:p>
        </w:tc>
        <w:tc>
          <w:tcPr>
            <w:tcW w:w="1109" w:type="dxa"/>
            <w:tcBorders>
              <w:top w:val="nil"/>
              <w:left w:val="nil"/>
              <w:bottom w:val="nil"/>
              <w:right w:val="nil"/>
            </w:tcBorders>
            <w:tcMar>
              <w:top w:w="20" w:type="dxa"/>
              <w:left w:w="115" w:type="dxa"/>
              <w:bottom w:w="20" w:type="dxa"/>
              <w:right w:w="115" w:type="dxa"/>
            </w:tcMar>
            <w:vAlign w:val="bottom"/>
          </w:tcPr>
          <w:p w14:paraId="47C80670" w14:textId="1DB4BFAF" w:rsidR="00542725" w:rsidRPr="00E02663" w:rsidRDefault="0048057A" w:rsidP="00A75653">
            <w:pPr>
              <w:spacing w:before="40" w:after="40"/>
              <w:jc w:val="center"/>
              <w:rPr>
                <w:sz w:val="28"/>
                <w:szCs w:val="28"/>
              </w:rPr>
            </w:pPr>
            <w:r w:rsidRPr="00E02663">
              <w:rPr>
                <w:rFonts w:ascii="Times New Roman" w:hAnsi="Times New Roman"/>
              </w:rPr>
              <w:t>■</w:t>
            </w:r>
          </w:p>
        </w:tc>
        <w:tc>
          <w:tcPr>
            <w:tcW w:w="1158" w:type="dxa"/>
            <w:tcBorders>
              <w:top w:val="nil"/>
              <w:left w:val="nil"/>
              <w:bottom w:val="nil"/>
            </w:tcBorders>
            <w:tcMar>
              <w:top w:w="20" w:type="dxa"/>
              <w:left w:w="115" w:type="dxa"/>
              <w:bottom w:w="20" w:type="dxa"/>
              <w:right w:w="115" w:type="dxa"/>
            </w:tcMar>
            <w:vAlign w:val="bottom"/>
          </w:tcPr>
          <w:p w14:paraId="5FABD65F" w14:textId="5B2FC6BB" w:rsidR="00542725" w:rsidRPr="00E02663" w:rsidRDefault="008642CD" w:rsidP="00A75653">
            <w:pPr>
              <w:spacing w:before="40" w:after="40"/>
              <w:jc w:val="center"/>
              <w:rPr>
                <w:sz w:val="28"/>
                <w:szCs w:val="28"/>
              </w:rPr>
            </w:pPr>
            <w:r w:rsidRPr="00E02663">
              <w:rPr>
                <w:rFonts w:ascii="Times New Roman" w:hAnsi="Times New Roman"/>
              </w:rPr>
              <w:t>□</w:t>
            </w:r>
          </w:p>
        </w:tc>
      </w:tr>
      <w:tr w:rsidR="00542725" w:rsidRPr="00E02663" w14:paraId="79A8A17B" w14:textId="77777777" w:rsidTr="00B733AD">
        <w:trPr>
          <w:gridBefore w:val="1"/>
          <w:gridAfter w:val="1"/>
          <w:wBefore w:w="9" w:type="dxa"/>
          <w:wAfter w:w="29" w:type="dxa"/>
        </w:trPr>
        <w:tc>
          <w:tcPr>
            <w:tcW w:w="4339" w:type="dxa"/>
            <w:tcBorders>
              <w:top w:val="nil"/>
              <w:bottom w:val="nil"/>
              <w:right w:val="nil"/>
            </w:tcBorders>
            <w:tcMar>
              <w:top w:w="20" w:type="dxa"/>
              <w:left w:w="115" w:type="dxa"/>
              <w:bottom w:w="20" w:type="dxa"/>
              <w:right w:w="115" w:type="dxa"/>
            </w:tcMar>
            <w:vAlign w:val="bottom"/>
            <w:hideMark/>
          </w:tcPr>
          <w:p w14:paraId="1DDC3558" w14:textId="77777777" w:rsidR="00542725" w:rsidRPr="00E02663" w:rsidRDefault="00542725" w:rsidP="00A75653">
            <w:pPr>
              <w:pStyle w:val="BulletListLettered"/>
              <w:spacing w:before="40" w:after="40"/>
            </w:pPr>
            <w:r w:rsidRPr="00E02663">
              <w:t xml:space="preserve">For a project located in an airport land use plan or, where such a plan has not been adopted, within two miles of a public airport or public use airport, would the project result in a safety hazard </w:t>
            </w:r>
            <w:r w:rsidR="00BC262A" w:rsidRPr="00E02663">
              <w:t xml:space="preserve">or excessive noise </w:t>
            </w:r>
            <w:r w:rsidRPr="00E02663">
              <w:t>for people residing or working in the project area?</w:t>
            </w:r>
          </w:p>
        </w:tc>
        <w:tc>
          <w:tcPr>
            <w:tcW w:w="1189" w:type="dxa"/>
            <w:gridSpan w:val="2"/>
            <w:tcBorders>
              <w:top w:val="nil"/>
              <w:left w:val="nil"/>
              <w:bottom w:val="nil"/>
              <w:right w:val="nil"/>
            </w:tcBorders>
            <w:tcMar>
              <w:top w:w="20" w:type="dxa"/>
              <w:left w:w="115" w:type="dxa"/>
              <w:bottom w:w="20" w:type="dxa"/>
              <w:right w:w="115" w:type="dxa"/>
            </w:tcMar>
            <w:vAlign w:val="bottom"/>
          </w:tcPr>
          <w:p w14:paraId="23F7360E" w14:textId="5F4DE1C0" w:rsidR="00542725" w:rsidRPr="00E02663" w:rsidRDefault="00040911" w:rsidP="00A75653">
            <w:pPr>
              <w:spacing w:before="40" w:after="40"/>
              <w:jc w:val="center"/>
              <w:rPr>
                <w:sz w:val="28"/>
                <w:szCs w:val="28"/>
              </w:rPr>
            </w:pPr>
            <w:r w:rsidRPr="00E02663">
              <w:rPr>
                <w:rFonts w:ascii="Times New Roman" w:hAnsi="Times New Roman"/>
              </w:rPr>
              <w:t>□</w:t>
            </w:r>
          </w:p>
        </w:tc>
        <w:tc>
          <w:tcPr>
            <w:tcW w:w="1214" w:type="dxa"/>
            <w:tcBorders>
              <w:top w:val="nil"/>
              <w:left w:val="nil"/>
              <w:bottom w:val="nil"/>
              <w:right w:val="nil"/>
            </w:tcBorders>
            <w:tcMar>
              <w:top w:w="20" w:type="dxa"/>
              <w:left w:w="115" w:type="dxa"/>
              <w:bottom w:w="20" w:type="dxa"/>
              <w:right w:w="115" w:type="dxa"/>
            </w:tcMar>
            <w:vAlign w:val="bottom"/>
          </w:tcPr>
          <w:p w14:paraId="5DE17CB1" w14:textId="2E64D686" w:rsidR="00542725" w:rsidRPr="00E02663" w:rsidRDefault="00542725" w:rsidP="00A75653">
            <w:pPr>
              <w:spacing w:before="40" w:after="40"/>
              <w:jc w:val="center"/>
              <w:rPr>
                <w:sz w:val="28"/>
                <w:szCs w:val="28"/>
              </w:rPr>
            </w:pPr>
            <w:r w:rsidRPr="00E02663">
              <w:rPr>
                <w:rFonts w:ascii="Times New Roman" w:hAnsi="Times New Roman"/>
              </w:rPr>
              <w:t>□</w:t>
            </w:r>
          </w:p>
        </w:tc>
        <w:tc>
          <w:tcPr>
            <w:tcW w:w="1109" w:type="dxa"/>
            <w:tcBorders>
              <w:top w:val="nil"/>
              <w:left w:val="nil"/>
              <w:bottom w:val="nil"/>
              <w:right w:val="nil"/>
            </w:tcBorders>
            <w:tcMar>
              <w:top w:w="20" w:type="dxa"/>
              <w:left w:w="115" w:type="dxa"/>
              <w:bottom w:w="20" w:type="dxa"/>
              <w:right w:w="115" w:type="dxa"/>
            </w:tcMar>
            <w:vAlign w:val="bottom"/>
          </w:tcPr>
          <w:p w14:paraId="2E7988B0" w14:textId="57AD232F" w:rsidR="00542725" w:rsidRPr="00E02663" w:rsidRDefault="008642CD" w:rsidP="00A75653">
            <w:pPr>
              <w:spacing w:before="40" w:after="40"/>
              <w:jc w:val="center"/>
              <w:rPr>
                <w:sz w:val="28"/>
                <w:szCs w:val="28"/>
              </w:rPr>
            </w:pPr>
            <w:r w:rsidRPr="00E02663">
              <w:rPr>
                <w:rFonts w:ascii="Times New Roman" w:hAnsi="Times New Roman"/>
              </w:rPr>
              <w:t>■</w:t>
            </w:r>
          </w:p>
        </w:tc>
        <w:tc>
          <w:tcPr>
            <w:tcW w:w="1158" w:type="dxa"/>
            <w:tcBorders>
              <w:top w:val="nil"/>
              <w:left w:val="nil"/>
              <w:bottom w:val="nil"/>
            </w:tcBorders>
            <w:tcMar>
              <w:top w:w="20" w:type="dxa"/>
              <w:left w:w="115" w:type="dxa"/>
              <w:bottom w:w="20" w:type="dxa"/>
              <w:right w:w="115" w:type="dxa"/>
            </w:tcMar>
            <w:vAlign w:val="bottom"/>
          </w:tcPr>
          <w:p w14:paraId="077DA17B" w14:textId="519AA254" w:rsidR="00542725" w:rsidRPr="00E02663" w:rsidRDefault="008642CD" w:rsidP="00A75653">
            <w:pPr>
              <w:spacing w:before="40" w:after="40"/>
              <w:jc w:val="center"/>
              <w:rPr>
                <w:sz w:val="28"/>
                <w:szCs w:val="28"/>
              </w:rPr>
            </w:pPr>
            <w:r w:rsidRPr="00E02663">
              <w:rPr>
                <w:rFonts w:ascii="Times New Roman" w:hAnsi="Times New Roman"/>
              </w:rPr>
              <w:t>□</w:t>
            </w:r>
          </w:p>
        </w:tc>
      </w:tr>
      <w:tr w:rsidR="00542725" w:rsidRPr="00E02663" w14:paraId="590FDF47" w14:textId="77777777" w:rsidTr="00B733AD">
        <w:trPr>
          <w:gridBefore w:val="1"/>
          <w:gridAfter w:val="1"/>
          <w:wBefore w:w="9" w:type="dxa"/>
          <w:wAfter w:w="29" w:type="dxa"/>
        </w:trPr>
        <w:tc>
          <w:tcPr>
            <w:tcW w:w="4339" w:type="dxa"/>
            <w:tcBorders>
              <w:top w:val="nil"/>
              <w:bottom w:val="nil"/>
              <w:right w:val="nil"/>
            </w:tcBorders>
            <w:tcMar>
              <w:top w:w="20" w:type="dxa"/>
              <w:left w:w="115" w:type="dxa"/>
              <w:bottom w:w="20" w:type="dxa"/>
              <w:right w:w="115" w:type="dxa"/>
            </w:tcMar>
            <w:vAlign w:val="bottom"/>
            <w:hideMark/>
          </w:tcPr>
          <w:p w14:paraId="5547D58E" w14:textId="77777777" w:rsidR="00542725" w:rsidRPr="00E02663" w:rsidRDefault="00542725" w:rsidP="00A75653">
            <w:pPr>
              <w:pStyle w:val="BulletListLettered"/>
              <w:spacing w:before="40" w:after="40"/>
            </w:pPr>
            <w:r w:rsidRPr="00E02663">
              <w:t>Impair implementation of or physically interfere with an adopted emergency response plan or emergency evacuation plan?</w:t>
            </w:r>
          </w:p>
        </w:tc>
        <w:tc>
          <w:tcPr>
            <w:tcW w:w="1189" w:type="dxa"/>
            <w:gridSpan w:val="2"/>
            <w:tcBorders>
              <w:top w:val="nil"/>
              <w:left w:val="nil"/>
              <w:bottom w:val="nil"/>
              <w:right w:val="nil"/>
            </w:tcBorders>
            <w:tcMar>
              <w:top w:w="20" w:type="dxa"/>
              <w:left w:w="115" w:type="dxa"/>
              <w:bottom w:w="20" w:type="dxa"/>
              <w:right w:w="115" w:type="dxa"/>
            </w:tcMar>
            <w:vAlign w:val="bottom"/>
          </w:tcPr>
          <w:p w14:paraId="3FD89BC0" w14:textId="6F3C966F" w:rsidR="00542725" w:rsidRPr="00E02663" w:rsidRDefault="00040911" w:rsidP="00A75653">
            <w:pPr>
              <w:spacing w:before="40" w:after="40"/>
              <w:jc w:val="center"/>
              <w:rPr>
                <w:sz w:val="28"/>
                <w:szCs w:val="28"/>
              </w:rPr>
            </w:pPr>
            <w:r w:rsidRPr="00E02663">
              <w:rPr>
                <w:rFonts w:ascii="Times New Roman" w:hAnsi="Times New Roman"/>
              </w:rPr>
              <w:t>□</w:t>
            </w:r>
          </w:p>
        </w:tc>
        <w:tc>
          <w:tcPr>
            <w:tcW w:w="1214" w:type="dxa"/>
            <w:tcBorders>
              <w:top w:val="nil"/>
              <w:left w:val="nil"/>
              <w:bottom w:val="nil"/>
              <w:right w:val="nil"/>
            </w:tcBorders>
            <w:tcMar>
              <w:top w:w="20" w:type="dxa"/>
              <w:left w:w="115" w:type="dxa"/>
              <w:bottom w:w="20" w:type="dxa"/>
              <w:right w:w="115" w:type="dxa"/>
            </w:tcMar>
            <w:vAlign w:val="bottom"/>
          </w:tcPr>
          <w:p w14:paraId="73DBF58E" w14:textId="26E52671" w:rsidR="00542725" w:rsidRPr="00E02663" w:rsidRDefault="00542725" w:rsidP="00A75653">
            <w:pPr>
              <w:spacing w:before="40" w:after="40"/>
              <w:jc w:val="center"/>
              <w:rPr>
                <w:sz w:val="28"/>
                <w:szCs w:val="28"/>
              </w:rPr>
            </w:pPr>
            <w:r w:rsidRPr="00E02663">
              <w:rPr>
                <w:rFonts w:ascii="Times New Roman" w:hAnsi="Times New Roman"/>
              </w:rPr>
              <w:t>□</w:t>
            </w:r>
          </w:p>
        </w:tc>
        <w:tc>
          <w:tcPr>
            <w:tcW w:w="1109" w:type="dxa"/>
            <w:tcBorders>
              <w:top w:val="nil"/>
              <w:left w:val="nil"/>
              <w:bottom w:val="nil"/>
              <w:right w:val="nil"/>
            </w:tcBorders>
            <w:tcMar>
              <w:top w:w="20" w:type="dxa"/>
              <w:left w:w="115" w:type="dxa"/>
              <w:bottom w:w="20" w:type="dxa"/>
              <w:right w:w="115" w:type="dxa"/>
            </w:tcMar>
            <w:vAlign w:val="bottom"/>
          </w:tcPr>
          <w:p w14:paraId="58683C80" w14:textId="1E6B8C5D" w:rsidR="00542725" w:rsidRPr="00E02663" w:rsidRDefault="00762E07" w:rsidP="00A75653">
            <w:pPr>
              <w:spacing w:before="40" w:after="40"/>
              <w:jc w:val="center"/>
              <w:rPr>
                <w:sz w:val="28"/>
                <w:szCs w:val="28"/>
              </w:rPr>
            </w:pPr>
            <w:r w:rsidRPr="00E02663">
              <w:rPr>
                <w:rFonts w:ascii="Times New Roman" w:hAnsi="Times New Roman"/>
              </w:rPr>
              <w:t>□</w:t>
            </w:r>
          </w:p>
        </w:tc>
        <w:tc>
          <w:tcPr>
            <w:tcW w:w="1158" w:type="dxa"/>
            <w:tcBorders>
              <w:top w:val="nil"/>
              <w:left w:val="nil"/>
              <w:bottom w:val="nil"/>
            </w:tcBorders>
            <w:tcMar>
              <w:top w:w="20" w:type="dxa"/>
              <w:left w:w="115" w:type="dxa"/>
              <w:bottom w:w="20" w:type="dxa"/>
              <w:right w:w="115" w:type="dxa"/>
            </w:tcMar>
            <w:vAlign w:val="bottom"/>
          </w:tcPr>
          <w:p w14:paraId="31E5D457" w14:textId="1F43287E" w:rsidR="00542725" w:rsidRPr="00E02663" w:rsidRDefault="00762E07" w:rsidP="00A75653">
            <w:pPr>
              <w:spacing w:before="40" w:after="40"/>
              <w:jc w:val="center"/>
              <w:rPr>
                <w:sz w:val="28"/>
                <w:szCs w:val="28"/>
              </w:rPr>
            </w:pPr>
            <w:r w:rsidRPr="00E02663">
              <w:rPr>
                <w:rFonts w:ascii="Times New Roman" w:hAnsi="Times New Roman"/>
              </w:rPr>
              <w:t>■</w:t>
            </w:r>
          </w:p>
        </w:tc>
      </w:tr>
      <w:tr w:rsidR="00542725" w:rsidRPr="00E02663" w14:paraId="6717DB6E" w14:textId="77777777" w:rsidTr="00B733AD">
        <w:trPr>
          <w:gridBefore w:val="1"/>
          <w:gridAfter w:val="1"/>
          <w:wBefore w:w="9" w:type="dxa"/>
          <w:wAfter w:w="29" w:type="dxa"/>
        </w:trPr>
        <w:tc>
          <w:tcPr>
            <w:tcW w:w="4339" w:type="dxa"/>
            <w:tcBorders>
              <w:top w:val="nil"/>
              <w:right w:val="nil"/>
            </w:tcBorders>
            <w:tcMar>
              <w:top w:w="20" w:type="dxa"/>
              <w:left w:w="115" w:type="dxa"/>
              <w:bottom w:w="20" w:type="dxa"/>
              <w:right w:w="115" w:type="dxa"/>
            </w:tcMar>
            <w:vAlign w:val="bottom"/>
            <w:hideMark/>
          </w:tcPr>
          <w:p w14:paraId="50F5802F" w14:textId="77777777" w:rsidR="00542725" w:rsidRPr="00E02663" w:rsidRDefault="00542725" w:rsidP="00A75653">
            <w:pPr>
              <w:pStyle w:val="BulletListLettered"/>
              <w:spacing w:before="40" w:after="40"/>
            </w:pPr>
            <w:r w:rsidRPr="00E02663">
              <w:t>Expose people or structures</w:t>
            </w:r>
            <w:r w:rsidR="00405CD7" w:rsidRPr="00E02663">
              <w:t>, either directly or indirectly,</w:t>
            </w:r>
            <w:r w:rsidRPr="00E02663">
              <w:t xml:space="preserve"> to a significant risk of loss, injury, or death involving wildland </w:t>
            </w:r>
            <w:r w:rsidR="00405CD7" w:rsidRPr="00E02663">
              <w:t>fires?</w:t>
            </w:r>
          </w:p>
        </w:tc>
        <w:tc>
          <w:tcPr>
            <w:tcW w:w="1189" w:type="dxa"/>
            <w:gridSpan w:val="2"/>
            <w:tcBorders>
              <w:top w:val="nil"/>
              <w:left w:val="nil"/>
              <w:right w:val="nil"/>
            </w:tcBorders>
            <w:tcMar>
              <w:top w:w="20" w:type="dxa"/>
              <w:left w:w="115" w:type="dxa"/>
              <w:bottom w:w="20" w:type="dxa"/>
              <w:right w:w="115" w:type="dxa"/>
            </w:tcMar>
            <w:vAlign w:val="bottom"/>
          </w:tcPr>
          <w:p w14:paraId="7543594C" w14:textId="62ADB2A7" w:rsidR="00542725" w:rsidRPr="00E02663" w:rsidRDefault="00040911" w:rsidP="00A75653">
            <w:pPr>
              <w:spacing w:before="40" w:after="40"/>
              <w:jc w:val="center"/>
              <w:rPr>
                <w:sz w:val="28"/>
                <w:szCs w:val="28"/>
              </w:rPr>
            </w:pPr>
            <w:r w:rsidRPr="00E02663">
              <w:rPr>
                <w:rFonts w:ascii="Times New Roman" w:hAnsi="Times New Roman"/>
              </w:rPr>
              <w:t>□</w:t>
            </w:r>
          </w:p>
        </w:tc>
        <w:tc>
          <w:tcPr>
            <w:tcW w:w="1214" w:type="dxa"/>
            <w:tcBorders>
              <w:top w:val="nil"/>
              <w:left w:val="nil"/>
              <w:right w:val="nil"/>
            </w:tcBorders>
            <w:tcMar>
              <w:top w:w="20" w:type="dxa"/>
              <w:left w:w="115" w:type="dxa"/>
              <w:bottom w:w="20" w:type="dxa"/>
              <w:right w:w="115" w:type="dxa"/>
            </w:tcMar>
            <w:vAlign w:val="bottom"/>
          </w:tcPr>
          <w:p w14:paraId="33C5AABA" w14:textId="587213D1" w:rsidR="00542725" w:rsidRPr="00E02663" w:rsidRDefault="00542725" w:rsidP="00A75653">
            <w:pPr>
              <w:spacing w:before="40" w:after="40"/>
              <w:jc w:val="center"/>
              <w:rPr>
                <w:sz w:val="28"/>
                <w:szCs w:val="28"/>
              </w:rPr>
            </w:pPr>
            <w:r w:rsidRPr="00E02663">
              <w:rPr>
                <w:rFonts w:ascii="Times New Roman" w:hAnsi="Times New Roman"/>
              </w:rPr>
              <w:t>□</w:t>
            </w:r>
          </w:p>
        </w:tc>
        <w:tc>
          <w:tcPr>
            <w:tcW w:w="1109" w:type="dxa"/>
            <w:tcBorders>
              <w:top w:val="nil"/>
              <w:left w:val="nil"/>
              <w:right w:val="nil"/>
            </w:tcBorders>
            <w:tcMar>
              <w:top w:w="20" w:type="dxa"/>
              <w:left w:w="115" w:type="dxa"/>
              <w:bottom w:w="20" w:type="dxa"/>
              <w:right w:w="115" w:type="dxa"/>
            </w:tcMar>
            <w:vAlign w:val="bottom"/>
          </w:tcPr>
          <w:p w14:paraId="41336D9F" w14:textId="658C7522" w:rsidR="00542725" w:rsidRPr="00E02663" w:rsidRDefault="00542725" w:rsidP="00A75653">
            <w:pPr>
              <w:spacing w:before="40" w:after="40"/>
              <w:jc w:val="center"/>
              <w:rPr>
                <w:sz w:val="28"/>
                <w:szCs w:val="28"/>
              </w:rPr>
            </w:pPr>
            <w:r w:rsidRPr="00E02663">
              <w:rPr>
                <w:rFonts w:ascii="Times New Roman" w:hAnsi="Times New Roman"/>
              </w:rPr>
              <w:t>□</w:t>
            </w:r>
          </w:p>
        </w:tc>
        <w:tc>
          <w:tcPr>
            <w:tcW w:w="1158" w:type="dxa"/>
            <w:tcBorders>
              <w:top w:val="nil"/>
              <w:left w:val="nil"/>
            </w:tcBorders>
            <w:tcMar>
              <w:top w:w="20" w:type="dxa"/>
              <w:left w:w="115" w:type="dxa"/>
              <w:bottom w:w="20" w:type="dxa"/>
              <w:right w:w="115" w:type="dxa"/>
            </w:tcMar>
            <w:vAlign w:val="bottom"/>
          </w:tcPr>
          <w:p w14:paraId="6D01549C" w14:textId="4F666F65" w:rsidR="00542725" w:rsidRPr="00E02663" w:rsidRDefault="001D7E8D" w:rsidP="00A75653">
            <w:pPr>
              <w:spacing w:before="40" w:after="40"/>
              <w:jc w:val="center"/>
              <w:rPr>
                <w:sz w:val="28"/>
                <w:szCs w:val="28"/>
              </w:rPr>
            </w:pPr>
            <w:r w:rsidRPr="00E02663">
              <w:rPr>
                <w:rFonts w:ascii="Times New Roman" w:hAnsi="Times New Roman"/>
              </w:rPr>
              <w:t>■</w:t>
            </w:r>
          </w:p>
        </w:tc>
      </w:tr>
    </w:tbl>
    <w:p w14:paraId="57B214BD" w14:textId="77777777" w:rsidR="00C57E38" w:rsidRPr="004D3568" w:rsidRDefault="00C57E38" w:rsidP="00C57E38">
      <w:pPr>
        <w:pStyle w:val="Heading5"/>
      </w:pPr>
      <w:r w:rsidRPr="004D3568">
        <w:t>Hazards and Hazardous Materials Setting</w:t>
      </w:r>
    </w:p>
    <w:p w14:paraId="65D27A9D" w14:textId="409608DA" w:rsidR="00C57E38" w:rsidRPr="00E02663" w:rsidRDefault="00C57E38" w:rsidP="00C57E38">
      <w:pPr>
        <w:pStyle w:val="BodyText"/>
      </w:pPr>
      <w:r w:rsidRPr="00E02663">
        <w:t>A Phase I</w:t>
      </w:r>
      <w:r>
        <w:t>/Phase II</w:t>
      </w:r>
      <w:r w:rsidRPr="00E02663">
        <w:t xml:space="preserve"> Environmental Site Assessment (ESA) was prepared for the project site</w:t>
      </w:r>
      <w:r>
        <w:t xml:space="preserve"> by Weber, Hayes and Associates (WHA) in May 2021 and was revised in January 2022. Rincon Consultants, Inc. peer reviewed this ESA. </w:t>
      </w:r>
      <w:r w:rsidRPr="00E02663">
        <w:t xml:space="preserve">As part of the </w:t>
      </w:r>
      <w:r w:rsidR="00182B6B">
        <w:t>Phase I ESA</w:t>
      </w:r>
      <w:r w:rsidRPr="00E02663">
        <w:t xml:space="preserve">, Environmental Data Resources, Inc. (EDR) was contracted to provide a database search of public lists of sites that generate, store, treat, or dispose of hazardous materials or sites for which release or incident has occurred for the project site and surrounding area. Federal, state, and country lists were reviewed as part of the research effort. </w:t>
      </w:r>
    </w:p>
    <w:p w14:paraId="56B6BEB6" w14:textId="77777777" w:rsidR="00C57E38" w:rsidRPr="009C44D3" w:rsidRDefault="00C57E38" w:rsidP="00C57E38">
      <w:pPr>
        <w:pStyle w:val="Heading5"/>
      </w:pPr>
      <w:bookmarkStart w:id="249" w:name="_Hlk16754376"/>
      <w:r w:rsidRPr="009C44D3">
        <w:t>Project Site</w:t>
      </w:r>
    </w:p>
    <w:p w14:paraId="3BBF389D" w14:textId="77777777" w:rsidR="00C57E38" w:rsidRDefault="00C57E38" w:rsidP="00C57E38">
      <w:pPr>
        <w:pStyle w:val="BodyText"/>
      </w:pPr>
      <w:r>
        <w:t xml:space="preserve">The project site was listed in the databases searched by EDR: </w:t>
      </w:r>
    </w:p>
    <w:p w14:paraId="31EBB97A" w14:textId="2F064861" w:rsidR="00C57E38" w:rsidRDefault="00C57E38" w:rsidP="00C57E38">
      <w:pPr>
        <w:pStyle w:val="bullet1"/>
      </w:pPr>
      <w:r>
        <w:rPr>
          <w:b/>
          <w:bCs/>
        </w:rPr>
        <w:t>1155 Terra Be</w:t>
      </w:r>
      <w:r w:rsidRPr="00C4331A">
        <w:rPr>
          <w:b/>
          <w:bCs/>
        </w:rPr>
        <w:t xml:space="preserve">lla Avenue. </w:t>
      </w:r>
      <w:r>
        <w:t xml:space="preserve">During a Phase I/II ESA conducted in 2016, </w:t>
      </w:r>
      <w:r w:rsidR="006A25F0">
        <w:t xml:space="preserve">indication </w:t>
      </w:r>
      <w:r>
        <w:t xml:space="preserve">of a historical chemical underground storage tank (UST) was discovered which was removed from the site without </w:t>
      </w:r>
      <w:r w:rsidR="006A25F0">
        <w:t xml:space="preserve">a </w:t>
      </w:r>
      <w:r>
        <w:t xml:space="preserve">permit. Testing of soil and groundwater confirmed elevated concentrations of chlorinated solvents. The site was entered into the Santa Clara County Department of Environmental Health (SCCDEH) Voluntary Cleanup Program (VCP) and the subsurface investigation is ongoing. </w:t>
      </w:r>
    </w:p>
    <w:p w14:paraId="3B373A03" w14:textId="5BB87F03" w:rsidR="00C57E38" w:rsidRDefault="00C57E38" w:rsidP="00C57E38">
      <w:pPr>
        <w:pStyle w:val="bullet1"/>
      </w:pPr>
      <w:r>
        <w:rPr>
          <w:b/>
          <w:bCs/>
        </w:rPr>
        <w:t>1185 Terra Bel</w:t>
      </w:r>
      <w:r w:rsidRPr="00C4331A">
        <w:rPr>
          <w:b/>
          <w:bCs/>
        </w:rPr>
        <w:t xml:space="preserve">la Avenue. </w:t>
      </w:r>
      <w:r>
        <w:t xml:space="preserve">Two gasoline USTs were removed under permit with the Mountain View Fire Department in 1998. </w:t>
      </w:r>
      <w:r w:rsidR="006A25F0">
        <w:t xml:space="preserve">Twenty </w:t>
      </w:r>
      <w:r>
        <w:t xml:space="preserve">cubic yards of impacted soils were excavated in 1998 and disposed. Follow-up soil and groundwater investigations in November 2000 showed trace and moderate levels of contaminants, and the case was closed in July 2001. </w:t>
      </w:r>
    </w:p>
    <w:p w14:paraId="50B963E0" w14:textId="77777777" w:rsidR="00C57E38" w:rsidRPr="008C1777" w:rsidRDefault="00C57E38" w:rsidP="00C57E38">
      <w:pPr>
        <w:pStyle w:val="Heading5"/>
      </w:pPr>
      <w:r w:rsidRPr="008C1777">
        <w:t>Adjacent Properties</w:t>
      </w:r>
    </w:p>
    <w:bookmarkEnd w:id="249"/>
    <w:p w14:paraId="73395998" w14:textId="77777777" w:rsidR="00C57E38" w:rsidRPr="008C1777" w:rsidRDefault="00C57E38" w:rsidP="00C57E38">
      <w:pPr>
        <w:pStyle w:val="BodyText"/>
      </w:pPr>
      <w:r w:rsidRPr="008C1777">
        <w:t>Two adjacent properties were listed in the databases searched by EDR:</w:t>
      </w:r>
    </w:p>
    <w:p w14:paraId="7A2F1886" w14:textId="399D03E1" w:rsidR="00C57E38" w:rsidRPr="00DD7A05" w:rsidRDefault="00C57E38" w:rsidP="00275B75">
      <w:pPr>
        <w:pStyle w:val="BulletListLevel1"/>
      </w:pPr>
      <w:r w:rsidRPr="008C1777">
        <w:rPr>
          <w:b/>
        </w:rPr>
        <w:t xml:space="preserve">975 Shoreline Boulevard. </w:t>
      </w:r>
      <w:r w:rsidRPr="008C1777">
        <w:t xml:space="preserve">975 Shoreline Boulevard </w:t>
      </w:r>
      <w:r>
        <w:t>is immediately west of the project site. The former Texaco service station</w:t>
      </w:r>
      <w:r w:rsidR="006A25F0">
        <w:t xml:space="preserve"> at that address</w:t>
      </w:r>
      <w:r>
        <w:t xml:space="preserve"> contained six USTs, which were removed in 1992. Groundwater monitoring ha</w:t>
      </w:r>
      <w:r>
        <w:rPr>
          <w:b/>
        </w:rPr>
        <w:t xml:space="preserve">s </w:t>
      </w:r>
      <w:r>
        <w:t xml:space="preserve">been performed at the site since 1988. While SCCDEH has closed this site, residual contamination remains, and the site is considered a Controlled Recognized Environmental Condition. </w:t>
      </w:r>
    </w:p>
    <w:p w14:paraId="7BCCB3B4" w14:textId="47705FCC" w:rsidR="00C57E38" w:rsidRPr="00DC6321" w:rsidRDefault="00C57E38" w:rsidP="00275B75">
      <w:pPr>
        <w:pStyle w:val="BulletListLevel1"/>
      </w:pPr>
      <w:r>
        <w:rPr>
          <w:b/>
        </w:rPr>
        <w:t xml:space="preserve">807 North Shoreline Boulevard. </w:t>
      </w:r>
      <w:r>
        <w:t xml:space="preserve">807 North Shoreline Boulevard is located approximately 600 feet south of the project site and is an active gas station. In 1991, four USTs were removed. Groundwater extraction and treatment was determined to be the best remedial alternative, which was completed by 2004. Santa Clara Valley Water District concluded </w:t>
      </w:r>
      <w:r w:rsidR="006A25F0">
        <w:t>that t</w:t>
      </w:r>
      <w:r>
        <w:t xml:space="preserve">he site was no longer a threat to groundwater, human health, and the environment, and met RWQCB objectives. The site was closed in August 2008. </w:t>
      </w:r>
    </w:p>
    <w:p w14:paraId="7716F74C" w14:textId="77777777" w:rsidR="00C57E38" w:rsidRPr="00DC6321" w:rsidRDefault="00C57E38" w:rsidP="00C57E38">
      <w:pPr>
        <w:pStyle w:val="Heading5"/>
      </w:pPr>
      <w:r>
        <w:t xml:space="preserve">Regulatory Setting </w:t>
      </w:r>
    </w:p>
    <w:p w14:paraId="471A2900" w14:textId="77777777" w:rsidR="00C57E38" w:rsidRPr="00913E1A" w:rsidRDefault="00C57E38" w:rsidP="00C57E38">
      <w:pPr>
        <w:pStyle w:val="Heading6"/>
      </w:pPr>
      <w:r w:rsidRPr="00913E1A">
        <w:t>Department of Toxic Substances Control</w:t>
      </w:r>
    </w:p>
    <w:p w14:paraId="51A3D1B8" w14:textId="77777777" w:rsidR="00C57E38" w:rsidRPr="00913E1A" w:rsidRDefault="00C57E38" w:rsidP="00C57E38">
      <w:pPr>
        <w:pStyle w:val="BodyText"/>
      </w:pPr>
      <w:r w:rsidRPr="00913E1A">
        <w:t xml:space="preserve">As a department of CalEPA, </w:t>
      </w:r>
      <w:r>
        <w:t>the Department of Toxic Substances Control (</w:t>
      </w:r>
      <w:r w:rsidRPr="00913E1A">
        <w:t>DTSC</w:t>
      </w:r>
      <w:r>
        <w:t>)</w:t>
      </w:r>
      <w:r w:rsidRPr="00913E1A">
        <w:t xml:space="preserve"> regulates hazardous waste, cleans up existing contamination, and looks for ways to reduce the hazardous waste produced in California. DTSC regulates hazardous waste in California primarily under the authority of </w:t>
      </w:r>
      <w:r>
        <w:t xml:space="preserve">the </w:t>
      </w:r>
      <w:r w:rsidRPr="00913E1A">
        <w:t xml:space="preserve">Resource Conservation and Recovery Act </w:t>
      </w:r>
      <w:r>
        <w:t xml:space="preserve">(RCRA) </w:t>
      </w:r>
      <w:r w:rsidRPr="00913E1A">
        <w:t>and the California Health and Safety Code.</w:t>
      </w:r>
    </w:p>
    <w:p w14:paraId="14B16F31" w14:textId="77777777" w:rsidR="00C57E38" w:rsidRPr="00913E1A" w:rsidRDefault="00C57E38" w:rsidP="00C57E38">
      <w:pPr>
        <w:pStyle w:val="BodyText"/>
      </w:pPr>
      <w:r w:rsidRPr="00913E1A">
        <w:t xml:space="preserve">DTSC also administers the California Hazardous Waste </w:t>
      </w:r>
      <w:r>
        <w:t xml:space="preserve">Control </w:t>
      </w:r>
      <w:r w:rsidRPr="00913E1A">
        <w:t>Law (HWCL) to regulate hazardous wastes. While the HWCL is generally more stringent than</w:t>
      </w:r>
      <w:r>
        <w:t xml:space="preserve"> RCRA</w:t>
      </w:r>
      <w:r w:rsidRPr="00913E1A">
        <w:t>, until the USEPA approves the California program</w:t>
      </w:r>
      <w:r>
        <w:t>,</w:t>
      </w:r>
      <w:r w:rsidRPr="00913E1A">
        <w:t xml:space="preserve"> both state and federal laws apply in California. The HWCL lists 791 chemicals and approximately 300 common materials that may be hazardous; establishes criteria for identifying, packaging, and labeling hazardous wastes; prescribes</w:t>
      </w:r>
      <w:r>
        <w:t xml:space="preserve"> </w:t>
      </w:r>
      <w:r w:rsidRPr="00913E1A">
        <w:t xml:space="preserve">management controls; establishes permit requirements for treatment, storage, disposal, and transportation; and identifies some wastes that cannot be disposed of in landfills. </w:t>
      </w:r>
    </w:p>
    <w:p w14:paraId="76035B20" w14:textId="77777777" w:rsidR="00C57E38" w:rsidRPr="00913E1A" w:rsidRDefault="00C57E38" w:rsidP="00C57E38">
      <w:pPr>
        <w:pStyle w:val="BodyText"/>
      </w:pPr>
      <w:r w:rsidRPr="00913E1A">
        <w:t>Government Code Section 65962.5 requires the DTSC, the State Department of Health Services,</w:t>
      </w:r>
      <w:r>
        <w:t xml:space="preserve"> SWRCB</w:t>
      </w:r>
      <w:r w:rsidRPr="00913E1A">
        <w:t xml:space="preserve">, and </w:t>
      </w:r>
      <w:r>
        <w:t>the California Department of Resources Recycling and Recovery (</w:t>
      </w:r>
      <w:r w:rsidRPr="00913E1A">
        <w:t>CalRecycle</w:t>
      </w:r>
      <w:r>
        <w:t>)</w:t>
      </w:r>
      <w:r w:rsidRPr="00913E1A">
        <w:t xml:space="preserve"> compile and annually update lists of hazardous waste sites and land designated as hazardous waste sites throughout the state. The Secretary for Environmental Protection consolidates the information submitted by these agencies and distributes it to each city and county where sites on the lists are located. Before the lead agency accepts an application for any development project as complete, the applicant must consult these lists to determine if the site at issue is included. </w:t>
      </w:r>
    </w:p>
    <w:p w14:paraId="79CBE0E5" w14:textId="77777777" w:rsidR="00C57E38" w:rsidRPr="00913E1A" w:rsidRDefault="00C57E38" w:rsidP="00C57E38">
      <w:pPr>
        <w:pStyle w:val="BodyText"/>
      </w:pPr>
      <w:r w:rsidRPr="00913E1A">
        <w:t xml:space="preserve">If any soil is excavated from a site containing hazardous materials, it is considered a hazardous waste if it exceeds specific criteria in Title 22 of the CCR. Remediation of hazardous wastes found at a site may be required if excavation of these materials is performed, or if certain other soil disturbing activities would occur. Even if soil or groundwater at a contaminated site does not have the characteristics required to be defined as hazardous waste, remediation of the site may be required by regulatory agencies subject to jurisdictional authority. Cleanup requirements are determined on a case-by-case basis by the agency taking jurisdiction. </w:t>
      </w:r>
    </w:p>
    <w:p w14:paraId="1D7F9E37" w14:textId="77777777" w:rsidR="00C57E38" w:rsidRPr="00913E1A" w:rsidRDefault="00C57E38" w:rsidP="00C57E38">
      <w:pPr>
        <w:pStyle w:val="Heading6"/>
      </w:pPr>
      <w:bookmarkStart w:id="250" w:name="_Hlk53667508"/>
      <w:r w:rsidRPr="00913E1A">
        <w:t>Regional Water Quality Control Board</w:t>
      </w:r>
    </w:p>
    <w:p w14:paraId="43E5628C" w14:textId="77777777" w:rsidR="00C57E38" w:rsidRPr="00913E1A" w:rsidRDefault="00C57E38" w:rsidP="00C57E38">
      <w:pPr>
        <w:pStyle w:val="BodyText"/>
      </w:pPr>
      <w:r>
        <w:t>The Regional Water Quality Control Board (RWQCB)</w:t>
      </w:r>
      <w:r w:rsidRPr="00913E1A">
        <w:t xml:space="preserve"> regulates discharges and releases to surface and groundwater in the project area. The RWQCB generally oversees cases involving groundwater contamination. </w:t>
      </w:r>
      <w:r>
        <w:t>T</w:t>
      </w:r>
      <w:r w:rsidRPr="00913E1A">
        <w:t xml:space="preserve">he County of </w:t>
      </w:r>
      <w:r>
        <w:t>Santa Clara</w:t>
      </w:r>
      <w:r w:rsidRPr="00913E1A">
        <w:t xml:space="preserve"> Department of Environmental Health handles most leaking underground storage tank cases, so the </w:t>
      </w:r>
      <w:r>
        <w:t>RWQCB</w:t>
      </w:r>
      <w:r w:rsidRPr="00913E1A">
        <w:t xml:space="preserve"> may oversee cases involving other groundwater contaminants, i.e., Spills, Leaks, Incidents, and Clean-up cases. In the case of spills at a project site, the responsible party would notify the County of </w:t>
      </w:r>
      <w:r>
        <w:t xml:space="preserve">Santa Clara, </w:t>
      </w:r>
      <w:r w:rsidRPr="00913E1A">
        <w:t>RWQCB, or DTSC</w:t>
      </w:r>
      <w:r>
        <w:t xml:space="preserve"> and a lead</w:t>
      </w:r>
      <w:r w:rsidRPr="00913E1A">
        <w:t xml:space="preserve"> would be determined.</w:t>
      </w:r>
    </w:p>
    <w:p w14:paraId="52026209" w14:textId="77777777" w:rsidR="00C57E38" w:rsidRPr="00913E1A" w:rsidRDefault="00C57E38" w:rsidP="00C57E38">
      <w:pPr>
        <w:pStyle w:val="BodyText"/>
      </w:pPr>
      <w:r>
        <w:t>RWQCB</w:t>
      </w:r>
      <w:r w:rsidRPr="00913E1A">
        <w:t xml:space="preserve"> has established guidelines used to evaluate the potential risk associated with chemicals found in soil or groundwater where a release of hazardous materials has occurred called Environmental Screening Levels</w:t>
      </w:r>
      <w:r>
        <w:t xml:space="preserve"> (ESLs).</w:t>
      </w:r>
      <w:r w:rsidRPr="00913E1A">
        <w:t xml:space="preserve"> </w:t>
      </w:r>
      <w:r>
        <w:t xml:space="preserve">ESLs were </w:t>
      </w:r>
      <w:r w:rsidRPr="00913E1A">
        <w:t xml:space="preserve">developed </w:t>
      </w:r>
      <w:r>
        <w:t xml:space="preserve">to expedite the identification and evaluation of potential environmental concerns at contaminated sites. ESLs address soil, groundwater, soil gas, and indoor air and cover a range of concerns (e.g., impacts to drinking water, aquatic habitat, and vapor intrusion). </w:t>
      </w:r>
    </w:p>
    <w:p w14:paraId="4077D08E" w14:textId="77777777" w:rsidR="00C57E38" w:rsidRDefault="00C57E38" w:rsidP="00C57E38">
      <w:pPr>
        <w:pStyle w:val="Heading6"/>
      </w:pPr>
      <w:r>
        <w:t>Mountain View</w:t>
      </w:r>
      <w:r w:rsidRPr="0015543C">
        <w:t xml:space="preserve"> Fire Department</w:t>
      </w:r>
    </w:p>
    <w:p w14:paraId="4F88B6E5" w14:textId="77777777" w:rsidR="00C57E38" w:rsidRPr="007F097B" w:rsidRDefault="00C57E38" w:rsidP="00C57E38">
      <w:pPr>
        <w:pStyle w:val="BodyText"/>
      </w:pPr>
      <w:r w:rsidRPr="007F097B">
        <w:t>Mountain View Fire Department (MVFD) is designated as the City of Mountain View’s Certified Unified Program Agency (CUPA),</w:t>
      </w:r>
      <w:r>
        <w:t xml:space="preserve"> </w:t>
      </w:r>
      <w:r w:rsidRPr="007F097B">
        <w:t xml:space="preserve">which is overseen by the California Environmental Protection Agency and coordinates the regulation of hazardous materials and hazardous wastes in the City. CUPA ensures the consistent application of statewide standards during administrative, permitting, inspection, and enforcement activities associated with hazardous materials and hazardous wastes. If a business operated at the project site would use and store hazardous materials and generate hazardous wastes, CUPA would require the electronic submittal of chemical and facility information, a Hazardous Materials Business Plan, and hazardous waste generator permits to the California Environmental Reporting System online database. If operations at the project site would include the treatment, storage, and/or disposal of hazardous waste, </w:t>
      </w:r>
      <w:r>
        <w:t>MVFD’s</w:t>
      </w:r>
      <w:r w:rsidRPr="007F097B">
        <w:t xml:space="preserve"> Hazardous Materials Office would regulate these activities under a tiered permitting system.</w:t>
      </w:r>
    </w:p>
    <w:p w14:paraId="4ADD4AD4" w14:textId="77777777" w:rsidR="00C57E38" w:rsidRPr="007F097B" w:rsidRDefault="00C57E38" w:rsidP="00C57E38">
      <w:pPr>
        <w:pStyle w:val="BodyText"/>
      </w:pPr>
      <w:r w:rsidRPr="007F097B">
        <w:t>CUPA, through the Hazardous Materials Office, regulates USTs containing hazardous materials, including installation, operation and maintenance, temporary closure, and removal and disposal of USTs. Additionally, CUPA holds the responsibility and authority to implement the Aboveground Petroleum Storage Act, which regulates aboveground petroleum storage tanks through administrative requirements, permitting, inspections, and enforcement. Any above</w:t>
      </w:r>
      <w:r>
        <w:t>ground</w:t>
      </w:r>
      <w:r w:rsidRPr="007F097B">
        <w:t xml:space="preserve"> or underground storage tanks present at the project site would be managed by the </w:t>
      </w:r>
      <w:r>
        <w:t>MVFD</w:t>
      </w:r>
      <w:r w:rsidRPr="007F097B">
        <w:t xml:space="preserve"> Hazardous Materials Office.</w:t>
      </w:r>
    </w:p>
    <w:p w14:paraId="268C867A" w14:textId="77777777" w:rsidR="00C57E38" w:rsidRPr="00DC6321" w:rsidRDefault="00C57E38" w:rsidP="00C57E38">
      <w:pPr>
        <w:pStyle w:val="BodyText"/>
      </w:pPr>
      <w:r w:rsidRPr="007F097B">
        <w:t xml:space="preserve">The Hazardous Materials Office administers the California Accidental Release Prevention (CalARP) Program, which aims to reduce the likelihood and impact of accidental releases of regulated toxic and flammable substances through administrative and operational procedures, and facility inspections. If the facility located on the project site would be regulated under the CalARP Program, the facility would file a written Risk Management Plan with </w:t>
      </w:r>
      <w:bookmarkEnd w:id="250"/>
      <w:r w:rsidRPr="007F097B">
        <w:t>MVFD.</w:t>
      </w:r>
      <w:r>
        <w:t xml:space="preserve"> </w:t>
      </w:r>
    </w:p>
    <w:p w14:paraId="780FB987" w14:textId="77777777" w:rsidR="00C57E38" w:rsidRPr="00DD7A05" w:rsidRDefault="00C57E38" w:rsidP="00C57E38">
      <w:pPr>
        <w:pStyle w:val="Heading5"/>
      </w:pPr>
      <w:r w:rsidRPr="00DD7A05">
        <w:t>Impact Analysis</w:t>
      </w:r>
    </w:p>
    <w:p w14:paraId="0E4D6DA0" w14:textId="77777777" w:rsidR="00C57E38" w:rsidRPr="00DD7A05" w:rsidRDefault="00C57E38" w:rsidP="00C57E38">
      <w:pPr>
        <w:pStyle w:val="BulletLtrManAFTER"/>
      </w:pPr>
      <w:r w:rsidRPr="00DD7A05">
        <w:t>a.</w:t>
      </w:r>
      <w:r w:rsidRPr="00DD7A05">
        <w:tab/>
        <w:t>Would the project create a significant hazard to the public or the environment through the routine transport, use, or disposal of hazardous materials?</w:t>
      </w:r>
    </w:p>
    <w:p w14:paraId="4B735716" w14:textId="77777777" w:rsidR="00C57E38" w:rsidRDefault="00C57E38" w:rsidP="00C57E38">
      <w:pPr>
        <w:pStyle w:val="BulletLtrManAFTER"/>
        <w:spacing w:before="120"/>
      </w:pPr>
      <w:r w:rsidRPr="00DD7A05">
        <w:t>b.</w:t>
      </w:r>
      <w:r w:rsidRPr="00DD7A05">
        <w:tab/>
        <w:t>Would the project create a significant hazard to the public or the environment through reasonably foreseeable upset and accident conditions involving the release of hazardous materials into the environment?</w:t>
      </w:r>
    </w:p>
    <w:p w14:paraId="22E0B72B" w14:textId="77777777" w:rsidR="00C57E38" w:rsidRPr="00DD7A05" w:rsidRDefault="00C57E38" w:rsidP="00C57E38">
      <w:pPr>
        <w:pStyle w:val="Heading5"/>
      </w:pPr>
      <w:r w:rsidRPr="00CF427E">
        <w:t>Construction</w:t>
      </w:r>
    </w:p>
    <w:p w14:paraId="21DFADBC" w14:textId="77777777" w:rsidR="00C57E38" w:rsidRDefault="00C57E38" w:rsidP="00C57E38">
      <w:pPr>
        <w:pStyle w:val="BodyText"/>
        <w:rPr>
          <w:szCs w:val="24"/>
        </w:rPr>
      </w:pPr>
      <w:r>
        <w:t xml:space="preserve">Project construction may include the temporary transport, storage, use, or disposal of potentially hazardous materials including fuels, lubricating fluids, cleaners, solvents, or contaminated soils. </w:t>
      </w:r>
      <w:r w:rsidRPr="00D27F3C">
        <w:rPr>
          <w:szCs w:val="24"/>
        </w:rPr>
        <w:t>If spilled, these substances could pose a risk to the environment and to human health. However, the transport, storage, use, or disposal of hazardous materials is subject to various federal, state, and local regulations designed to reduce risks associated with hazardous materials, including potential risks associated with upset or accident conditions. Hazardous materials would be required to be transported under U.S. Department of Transportation (</w:t>
      </w:r>
      <w:r>
        <w:rPr>
          <w:szCs w:val="24"/>
        </w:rPr>
        <w:t>US</w:t>
      </w:r>
      <w:r w:rsidRPr="00D27F3C">
        <w:rPr>
          <w:szCs w:val="24"/>
        </w:rPr>
        <w:t>DOT) regulations (</w:t>
      </w:r>
      <w:r>
        <w:rPr>
          <w:szCs w:val="24"/>
        </w:rPr>
        <w:t>US</w:t>
      </w:r>
      <w:r w:rsidRPr="00D27F3C">
        <w:rPr>
          <w:szCs w:val="24"/>
        </w:rPr>
        <w:t xml:space="preserve">DOT Hazardous Materials Transport Act, 49 Code of Federal Regulations), </w:t>
      </w:r>
      <w:r w:rsidRPr="00D27F3C">
        <w:t>which stipulate the types of containers, labeling, and other restrictions to be used in the movement of such material on interstate highways</w:t>
      </w:r>
      <w:r w:rsidRPr="00D27F3C">
        <w:rPr>
          <w:szCs w:val="24"/>
        </w:rPr>
        <w:t xml:space="preserve">. In addition, the use, storage, and disposal of hazardous materials are regulated through the </w:t>
      </w:r>
      <w:r>
        <w:rPr>
          <w:szCs w:val="24"/>
        </w:rPr>
        <w:t>RCRA.</w:t>
      </w:r>
      <w:r w:rsidRPr="00D27F3C">
        <w:rPr>
          <w:szCs w:val="24"/>
        </w:rPr>
        <w:t xml:space="preserve"> </w:t>
      </w:r>
      <w:r>
        <w:rPr>
          <w:szCs w:val="24"/>
        </w:rPr>
        <w:t xml:space="preserve">DTSC </w:t>
      </w:r>
      <w:r w:rsidRPr="00D27F3C">
        <w:rPr>
          <w:szCs w:val="24"/>
        </w:rPr>
        <w:t xml:space="preserve">is responsible for implementing the RCRA program, as well as California’s own hazardous waste laws. DTSC </w:t>
      </w:r>
      <w:r w:rsidRPr="00D27F3C">
        <w:t xml:space="preserve">regulates hazardous waste, cleans up existing contamination, and looks for ways to control and reduce the hazardous waste produced in California. It does this primarily under the authority of RCRA and in accordance with the </w:t>
      </w:r>
      <w:r>
        <w:t>HWCL</w:t>
      </w:r>
      <w:r w:rsidRPr="00D27F3C">
        <w:t xml:space="preserve"> (California H&amp;SC Division 20, Chapter 6.5) and the Hazardous Waste Control Regulations (Title 22, California Code of Regulations, Divisions 4 and 4.5). DTSC also oversees permitting, inspection, compliance, and corrective action programs to ensure that hazardous waste managers follow federal and </w:t>
      </w:r>
      <w:r>
        <w:t>s</w:t>
      </w:r>
      <w:r w:rsidRPr="00D27F3C">
        <w:t xml:space="preserve">tate requirements and other laws that affect hazardous waste specific to handling, storage, transportation, disposal, treatment, reduction, cleanup, and emergency planning. </w:t>
      </w:r>
      <w:r w:rsidRPr="00D27F3C">
        <w:rPr>
          <w:szCs w:val="24"/>
        </w:rPr>
        <w:t>Compliance with existing regulations would reduce the risk of potential release of hazardous materials during construction.</w:t>
      </w:r>
      <w:r>
        <w:rPr>
          <w:szCs w:val="24"/>
        </w:rPr>
        <w:t xml:space="preserve"> </w:t>
      </w:r>
    </w:p>
    <w:p w14:paraId="1D18D938" w14:textId="77777777" w:rsidR="00C57E38" w:rsidRPr="00CF427E" w:rsidRDefault="00C57E38" w:rsidP="00C57E38">
      <w:pPr>
        <w:pStyle w:val="Heading5"/>
      </w:pPr>
      <w:r w:rsidRPr="00CF427E">
        <w:t>Operation</w:t>
      </w:r>
    </w:p>
    <w:p w14:paraId="5D51FD9A" w14:textId="77777777" w:rsidR="00C57E38" w:rsidRPr="00157A7D" w:rsidRDefault="00C57E38" w:rsidP="00C57E38">
      <w:pPr>
        <w:pStyle w:val="BodyText"/>
      </w:pPr>
      <w:r>
        <w:t xml:space="preserve">Commercial office structures typically do not use or store large quantities of hazardous materials other than those typically used for office cleaning, maintenance, and landscaping. Therefore, project operation would not involve the use, storage, transportation, or disposal of substantial quantities of hazardous materials and would not result in the release of such materials into the environment. Impacts would be less than significant. </w:t>
      </w:r>
    </w:p>
    <w:p w14:paraId="2D7AE8FE" w14:textId="77777777" w:rsidR="00C57E38" w:rsidRPr="000E45CD" w:rsidRDefault="00817BC5" w:rsidP="00C57E38">
      <w:pPr>
        <w:spacing w:before="120"/>
        <w:rPr>
          <w:rStyle w:val="DropdownList"/>
          <w:highlight w:val="lightGray"/>
        </w:rPr>
      </w:pPr>
      <w:sdt>
        <w:sdtPr>
          <w:rPr>
            <w:rStyle w:val="DropdownList"/>
            <w:highlight w:val="lightGray"/>
          </w:rPr>
          <w:alias w:val="1a"/>
          <w:tag w:val="dropdown"/>
          <w:id w:val="511180110"/>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highlight w:val="none"/>
          </w:rPr>
        </w:sdtEndPr>
        <w:sdtContent>
          <w:r w:rsidR="00C57E38" w:rsidRPr="000E45CD">
            <w:rPr>
              <w:rStyle w:val="DropdownList"/>
            </w:rPr>
            <w:t>Less Than Significant Impact</w:t>
          </w:r>
        </w:sdtContent>
      </w:sdt>
    </w:p>
    <w:p w14:paraId="5F492F43" w14:textId="77777777" w:rsidR="00C57E38" w:rsidRPr="00DD7A05" w:rsidRDefault="00C57E38" w:rsidP="00C57E38">
      <w:pPr>
        <w:pStyle w:val="BulletLtrManAFTER"/>
      </w:pPr>
      <w:r w:rsidRPr="00DD7A05">
        <w:t>c.</w:t>
      </w:r>
      <w:r w:rsidRPr="00DD7A05">
        <w:tab/>
        <w:t>Would the project emit hazardous emissions or handle hazardous or acutely hazardous materials, substances, or waste within 0.25 mile of an existing or proposed school?</w:t>
      </w:r>
    </w:p>
    <w:p w14:paraId="15A71920" w14:textId="32CA5A54" w:rsidR="00C57E38" w:rsidRPr="00A77410" w:rsidRDefault="00C57E38" w:rsidP="00C57E38">
      <w:pPr>
        <w:pStyle w:val="BodyText"/>
      </w:pPr>
      <w:r w:rsidRPr="00A77410">
        <w:t>There are no schools within 0.25 mile of the project site, and project operation would not involve the use or storage of hazardous materials. Though potentially hazardous materials such as fuels, lubricants, solvents, and oils could be used during project construction</w:t>
      </w:r>
      <w:r>
        <w:t>,</w:t>
      </w:r>
      <w:r w:rsidRPr="00A77410">
        <w:t xml:space="preserve"> the transport, use and storage of hazardous materials would be</w:t>
      </w:r>
      <w:r w:rsidR="006A25F0">
        <w:t xml:space="preserve"> required to be</w:t>
      </w:r>
      <w:r w:rsidRPr="00A77410">
        <w:t xml:space="preserve"> conducted in accordance with all applicable State and federal laws, such as the Hazardous Materials Transportation Act, </w:t>
      </w:r>
      <w:r>
        <w:t>RCRA</w:t>
      </w:r>
      <w:r w:rsidRPr="00A77410">
        <w:t xml:space="preserve">, the California Hazardous Material Management Act, and the CCR, Title 22. The project would have a less than significant impact on hazardous materials, substances, or waste within 0.25 mile of an existing or proposed school. </w:t>
      </w:r>
    </w:p>
    <w:p w14:paraId="467B96CC" w14:textId="77777777" w:rsidR="00C57E38" w:rsidRPr="000E45CD" w:rsidRDefault="00817BC5" w:rsidP="00C57E38">
      <w:pPr>
        <w:spacing w:before="120"/>
        <w:rPr>
          <w:rStyle w:val="DropdownList"/>
          <w:highlight w:val="lightGray"/>
        </w:rPr>
      </w:pPr>
      <w:sdt>
        <w:sdtPr>
          <w:rPr>
            <w:rStyle w:val="DropdownList"/>
            <w:highlight w:val="lightGray"/>
          </w:rPr>
          <w:alias w:val="1a"/>
          <w:tag w:val="dropdown"/>
          <w:id w:val="1756711484"/>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highlight w:val="none"/>
          </w:rPr>
        </w:sdtEndPr>
        <w:sdtContent>
          <w:r w:rsidR="00C57E38" w:rsidRPr="000E45CD">
            <w:rPr>
              <w:rStyle w:val="DropdownList"/>
            </w:rPr>
            <w:t>Less Than Significant Impact</w:t>
          </w:r>
        </w:sdtContent>
      </w:sdt>
    </w:p>
    <w:p w14:paraId="0E54F677" w14:textId="77777777" w:rsidR="00C57E38" w:rsidRPr="00AB7747" w:rsidRDefault="00C57E38" w:rsidP="00C57E38">
      <w:pPr>
        <w:pStyle w:val="BulletLtrManAFTER"/>
      </w:pPr>
      <w:r w:rsidRPr="00AB7747">
        <w:t>d.</w:t>
      </w:r>
      <w:r w:rsidRPr="00AB7747">
        <w:tab/>
        <w:t>Would the project be located on a site that is included on a list of hazardous material sites compiled pursuant to Government Code Section 65962.5 and, as a result, would it create a significant hazard to the public or the environment?</w:t>
      </w:r>
    </w:p>
    <w:p w14:paraId="6C7FEB59" w14:textId="15C98230" w:rsidR="00C57E38" w:rsidRPr="00714879" w:rsidRDefault="00C57E38" w:rsidP="00C57E38">
      <w:pPr>
        <w:spacing w:before="120"/>
        <w:rPr>
          <w:rFonts w:ascii="Calibri" w:hAnsi="Calibri"/>
          <w:sz w:val="22"/>
          <w:szCs w:val="22"/>
        </w:rPr>
      </w:pPr>
      <w:r w:rsidRPr="00714879">
        <w:rPr>
          <w:rFonts w:ascii="Calibri" w:hAnsi="Calibri"/>
          <w:sz w:val="22"/>
          <w:szCs w:val="22"/>
        </w:rPr>
        <w:t>The following resources were reviewed to determine if hazardous materials may be present at the project site</w:t>
      </w:r>
      <w:r w:rsidR="00BB1CFD">
        <w:rPr>
          <w:rFonts w:ascii="Calibri" w:hAnsi="Calibri"/>
          <w:sz w:val="22"/>
          <w:szCs w:val="22"/>
        </w:rPr>
        <w:t>.</w:t>
      </w:r>
    </w:p>
    <w:p w14:paraId="0274B769" w14:textId="77777777" w:rsidR="00C57E38" w:rsidRPr="00BB1CFD" w:rsidRDefault="00C57E38" w:rsidP="00FE0EC8">
      <w:pPr>
        <w:pStyle w:val="BulletListLevel1"/>
        <w:rPr>
          <w:b/>
          <w:bCs/>
        </w:rPr>
      </w:pPr>
      <w:r w:rsidRPr="00BB1CFD">
        <w:rPr>
          <w:b/>
          <w:bCs/>
        </w:rPr>
        <w:t>Department of Toxic Substances Control (DTSC)</w:t>
      </w:r>
    </w:p>
    <w:p w14:paraId="52ACF735" w14:textId="77777777" w:rsidR="00C57E38" w:rsidRPr="00BB1CFD" w:rsidRDefault="00C57E38" w:rsidP="00BB1CFD">
      <w:pPr>
        <w:pStyle w:val="BulletListLevel2"/>
      </w:pPr>
      <w:r w:rsidRPr="00BB1CFD">
        <w:t>Online Cortese List of Hazardous Waste and Substances Sites (DTSC 2021)</w:t>
      </w:r>
    </w:p>
    <w:p w14:paraId="509491B5" w14:textId="77777777" w:rsidR="00C57E38" w:rsidRPr="00BB1CFD" w:rsidRDefault="00C57E38" w:rsidP="00BB1CFD">
      <w:pPr>
        <w:pStyle w:val="BulletListLevel1"/>
        <w:spacing w:before="180"/>
        <w:rPr>
          <w:b/>
          <w:bCs/>
        </w:rPr>
      </w:pPr>
      <w:r w:rsidRPr="00BB1CFD">
        <w:rPr>
          <w:b/>
          <w:bCs/>
        </w:rPr>
        <w:t xml:space="preserve">California State Water Resources Control Board (SWRCB) </w:t>
      </w:r>
    </w:p>
    <w:p w14:paraId="559A62DC" w14:textId="246E43FF" w:rsidR="00F351D8" w:rsidRDefault="00F351D8" w:rsidP="00BB1CFD">
      <w:pPr>
        <w:pStyle w:val="BulletListLevel2"/>
      </w:pPr>
      <w:r w:rsidRPr="004724C2">
        <w:t>Online GeoTracker database search for leaking underground storage tanks (LUST) and other cleanup sites (SWRCB 2021a)</w:t>
      </w:r>
    </w:p>
    <w:p w14:paraId="6EA6BB58" w14:textId="20854DF4" w:rsidR="00C57E38" w:rsidRPr="00714879" w:rsidRDefault="00C57E38" w:rsidP="00BB1CFD">
      <w:pPr>
        <w:pStyle w:val="BulletListLevel2"/>
      </w:pPr>
      <w:r w:rsidRPr="00714879">
        <w:t xml:space="preserve">Polyfluoroalkyl substances (PFAS) Investigation online Public Map </w:t>
      </w:r>
      <w:r w:rsidRPr="003C774B">
        <w:t>Viewer (SWRCB 2021</w:t>
      </w:r>
      <w:r w:rsidR="00F351D8">
        <w:t>b</w:t>
      </w:r>
      <w:r w:rsidRPr="003C774B">
        <w:t>)</w:t>
      </w:r>
    </w:p>
    <w:p w14:paraId="0D6E2312" w14:textId="686A5AB1" w:rsidR="00C57E38" w:rsidRPr="00714879" w:rsidRDefault="00C57E38" w:rsidP="00BB1CFD">
      <w:pPr>
        <w:pStyle w:val="BulletListLevel2"/>
      </w:pPr>
      <w:r w:rsidRPr="00714879">
        <w:t xml:space="preserve">2019 Statewide Drinking Water System Quarterly Testing Results online Public Map Viewer/GeoTracker PFAS </w:t>
      </w:r>
      <w:r w:rsidRPr="003C774B">
        <w:t>Map (SWRCB 2021</w:t>
      </w:r>
      <w:r w:rsidR="001D07C0">
        <w:t>c</w:t>
      </w:r>
      <w:r w:rsidRPr="003C774B">
        <w:t>)</w:t>
      </w:r>
    </w:p>
    <w:p w14:paraId="55442601" w14:textId="77777777" w:rsidR="00C57E38" w:rsidRPr="00BB1CFD" w:rsidRDefault="00C57E38" w:rsidP="00BB1CFD">
      <w:pPr>
        <w:pStyle w:val="BulletListLevel1"/>
        <w:spacing w:before="180"/>
        <w:rPr>
          <w:b/>
          <w:bCs/>
        </w:rPr>
      </w:pPr>
      <w:r w:rsidRPr="00BB1CFD">
        <w:rPr>
          <w:b/>
          <w:bCs/>
        </w:rPr>
        <w:t xml:space="preserve">California Department of Conservation Geologic Energy Management Division (CalGEM) </w:t>
      </w:r>
    </w:p>
    <w:p w14:paraId="3272E49B" w14:textId="77777777" w:rsidR="00C57E38" w:rsidRPr="00EE55AC" w:rsidRDefault="00C57E38" w:rsidP="00BB1CFD">
      <w:pPr>
        <w:pStyle w:val="BulletListLevel2"/>
      </w:pPr>
      <w:r w:rsidRPr="00EE55AC">
        <w:t xml:space="preserve">Online Mapping System (CalGEM 2021) </w:t>
      </w:r>
    </w:p>
    <w:p w14:paraId="7CB8EBE4" w14:textId="77777777" w:rsidR="00C57E38" w:rsidRPr="00BB1CFD" w:rsidRDefault="00C57E38" w:rsidP="00BB1CFD">
      <w:pPr>
        <w:pStyle w:val="BulletListLevel1"/>
        <w:spacing w:before="180"/>
        <w:rPr>
          <w:b/>
          <w:bCs/>
        </w:rPr>
      </w:pPr>
      <w:r w:rsidRPr="00BB1CFD">
        <w:rPr>
          <w:b/>
          <w:bCs/>
        </w:rPr>
        <w:t xml:space="preserve">U.S. Department of Transportation (USDOT) </w:t>
      </w:r>
    </w:p>
    <w:p w14:paraId="5D3E8502" w14:textId="77777777" w:rsidR="00C57E38" w:rsidRDefault="00C57E38" w:rsidP="00BB1CFD">
      <w:pPr>
        <w:pStyle w:val="BulletListLevel2"/>
      </w:pPr>
      <w:r w:rsidRPr="00E63B8D">
        <w:t xml:space="preserve">National Pipeline Mapping System (NPMS) online Public Map </w:t>
      </w:r>
      <w:r w:rsidRPr="001327B6">
        <w:t>Viewer</w:t>
      </w:r>
      <w:r w:rsidRPr="001327B6">
        <w:rPr>
          <w:vertAlign w:val="superscript"/>
        </w:rPr>
        <w:t xml:space="preserve"> </w:t>
      </w:r>
      <w:r w:rsidRPr="001327B6">
        <w:t>(USDOT 2021)</w:t>
      </w:r>
    </w:p>
    <w:p w14:paraId="42818F3E" w14:textId="77777777" w:rsidR="00C57E38" w:rsidRPr="00E41B39" w:rsidRDefault="00C57E38" w:rsidP="00BB1CFD">
      <w:pPr>
        <w:pStyle w:val="BulletListLevel2"/>
      </w:pPr>
      <w:r w:rsidRPr="00E41B39">
        <w:t>California Department of Resources Recycling and Recovery (CalRecycle)</w:t>
      </w:r>
    </w:p>
    <w:p w14:paraId="7F611E7A" w14:textId="77777777" w:rsidR="00C57E38" w:rsidRDefault="00C57E38" w:rsidP="00BB1CFD">
      <w:pPr>
        <w:pStyle w:val="BulletListLevel2"/>
      </w:pPr>
      <w:r w:rsidRPr="00E41B39">
        <w:t>Solid Waste Information System (SWIS)</w:t>
      </w:r>
      <w:r>
        <w:t xml:space="preserve"> (CalRecycle 2019) </w:t>
      </w:r>
    </w:p>
    <w:p w14:paraId="4BDB302C" w14:textId="77777777" w:rsidR="00C57E38" w:rsidRPr="00BB1CFD" w:rsidRDefault="00C57E38" w:rsidP="009B2164">
      <w:pPr>
        <w:pStyle w:val="BulletListLevel1"/>
        <w:keepNext/>
        <w:spacing w:before="180"/>
        <w:rPr>
          <w:b/>
          <w:bCs/>
        </w:rPr>
      </w:pPr>
      <w:r w:rsidRPr="00BB1CFD">
        <w:rPr>
          <w:b/>
          <w:bCs/>
        </w:rPr>
        <w:t xml:space="preserve">Weber, Hayes &amp; Associates (WHA) </w:t>
      </w:r>
    </w:p>
    <w:p w14:paraId="32D3D995" w14:textId="77777777" w:rsidR="00C57E38" w:rsidRPr="000A78E2" w:rsidRDefault="00C57E38" w:rsidP="00BB1CFD">
      <w:pPr>
        <w:pStyle w:val="BulletListLevel2"/>
      </w:pPr>
      <w:r w:rsidRPr="000A78E2">
        <w:t>Phase I/II ESA (May 2021, revised January 2022)</w:t>
      </w:r>
    </w:p>
    <w:p w14:paraId="044EFB8E" w14:textId="77777777" w:rsidR="00C57E38" w:rsidRPr="005A7336" w:rsidRDefault="00C57E38" w:rsidP="005A7336">
      <w:pPr>
        <w:pStyle w:val="Heading6"/>
      </w:pPr>
      <w:r w:rsidRPr="005A7336">
        <w:t>DTSC Database Review</w:t>
      </w:r>
    </w:p>
    <w:p w14:paraId="65152291" w14:textId="53B830F0" w:rsidR="00C57E38" w:rsidRDefault="00C57E38" w:rsidP="00C57E38">
      <w:pPr>
        <w:pStyle w:val="BodyText"/>
        <w:rPr>
          <w:rFonts w:cstheme="minorHAnsi"/>
        </w:rPr>
      </w:pPr>
      <w:r w:rsidRPr="00057C48">
        <w:rPr>
          <w:rFonts w:cstheme="minorHAnsi"/>
        </w:rPr>
        <w:t>A review of the online Cortese List of Hazardous Waste and Substances Sites revealed that the project site is not listed as a hazardous waste and substances site</w:t>
      </w:r>
      <w:r>
        <w:rPr>
          <w:rFonts w:cstheme="minorHAnsi"/>
        </w:rPr>
        <w:t xml:space="preserve"> and is not within 1,000 feet of such a site. </w:t>
      </w:r>
    </w:p>
    <w:p w14:paraId="5C3A5747" w14:textId="03854D05" w:rsidR="001D07C0" w:rsidRDefault="00D10C7D" w:rsidP="00D10C7D">
      <w:pPr>
        <w:pStyle w:val="Heading6"/>
      </w:pPr>
      <w:r>
        <w:t xml:space="preserve">SWRCB GeoTracker Database Review </w:t>
      </w:r>
    </w:p>
    <w:p w14:paraId="2BE87DFA" w14:textId="02F7463E" w:rsidR="00D10C7D" w:rsidRPr="00D10C7D" w:rsidRDefault="00D10C7D" w:rsidP="00057B8E">
      <w:pPr>
        <w:pStyle w:val="BodyText"/>
      </w:pPr>
      <w:r>
        <w:t>A review of the online GeoTracker database revealed that 1175 Terra Bella Avenue is associated with one LUST case</w:t>
      </w:r>
      <w:r w:rsidR="00057B8E">
        <w:t xml:space="preserve"> (closed in 2001)</w:t>
      </w:r>
      <w:r>
        <w:t xml:space="preserve"> under the oversight of </w:t>
      </w:r>
      <w:r w:rsidR="00940F08">
        <w:t xml:space="preserve">the </w:t>
      </w:r>
      <w:r>
        <w:t>SCCDEH</w:t>
      </w:r>
      <w:r w:rsidR="00057B8E">
        <w:t xml:space="preserve">. Additionally, a review of the online GeoTracker database revealed that 1155 Terra Bella Avenue is classified as a Cleanup Program Site (CPS) with ongoing site assessment under the oversight of </w:t>
      </w:r>
      <w:r w:rsidR="00940F08">
        <w:t xml:space="preserve">the </w:t>
      </w:r>
      <w:r w:rsidR="00057B8E">
        <w:t>SCCDEH.</w:t>
      </w:r>
    </w:p>
    <w:p w14:paraId="76DC066A" w14:textId="77777777" w:rsidR="00C57E38" w:rsidRPr="00057C48" w:rsidRDefault="00C57E38" w:rsidP="00C57E38">
      <w:pPr>
        <w:pStyle w:val="Heading6"/>
      </w:pPr>
      <w:r w:rsidRPr="00057C48">
        <w:t>PFAS Database Review</w:t>
      </w:r>
    </w:p>
    <w:p w14:paraId="71EF065E" w14:textId="77777777" w:rsidR="00C57E38" w:rsidRPr="00E63B8D" w:rsidRDefault="00C57E38" w:rsidP="00C57E38">
      <w:pPr>
        <w:spacing w:before="120"/>
        <w:rPr>
          <w:rFonts w:ascii="Calibri" w:hAnsi="Calibri"/>
          <w:sz w:val="22"/>
          <w:szCs w:val="22"/>
          <w:highlight w:val="yellow"/>
        </w:rPr>
      </w:pPr>
      <w:r w:rsidRPr="00057C48">
        <w:rPr>
          <w:rFonts w:ascii="Calibri" w:hAnsi="Calibri"/>
          <w:sz w:val="22"/>
          <w:szCs w:val="22"/>
        </w:rPr>
        <w:t xml:space="preserve">Beginning in 2019, the California SWRCB sent assessment requirements to property owners of sites that may be potential sources of PFAS. These sites currently include select landfills, airports, chrome plating facilities, publicly owned treatment works facilities, Department of Defense (DoD) sites, and bulk fuel storage </w:t>
      </w:r>
      <w:r w:rsidRPr="005C6DF3">
        <w:rPr>
          <w:rFonts w:ascii="Calibri" w:hAnsi="Calibri"/>
          <w:sz w:val="22"/>
          <w:szCs w:val="22"/>
        </w:rPr>
        <w:t>terminals and refineries. According to the SWRCB, “</w:t>
      </w:r>
      <w:r w:rsidRPr="005C6DF3">
        <w:rPr>
          <w:rFonts w:ascii="Calibri" w:hAnsi="Calibri"/>
          <w:sz w:val="22"/>
          <w:szCs w:val="22"/>
          <w:shd w:val="clear" w:color="auto" w:fill="FFFFFF"/>
        </w:rPr>
        <w:t>PFAS are a large group of human-made substances that do not occur naturally in the environment and are resistant to heat, water, and oil” (SWRCB 2021</w:t>
      </w:r>
      <w:r>
        <w:rPr>
          <w:rFonts w:ascii="Calibri" w:hAnsi="Calibri"/>
          <w:sz w:val="22"/>
          <w:szCs w:val="22"/>
          <w:shd w:val="clear" w:color="auto" w:fill="FFFFFF"/>
        </w:rPr>
        <w:t>c</w:t>
      </w:r>
      <w:r w:rsidRPr="005C6DF3">
        <w:rPr>
          <w:rFonts w:ascii="Calibri" w:hAnsi="Calibri"/>
          <w:sz w:val="22"/>
          <w:szCs w:val="22"/>
          <w:shd w:val="clear" w:color="auto" w:fill="FFFFFF"/>
        </w:rPr>
        <w:t>).</w:t>
      </w:r>
      <w:r w:rsidRPr="005C6DF3">
        <w:rPr>
          <w:rFonts w:ascii="Calibri" w:hAnsi="Calibri"/>
          <w:sz w:val="22"/>
          <w:szCs w:val="22"/>
        </w:rPr>
        <w:t xml:space="preserve"> </w:t>
      </w:r>
      <w:r>
        <w:rPr>
          <w:rFonts w:ascii="Calibri" w:hAnsi="Calibri"/>
          <w:sz w:val="22"/>
          <w:szCs w:val="22"/>
        </w:rPr>
        <w:t>A review conducted on</w:t>
      </w:r>
      <w:r w:rsidRPr="005C6DF3">
        <w:rPr>
          <w:rFonts w:ascii="Calibri" w:hAnsi="Calibri"/>
          <w:sz w:val="22"/>
          <w:szCs w:val="22"/>
        </w:rPr>
        <w:t xml:space="preserve"> October 25, 2021 of the California Statewide PFAS Investigation online Public Map Viewer indicates that there are no current chrome plating, airport, landfill, publicly owned treatment works, DoD, or bulk fuel storage terminal or refinery PFAS orders at any facilities listed as located within one-half mile of the project site. </w:t>
      </w:r>
    </w:p>
    <w:p w14:paraId="79D439B5" w14:textId="77777777" w:rsidR="00C57E38" w:rsidRPr="00E63B8D" w:rsidRDefault="00C57E38" w:rsidP="00C57E38">
      <w:pPr>
        <w:spacing w:before="120"/>
        <w:rPr>
          <w:rFonts w:ascii="Calibri" w:hAnsi="Calibri" w:cs="Calibri"/>
          <w:iCs/>
          <w:sz w:val="22"/>
          <w:szCs w:val="22"/>
          <w:highlight w:val="yellow"/>
        </w:rPr>
      </w:pPr>
      <w:r>
        <w:rPr>
          <w:rFonts w:ascii="Calibri" w:hAnsi="Calibri"/>
          <w:sz w:val="22"/>
          <w:szCs w:val="22"/>
        </w:rPr>
        <w:t>A review conducted on</w:t>
      </w:r>
      <w:r w:rsidRPr="005C6DF3">
        <w:rPr>
          <w:rFonts w:ascii="Calibri" w:hAnsi="Calibri"/>
          <w:sz w:val="22"/>
          <w:szCs w:val="22"/>
        </w:rPr>
        <w:t xml:space="preserve"> October 25, 2021 of the California 2019 Statewide Drinking Water System Quarterly Testing Results online Public Map Viewer indicates that perfluorooctanoic acid (PFOA) and </w:t>
      </w:r>
      <w:r w:rsidRPr="005C6DF3">
        <w:rPr>
          <w:rFonts w:ascii="Calibri" w:hAnsi="Calibri" w:cs="Calibri"/>
          <w:bCs/>
          <w:sz w:val="22"/>
          <w:szCs w:val="22"/>
        </w:rPr>
        <w:t>perfluorooctanesulfonic acid</w:t>
      </w:r>
      <w:r w:rsidRPr="005C6DF3">
        <w:rPr>
          <w:rFonts w:ascii="Calibri" w:hAnsi="Calibri"/>
          <w:sz w:val="22"/>
          <w:szCs w:val="22"/>
        </w:rPr>
        <w:t xml:space="preserve"> (PFOS) were detected in drinking water wells located within 1.2 miles south-southeast of the project site and tested quarterly as part of a PFAS investigative order (SWRCB 2021</w:t>
      </w:r>
      <w:r>
        <w:rPr>
          <w:rFonts w:ascii="Calibri" w:hAnsi="Calibri"/>
          <w:sz w:val="22"/>
          <w:szCs w:val="22"/>
        </w:rPr>
        <w:t>c</w:t>
      </w:r>
      <w:r w:rsidRPr="005C6DF3">
        <w:rPr>
          <w:rFonts w:ascii="Calibri" w:hAnsi="Calibri"/>
          <w:sz w:val="22"/>
          <w:szCs w:val="22"/>
        </w:rPr>
        <w:t>). These</w:t>
      </w:r>
      <w:r w:rsidRPr="005C6DF3">
        <w:rPr>
          <w:rFonts w:ascii="Calibri" w:hAnsi="Calibri" w:cs="Calibri"/>
          <w:bCs/>
          <w:sz w:val="22"/>
          <w:szCs w:val="22"/>
        </w:rPr>
        <w:t xml:space="preserve"> wells do not contain PFOA or PFOS at concentrations greater than their respective SWRCB notification and response levels.</w:t>
      </w:r>
    </w:p>
    <w:p w14:paraId="5DB6D4CE" w14:textId="77777777" w:rsidR="00C57E38" w:rsidRPr="005C6DF3" w:rsidRDefault="00C57E38" w:rsidP="00C57E38">
      <w:pPr>
        <w:pStyle w:val="Heading6"/>
      </w:pPr>
      <w:r w:rsidRPr="005C6DF3">
        <w:t>Well Finder Database Review</w:t>
      </w:r>
    </w:p>
    <w:p w14:paraId="4A0ECD02" w14:textId="77777777" w:rsidR="00C57E38" w:rsidRPr="005C6DF3" w:rsidRDefault="00C57E38" w:rsidP="00C57E38">
      <w:pPr>
        <w:spacing w:before="120"/>
        <w:rPr>
          <w:rFonts w:ascii="Calibri" w:hAnsi="Calibri"/>
          <w:sz w:val="22"/>
          <w:szCs w:val="22"/>
        </w:rPr>
      </w:pPr>
      <w:r w:rsidRPr="005C6DF3">
        <w:rPr>
          <w:rFonts w:ascii="Calibri" w:hAnsi="Calibri"/>
          <w:sz w:val="22"/>
          <w:szCs w:val="22"/>
        </w:rPr>
        <w:t xml:space="preserve">A review of the CalGEM Online Mapping System indicates that no oil wells are located on the project site, adjacent properties, or within 0.25 mile of the project site. </w:t>
      </w:r>
    </w:p>
    <w:p w14:paraId="34DBAE54" w14:textId="77777777" w:rsidR="00C57E38" w:rsidRPr="00507154" w:rsidRDefault="00C57E38" w:rsidP="00C57E38">
      <w:pPr>
        <w:pStyle w:val="Heading6"/>
      </w:pPr>
      <w:r w:rsidRPr="00507154">
        <w:t>Pipeline Database Review</w:t>
      </w:r>
    </w:p>
    <w:p w14:paraId="6ABB95DE" w14:textId="77777777" w:rsidR="00C57E38" w:rsidRDefault="00C57E38" w:rsidP="00C57E38">
      <w:pPr>
        <w:spacing w:before="120"/>
        <w:rPr>
          <w:rFonts w:ascii="Calibri" w:hAnsi="Calibri"/>
          <w:sz w:val="22"/>
          <w:szCs w:val="22"/>
        </w:rPr>
      </w:pPr>
      <w:r w:rsidRPr="00507154">
        <w:rPr>
          <w:rFonts w:ascii="Calibri" w:hAnsi="Calibri"/>
          <w:sz w:val="22"/>
          <w:szCs w:val="22"/>
        </w:rPr>
        <w:t xml:space="preserve">The NPMS online Public Map Viewer indicates that one Pacific Gas and Electric Company-operated natural gas pipeline with an active status is located along the Terra Bella Avenue, which is adjacent to the north of the project site. The NPMS Viewer does not depict an accident or incident along the pipeline. </w:t>
      </w:r>
    </w:p>
    <w:p w14:paraId="39715F2F" w14:textId="77777777" w:rsidR="00C57E38" w:rsidRDefault="00C57E38" w:rsidP="00C57E38">
      <w:pPr>
        <w:pStyle w:val="Heading6"/>
      </w:pPr>
      <w:r>
        <w:t>Landfill Database Review</w:t>
      </w:r>
    </w:p>
    <w:p w14:paraId="4D5D5960" w14:textId="77777777" w:rsidR="00C57E38" w:rsidRPr="008C4D2E" w:rsidRDefault="00C57E38" w:rsidP="00C57E38">
      <w:pPr>
        <w:pStyle w:val="BodyText"/>
        <w:rPr>
          <w:rFonts w:cstheme="minorHAnsi"/>
        </w:rPr>
      </w:pPr>
      <w:r w:rsidRPr="008C4D2E">
        <w:rPr>
          <w:rFonts w:cstheme="minorHAnsi"/>
        </w:rPr>
        <w:t xml:space="preserve">The SWIS online database indicates that no landfills are located within one-half mile of the project site. </w:t>
      </w:r>
    </w:p>
    <w:p w14:paraId="113AA6C6" w14:textId="77777777" w:rsidR="00C57E38" w:rsidRDefault="00C57E38" w:rsidP="00C57E38">
      <w:pPr>
        <w:pStyle w:val="Heading6"/>
      </w:pPr>
      <w:r>
        <w:t>Review Summary</w:t>
      </w:r>
    </w:p>
    <w:p w14:paraId="121CA6D1" w14:textId="4EA809F2" w:rsidR="00C57E38" w:rsidRDefault="00057B8E" w:rsidP="00C57E38">
      <w:pPr>
        <w:pStyle w:val="BodyText"/>
        <w:rPr>
          <w:rFonts w:cstheme="minorHAnsi"/>
        </w:rPr>
      </w:pPr>
      <w:r>
        <w:rPr>
          <w:rFonts w:cstheme="minorHAnsi"/>
        </w:rPr>
        <w:t xml:space="preserve">Although the project site is not specifically listed as a DTSC Cortese hazardous material site compiled pursuant to Government Code Section 65962.5, 1155 Terra Bella Avenue is reported as an open CPS site (assessment as of </w:t>
      </w:r>
      <w:r w:rsidR="00940F08">
        <w:rPr>
          <w:rFonts w:cstheme="minorHAnsi"/>
        </w:rPr>
        <w:t>January 2019) under the regulatory oversight of the SCCDEH, which is determined as meeting the “Cortese List” requirements, as determined by the CalEPA.</w:t>
      </w:r>
      <w:r>
        <w:rPr>
          <w:rFonts w:cstheme="minorHAnsi"/>
        </w:rPr>
        <w:t xml:space="preserve"> </w:t>
      </w:r>
      <w:r w:rsidR="00182B6B">
        <w:rPr>
          <w:rFonts w:cstheme="minorHAnsi"/>
        </w:rPr>
        <w:t>Based on the database research conducted,</w:t>
      </w:r>
      <w:r w:rsidR="00C57E38" w:rsidRPr="008C4D2E">
        <w:rPr>
          <w:rFonts w:cstheme="minorHAnsi"/>
        </w:rPr>
        <w:t xml:space="preserve"> the project site is not within one-half mile of a facility that could be a potential source of PFAS or a well containing PFOA or PFOS. </w:t>
      </w:r>
      <w:r w:rsidR="00182B6B">
        <w:rPr>
          <w:rFonts w:cstheme="minorHAnsi"/>
        </w:rPr>
        <w:t>Additionally, t</w:t>
      </w:r>
      <w:r w:rsidR="00C57E38" w:rsidRPr="008C4D2E">
        <w:rPr>
          <w:rFonts w:cstheme="minorHAnsi"/>
        </w:rPr>
        <w:t xml:space="preserve">here are no oil wells, landfills, or pipelines with reported instances within 0.25 mile of the site. </w:t>
      </w:r>
    </w:p>
    <w:p w14:paraId="70384BD5" w14:textId="77777777" w:rsidR="00C57E38" w:rsidRDefault="00C57E38" w:rsidP="00C57E38">
      <w:pPr>
        <w:pStyle w:val="Heading6"/>
      </w:pPr>
      <w:bookmarkStart w:id="251" w:name="_Hlk94613711"/>
      <w:r w:rsidRPr="000A78E2">
        <w:t xml:space="preserve">WHA – Phase I/II ESA Review </w:t>
      </w:r>
    </w:p>
    <w:p w14:paraId="3AC21527" w14:textId="77777777" w:rsidR="00C57E38" w:rsidRPr="005A5419" w:rsidRDefault="00C57E38" w:rsidP="00275B75">
      <w:pPr>
        <w:pStyle w:val="BulletListLevel1"/>
        <w:numPr>
          <w:ilvl w:val="0"/>
          <w:numId w:val="0"/>
        </w:numPr>
      </w:pPr>
      <w:r>
        <w:t xml:space="preserve">Appendix D of WHA’s 2021 Phase I/II ESA report includes a 2016 Phase I/II ESA report and a 2018 Work Plan for Additional Site Assessment at 1155 Terra Bella Avenue, as summarized below. </w:t>
      </w:r>
    </w:p>
    <w:p w14:paraId="42B24CDD" w14:textId="77777777" w:rsidR="00C57E38" w:rsidRDefault="00C57E38" w:rsidP="005A7336">
      <w:pPr>
        <w:pStyle w:val="Heading7"/>
      </w:pPr>
      <w:r>
        <w:t>1155 Terra Bella Avenue – 2016 and 2018</w:t>
      </w:r>
    </w:p>
    <w:p w14:paraId="4D3B9001" w14:textId="77777777" w:rsidR="00C57E38" w:rsidRDefault="00C57E38" w:rsidP="00C57E38">
      <w:pPr>
        <w:pStyle w:val="BodyText"/>
      </w:pPr>
      <w:r>
        <w:t xml:space="preserve">WHA conducted soil, soil vapor, and groundwater sampling at 1155 Terra Bella Avenue during a 2016 Phase II ESA investigation. Groundwater was reportedly encountered between 5 and 15 below ground surface (bgs) and flowed to the north. Based on the results of the 2016 investigation, WHA concluded that a release from the former chemical UST at 1155 Terra Bella Avenue resulted in trichloroethene (TCE) and “associated degradation ‘daughter’ products” impacts to groundwater, soil, and soil vapor at the site. Based on groundwater results at the downgradient </w:t>
      </w:r>
      <w:r w:rsidRPr="00A45961">
        <w:t>property line (north), TCE impacts extend</w:t>
      </w:r>
      <w:r>
        <w:t xml:space="preserve"> offsite and have not been fully delineated. Additionally, WHA concluded that a release at a former upgradient, offsite southern-adjacent hazardous waste shed sump appears to have impacted the site. </w:t>
      </w:r>
    </w:p>
    <w:p w14:paraId="0110486A" w14:textId="5BC47974" w:rsidR="00C57E38" w:rsidRPr="00185821" w:rsidRDefault="00C57E38" w:rsidP="00C57E38">
      <w:pPr>
        <w:pStyle w:val="BodyText"/>
      </w:pPr>
      <w:r>
        <w:t xml:space="preserve">Following </w:t>
      </w:r>
      <w:r w:rsidRPr="00185821">
        <w:t>WHA’s 2016 Phase I/II ESA investigation</w:t>
      </w:r>
      <w:r>
        <w:t>,</w:t>
      </w:r>
      <w:r w:rsidRPr="00185821">
        <w:t xml:space="preserve"> a VCP case was opened at 1155 Terra Bella Avenue in 2018. In 2018, WHA prepared a Work</w:t>
      </w:r>
      <w:r>
        <w:t xml:space="preserve"> Plan for Additional Site Assessment at 1155 Terra Bella Avenue for the purpose of determining the necessary measures to achieve case closure for the proposed residential land use (former proposed use). The scope of work included further defining soil and soil vapor impacts at and downgradient of the former onsite chemical UST, determining potential pesticide impacts to soil associated with the former agricultural use of the site, assessing impacts to indoor air at the site, and further defining onsite soil vapor and groundwater impacts at the site associated with the former southern-adjacent sump. Additionally, </w:t>
      </w:r>
      <w:r w:rsidR="0076736B">
        <w:t>the</w:t>
      </w:r>
      <w:r>
        <w:t xml:space="preserve"> scope of work included assessing offsite impacts to groundwater associated with the chemical UST release. Results of WHA’s </w:t>
      </w:r>
      <w:r w:rsidRPr="00185821">
        <w:t xml:space="preserve">proposed </w:t>
      </w:r>
      <w:r>
        <w:t xml:space="preserve">2018 </w:t>
      </w:r>
      <w:r w:rsidRPr="00185821">
        <w:t xml:space="preserve">investigation, if completed, are not yet publicly available. </w:t>
      </w:r>
    </w:p>
    <w:p w14:paraId="68B6BA03" w14:textId="77777777" w:rsidR="00C57E38" w:rsidRPr="00D7511A" w:rsidRDefault="00C57E38" w:rsidP="005A7336">
      <w:pPr>
        <w:pStyle w:val="Heading7"/>
      </w:pPr>
      <w:r>
        <w:t xml:space="preserve">1175 and 1185 Terra Bella Avenue – 2021 </w:t>
      </w:r>
    </w:p>
    <w:p w14:paraId="450AE513" w14:textId="201249BE" w:rsidR="00C57E38" w:rsidRDefault="00C57E38" w:rsidP="00C57E38">
      <w:pPr>
        <w:pStyle w:val="BodyText"/>
      </w:pPr>
      <w:r>
        <w:t xml:space="preserve">WHA conducted a subsurface investigation at </w:t>
      </w:r>
      <w:r w:rsidR="006A25F0">
        <w:t xml:space="preserve">the </w:t>
      </w:r>
      <w:r>
        <w:t xml:space="preserve">1175 and 1185 Terra Bella Avenue sites in 2021 to evaluate potential onsite impacts related to the former agricultural use of the sites, ongoing investigations at the eastern-adjacent 1155 Terra Bella Avenue parcel, the closed onsite release case at 1175 Terra Bella Avenue, and the western-adjacent release site at 975 Shoreline Boulevard. </w:t>
      </w:r>
      <w:r w:rsidRPr="005A5419">
        <w:t xml:space="preserve">Based on the results of soil sampling conducted at 1175 and 1185 Terra Bella Avenue, </w:t>
      </w:r>
      <w:r w:rsidR="0076736B">
        <w:t>it was</w:t>
      </w:r>
      <w:r w:rsidR="00275B75">
        <w:t xml:space="preserve"> </w:t>
      </w:r>
      <w:r w:rsidRPr="005A5419">
        <w:t>concluded</w:t>
      </w:r>
      <w:r>
        <w:t xml:space="preserve"> that these sites have not been impacted by contaminants of concern, including regulated metals, pesticides, or volatile organic compounds (VOCs), above established, unrestricted land use screening thresholds</w:t>
      </w:r>
      <w:r w:rsidR="0076736B">
        <w:t xml:space="preserve"> (Appendix HAZ)</w:t>
      </w:r>
      <w:r>
        <w:t>. Proposed soil vapor sampling at 1175 and 1185 Terra Bella Avenue was not conducted due to no flow conditions and instead, soil samples were collected from three of the boring locations from the depth of the soil vapor intake for VOC analysis</w:t>
      </w:r>
      <w:r w:rsidR="0076736B">
        <w:t xml:space="preserve"> (Appendix HAZ)</w:t>
      </w:r>
      <w:r>
        <w:t xml:space="preserve">. </w:t>
      </w:r>
    </w:p>
    <w:p w14:paraId="4E02E2FE" w14:textId="04769AF0" w:rsidR="00C57E38" w:rsidRDefault="00C57E38" w:rsidP="00C57E38">
      <w:pPr>
        <w:pStyle w:val="BodyText"/>
      </w:pPr>
      <w:r>
        <w:t xml:space="preserve">During </w:t>
      </w:r>
      <w:r w:rsidR="0076736B">
        <w:t xml:space="preserve">the </w:t>
      </w:r>
      <w:r>
        <w:t>2021 subsurface investigation, sampling was not conducted at 1155 Terra Bella Avenue.</w:t>
      </w:r>
    </w:p>
    <w:p w14:paraId="729893F0" w14:textId="19CD2987" w:rsidR="00EE55AC" w:rsidRDefault="00EE55AC" w:rsidP="004C2B9C">
      <w:pPr>
        <w:pStyle w:val="BodyText"/>
      </w:pPr>
      <w:r>
        <w:t xml:space="preserve">The project applicant would be required to implement protective measures pursuant to the following City of Mountain View standard conditions of approval to reduce impacts that could result from </w:t>
      </w:r>
      <w:r w:rsidR="0058463C">
        <w:t xml:space="preserve">contaminated groundwater, soil, and soil vapor at the site. </w:t>
      </w:r>
    </w:p>
    <w:bookmarkEnd w:id="251"/>
    <w:p w14:paraId="5FCB02FD" w14:textId="77777777" w:rsidR="00C57E38" w:rsidRDefault="00C57E38" w:rsidP="00C57E38">
      <w:pPr>
        <w:pStyle w:val="Heading6"/>
      </w:pPr>
      <w:r>
        <w:t>Standard Condition of Approval PL-39: Remediation</w:t>
      </w:r>
    </w:p>
    <w:p w14:paraId="0A3E8027" w14:textId="77777777" w:rsidR="00C57E38" w:rsidRDefault="00C57E38" w:rsidP="00C57E38">
      <w:pPr>
        <w:pStyle w:val="BodyText"/>
      </w:pPr>
      <w:r>
        <w:t>The applicant shall work with City staff, the necessary oversight agency (e.g., the U.S. Environmental Protection Agency, the State Department of Toxic Substances Control, State Regional Water Quality Control Board, County of Santa Clara Department of Environmental Health, etc.), and responsible parties, if necessary, to address any site remediation or building design/construction requirements to ensure appropriate on-site improvements in accordance with the oversight agency standard practice; local, State, and Federal regulations; and City Code requirements. Design of remediation equipment, equipment placement, or remediation activities will need to be reviewed and may require approval by all parties. Prior to the issuance of any building or fire permits, the applicant shall either:(a) submit written proof of an approval from the oversight agency of remediation activity and/or building and site design as deemed consistent with the remediation activity; or (b) provide written proof the work is not subject to approval from an oversight agency. A Certificate of Occupancy cannot be issued until final inspections have been completed by the City and the oversight agency, if required.</w:t>
      </w:r>
    </w:p>
    <w:p w14:paraId="1AC6FC49" w14:textId="77777777" w:rsidR="00C57E38" w:rsidRDefault="00C57E38" w:rsidP="00C57E38">
      <w:pPr>
        <w:pStyle w:val="Heading6"/>
      </w:pPr>
      <w:r>
        <w:t xml:space="preserve">Standard Condition of Approval PL-49: Toxic Assessment </w:t>
      </w:r>
    </w:p>
    <w:p w14:paraId="5EC94520" w14:textId="3BFCC03D" w:rsidR="00C57E38" w:rsidRDefault="00C57E38" w:rsidP="00C57E38">
      <w:pPr>
        <w:pStyle w:val="BodyText"/>
      </w:pPr>
      <w:r>
        <w:t>A toxic assessment report shall be prepared and submitted as part of the building permit submittal</w:t>
      </w:r>
      <w:r w:rsidR="00275B75">
        <w:t xml:space="preserve">. </w:t>
      </w:r>
      <w:r>
        <w:t>The applicant must demonstrate that hazardous materials do not exist on the site or that construction activities and the proposed use of this site are approved by: the City’s Fire Department (Fire and Environmental Protection Division); the State Department of Health Services; the Regional Water Quality Control Board; and any Federal agency with jurisdiction.</w:t>
      </w:r>
      <w:r w:rsidR="00275B75">
        <w:t xml:space="preserve"> </w:t>
      </w:r>
      <w:r>
        <w:t>No building permits will be issued until each agency and/or department with jurisdiction has released the site as clean or a site toxics mitigation plan has been approved.</w:t>
      </w:r>
    </w:p>
    <w:p w14:paraId="6A6DB6D6" w14:textId="77777777" w:rsidR="00C57E38" w:rsidRDefault="00C57E38" w:rsidP="00C57E38">
      <w:pPr>
        <w:pStyle w:val="Heading6"/>
      </w:pPr>
      <w:r>
        <w:t xml:space="preserve">Standard Condition of Approval PL-50: Soil Management Plan </w:t>
      </w:r>
    </w:p>
    <w:p w14:paraId="0E0C2442" w14:textId="77777777" w:rsidR="00C57E38" w:rsidRDefault="00C57E38" w:rsidP="00C57E38">
      <w:pPr>
        <w:pStyle w:val="BodyText"/>
      </w:pPr>
      <w:r>
        <w:t>Prepare a soil management plan for review and approval by the Santa Clara County Department of Environmental Health (SCCDEH). Proof of approval or actions for site work required by the SCCDEH must be provided to the Building Inspection Division prior to issuance of any demolition or building permits.</w:t>
      </w:r>
    </w:p>
    <w:p w14:paraId="02D7BCC4" w14:textId="77777777" w:rsidR="00C57E38" w:rsidRDefault="00C57E38" w:rsidP="00C57E38">
      <w:pPr>
        <w:pStyle w:val="Heading6"/>
      </w:pPr>
      <w:r>
        <w:t>Standard Condition of Approval PL-51: Vapor Barrier</w:t>
      </w:r>
    </w:p>
    <w:p w14:paraId="297154F1" w14:textId="68165071" w:rsidR="00C57E38" w:rsidRDefault="00C57E38" w:rsidP="00C57E38">
      <w:pPr>
        <w:pStyle w:val="BodyText"/>
      </w:pPr>
      <w:r>
        <w:t>A vapor barrier shall be installed beneath all structures to mitigate any issues associated with the potential for vapor intrusion within the structure</w:t>
      </w:r>
      <w:r w:rsidR="00275B75">
        <w:t xml:space="preserve">. </w:t>
      </w:r>
      <w:r>
        <w:t>The vapor barrier design shall be equivalent to those required for sites with known concerns in Mountain View that are also exposed to groundwater</w:t>
      </w:r>
      <w:r w:rsidR="00275B75">
        <w:t xml:space="preserve">. </w:t>
      </w:r>
      <w:r>
        <w:t>Specifications for the vapor barrier included in the Site Management Plan shall include thickness, type, durability, and diffusion rates for VOCs of concern</w:t>
      </w:r>
      <w:r w:rsidR="00275B75">
        <w:t xml:space="preserve">. </w:t>
      </w:r>
      <w:r>
        <w:t>The specifications shall also describe the effectiveness of the liner over the life of the building.</w:t>
      </w:r>
    </w:p>
    <w:p w14:paraId="544F39BD" w14:textId="4F3D26D0" w:rsidR="00C57E38" w:rsidRPr="00FC6BFA" w:rsidRDefault="00FC6BFA" w:rsidP="005A7336">
      <w:pPr>
        <w:pStyle w:val="bodyafter"/>
      </w:pPr>
      <w:bookmarkStart w:id="252" w:name="_Hlk94697468"/>
      <w:r>
        <w:t>The project is</w:t>
      </w:r>
      <w:r w:rsidR="003C12A5">
        <w:t xml:space="preserve"> </w:t>
      </w:r>
      <w:r>
        <w:t>l</w:t>
      </w:r>
      <w:r w:rsidRPr="00AB7747">
        <w:t xml:space="preserve">ocated on a site that is included on a list of hazardous material sites compiled pursuant to Government </w:t>
      </w:r>
      <w:r w:rsidRPr="00A45961">
        <w:t>Code Section 65962.5 and could create a significant hazard to the public or the environment</w:t>
      </w:r>
      <w:r>
        <w:t xml:space="preserve">. </w:t>
      </w:r>
      <w:r w:rsidR="00C57E38">
        <w:rPr>
          <w:rFonts w:ascii="Calibri" w:hAnsi="Calibri"/>
        </w:rPr>
        <w:t xml:space="preserve">Implementation of </w:t>
      </w:r>
      <w:r w:rsidR="00182B6B">
        <w:rPr>
          <w:rFonts w:ascii="Calibri" w:hAnsi="Calibri"/>
        </w:rPr>
        <w:t xml:space="preserve">existing </w:t>
      </w:r>
      <w:r w:rsidR="00C57E38">
        <w:rPr>
          <w:rFonts w:ascii="Calibri" w:hAnsi="Calibri"/>
        </w:rPr>
        <w:t>standard conditions of approval PL-39, PL-49</w:t>
      </w:r>
      <w:r w:rsidR="00182B6B">
        <w:rPr>
          <w:rFonts w:ascii="Calibri" w:hAnsi="Calibri"/>
        </w:rPr>
        <w:t xml:space="preserve">, PL-50, </w:t>
      </w:r>
      <w:r w:rsidR="00AE5F55">
        <w:rPr>
          <w:rFonts w:ascii="Calibri" w:hAnsi="Calibri"/>
        </w:rPr>
        <w:t xml:space="preserve">and </w:t>
      </w:r>
      <w:r w:rsidR="00182B6B">
        <w:rPr>
          <w:rFonts w:ascii="Calibri" w:hAnsi="Calibri"/>
        </w:rPr>
        <w:t>PL</w:t>
      </w:r>
      <w:r w:rsidR="00C57E38">
        <w:rPr>
          <w:rFonts w:ascii="Calibri" w:hAnsi="Calibri"/>
        </w:rPr>
        <w:t>-51</w:t>
      </w:r>
      <w:r w:rsidR="00AE5F55">
        <w:rPr>
          <w:rFonts w:ascii="Calibri" w:hAnsi="Calibri"/>
        </w:rPr>
        <w:t xml:space="preserve"> </w:t>
      </w:r>
      <w:r w:rsidR="00C57E38">
        <w:rPr>
          <w:rFonts w:ascii="Calibri" w:hAnsi="Calibri"/>
        </w:rPr>
        <w:t xml:space="preserve">would </w:t>
      </w:r>
      <w:r w:rsidR="006C6CCF">
        <w:rPr>
          <w:rFonts w:ascii="Calibri" w:hAnsi="Calibri"/>
        </w:rPr>
        <w:t xml:space="preserve">be required to reduce potential impacts resulting from TCE and its degradation products impacts to soil, soil vapor, and groundwater at the project site and prevent construction worker exposure to ACM and LBP at the project site. </w:t>
      </w:r>
      <w:r w:rsidR="003D2FDF">
        <w:rPr>
          <w:rFonts w:ascii="Calibri" w:hAnsi="Calibri"/>
        </w:rPr>
        <w:t>Compliance with the conditions of approval summarized above</w:t>
      </w:r>
      <w:r w:rsidR="003C12A5">
        <w:rPr>
          <w:rFonts w:ascii="Calibri" w:hAnsi="Calibri"/>
        </w:rPr>
        <w:t xml:space="preserve"> would reduce</w:t>
      </w:r>
      <w:r w:rsidR="003D2FDF">
        <w:rPr>
          <w:rFonts w:ascii="Calibri" w:hAnsi="Calibri"/>
        </w:rPr>
        <w:t xml:space="preserve"> </w:t>
      </w:r>
      <w:r w:rsidR="00C57E38">
        <w:rPr>
          <w:rFonts w:ascii="Calibri" w:hAnsi="Calibri"/>
        </w:rPr>
        <w:t xml:space="preserve">potential impacts related to hazards and hazardous materials </w:t>
      </w:r>
      <w:r w:rsidR="003C12A5">
        <w:rPr>
          <w:rFonts w:ascii="Calibri" w:hAnsi="Calibri"/>
        </w:rPr>
        <w:t>to</w:t>
      </w:r>
      <w:r w:rsidR="003D2FDF">
        <w:rPr>
          <w:rFonts w:ascii="Calibri" w:hAnsi="Calibri"/>
        </w:rPr>
        <w:t xml:space="preserve"> </w:t>
      </w:r>
      <w:r w:rsidR="00C57E38">
        <w:rPr>
          <w:rFonts w:ascii="Calibri" w:hAnsi="Calibri"/>
        </w:rPr>
        <w:t>less than significant</w:t>
      </w:r>
      <w:r w:rsidR="0050549F">
        <w:rPr>
          <w:rFonts w:ascii="Calibri" w:hAnsi="Calibri"/>
        </w:rPr>
        <w:t xml:space="preserve"> levels</w:t>
      </w:r>
      <w:r w:rsidR="00C57E38">
        <w:rPr>
          <w:rFonts w:ascii="Calibri" w:hAnsi="Calibri"/>
        </w:rPr>
        <w:t xml:space="preserve">. </w:t>
      </w:r>
    </w:p>
    <w:bookmarkEnd w:id="252"/>
    <w:p w14:paraId="7E66DC8D" w14:textId="77777777" w:rsidR="00C57E38" w:rsidRPr="00A45961" w:rsidRDefault="00817BC5" w:rsidP="00C57E38">
      <w:pPr>
        <w:spacing w:before="120"/>
        <w:rPr>
          <w:rStyle w:val="DropdownList"/>
          <w:szCs w:val="22"/>
        </w:rPr>
      </w:pPr>
      <w:sdt>
        <w:sdtPr>
          <w:rPr>
            <w:rStyle w:val="DropdownList"/>
          </w:rPr>
          <w:alias w:val="1a"/>
          <w:tag w:val="dropdown"/>
          <w:id w:val="-479933018"/>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rPr>
        </w:sdtEndPr>
        <w:sdtContent>
          <w:r w:rsidR="00C57E38" w:rsidRPr="00A45961">
            <w:rPr>
              <w:rStyle w:val="DropdownList"/>
            </w:rPr>
            <w:t>Less Than Significant Impact</w:t>
          </w:r>
        </w:sdtContent>
      </w:sdt>
    </w:p>
    <w:bookmarkEnd w:id="248"/>
    <w:p w14:paraId="2A8FD6F5" w14:textId="229AA65F" w:rsidR="00542725" w:rsidRPr="000D3D22" w:rsidRDefault="00542725" w:rsidP="00C70212">
      <w:pPr>
        <w:pStyle w:val="BulletLtrManAFTER"/>
      </w:pPr>
      <w:r w:rsidRPr="000D3D22">
        <w:t>e.</w:t>
      </w:r>
      <w:r w:rsidRPr="000D3D22">
        <w:tab/>
        <w:t xml:space="preserve">For a project located within an airport land use plan or, where such a plan has not been adopted, within two miles of a public airport or public use airport, would the project result in a safety hazard </w:t>
      </w:r>
      <w:r w:rsidR="002A5569" w:rsidRPr="000D3D22">
        <w:t xml:space="preserve">or excessive noise </w:t>
      </w:r>
      <w:r w:rsidRPr="000D3D22">
        <w:t>for people residing or working in the project area?</w:t>
      </w:r>
    </w:p>
    <w:p w14:paraId="4E2505C6" w14:textId="5D201540" w:rsidR="00D61D21" w:rsidRPr="000E45CD" w:rsidRDefault="00644539" w:rsidP="000D3D22">
      <w:pPr>
        <w:pStyle w:val="BodyText"/>
        <w:rPr>
          <w:highlight w:val="lightGray"/>
        </w:rPr>
      </w:pPr>
      <w:r w:rsidRPr="00EB5F8A">
        <w:t xml:space="preserve">The project site is within two miles of the </w:t>
      </w:r>
      <w:r w:rsidR="00EB5F8A" w:rsidRPr="00EB5F8A">
        <w:t xml:space="preserve">Moffett Federal Airfield </w:t>
      </w:r>
      <w:r w:rsidRPr="00EB5F8A">
        <w:t>and is within the airport</w:t>
      </w:r>
      <w:r w:rsidR="00E37ED5">
        <w:t>’s</w:t>
      </w:r>
      <w:r w:rsidRPr="00EB5F8A">
        <w:t xml:space="preserve"> influence area</w:t>
      </w:r>
      <w:r w:rsidR="00EB5F8A">
        <w:t>.</w:t>
      </w:r>
      <w:r w:rsidR="00EF1ABF">
        <w:t xml:space="preserve"> The</w:t>
      </w:r>
      <w:r w:rsidR="00EB5F8A">
        <w:t xml:space="preserve"> Moffett Federal Airfield Comprehensive Land Use Plan (MFACLUP) sets noise compatibility zones and development intensities for each zone identified in the plan (Santa Clara County 2012). </w:t>
      </w:r>
      <w:r w:rsidR="001B0C7B">
        <w:t xml:space="preserve">While the project site is within the airport influence area, it is outside of the 65 Community Noise Equivalent Level (CNEL) </w:t>
      </w:r>
      <w:r w:rsidR="006A25F0">
        <w:t xml:space="preserve">noise </w:t>
      </w:r>
      <w:r w:rsidR="001B0C7B">
        <w:t xml:space="preserve">contour. Pursuant to Section 4.3.2 of the MFACLUP, office buildings are generally acceptable in areas that experience </w:t>
      </w:r>
      <w:r w:rsidR="000D3D22">
        <w:t>less than 65 CNEL</w:t>
      </w:r>
      <w:r w:rsidR="00EF1ABF">
        <w:t xml:space="preserve">. </w:t>
      </w:r>
      <w:r w:rsidR="005D5F89">
        <w:t xml:space="preserve">Further, as shown in Figure 6 of the MFACLUP, the project site is located in an area where the maximum structure height is 182 feet. The proposed office structure would be approximately </w:t>
      </w:r>
      <w:r w:rsidR="001F7D98">
        <w:t>44</w:t>
      </w:r>
      <w:r w:rsidR="005D5F89">
        <w:t xml:space="preserve"> feet in height and would not exceed the MFACLUP’s height restriction. Also,</w:t>
      </w:r>
      <w:r w:rsidR="00EF1ABF">
        <w:t xml:space="preserve"> as shown in Figure 7 of the MFACLUP,</w:t>
      </w:r>
      <w:r w:rsidR="005D5F89">
        <w:t xml:space="preserve"> the proje</w:t>
      </w:r>
      <w:r w:rsidR="00EF1ABF">
        <w:t xml:space="preserve">ct would be located outside the airport’s safety zones (Santa Clara County 2012). </w:t>
      </w:r>
      <w:r w:rsidR="000D3D22">
        <w:t xml:space="preserve">Therefore, the project </w:t>
      </w:r>
      <w:r w:rsidR="00E37ED5">
        <w:t xml:space="preserve">would meet </w:t>
      </w:r>
      <w:r w:rsidR="000D3D22">
        <w:t xml:space="preserve">MFACLUP requirements and would not result in a safety hazard for people working in the project area. Impacts would be less than significant. </w:t>
      </w:r>
    </w:p>
    <w:p w14:paraId="624D7DA0" w14:textId="6BE400FD" w:rsidR="009C1D64" w:rsidRPr="000E45CD" w:rsidRDefault="00817BC5" w:rsidP="009C1D64">
      <w:pPr>
        <w:spacing w:before="120"/>
        <w:rPr>
          <w:rStyle w:val="DropdownList"/>
          <w:highlight w:val="lightGray"/>
        </w:rPr>
      </w:pPr>
      <w:sdt>
        <w:sdtPr>
          <w:rPr>
            <w:rStyle w:val="DropdownList"/>
            <w:highlight w:val="lightGray"/>
          </w:rPr>
          <w:alias w:val="1a"/>
          <w:tag w:val="dropdown"/>
          <w:id w:val="1474565894"/>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highlight w:val="none"/>
          </w:rPr>
        </w:sdtEndPr>
        <w:sdtContent>
          <w:r w:rsidR="000E45CD" w:rsidRPr="000E45CD">
            <w:rPr>
              <w:rStyle w:val="DropdownList"/>
            </w:rPr>
            <w:t>Less Than Significant Impact</w:t>
          </w:r>
        </w:sdtContent>
      </w:sdt>
    </w:p>
    <w:p w14:paraId="51D9431B" w14:textId="11B50D2A" w:rsidR="00542725" w:rsidRPr="000D3D22" w:rsidRDefault="00AC1C51" w:rsidP="00E50568">
      <w:pPr>
        <w:pStyle w:val="BulletLtrManAFTER"/>
      </w:pPr>
      <w:r>
        <w:t>f</w:t>
      </w:r>
      <w:r w:rsidR="00E50568">
        <w:t xml:space="preserve">. </w:t>
      </w:r>
      <w:r w:rsidR="005A7336">
        <w:tab/>
      </w:r>
      <w:r w:rsidR="00542725" w:rsidRPr="000D3D22">
        <w:t>Would the project impair implementation of or physically interfere with an adopted emergency response plan or emergency evacuation plan?</w:t>
      </w:r>
    </w:p>
    <w:p w14:paraId="5F8E83A2" w14:textId="6F45670F" w:rsidR="007F4EE3" w:rsidRPr="000D3D22" w:rsidRDefault="007F4EE3" w:rsidP="000D75C9">
      <w:pPr>
        <w:pStyle w:val="BodyText"/>
      </w:pPr>
      <w:r w:rsidRPr="000D3D22">
        <w:t xml:space="preserve">The proposed project would not obstruct existing roadways or require the construction of new roadways or access points. Therefore, the proposed project would not block emergency response or evacuation routes or interfere with adopted emergency response and emergency evacuation plans. No impact would occur. </w:t>
      </w:r>
    </w:p>
    <w:p w14:paraId="0913150E" w14:textId="77777777" w:rsidR="009C1D64" w:rsidRPr="000E45CD" w:rsidRDefault="00817BC5" w:rsidP="009C1D64">
      <w:pPr>
        <w:spacing w:before="120"/>
        <w:rPr>
          <w:rStyle w:val="DropdownList"/>
          <w:highlight w:val="lightGray"/>
        </w:rPr>
      </w:pPr>
      <w:sdt>
        <w:sdtPr>
          <w:rPr>
            <w:rStyle w:val="DropdownList"/>
            <w:highlight w:val="lightGray"/>
          </w:rPr>
          <w:alias w:val="1a"/>
          <w:tag w:val="dropdown"/>
          <w:id w:val="871734622"/>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highlight w:val="none"/>
          </w:rPr>
        </w:sdtEndPr>
        <w:sdtContent>
          <w:r w:rsidR="000E45CD" w:rsidRPr="000E45CD">
            <w:rPr>
              <w:rStyle w:val="DropdownList"/>
            </w:rPr>
            <w:t>No Impact</w:t>
          </w:r>
        </w:sdtContent>
      </w:sdt>
    </w:p>
    <w:p w14:paraId="3C1B719C" w14:textId="0EC5E5B4" w:rsidR="00542725" w:rsidRPr="00AC1C51" w:rsidRDefault="00542725" w:rsidP="005A7336">
      <w:pPr>
        <w:pStyle w:val="BulletListLettered"/>
        <w:numPr>
          <w:ilvl w:val="0"/>
          <w:numId w:val="106"/>
        </w:numPr>
        <w:spacing w:before="240"/>
        <w:rPr>
          <w:i/>
          <w:iCs/>
        </w:rPr>
      </w:pPr>
      <w:r w:rsidRPr="00AC1C51">
        <w:rPr>
          <w:i/>
          <w:iCs/>
        </w:rPr>
        <w:t>Would the project</w:t>
      </w:r>
      <w:r w:rsidR="00405CD7" w:rsidRPr="00AC1C51">
        <w:rPr>
          <w:i/>
          <w:iCs/>
        </w:rPr>
        <w:t xml:space="preserve"> expose people or structures, either directly or indirectly, to a significant risk of loss, injury, or death involving wildland fires</w:t>
      </w:r>
      <w:r w:rsidRPr="00AC1C51">
        <w:rPr>
          <w:i/>
          <w:iCs/>
        </w:rPr>
        <w:t>?</w:t>
      </w:r>
    </w:p>
    <w:p w14:paraId="0FFDE1A9" w14:textId="559AA5EF" w:rsidR="007F4EE3" w:rsidRPr="00146127" w:rsidRDefault="000D198F" w:rsidP="000D75C9">
      <w:pPr>
        <w:pStyle w:val="BodyText"/>
      </w:pPr>
      <w:r w:rsidRPr="000D3D22">
        <w:t>The project site is in a developed, urbanized area surrounded by</w:t>
      </w:r>
      <w:r w:rsidR="00FE1C60" w:rsidRPr="000D3D22">
        <w:t xml:space="preserve"> </w:t>
      </w:r>
      <w:r w:rsidR="000D3D22" w:rsidRPr="000D3D22">
        <w:t>commercial</w:t>
      </w:r>
      <w:r w:rsidRPr="000D3D22">
        <w:t xml:space="preserve"> development</w:t>
      </w:r>
      <w:r w:rsidR="000D3D22" w:rsidRPr="000D3D22">
        <w:t xml:space="preserve"> and </w:t>
      </w:r>
      <w:r w:rsidRPr="000D3D22">
        <w:t xml:space="preserve">roadways. No wildlands or densely vegetated areas are located nearby that would represent a significant fire hazard. Additionally, the project does not fall within a </w:t>
      </w:r>
      <w:r w:rsidR="003301E3">
        <w:t xml:space="preserve">High </w:t>
      </w:r>
      <w:r w:rsidRPr="000D3D22">
        <w:t>Fire Hazard Severity Zone or Very High Fire Hazard Severity Zone for wildland fires (</w:t>
      </w:r>
      <w:r w:rsidR="000D3D22">
        <w:t>CALFIRE</w:t>
      </w:r>
      <w:r w:rsidR="00BD55F2" w:rsidRPr="000D3D22">
        <w:t xml:space="preserve"> </w:t>
      </w:r>
      <w:r w:rsidRPr="000D3D22">
        <w:t xml:space="preserve">2007). </w:t>
      </w:r>
      <w:r w:rsidR="00146127">
        <w:t xml:space="preserve">As discussed in Section 20, </w:t>
      </w:r>
      <w:r w:rsidR="00146127">
        <w:rPr>
          <w:i/>
          <w:iCs/>
        </w:rPr>
        <w:t>Wildfire</w:t>
      </w:r>
      <w:r w:rsidRPr="000D3D22">
        <w:t xml:space="preserve">, the project would not expose people or structures to significant hazards related to wildland fires and there would be no impact. </w:t>
      </w:r>
    </w:p>
    <w:p w14:paraId="3017CA5D" w14:textId="2A77F4CA" w:rsidR="009C1D64" w:rsidRDefault="00817BC5" w:rsidP="009C1D64">
      <w:pPr>
        <w:spacing w:before="120"/>
        <w:rPr>
          <w:rStyle w:val="DropdownList"/>
        </w:rPr>
      </w:pPr>
      <w:sdt>
        <w:sdtPr>
          <w:rPr>
            <w:rStyle w:val="DropdownList"/>
            <w:highlight w:val="lightGray"/>
          </w:rPr>
          <w:alias w:val="1a"/>
          <w:tag w:val="dropdown"/>
          <w:id w:val="-622543960"/>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highlight w:val="none"/>
          </w:rPr>
        </w:sdtEndPr>
        <w:sdtContent>
          <w:r w:rsidR="000E45CD" w:rsidRPr="000E45CD">
            <w:rPr>
              <w:rStyle w:val="DropdownList"/>
            </w:rPr>
            <w:t>No Impact</w:t>
          </w:r>
        </w:sdtContent>
      </w:sdt>
    </w:p>
    <w:p w14:paraId="24076803" w14:textId="77777777" w:rsidR="008E2EDF" w:rsidRPr="00697A01" w:rsidRDefault="008E2EDF" w:rsidP="00697A01">
      <w:pPr>
        <w:pStyle w:val="BodyText"/>
        <w:spacing w:before="240"/>
      </w:pPr>
    </w:p>
    <w:p w14:paraId="0BCA2848" w14:textId="77777777" w:rsidR="008E2EDF" w:rsidRDefault="008E2EDF" w:rsidP="0045049B">
      <w:pPr>
        <w:pStyle w:val="blank0"/>
      </w:pPr>
    </w:p>
    <w:p w14:paraId="4B2E0831" w14:textId="44ABBEF9" w:rsidR="008E2EDF" w:rsidRDefault="008E2EDF" w:rsidP="0045049B">
      <w:pPr>
        <w:pStyle w:val="blank0"/>
      </w:pPr>
      <w:r>
        <w:t>This page intentionally left blank.</w:t>
      </w:r>
    </w:p>
    <w:p w14:paraId="56F6A39A" w14:textId="3C33A32A" w:rsidR="008E2EDF" w:rsidRPr="000E45CD" w:rsidRDefault="008E2EDF" w:rsidP="009C1D64">
      <w:pPr>
        <w:spacing w:before="120"/>
        <w:rPr>
          <w:rStyle w:val="DropdownList"/>
          <w:highlight w:val="lightGray"/>
        </w:rPr>
      </w:pPr>
    </w:p>
    <w:p w14:paraId="1BBB1F30" w14:textId="77777777" w:rsidR="00542725" w:rsidRPr="00C300F4" w:rsidRDefault="00542725" w:rsidP="00275B75">
      <w:pPr>
        <w:pStyle w:val="Heading3CEQA"/>
      </w:pPr>
      <w:bookmarkStart w:id="253" w:name="_Toc453855771"/>
      <w:bookmarkStart w:id="254" w:name="_Toc475630718"/>
      <w:bookmarkStart w:id="255" w:name="_Toc112942435"/>
      <w:r w:rsidRPr="00C300F4">
        <w:t>Hydrology and Water Quality</w:t>
      </w:r>
      <w:bookmarkEnd w:id="253"/>
      <w:bookmarkEnd w:id="254"/>
      <w:bookmarkEnd w:id="255"/>
    </w:p>
    <w:tbl>
      <w:tblPr>
        <w:tblW w:w="9047" w:type="dxa"/>
        <w:tblLayout w:type="fixed"/>
        <w:tblLook w:val="04A0" w:firstRow="1" w:lastRow="0" w:firstColumn="1" w:lastColumn="0" w:noHBand="0" w:noVBand="1"/>
      </w:tblPr>
      <w:tblGrid>
        <w:gridCol w:w="10"/>
        <w:gridCol w:w="4337"/>
        <w:gridCol w:w="1184"/>
        <w:gridCol w:w="70"/>
        <w:gridCol w:w="73"/>
        <w:gridCol w:w="1054"/>
        <w:gridCol w:w="23"/>
        <w:gridCol w:w="11"/>
        <w:gridCol w:w="1088"/>
        <w:gridCol w:w="11"/>
        <w:gridCol w:w="1077"/>
        <w:gridCol w:w="22"/>
        <w:gridCol w:w="28"/>
        <w:gridCol w:w="59"/>
      </w:tblGrid>
      <w:tr w:rsidR="00542725" w:rsidRPr="00E5753A" w14:paraId="40CD4B32" w14:textId="77777777" w:rsidTr="005F400C">
        <w:trPr>
          <w:tblHeader/>
        </w:trPr>
        <w:tc>
          <w:tcPr>
            <w:tcW w:w="4347" w:type="dxa"/>
            <w:gridSpan w:val="2"/>
            <w:tcBorders>
              <w:bottom w:val="single" w:sz="4" w:space="0" w:color="auto"/>
            </w:tcBorders>
            <w:shd w:val="clear" w:color="auto" w:fill="D9D9D9"/>
            <w:tcMar>
              <w:top w:w="20" w:type="dxa"/>
              <w:left w:w="115" w:type="dxa"/>
              <w:bottom w:w="20" w:type="dxa"/>
              <w:right w:w="115" w:type="dxa"/>
            </w:tcMar>
            <w:vAlign w:val="bottom"/>
          </w:tcPr>
          <w:p w14:paraId="74A84043" w14:textId="77777777" w:rsidR="00542725" w:rsidRPr="00C300F4" w:rsidRDefault="00542725" w:rsidP="001C766D">
            <w:pPr>
              <w:pStyle w:val="TableHeadings"/>
            </w:pPr>
          </w:p>
        </w:tc>
        <w:tc>
          <w:tcPr>
            <w:tcW w:w="1184" w:type="dxa"/>
            <w:tcBorders>
              <w:bottom w:val="single" w:sz="4" w:space="0" w:color="auto"/>
            </w:tcBorders>
            <w:shd w:val="clear" w:color="auto" w:fill="D9D9D9"/>
            <w:tcMar>
              <w:top w:w="20" w:type="dxa"/>
              <w:left w:w="115" w:type="dxa"/>
              <w:bottom w:w="20" w:type="dxa"/>
              <w:right w:w="115" w:type="dxa"/>
            </w:tcMar>
            <w:vAlign w:val="bottom"/>
            <w:hideMark/>
          </w:tcPr>
          <w:p w14:paraId="75B643A5" w14:textId="77777777" w:rsidR="00542725" w:rsidRPr="00C300F4" w:rsidRDefault="00542725" w:rsidP="001C766D">
            <w:pPr>
              <w:pStyle w:val="TableHeadings"/>
              <w:jc w:val="center"/>
            </w:pPr>
            <w:r w:rsidRPr="00C300F4">
              <w:t>Potentially Significant Impact</w:t>
            </w:r>
          </w:p>
        </w:tc>
        <w:tc>
          <w:tcPr>
            <w:tcW w:w="1220" w:type="dxa"/>
            <w:gridSpan w:val="4"/>
            <w:tcBorders>
              <w:bottom w:val="single" w:sz="4" w:space="0" w:color="auto"/>
            </w:tcBorders>
            <w:shd w:val="clear" w:color="auto" w:fill="D9D9D9"/>
            <w:tcMar>
              <w:top w:w="20" w:type="dxa"/>
              <w:left w:w="115" w:type="dxa"/>
              <w:bottom w:w="20" w:type="dxa"/>
              <w:right w:w="115" w:type="dxa"/>
            </w:tcMar>
            <w:vAlign w:val="bottom"/>
            <w:hideMark/>
          </w:tcPr>
          <w:p w14:paraId="6C4E1423" w14:textId="77777777" w:rsidR="00542725" w:rsidRPr="00C300F4" w:rsidRDefault="00542725" w:rsidP="001C766D">
            <w:pPr>
              <w:pStyle w:val="TableHeadings"/>
              <w:jc w:val="center"/>
            </w:pPr>
            <w:r w:rsidRPr="00C300F4">
              <w:t>Less than Significant with Mitigation Incorporated</w:t>
            </w:r>
          </w:p>
        </w:tc>
        <w:tc>
          <w:tcPr>
            <w:tcW w:w="1110" w:type="dxa"/>
            <w:gridSpan w:val="3"/>
            <w:tcBorders>
              <w:bottom w:val="single" w:sz="4" w:space="0" w:color="auto"/>
            </w:tcBorders>
            <w:shd w:val="clear" w:color="auto" w:fill="D9D9D9"/>
            <w:tcMar>
              <w:top w:w="20" w:type="dxa"/>
              <w:left w:w="115" w:type="dxa"/>
              <w:bottom w:w="20" w:type="dxa"/>
              <w:right w:w="115" w:type="dxa"/>
            </w:tcMar>
            <w:vAlign w:val="bottom"/>
            <w:hideMark/>
          </w:tcPr>
          <w:p w14:paraId="0A678505" w14:textId="77777777" w:rsidR="00542725" w:rsidRPr="00C300F4" w:rsidRDefault="00542725" w:rsidP="001C766D">
            <w:pPr>
              <w:pStyle w:val="TableHeadings"/>
              <w:jc w:val="center"/>
            </w:pPr>
            <w:r w:rsidRPr="00C300F4">
              <w:t>Less than Significant Impact</w:t>
            </w:r>
          </w:p>
        </w:tc>
        <w:tc>
          <w:tcPr>
            <w:tcW w:w="1186" w:type="dxa"/>
            <w:gridSpan w:val="4"/>
            <w:tcBorders>
              <w:bottom w:val="single" w:sz="4" w:space="0" w:color="auto"/>
            </w:tcBorders>
            <w:shd w:val="clear" w:color="auto" w:fill="D9D9D9"/>
            <w:tcMar>
              <w:top w:w="20" w:type="dxa"/>
              <w:left w:w="115" w:type="dxa"/>
              <w:bottom w:w="20" w:type="dxa"/>
              <w:right w:w="115" w:type="dxa"/>
            </w:tcMar>
            <w:vAlign w:val="bottom"/>
            <w:hideMark/>
          </w:tcPr>
          <w:p w14:paraId="4066BF7F" w14:textId="77777777" w:rsidR="00542725" w:rsidRPr="00C300F4" w:rsidRDefault="00542725" w:rsidP="001C766D">
            <w:pPr>
              <w:pStyle w:val="TableHeadings"/>
              <w:jc w:val="center"/>
            </w:pPr>
            <w:r w:rsidRPr="00C300F4">
              <w:t>No Impact</w:t>
            </w:r>
          </w:p>
        </w:tc>
      </w:tr>
      <w:tr w:rsidR="00542725" w:rsidRPr="00E5753A" w14:paraId="5C469C16" w14:textId="77777777" w:rsidTr="005F400C">
        <w:trPr>
          <w:gridBefore w:val="1"/>
          <w:gridAfter w:val="2"/>
          <w:wBefore w:w="10" w:type="dxa"/>
          <w:wAfter w:w="87" w:type="dxa"/>
        </w:trPr>
        <w:tc>
          <w:tcPr>
            <w:tcW w:w="8950" w:type="dxa"/>
            <w:gridSpan w:val="11"/>
            <w:tcMar>
              <w:top w:w="20" w:type="dxa"/>
              <w:left w:w="115" w:type="dxa"/>
              <w:bottom w:w="20" w:type="dxa"/>
              <w:right w:w="115" w:type="dxa"/>
            </w:tcMar>
            <w:vAlign w:val="bottom"/>
            <w:hideMark/>
          </w:tcPr>
          <w:p w14:paraId="1ECA91C3" w14:textId="77777777" w:rsidR="00542725" w:rsidRPr="00C300F4" w:rsidRDefault="00542725" w:rsidP="00A75653">
            <w:pPr>
              <w:pStyle w:val="BodyText"/>
              <w:spacing w:before="40" w:after="40"/>
              <w:rPr>
                <w:b/>
              </w:rPr>
            </w:pPr>
            <w:r w:rsidRPr="00C300F4">
              <w:t>Would the project:</w:t>
            </w:r>
          </w:p>
        </w:tc>
      </w:tr>
      <w:tr w:rsidR="00542725" w:rsidRPr="00E5753A" w14:paraId="085E96E0" w14:textId="77777777" w:rsidTr="005F400C">
        <w:trPr>
          <w:gridBefore w:val="1"/>
          <w:gridAfter w:val="3"/>
          <w:wBefore w:w="10" w:type="dxa"/>
          <w:wAfter w:w="109" w:type="dxa"/>
        </w:trPr>
        <w:tc>
          <w:tcPr>
            <w:tcW w:w="4337" w:type="dxa"/>
            <w:tcMar>
              <w:top w:w="20" w:type="dxa"/>
              <w:left w:w="115" w:type="dxa"/>
              <w:bottom w:w="20" w:type="dxa"/>
              <w:right w:w="115" w:type="dxa"/>
            </w:tcMar>
            <w:vAlign w:val="bottom"/>
            <w:hideMark/>
          </w:tcPr>
          <w:p w14:paraId="1BDEE551" w14:textId="77777777" w:rsidR="00542725" w:rsidRPr="00C300F4" w:rsidRDefault="00542725" w:rsidP="00A75653">
            <w:pPr>
              <w:pStyle w:val="BulletListLettered"/>
              <w:numPr>
                <w:ilvl w:val="0"/>
                <w:numId w:val="17"/>
              </w:numPr>
              <w:spacing w:before="40" w:after="40"/>
            </w:pPr>
            <w:r w:rsidRPr="00C300F4">
              <w:t>Violate any water quality standards or waste discharge requirements</w:t>
            </w:r>
            <w:r w:rsidR="00405CD7" w:rsidRPr="00C300F4">
              <w:t xml:space="preserve"> or otherwise substantially degrade surface or ground water quality</w:t>
            </w:r>
            <w:r w:rsidRPr="00C300F4">
              <w:t>?</w:t>
            </w:r>
          </w:p>
        </w:tc>
        <w:tc>
          <w:tcPr>
            <w:tcW w:w="1327" w:type="dxa"/>
            <w:gridSpan w:val="3"/>
            <w:tcMar>
              <w:top w:w="20" w:type="dxa"/>
              <w:left w:w="115" w:type="dxa"/>
              <w:bottom w:w="20" w:type="dxa"/>
              <w:right w:w="115" w:type="dxa"/>
            </w:tcMar>
            <w:vAlign w:val="bottom"/>
          </w:tcPr>
          <w:p w14:paraId="5110086D" w14:textId="1680B6F5" w:rsidR="00542725" w:rsidRPr="00EF1ABF" w:rsidRDefault="0092377F" w:rsidP="00A75653">
            <w:pPr>
              <w:spacing w:before="40" w:after="40"/>
              <w:jc w:val="center"/>
              <w:rPr>
                <w:sz w:val="22"/>
                <w:szCs w:val="22"/>
                <w:highlight w:val="lightGray"/>
              </w:rPr>
            </w:pPr>
            <w:r w:rsidRPr="00EF1ABF">
              <w:rPr>
                <w:rFonts w:ascii="Times New Roman" w:hAnsi="Times New Roman"/>
                <w:sz w:val="22"/>
                <w:szCs w:val="22"/>
              </w:rPr>
              <w:t>□</w:t>
            </w:r>
          </w:p>
        </w:tc>
        <w:tc>
          <w:tcPr>
            <w:tcW w:w="1088" w:type="dxa"/>
            <w:gridSpan w:val="3"/>
            <w:tcMar>
              <w:top w:w="20" w:type="dxa"/>
              <w:left w:w="115" w:type="dxa"/>
              <w:bottom w:w="20" w:type="dxa"/>
              <w:right w:w="115" w:type="dxa"/>
            </w:tcMar>
            <w:vAlign w:val="bottom"/>
          </w:tcPr>
          <w:p w14:paraId="6F2019AF" w14:textId="0223FB65" w:rsidR="00542725" w:rsidRPr="00EF1ABF" w:rsidRDefault="00542725" w:rsidP="00A75653">
            <w:pPr>
              <w:spacing w:before="40" w:after="40"/>
              <w:jc w:val="center"/>
              <w:rPr>
                <w:sz w:val="22"/>
                <w:szCs w:val="22"/>
                <w:highlight w:val="lightGray"/>
              </w:rPr>
            </w:pPr>
            <w:r w:rsidRPr="00EF1ABF">
              <w:rPr>
                <w:rFonts w:ascii="Times New Roman" w:hAnsi="Times New Roman"/>
                <w:sz w:val="22"/>
                <w:szCs w:val="22"/>
              </w:rPr>
              <w:t>□</w:t>
            </w:r>
          </w:p>
        </w:tc>
        <w:tc>
          <w:tcPr>
            <w:tcW w:w="1088" w:type="dxa"/>
            <w:tcMar>
              <w:top w:w="20" w:type="dxa"/>
              <w:left w:w="115" w:type="dxa"/>
              <w:bottom w:w="20" w:type="dxa"/>
              <w:right w:w="115" w:type="dxa"/>
            </w:tcMar>
            <w:vAlign w:val="bottom"/>
          </w:tcPr>
          <w:p w14:paraId="3D86317B" w14:textId="3CE37B33" w:rsidR="00542725" w:rsidRPr="00EF1ABF" w:rsidRDefault="00BD3EBD" w:rsidP="00A75653">
            <w:pPr>
              <w:spacing w:before="40" w:after="40"/>
              <w:jc w:val="center"/>
              <w:rPr>
                <w:sz w:val="22"/>
                <w:szCs w:val="22"/>
                <w:highlight w:val="lightGray"/>
              </w:rPr>
            </w:pPr>
            <w:r w:rsidRPr="00EF1ABF">
              <w:rPr>
                <w:rFonts w:ascii="Times New Roman" w:hAnsi="Times New Roman"/>
                <w:sz w:val="22"/>
                <w:szCs w:val="22"/>
              </w:rPr>
              <w:t>■</w:t>
            </w:r>
          </w:p>
        </w:tc>
        <w:tc>
          <w:tcPr>
            <w:tcW w:w="1088" w:type="dxa"/>
            <w:gridSpan w:val="2"/>
            <w:tcMar>
              <w:top w:w="20" w:type="dxa"/>
              <w:left w:w="115" w:type="dxa"/>
              <w:bottom w:w="20" w:type="dxa"/>
              <w:right w:w="115" w:type="dxa"/>
            </w:tcMar>
            <w:vAlign w:val="bottom"/>
          </w:tcPr>
          <w:p w14:paraId="60250C88" w14:textId="5F6977C1" w:rsidR="00542725" w:rsidRPr="00EF1ABF" w:rsidRDefault="00BD3EBD" w:rsidP="00A75653">
            <w:pPr>
              <w:spacing w:before="40" w:after="40"/>
              <w:jc w:val="center"/>
              <w:rPr>
                <w:sz w:val="22"/>
                <w:szCs w:val="22"/>
                <w:highlight w:val="lightGray"/>
              </w:rPr>
            </w:pPr>
            <w:r w:rsidRPr="00EF1ABF">
              <w:rPr>
                <w:rFonts w:ascii="Times New Roman" w:hAnsi="Times New Roman"/>
                <w:sz w:val="22"/>
                <w:szCs w:val="22"/>
              </w:rPr>
              <w:t>□</w:t>
            </w:r>
          </w:p>
        </w:tc>
      </w:tr>
      <w:tr w:rsidR="00542725" w:rsidRPr="00E5753A" w14:paraId="384BFC5E" w14:textId="77777777" w:rsidTr="005F400C">
        <w:trPr>
          <w:gridBefore w:val="1"/>
          <w:gridAfter w:val="3"/>
          <w:wBefore w:w="10" w:type="dxa"/>
          <w:wAfter w:w="109" w:type="dxa"/>
        </w:trPr>
        <w:tc>
          <w:tcPr>
            <w:tcW w:w="4337" w:type="dxa"/>
            <w:tcMar>
              <w:top w:w="20" w:type="dxa"/>
              <w:left w:w="115" w:type="dxa"/>
              <w:bottom w:w="20" w:type="dxa"/>
              <w:right w:w="115" w:type="dxa"/>
            </w:tcMar>
            <w:vAlign w:val="bottom"/>
            <w:hideMark/>
          </w:tcPr>
          <w:p w14:paraId="2FCEBE35" w14:textId="77777777" w:rsidR="00542725" w:rsidRPr="00C300F4" w:rsidRDefault="00542725" w:rsidP="00A75653">
            <w:pPr>
              <w:pStyle w:val="BulletListLettered"/>
              <w:numPr>
                <w:ilvl w:val="0"/>
                <w:numId w:val="17"/>
              </w:numPr>
              <w:spacing w:before="40" w:after="40"/>
            </w:pPr>
            <w:r w:rsidRPr="00C300F4">
              <w:t>Substantially</w:t>
            </w:r>
            <w:r w:rsidR="00405CD7" w:rsidRPr="00C300F4">
              <w:t xml:space="preserve"> decrease groundwater supplies or interfere substantially with groundwater recharge such that the project may impede sustainable groundwater management of the basin</w:t>
            </w:r>
            <w:r w:rsidRPr="00C300F4">
              <w:t>?</w:t>
            </w:r>
          </w:p>
        </w:tc>
        <w:tc>
          <w:tcPr>
            <w:tcW w:w="1327" w:type="dxa"/>
            <w:gridSpan w:val="3"/>
            <w:tcMar>
              <w:top w:w="20" w:type="dxa"/>
              <w:left w:w="115" w:type="dxa"/>
              <w:bottom w:w="20" w:type="dxa"/>
              <w:right w:w="115" w:type="dxa"/>
            </w:tcMar>
            <w:vAlign w:val="bottom"/>
          </w:tcPr>
          <w:p w14:paraId="2963BEE3" w14:textId="70448A67" w:rsidR="00542725" w:rsidRPr="00EF1ABF" w:rsidRDefault="0092377F" w:rsidP="00A75653">
            <w:pPr>
              <w:spacing w:before="40" w:after="40"/>
              <w:jc w:val="center"/>
              <w:rPr>
                <w:sz w:val="22"/>
                <w:szCs w:val="22"/>
                <w:highlight w:val="lightGray"/>
              </w:rPr>
            </w:pPr>
            <w:r w:rsidRPr="00EF1ABF">
              <w:rPr>
                <w:rFonts w:ascii="Times New Roman" w:hAnsi="Times New Roman"/>
                <w:sz w:val="22"/>
                <w:szCs w:val="22"/>
              </w:rPr>
              <w:t>□</w:t>
            </w:r>
          </w:p>
        </w:tc>
        <w:tc>
          <w:tcPr>
            <w:tcW w:w="1088" w:type="dxa"/>
            <w:gridSpan w:val="3"/>
            <w:tcMar>
              <w:top w:w="20" w:type="dxa"/>
              <w:left w:w="115" w:type="dxa"/>
              <w:bottom w:w="20" w:type="dxa"/>
              <w:right w:w="115" w:type="dxa"/>
            </w:tcMar>
            <w:vAlign w:val="bottom"/>
          </w:tcPr>
          <w:p w14:paraId="729ED6D0" w14:textId="57F89BEE" w:rsidR="00542725" w:rsidRPr="00EF1ABF" w:rsidRDefault="00542725" w:rsidP="00A75653">
            <w:pPr>
              <w:spacing w:before="40" w:after="40"/>
              <w:jc w:val="center"/>
              <w:rPr>
                <w:sz w:val="22"/>
                <w:szCs w:val="22"/>
                <w:highlight w:val="lightGray"/>
              </w:rPr>
            </w:pPr>
            <w:r w:rsidRPr="00EF1ABF">
              <w:rPr>
                <w:rFonts w:ascii="Times New Roman" w:hAnsi="Times New Roman"/>
                <w:sz w:val="22"/>
                <w:szCs w:val="22"/>
              </w:rPr>
              <w:t>□</w:t>
            </w:r>
          </w:p>
        </w:tc>
        <w:tc>
          <w:tcPr>
            <w:tcW w:w="1088" w:type="dxa"/>
            <w:tcMar>
              <w:top w:w="20" w:type="dxa"/>
              <w:left w:w="115" w:type="dxa"/>
              <w:bottom w:w="20" w:type="dxa"/>
              <w:right w:w="115" w:type="dxa"/>
            </w:tcMar>
            <w:vAlign w:val="bottom"/>
          </w:tcPr>
          <w:p w14:paraId="52A3ED49" w14:textId="7BBC0618" w:rsidR="00542725" w:rsidRPr="00EF1ABF" w:rsidRDefault="00BD3EBD" w:rsidP="00A75653">
            <w:pPr>
              <w:spacing w:before="40" w:after="40"/>
              <w:jc w:val="center"/>
              <w:rPr>
                <w:sz w:val="22"/>
                <w:szCs w:val="22"/>
                <w:highlight w:val="lightGray"/>
              </w:rPr>
            </w:pPr>
            <w:r w:rsidRPr="00EF1ABF">
              <w:rPr>
                <w:rFonts w:ascii="Times New Roman" w:hAnsi="Times New Roman"/>
                <w:sz w:val="22"/>
                <w:szCs w:val="22"/>
              </w:rPr>
              <w:t>■</w:t>
            </w:r>
          </w:p>
        </w:tc>
        <w:tc>
          <w:tcPr>
            <w:tcW w:w="1088" w:type="dxa"/>
            <w:gridSpan w:val="2"/>
            <w:tcMar>
              <w:top w:w="20" w:type="dxa"/>
              <w:left w:w="115" w:type="dxa"/>
              <w:bottom w:w="20" w:type="dxa"/>
              <w:right w:w="115" w:type="dxa"/>
            </w:tcMar>
            <w:vAlign w:val="bottom"/>
          </w:tcPr>
          <w:p w14:paraId="75D2EFF2" w14:textId="55E42012" w:rsidR="00542725" w:rsidRPr="00EF1ABF" w:rsidRDefault="00BD3EBD" w:rsidP="00A75653">
            <w:pPr>
              <w:spacing w:before="40" w:after="40"/>
              <w:jc w:val="center"/>
              <w:rPr>
                <w:sz w:val="22"/>
                <w:szCs w:val="22"/>
                <w:highlight w:val="lightGray"/>
              </w:rPr>
            </w:pPr>
            <w:r w:rsidRPr="00EF1ABF">
              <w:rPr>
                <w:rFonts w:ascii="Times New Roman" w:hAnsi="Times New Roman"/>
                <w:sz w:val="22"/>
                <w:szCs w:val="22"/>
              </w:rPr>
              <w:t>□</w:t>
            </w:r>
          </w:p>
        </w:tc>
      </w:tr>
      <w:tr w:rsidR="00542725" w:rsidRPr="00E5753A" w14:paraId="557C38D9" w14:textId="77777777" w:rsidTr="005F400C">
        <w:trPr>
          <w:gridBefore w:val="1"/>
          <w:gridAfter w:val="3"/>
          <w:wBefore w:w="10" w:type="dxa"/>
          <w:wAfter w:w="109" w:type="dxa"/>
        </w:trPr>
        <w:tc>
          <w:tcPr>
            <w:tcW w:w="4337" w:type="dxa"/>
            <w:tcMar>
              <w:top w:w="20" w:type="dxa"/>
              <w:left w:w="115" w:type="dxa"/>
              <w:bottom w:w="20" w:type="dxa"/>
              <w:right w:w="115" w:type="dxa"/>
            </w:tcMar>
            <w:vAlign w:val="bottom"/>
            <w:hideMark/>
          </w:tcPr>
          <w:p w14:paraId="561D79E3" w14:textId="77777777" w:rsidR="00542725" w:rsidRPr="00C300F4" w:rsidRDefault="00542725" w:rsidP="00A75653">
            <w:pPr>
              <w:pStyle w:val="BulletListLettered"/>
              <w:numPr>
                <w:ilvl w:val="0"/>
                <w:numId w:val="16"/>
              </w:numPr>
              <w:spacing w:before="40" w:after="40"/>
            </w:pPr>
            <w:r w:rsidRPr="00C300F4">
              <w:t>Substantially alter the existing drainage pattern of the site or area, including through the alteration of the course of a stream or river</w:t>
            </w:r>
            <w:r w:rsidR="00405CD7" w:rsidRPr="00C300F4">
              <w:t xml:space="preserve"> or through the addition of impervious surfaces, in a manner </w:t>
            </w:r>
            <w:r w:rsidR="00035B6A" w:rsidRPr="00C300F4">
              <w:t>which</w:t>
            </w:r>
            <w:r w:rsidR="00405CD7" w:rsidRPr="00C300F4">
              <w:t xml:space="preserve"> would:</w:t>
            </w:r>
          </w:p>
        </w:tc>
        <w:tc>
          <w:tcPr>
            <w:tcW w:w="1327" w:type="dxa"/>
            <w:gridSpan w:val="3"/>
            <w:tcMar>
              <w:top w:w="20" w:type="dxa"/>
              <w:left w:w="115" w:type="dxa"/>
              <w:bottom w:w="20" w:type="dxa"/>
              <w:right w:w="115" w:type="dxa"/>
            </w:tcMar>
            <w:vAlign w:val="bottom"/>
          </w:tcPr>
          <w:p w14:paraId="43D9EE34" w14:textId="77777777" w:rsidR="00542725" w:rsidRPr="00EF1ABF" w:rsidRDefault="00542725" w:rsidP="00A75653">
            <w:pPr>
              <w:spacing w:before="40" w:after="40"/>
              <w:jc w:val="center"/>
              <w:rPr>
                <w:sz w:val="22"/>
                <w:szCs w:val="22"/>
                <w:highlight w:val="lightGray"/>
              </w:rPr>
            </w:pPr>
          </w:p>
        </w:tc>
        <w:tc>
          <w:tcPr>
            <w:tcW w:w="1088" w:type="dxa"/>
            <w:gridSpan w:val="3"/>
            <w:tcMar>
              <w:top w:w="20" w:type="dxa"/>
              <w:left w:w="115" w:type="dxa"/>
              <w:bottom w:w="20" w:type="dxa"/>
              <w:right w:w="115" w:type="dxa"/>
            </w:tcMar>
            <w:vAlign w:val="bottom"/>
          </w:tcPr>
          <w:p w14:paraId="1A941A95" w14:textId="77777777" w:rsidR="00542725" w:rsidRPr="00EF1ABF" w:rsidRDefault="00542725" w:rsidP="00A75653">
            <w:pPr>
              <w:spacing w:before="40" w:after="40"/>
              <w:jc w:val="center"/>
              <w:rPr>
                <w:sz w:val="22"/>
                <w:szCs w:val="22"/>
                <w:highlight w:val="lightGray"/>
              </w:rPr>
            </w:pPr>
          </w:p>
        </w:tc>
        <w:tc>
          <w:tcPr>
            <w:tcW w:w="1088" w:type="dxa"/>
            <w:tcMar>
              <w:top w:w="20" w:type="dxa"/>
              <w:left w:w="115" w:type="dxa"/>
              <w:bottom w:w="20" w:type="dxa"/>
              <w:right w:w="115" w:type="dxa"/>
            </w:tcMar>
            <w:vAlign w:val="bottom"/>
          </w:tcPr>
          <w:p w14:paraId="3ECC89DD" w14:textId="77777777" w:rsidR="00542725" w:rsidRPr="00EF1ABF" w:rsidRDefault="00542725" w:rsidP="00A75653">
            <w:pPr>
              <w:spacing w:before="40" w:after="40"/>
              <w:jc w:val="center"/>
              <w:rPr>
                <w:sz w:val="22"/>
                <w:szCs w:val="22"/>
                <w:highlight w:val="lightGray"/>
              </w:rPr>
            </w:pPr>
          </w:p>
        </w:tc>
        <w:tc>
          <w:tcPr>
            <w:tcW w:w="1088" w:type="dxa"/>
            <w:gridSpan w:val="2"/>
            <w:tcMar>
              <w:top w:w="20" w:type="dxa"/>
              <w:left w:w="115" w:type="dxa"/>
              <w:bottom w:w="20" w:type="dxa"/>
              <w:right w:w="115" w:type="dxa"/>
            </w:tcMar>
            <w:vAlign w:val="bottom"/>
          </w:tcPr>
          <w:p w14:paraId="47D1C4EB" w14:textId="77777777" w:rsidR="00542725" w:rsidRPr="00EF1ABF" w:rsidRDefault="00542725" w:rsidP="00A75653">
            <w:pPr>
              <w:spacing w:before="40" w:after="40"/>
              <w:jc w:val="center"/>
              <w:rPr>
                <w:sz w:val="22"/>
                <w:szCs w:val="22"/>
                <w:highlight w:val="lightGray"/>
              </w:rPr>
            </w:pPr>
          </w:p>
        </w:tc>
      </w:tr>
      <w:tr w:rsidR="00405CD7" w:rsidRPr="00E5753A" w14:paraId="25DFD11C" w14:textId="77777777" w:rsidTr="005F400C">
        <w:tblPrEx>
          <w:tblBorders>
            <w:bottom w:val="single" w:sz="4" w:space="0" w:color="auto"/>
          </w:tblBorders>
        </w:tblPrEx>
        <w:trPr>
          <w:gridBefore w:val="1"/>
          <w:gridAfter w:val="1"/>
          <w:wBefore w:w="10" w:type="dxa"/>
          <w:wAfter w:w="59" w:type="dxa"/>
        </w:trPr>
        <w:tc>
          <w:tcPr>
            <w:tcW w:w="4337" w:type="dxa"/>
            <w:tcMar>
              <w:top w:w="20" w:type="dxa"/>
              <w:left w:w="115" w:type="dxa"/>
              <w:bottom w:w="20" w:type="dxa"/>
              <w:right w:w="115" w:type="dxa"/>
            </w:tcMar>
            <w:vAlign w:val="bottom"/>
            <w:hideMark/>
          </w:tcPr>
          <w:p w14:paraId="199DAFA1" w14:textId="77777777" w:rsidR="00405CD7" w:rsidRPr="00C300F4" w:rsidRDefault="00405CD7" w:rsidP="005401D1">
            <w:pPr>
              <w:spacing w:before="40" w:after="40"/>
              <w:ind w:left="831" w:hanging="432"/>
              <w:rPr>
                <w:rFonts w:asciiTheme="minorHAnsi" w:hAnsiTheme="minorHAnsi"/>
                <w:sz w:val="22"/>
                <w:szCs w:val="22"/>
              </w:rPr>
            </w:pPr>
            <w:r w:rsidRPr="00C300F4">
              <w:rPr>
                <w:rFonts w:asciiTheme="minorHAnsi" w:hAnsiTheme="minorHAnsi"/>
                <w:sz w:val="22"/>
                <w:szCs w:val="22"/>
              </w:rPr>
              <w:t>(i)</w:t>
            </w:r>
            <w:r w:rsidRPr="00C300F4">
              <w:rPr>
                <w:rFonts w:asciiTheme="minorHAnsi" w:hAnsiTheme="minorHAnsi"/>
                <w:sz w:val="22"/>
                <w:szCs w:val="22"/>
              </w:rPr>
              <w:tab/>
              <w:t xml:space="preserve">Result in substantial erosion or </w:t>
            </w:r>
            <w:r w:rsidR="005401D1" w:rsidRPr="00C300F4">
              <w:rPr>
                <w:rFonts w:asciiTheme="minorHAnsi" w:hAnsiTheme="minorHAnsi"/>
                <w:sz w:val="22"/>
                <w:szCs w:val="22"/>
              </w:rPr>
              <w:t>siltation</w:t>
            </w:r>
            <w:r w:rsidRPr="00C300F4">
              <w:rPr>
                <w:rFonts w:asciiTheme="minorHAnsi" w:hAnsiTheme="minorHAnsi"/>
                <w:sz w:val="22"/>
                <w:szCs w:val="22"/>
              </w:rPr>
              <w:t xml:space="preserve"> on- or off-site;</w:t>
            </w:r>
          </w:p>
        </w:tc>
        <w:tc>
          <w:tcPr>
            <w:tcW w:w="1254" w:type="dxa"/>
            <w:gridSpan w:val="2"/>
            <w:tcMar>
              <w:top w:w="20" w:type="dxa"/>
              <w:left w:w="115" w:type="dxa"/>
              <w:bottom w:w="20" w:type="dxa"/>
              <w:right w:w="115" w:type="dxa"/>
            </w:tcMar>
            <w:vAlign w:val="bottom"/>
          </w:tcPr>
          <w:p w14:paraId="51678250" w14:textId="5AF72743" w:rsidR="00405CD7" w:rsidRPr="00EF1ABF" w:rsidRDefault="00405CD7" w:rsidP="00A75653">
            <w:pPr>
              <w:spacing w:before="40" w:after="40"/>
              <w:jc w:val="center"/>
              <w:rPr>
                <w:sz w:val="22"/>
                <w:szCs w:val="22"/>
                <w:highlight w:val="lightGray"/>
              </w:rPr>
            </w:pPr>
            <w:r w:rsidRPr="00EF1ABF">
              <w:rPr>
                <w:rFonts w:ascii="Times New Roman" w:hAnsi="Times New Roman"/>
                <w:sz w:val="22"/>
                <w:szCs w:val="22"/>
              </w:rPr>
              <w:t>□</w:t>
            </w:r>
          </w:p>
        </w:tc>
        <w:tc>
          <w:tcPr>
            <w:tcW w:w="1127" w:type="dxa"/>
            <w:gridSpan w:val="2"/>
            <w:tcMar>
              <w:top w:w="20" w:type="dxa"/>
              <w:left w:w="115" w:type="dxa"/>
              <w:bottom w:w="20" w:type="dxa"/>
              <w:right w:w="115" w:type="dxa"/>
            </w:tcMar>
            <w:vAlign w:val="bottom"/>
          </w:tcPr>
          <w:p w14:paraId="0AFF1434" w14:textId="1702ACA3" w:rsidR="00405CD7" w:rsidRPr="00EF1ABF" w:rsidRDefault="007401A0" w:rsidP="00A75653">
            <w:pPr>
              <w:spacing w:before="40" w:after="40"/>
              <w:jc w:val="center"/>
              <w:rPr>
                <w:sz w:val="22"/>
                <w:szCs w:val="22"/>
                <w:highlight w:val="lightGray"/>
              </w:rPr>
            </w:pPr>
            <w:r w:rsidRPr="00EF1ABF">
              <w:rPr>
                <w:rFonts w:ascii="Times New Roman" w:hAnsi="Times New Roman"/>
                <w:sz w:val="22"/>
                <w:szCs w:val="22"/>
              </w:rPr>
              <w:t>□</w:t>
            </w:r>
          </w:p>
        </w:tc>
        <w:tc>
          <w:tcPr>
            <w:tcW w:w="1133" w:type="dxa"/>
            <w:gridSpan w:val="4"/>
            <w:tcMar>
              <w:top w:w="20" w:type="dxa"/>
              <w:left w:w="115" w:type="dxa"/>
              <w:bottom w:w="20" w:type="dxa"/>
              <w:right w:w="115" w:type="dxa"/>
            </w:tcMar>
            <w:vAlign w:val="bottom"/>
          </w:tcPr>
          <w:p w14:paraId="76B6B9E5" w14:textId="46632DD1" w:rsidR="00405CD7" w:rsidRPr="00EF1ABF" w:rsidRDefault="007401A0" w:rsidP="00A75653">
            <w:pPr>
              <w:spacing w:before="40" w:after="40"/>
              <w:jc w:val="center"/>
              <w:rPr>
                <w:sz w:val="22"/>
                <w:szCs w:val="22"/>
                <w:highlight w:val="lightGray"/>
              </w:rPr>
            </w:pPr>
            <w:r w:rsidRPr="00EF1ABF">
              <w:rPr>
                <w:rFonts w:ascii="Times New Roman" w:hAnsi="Times New Roman"/>
                <w:sz w:val="22"/>
                <w:szCs w:val="22"/>
              </w:rPr>
              <w:t>■</w:t>
            </w:r>
          </w:p>
        </w:tc>
        <w:tc>
          <w:tcPr>
            <w:tcW w:w="1127" w:type="dxa"/>
            <w:gridSpan w:val="3"/>
            <w:tcMar>
              <w:top w:w="20" w:type="dxa"/>
              <w:left w:w="115" w:type="dxa"/>
              <w:bottom w:w="20" w:type="dxa"/>
              <w:right w:w="115" w:type="dxa"/>
            </w:tcMar>
            <w:vAlign w:val="bottom"/>
          </w:tcPr>
          <w:p w14:paraId="5B06906F" w14:textId="53D02F53" w:rsidR="00405CD7" w:rsidRPr="00EF1ABF" w:rsidRDefault="00405CD7" w:rsidP="00A75653">
            <w:pPr>
              <w:spacing w:before="40" w:after="40"/>
              <w:jc w:val="center"/>
              <w:rPr>
                <w:sz w:val="22"/>
                <w:szCs w:val="22"/>
                <w:highlight w:val="lightGray"/>
              </w:rPr>
            </w:pPr>
            <w:r w:rsidRPr="00EF1ABF">
              <w:rPr>
                <w:rFonts w:ascii="Times New Roman" w:hAnsi="Times New Roman"/>
                <w:sz w:val="22"/>
                <w:szCs w:val="22"/>
              </w:rPr>
              <w:t>□</w:t>
            </w:r>
          </w:p>
        </w:tc>
      </w:tr>
      <w:tr w:rsidR="00405CD7" w:rsidRPr="00E5753A" w14:paraId="79BBA28A" w14:textId="77777777" w:rsidTr="005F400C">
        <w:tblPrEx>
          <w:tblBorders>
            <w:bottom w:val="single" w:sz="4" w:space="0" w:color="auto"/>
          </w:tblBorders>
        </w:tblPrEx>
        <w:trPr>
          <w:gridBefore w:val="1"/>
          <w:gridAfter w:val="1"/>
          <w:wBefore w:w="10" w:type="dxa"/>
          <w:wAfter w:w="59" w:type="dxa"/>
        </w:trPr>
        <w:tc>
          <w:tcPr>
            <w:tcW w:w="4337" w:type="dxa"/>
            <w:tcMar>
              <w:top w:w="20" w:type="dxa"/>
              <w:left w:w="115" w:type="dxa"/>
              <w:bottom w:w="20" w:type="dxa"/>
              <w:right w:w="115" w:type="dxa"/>
            </w:tcMar>
            <w:vAlign w:val="bottom"/>
            <w:hideMark/>
          </w:tcPr>
          <w:p w14:paraId="1665F066" w14:textId="77777777" w:rsidR="00405CD7" w:rsidRPr="00C300F4" w:rsidRDefault="00405CD7" w:rsidP="00A75653">
            <w:pPr>
              <w:spacing w:before="40" w:after="40"/>
              <w:ind w:left="831" w:hanging="432"/>
              <w:rPr>
                <w:rFonts w:asciiTheme="minorHAnsi" w:hAnsiTheme="minorHAnsi"/>
                <w:sz w:val="22"/>
                <w:szCs w:val="22"/>
              </w:rPr>
            </w:pPr>
            <w:r w:rsidRPr="00C300F4">
              <w:rPr>
                <w:rFonts w:asciiTheme="minorHAnsi" w:hAnsiTheme="minorHAnsi"/>
                <w:sz w:val="22"/>
                <w:szCs w:val="22"/>
              </w:rPr>
              <w:t>(ii)</w:t>
            </w:r>
            <w:r w:rsidRPr="00C300F4">
              <w:rPr>
                <w:rFonts w:asciiTheme="minorHAnsi" w:hAnsiTheme="minorHAnsi"/>
                <w:sz w:val="22"/>
                <w:szCs w:val="22"/>
              </w:rPr>
              <w:tab/>
              <w:t>Substantially increase the rate or amount of surface runoff in a manner which would result in flooding on- or off-site;</w:t>
            </w:r>
          </w:p>
        </w:tc>
        <w:tc>
          <w:tcPr>
            <w:tcW w:w="1254" w:type="dxa"/>
            <w:gridSpan w:val="2"/>
            <w:tcMar>
              <w:top w:w="20" w:type="dxa"/>
              <w:left w:w="115" w:type="dxa"/>
              <w:bottom w:w="20" w:type="dxa"/>
              <w:right w:w="115" w:type="dxa"/>
            </w:tcMar>
            <w:vAlign w:val="bottom"/>
          </w:tcPr>
          <w:p w14:paraId="5FC428A2" w14:textId="470A0068" w:rsidR="00405CD7" w:rsidRPr="00EF1ABF" w:rsidRDefault="00405CD7" w:rsidP="00A75653">
            <w:pPr>
              <w:spacing w:before="40" w:after="40"/>
              <w:jc w:val="center"/>
              <w:rPr>
                <w:sz w:val="22"/>
                <w:szCs w:val="22"/>
                <w:highlight w:val="lightGray"/>
              </w:rPr>
            </w:pPr>
            <w:r w:rsidRPr="00EF1ABF">
              <w:rPr>
                <w:rFonts w:ascii="Times New Roman" w:hAnsi="Times New Roman"/>
                <w:sz w:val="22"/>
                <w:szCs w:val="22"/>
              </w:rPr>
              <w:t>□</w:t>
            </w:r>
          </w:p>
        </w:tc>
        <w:tc>
          <w:tcPr>
            <w:tcW w:w="1127" w:type="dxa"/>
            <w:gridSpan w:val="2"/>
            <w:tcMar>
              <w:top w:w="20" w:type="dxa"/>
              <w:left w:w="115" w:type="dxa"/>
              <w:bottom w:w="20" w:type="dxa"/>
              <w:right w:w="115" w:type="dxa"/>
            </w:tcMar>
            <w:vAlign w:val="bottom"/>
          </w:tcPr>
          <w:p w14:paraId="0357B5CF" w14:textId="2406D31F" w:rsidR="00405CD7" w:rsidRPr="00EF1ABF" w:rsidRDefault="007401A0" w:rsidP="00A75653">
            <w:pPr>
              <w:spacing w:before="40" w:after="40"/>
              <w:jc w:val="center"/>
              <w:rPr>
                <w:sz w:val="22"/>
                <w:szCs w:val="22"/>
                <w:highlight w:val="lightGray"/>
              </w:rPr>
            </w:pPr>
            <w:r w:rsidRPr="00EF1ABF">
              <w:rPr>
                <w:rFonts w:ascii="Times New Roman" w:hAnsi="Times New Roman"/>
                <w:sz w:val="22"/>
                <w:szCs w:val="22"/>
              </w:rPr>
              <w:t>□</w:t>
            </w:r>
          </w:p>
        </w:tc>
        <w:tc>
          <w:tcPr>
            <w:tcW w:w="1133" w:type="dxa"/>
            <w:gridSpan w:val="4"/>
            <w:tcMar>
              <w:top w:w="20" w:type="dxa"/>
              <w:left w:w="115" w:type="dxa"/>
              <w:bottom w:w="20" w:type="dxa"/>
              <w:right w:w="115" w:type="dxa"/>
            </w:tcMar>
            <w:vAlign w:val="bottom"/>
          </w:tcPr>
          <w:p w14:paraId="56E66957" w14:textId="70FA64FA" w:rsidR="00405CD7" w:rsidRPr="00EF1ABF" w:rsidRDefault="007401A0" w:rsidP="00A75653">
            <w:pPr>
              <w:spacing w:before="40" w:after="40"/>
              <w:jc w:val="center"/>
              <w:rPr>
                <w:sz w:val="22"/>
                <w:szCs w:val="22"/>
                <w:highlight w:val="lightGray"/>
              </w:rPr>
            </w:pPr>
            <w:r w:rsidRPr="00EF1ABF">
              <w:rPr>
                <w:rFonts w:ascii="Times New Roman" w:hAnsi="Times New Roman"/>
                <w:sz w:val="22"/>
                <w:szCs w:val="22"/>
              </w:rPr>
              <w:t>■</w:t>
            </w:r>
          </w:p>
        </w:tc>
        <w:tc>
          <w:tcPr>
            <w:tcW w:w="1127" w:type="dxa"/>
            <w:gridSpan w:val="3"/>
            <w:tcMar>
              <w:top w:w="20" w:type="dxa"/>
              <w:left w:w="115" w:type="dxa"/>
              <w:bottom w:w="20" w:type="dxa"/>
              <w:right w:w="115" w:type="dxa"/>
            </w:tcMar>
            <w:vAlign w:val="bottom"/>
          </w:tcPr>
          <w:p w14:paraId="60640FB6" w14:textId="275A38AA" w:rsidR="00405CD7" w:rsidRPr="00EF1ABF" w:rsidRDefault="00405CD7" w:rsidP="00A75653">
            <w:pPr>
              <w:spacing w:before="40" w:after="40"/>
              <w:jc w:val="center"/>
              <w:rPr>
                <w:sz w:val="22"/>
                <w:szCs w:val="22"/>
                <w:highlight w:val="lightGray"/>
              </w:rPr>
            </w:pPr>
            <w:r w:rsidRPr="00EF1ABF">
              <w:rPr>
                <w:rFonts w:ascii="Times New Roman" w:hAnsi="Times New Roman"/>
                <w:sz w:val="22"/>
                <w:szCs w:val="22"/>
              </w:rPr>
              <w:t>□</w:t>
            </w:r>
          </w:p>
        </w:tc>
      </w:tr>
      <w:tr w:rsidR="00035B6A" w:rsidRPr="00E5753A" w14:paraId="767F14D1" w14:textId="77777777" w:rsidTr="005F400C">
        <w:tblPrEx>
          <w:tblBorders>
            <w:bottom w:val="single" w:sz="4" w:space="0" w:color="auto"/>
          </w:tblBorders>
        </w:tblPrEx>
        <w:trPr>
          <w:gridBefore w:val="1"/>
          <w:gridAfter w:val="1"/>
          <w:wBefore w:w="10" w:type="dxa"/>
          <w:wAfter w:w="59" w:type="dxa"/>
        </w:trPr>
        <w:tc>
          <w:tcPr>
            <w:tcW w:w="4337" w:type="dxa"/>
            <w:tcMar>
              <w:top w:w="20" w:type="dxa"/>
              <w:left w:w="115" w:type="dxa"/>
              <w:bottom w:w="20" w:type="dxa"/>
              <w:right w:w="115" w:type="dxa"/>
            </w:tcMar>
            <w:vAlign w:val="bottom"/>
            <w:hideMark/>
          </w:tcPr>
          <w:p w14:paraId="2E5777C7" w14:textId="77777777" w:rsidR="00035B6A" w:rsidRPr="00C300F4" w:rsidRDefault="00035B6A" w:rsidP="00A75653">
            <w:pPr>
              <w:spacing w:before="40" w:after="40"/>
              <w:ind w:left="831" w:hanging="432"/>
              <w:rPr>
                <w:rFonts w:asciiTheme="minorHAnsi" w:hAnsiTheme="minorHAnsi"/>
                <w:sz w:val="22"/>
                <w:szCs w:val="22"/>
              </w:rPr>
            </w:pPr>
            <w:r w:rsidRPr="00C300F4">
              <w:rPr>
                <w:rFonts w:asciiTheme="minorHAnsi" w:hAnsiTheme="minorHAnsi"/>
                <w:sz w:val="22"/>
                <w:szCs w:val="22"/>
              </w:rPr>
              <w:t>(iii)</w:t>
            </w:r>
            <w:r w:rsidRPr="00C300F4">
              <w:rPr>
                <w:rFonts w:asciiTheme="minorHAnsi" w:hAnsiTheme="minorHAnsi"/>
                <w:sz w:val="22"/>
                <w:szCs w:val="22"/>
              </w:rPr>
              <w:tab/>
              <w:t>Create or contribute runoff water which would exceed the capacity of existing or planned stormwater drainage systems or provide substantial additional sources of polluted runoff; or</w:t>
            </w:r>
          </w:p>
        </w:tc>
        <w:tc>
          <w:tcPr>
            <w:tcW w:w="1254" w:type="dxa"/>
            <w:gridSpan w:val="2"/>
            <w:tcMar>
              <w:top w:w="20" w:type="dxa"/>
              <w:left w:w="115" w:type="dxa"/>
              <w:bottom w:w="20" w:type="dxa"/>
              <w:right w:w="115" w:type="dxa"/>
            </w:tcMar>
            <w:vAlign w:val="bottom"/>
          </w:tcPr>
          <w:p w14:paraId="6C9AD9A4" w14:textId="0B1E550D" w:rsidR="00035B6A" w:rsidRPr="00EF1ABF" w:rsidRDefault="00035B6A" w:rsidP="00A75653">
            <w:pPr>
              <w:spacing w:before="40" w:after="40"/>
              <w:jc w:val="center"/>
              <w:rPr>
                <w:sz w:val="22"/>
                <w:szCs w:val="22"/>
                <w:highlight w:val="lightGray"/>
              </w:rPr>
            </w:pPr>
            <w:r w:rsidRPr="00EF1ABF">
              <w:rPr>
                <w:rFonts w:ascii="Times New Roman" w:hAnsi="Times New Roman"/>
                <w:sz w:val="22"/>
                <w:szCs w:val="22"/>
              </w:rPr>
              <w:t>□</w:t>
            </w:r>
          </w:p>
        </w:tc>
        <w:tc>
          <w:tcPr>
            <w:tcW w:w="1127" w:type="dxa"/>
            <w:gridSpan w:val="2"/>
            <w:tcMar>
              <w:top w:w="20" w:type="dxa"/>
              <w:left w:w="115" w:type="dxa"/>
              <w:bottom w:w="20" w:type="dxa"/>
              <w:right w:w="115" w:type="dxa"/>
            </w:tcMar>
            <w:vAlign w:val="bottom"/>
          </w:tcPr>
          <w:p w14:paraId="0B9C6C4E" w14:textId="00273332" w:rsidR="00035B6A" w:rsidRPr="00EF1ABF" w:rsidRDefault="007401A0" w:rsidP="00A75653">
            <w:pPr>
              <w:spacing w:before="40" w:after="40"/>
              <w:jc w:val="center"/>
              <w:rPr>
                <w:sz w:val="22"/>
                <w:szCs w:val="22"/>
                <w:highlight w:val="lightGray"/>
              </w:rPr>
            </w:pPr>
            <w:r w:rsidRPr="00EF1ABF">
              <w:rPr>
                <w:rFonts w:ascii="Times New Roman" w:hAnsi="Times New Roman"/>
                <w:sz w:val="22"/>
                <w:szCs w:val="22"/>
              </w:rPr>
              <w:t>□</w:t>
            </w:r>
          </w:p>
        </w:tc>
        <w:tc>
          <w:tcPr>
            <w:tcW w:w="1133" w:type="dxa"/>
            <w:gridSpan w:val="4"/>
            <w:tcMar>
              <w:top w:w="20" w:type="dxa"/>
              <w:left w:w="115" w:type="dxa"/>
              <w:bottom w:w="20" w:type="dxa"/>
              <w:right w:w="115" w:type="dxa"/>
            </w:tcMar>
            <w:vAlign w:val="bottom"/>
          </w:tcPr>
          <w:p w14:paraId="0AF3AC67" w14:textId="4A5641E4" w:rsidR="00035B6A" w:rsidRPr="00EF1ABF" w:rsidRDefault="007401A0" w:rsidP="00A75653">
            <w:pPr>
              <w:spacing w:before="40" w:after="40"/>
              <w:jc w:val="center"/>
              <w:rPr>
                <w:sz w:val="22"/>
                <w:szCs w:val="22"/>
                <w:highlight w:val="lightGray"/>
              </w:rPr>
            </w:pPr>
            <w:r w:rsidRPr="00EF1ABF">
              <w:rPr>
                <w:rFonts w:ascii="Times New Roman" w:hAnsi="Times New Roman"/>
                <w:sz w:val="22"/>
                <w:szCs w:val="22"/>
              </w:rPr>
              <w:t>■</w:t>
            </w:r>
          </w:p>
        </w:tc>
        <w:tc>
          <w:tcPr>
            <w:tcW w:w="1127" w:type="dxa"/>
            <w:gridSpan w:val="3"/>
            <w:tcMar>
              <w:top w:w="20" w:type="dxa"/>
              <w:left w:w="115" w:type="dxa"/>
              <w:bottom w:w="20" w:type="dxa"/>
              <w:right w:w="115" w:type="dxa"/>
            </w:tcMar>
            <w:vAlign w:val="bottom"/>
          </w:tcPr>
          <w:p w14:paraId="4129AA82" w14:textId="6E169D61" w:rsidR="00035B6A" w:rsidRPr="00EF1ABF" w:rsidRDefault="00035B6A" w:rsidP="00A75653">
            <w:pPr>
              <w:spacing w:before="40" w:after="40"/>
              <w:jc w:val="center"/>
              <w:rPr>
                <w:sz w:val="22"/>
                <w:szCs w:val="22"/>
                <w:highlight w:val="lightGray"/>
              </w:rPr>
            </w:pPr>
            <w:r w:rsidRPr="00EF1ABF">
              <w:rPr>
                <w:rFonts w:ascii="Times New Roman" w:hAnsi="Times New Roman"/>
                <w:sz w:val="22"/>
                <w:szCs w:val="22"/>
              </w:rPr>
              <w:t>□</w:t>
            </w:r>
          </w:p>
        </w:tc>
      </w:tr>
      <w:tr w:rsidR="00405CD7" w:rsidRPr="00E5753A" w14:paraId="1C609446" w14:textId="77777777" w:rsidTr="005F400C">
        <w:tblPrEx>
          <w:tblBorders>
            <w:bottom w:val="single" w:sz="4" w:space="0" w:color="auto"/>
          </w:tblBorders>
        </w:tblPrEx>
        <w:trPr>
          <w:gridBefore w:val="1"/>
          <w:gridAfter w:val="1"/>
          <w:wBefore w:w="10" w:type="dxa"/>
          <w:wAfter w:w="59" w:type="dxa"/>
        </w:trPr>
        <w:tc>
          <w:tcPr>
            <w:tcW w:w="4337" w:type="dxa"/>
            <w:tcMar>
              <w:top w:w="20" w:type="dxa"/>
              <w:left w:w="115" w:type="dxa"/>
              <w:bottom w:w="20" w:type="dxa"/>
              <w:right w:w="115" w:type="dxa"/>
            </w:tcMar>
            <w:vAlign w:val="bottom"/>
            <w:hideMark/>
          </w:tcPr>
          <w:p w14:paraId="044E7CBB" w14:textId="77777777" w:rsidR="00405CD7" w:rsidRPr="00C300F4" w:rsidRDefault="00405CD7" w:rsidP="00A75653">
            <w:pPr>
              <w:spacing w:before="40" w:after="40"/>
              <w:ind w:left="831" w:hanging="432"/>
              <w:rPr>
                <w:rFonts w:asciiTheme="minorHAnsi" w:hAnsiTheme="minorHAnsi"/>
                <w:sz w:val="22"/>
                <w:szCs w:val="22"/>
              </w:rPr>
            </w:pPr>
            <w:r w:rsidRPr="00C300F4">
              <w:rPr>
                <w:rFonts w:asciiTheme="minorHAnsi" w:hAnsiTheme="minorHAnsi"/>
                <w:sz w:val="22"/>
                <w:szCs w:val="22"/>
              </w:rPr>
              <w:t>(i</w:t>
            </w:r>
            <w:r w:rsidR="00035B6A" w:rsidRPr="00C300F4">
              <w:rPr>
                <w:rFonts w:asciiTheme="minorHAnsi" w:hAnsiTheme="minorHAnsi"/>
                <w:sz w:val="22"/>
                <w:szCs w:val="22"/>
              </w:rPr>
              <w:t>v</w:t>
            </w:r>
            <w:r w:rsidRPr="00C300F4">
              <w:rPr>
                <w:rFonts w:asciiTheme="minorHAnsi" w:hAnsiTheme="minorHAnsi"/>
                <w:sz w:val="22"/>
                <w:szCs w:val="22"/>
              </w:rPr>
              <w:t>)</w:t>
            </w:r>
            <w:r w:rsidRPr="00C300F4">
              <w:rPr>
                <w:rFonts w:asciiTheme="minorHAnsi" w:hAnsiTheme="minorHAnsi"/>
                <w:sz w:val="22"/>
                <w:szCs w:val="22"/>
              </w:rPr>
              <w:tab/>
            </w:r>
            <w:r w:rsidR="00035B6A" w:rsidRPr="00C300F4">
              <w:rPr>
                <w:rFonts w:asciiTheme="minorHAnsi" w:hAnsiTheme="minorHAnsi"/>
                <w:sz w:val="22"/>
                <w:szCs w:val="22"/>
              </w:rPr>
              <w:t>Impede or redirect flood flows?</w:t>
            </w:r>
          </w:p>
        </w:tc>
        <w:tc>
          <w:tcPr>
            <w:tcW w:w="1254" w:type="dxa"/>
            <w:gridSpan w:val="2"/>
            <w:tcMar>
              <w:top w:w="20" w:type="dxa"/>
              <w:left w:w="115" w:type="dxa"/>
              <w:bottom w:w="20" w:type="dxa"/>
              <w:right w:w="115" w:type="dxa"/>
            </w:tcMar>
            <w:vAlign w:val="bottom"/>
          </w:tcPr>
          <w:p w14:paraId="5213CD80" w14:textId="4842E548" w:rsidR="00405CD7" w:rsidRPr="00EF1ABF" w:rsidRDefault="00405CD7" w:rsidP="00A75653">
            <w:pPr>
              <w:spacing w:before="40" w:after="40"/>
              <w:jc w:val="center"/>
              <w:rPr>
                <w:sz w:val="22"/>
                <w:szCs w:val="22"/>
                <w:highlight w:val="lightGray"/>
              </w:rPr>
            </w:pPr>
            <w:r w:rsidRPr="00EF1ABF">
              <w:rPr>
                <w:rFonts w:ascii="Times New Roman" w:hAnsi="Times New Roman"/>
                <w:sz w:val="22"/>
                <w:szCs w:val="22"/>
              </w:rPr>
              <w:t>□</w:t>
            </w:r>
          </w:p>
        </w:tc>
        <w:tc>
          <w:tcPr>
            <w:tcW w:w="1127" w:type="dxa"/>
            <w:gridSpan w:val="2"/>
            <w:tcMar>
              <w:top w:w="20" w:type="dxa"/>
              <w:left w:w="115" w:type="dxa"/>
              <w:bottom w:w="20" w:type="dxa"/>
              <w:right w:w="115" w:type="dxa"/>
            </w:tcMar>
            <w:vAlign w:val="bottom"/>
          </w:tcPr>
          <w:p w14:paraId="5CBF90D9" w14:textId="53295EC7" w:rsidR="00405CD7" w:rsidRPr="00EF1ABF" w:rsidRDefault="00405CD7" w:rsidP="00A75653">
            <w:pPr>
              <w:spacing w:before="40" w:after="40"/>
              <w:jc w:val="center"/>
              <w:rPr>
                <w:sz w:val="22"/>
                <w:szCs w:val="22"/>
                <w:highlight w:val="lightGray"/>
              </w:rPr>
            </w:pPr>
            <w:r w:rsidRPr="00EF1ABF">
              <w:rPr>
                <w:rFonts w:ascii="Times New Roman" w:hAnsi="Times New Roman"/>
                <w:sz w:val="22"/>
                <w:szCs w:val="22"/>
              </w:rPr>
              <w:t>□</w:t>
            </w:r>
          </w:p>
        </w:tc>
        <w:tc>
          <w:tcPr>
            <w:tcW w:w="1133" w:type="dxa"/>
            <w:gridSpan w:val="4"/>
            <w:tcMar>
              <w:top w:w="20" w:type="dxa"/>
              <w:left w:w="115" w:type="dxa"/>
              <w:bottom w:w="20" w:type="dxa"/>
              <w:right w:w="115" w:type="dxa"/>
            </w:tcMar>
            <w:vAlign w:val="bottom"/>
          </w:tcPr>
          <w:p w14:paraId="3C24BD82" w14:textId="594641F6" w:rsidR="00405CD7" w:rsidRPr="00EF1ABF" w:rsidRDefault="00405CD7" w:rsidP="00A75653">
            <w:pPr>
              <w:spacing w:before="40" w:after="40"/>
              <w:jc w:val="center"/>
              <w:rPr>
                <w:sz w:val="22"/>
                <w:szCs w:val="22"/>
                <w:highlight w:val="lightGray"/>
              </w:rPr>
            </w:pPr>
            <w:r w:rsidRPr="00EF1ABF">
              <w:rPr>
                <w:rFonts w:ascii="Times New Roman" w:hAnsi="Times New Roman"/>
                <w:sz w:val="22"/>
                <w:szCs w:val="22"/>
              </w:rPr>
              <w:t>■</w:t>
            </w:r>
          </w:p>
        </w:tc>
        <w:tc>
          <w:tcPr>
            <w:tcW w:w="1127" w:type="dxa"/>
            <w:gridSpan w:val="3"/>
            <w:tcMar>
              <w:top w:w="20" w:type="dxa"/>
              <w:left w:w="115" w:type="dxa"/>
              <w:bottom w:w="20" w:type="dxa"/>
              <w:right w:w="115" w:type="dxa"/>
            </w:tcMar>
            <w:vAlign w:val="bottom"/>
          </w:tcPr>
          <w:p w14:paraId="6886F48C" w14:textId="705D7437" w:rsidR="00405CD7" w:rsidRPr="00EF1ABF" w:rsidRDefault="00405CD7" w:rsidP="00A75653">
            <w:pPr>
              <w:spacing w:before="40" w:after="40"/>
              <w:jc w:val="center"/>
              <w:rPr>
                <w:sz w:val="22"/>
                <w:szCs w:val="22"/>
                <w:highlight w:val="lightGray"/>
              </w:rPr>
            </w:pPr>
            <w:r w:rsidRPr="00EF1ABF">
              <w:rPr>
                <w:rFonts w:ascii="Times New Roman" w:hAnsi="Times New Roman"/>
                <w:sz w:val="22"/>
                <w:szCs w:val="22"/>
              </w:rPr>
              <w:t>□</w:t>
            </w:r>
          </w:p>
        </w:tc>
      </w:tr>
      <w:tr w:rsidR="00035B6A" w:rsidRPr="00E5753A" w14:paraId="1A237A92" w14:textId="77777777" w:rsidTr="005F400C">
        <w:trPr>
          <w:gridBefore w:val="1"/>
          <w:gridAfter w:val="3"/>
          <w:wBefore w:w="10" w:type="dxa"/>
          <w:wAfter w:w="109" w:type="dxa"/>
        </w:trPr>
        <w:tc>
          <w:tcPr>
            <w:tcW w:w="4337" w:type="dxa"/>
            <w:tcMar>
              <w:top w:w="20" w:type="dxa"/>
              <w:left w:w="115" w:type="dxa"/>
              <w:bottom w:w="20" w:type="dxa"/>
              <w:right w:w="115" w:type="dxa"/>
            </w:tcMar>
            <w:vAlign w:val="bottom"/>
            <w:hideMark/>
          </w:tcPr>
          <w:p w14:paraId="40250D1C" w14:textId="77777777" w:rsidR="00035B6A" w:rsidRPr="00C300F4" w:rsidRDefault="00035B6A" w:rsidP="00A75653">
            <w:pPr>
              <w:pStyle w:val="BulletListLettered"/>
              <w:numPr>
                <w:ilvl w:val="0"/>
                <w:numId w:val="16"/>
              </w:numPr>
              <w:spacing w:before="40" w:after="40"/>
            </w:pPr>
            <w:r w:rsidRPr="00C300F4">
              <w:t>In flood hazard, tsunami, or seiche zones, risk release of pollutants due to project inundation?</w:t>
            </w:r>
          </w:p>
        </w:tc>
        <w:tc>
          <w:tcPr>
            <w:tcW w:w="1327" w:type="dxa"/>
            <w:gridSpan w:val="3"/>
            <w:tcMar>
              <w:top w:w="20" w:type="dxa"/>
              <w:left w:w="115" w:type="dxa"/>
              <w:bottom w:w="20" w:type="dxa"/>
              <w:right w:w="115" w:type="dxa"/>
            </w:tcMar>
            <w:vAlign w:val="bottom"/>
          </w:tcPr>
          <w:p w14:paraId="6874B02E" w14:textId="6B5E3A83" w:rsidR="00035B6A" w:rsidRPr="00EF1ABF" w:rsidRDefault="00035B6A" w:rsidP="00A75653">
            <w:pPr>
              <w:spacing w:before="40" w:after="40"/>
              <w:jc w:val="center"/>
              <w:rPr>
                <w:sz w:val="22"/>
                <w:szCs w:val="22"/>
                <w:highlight w:val="lightGray"/>
              </w:rPr>
            </w:pPr>
            <w:r w:rsidRPr="00EF1ABF">
              <w:rPr>
                <w:rFonts w:ascii="Times New Roman" w:hAnsi="Times New Roman"/>
                <w:sz w:val="22"/>
                <w:szCs w:val="22"/>
              </w:rPr>
              <w:t>□</w:t>
            </w:r>
          </w:p>
        </w:tc>
        <w:tc>
          <w:tcPr>
            <w:tcW w:w="1088" w:type="dxa"/>
            <w:gridSpan w:val="3"/>
            <w:tcMar>
              <w:top w:w="20" w:type="dxa"/>
              <w:left w:w="115" w:type="dxa"/>
              <w:bottom w:w="20" w:type="dxa"/>
              <w:right w:w="115" w:type="dxa"/>
            </w:tcMar>
            <w:vAlign w:val="bottom"/>
          </w:tcPr>
          <w:p w14:paraId="5F97B9B6" w14:textId="4ABB1DA1" w:rsidR="00035B6A" w:rsidRPr="00EF1ABF" w:rsidRDefault="00035B6A" w:rsidP="00A75653">
            <w:pPr>
              <w:spacing w:before="40" w:after="40"/>
              <w:jc w:val="center"/>
              <w:rPr>
                <w:sz w:val="22"/>
                <w:szCs w:val="22"/>
                <w:highlight w:val="lightGray"/>
              </w:rPr>
            </w:pPr>
            <w:r w:rsidRPr="00EF1ABF">
              <w:rPr>
                <w:rFonts w:ascii="Times New Roman" w:hAnsi="Times New Roman"/>
                <w:sz w:val="22"/>
                <w:szCs w:val="22"/>
              </w:rPr>
              <w:t>□</w:t>
            </w:r>
          </w:p>
        </w:tc>
        <w:tc>
          <w:tcPr>
            <w:tcW w:w="1088" w:type="dxa"/>
            <w:tcMar>
              <w:top w:w="20" w:type="dxa"/>
              <w:left w:w="115" w:type="dxa"/>
              <w:bottom w:w="20" w:type="dxa"/>
              <w:right w:w="115" w:type="dxa"/>
            </w:tcMar>
            <w:vAlign w:val="bottom"/>
          </w:tcPr>
          <w:p w14:paraId="5ABC75A0" w14:textId="30853EA6" w:rsidR="00035B6A" w:rsidRPr="00EF1ABF" w:rsidRDefault="00035B6A" w:rsidP="00A75653">
            <w:pPr>
              <w:spacing w:before="40" w:after="40"/>
              <w:jc w:val="center"/>
              <w:rPr>
                <w:sz w:val="22"/>
                <w:szCs w:val="22"/>
                <w:highlight w:val="lightGray"/>
              </w:rPr>
            </w:pPr>
            <w:r w:rsidRPr="00EF1ABF">
              <w:rPr>
                <w:rFonts w:ascii="Times New Roman" w:hAnsi="Times New Roman"/>
                <w:sz w:val="22"/>
                <w:szCs w:val="22"/>
              </w:rPr>
              <w:t>■</w:t>
            </w:r>
          </w:p>
        </w:tc>
        <w:tc>
          <w:tcPr>
            <w:tcW w:w="1088" w:type="dxa"/>
            <w:gridSpan w:val="2"/>
            <w:tcMar>
              <w:top w:w="20" w:type="dxa"/>
              <w:left w:w="115" w:type="dxa"/>
              <w:bottom w:w="20" w:type="dxa"/>
              <w:right w:w="115" w:type="dxa"/>
            </w:tcMar>
            <w:vAlign w:val="bottom"/>
          </w:tcPr>
          <w:p w14:paraId="0AF9544B" w14:textId="1C3AFF54" w:rsidR="00035B6A" w:rsidRPr="00EF1ABF" w:rsidRDefault="00035B6A" w:rsidP="00A75653">
            <w:pPr>
              <w:spacing w:before="40" w:after="40"/>
              <w:jc w:val="center"/>
              <w:rPr>
                <w:sz w:val="22"/>
                <w:szCs w:val="22"/>
                <w:highlight w:val="lightGray"/>
              </w:rPr>
            </w:pPr>
            <w:r w:rsidRPr="00EF1ABF">
              <w:rPr>
                <w:rFonts w:ascii="Times New Roman" w:hAnsi="Times New Roman"/>
                <w:sz w:val="22"/>
                <w:szCs w:val="22"/>
              </w:rPr>
              <w:t>□</w:t>
            </w:r>
          </w:p>
        </w:tc>
      </w:tr>
      <w:tr w:rsidR="00035B6A" w:rsidRPr="00E5753A" w14:paraId="18922A3C" w14:textId="77777777" w:rsidTr="005F400C">
        <w:trPr>
          <w:gridBefore w:val="1"/>
          <w:gridAfter w:val="3"/>
          <w:wBefore w:w="10" w:type="dxa"/>
          <w:wAfter w:w="109" w:type="dxa"/>
          <w:trHeight w:val="196"/>
        </w:trPr>
        <w:tc>
          <w:tcPr>
            <w:tcW w:w="4337" w:type="dxa"/>
            <w:tcBorders>
              <w:left w:val="nil"/>
              <w:bottom w:val="single" w:sz="4" w:space="0" w:color="auto"/>
            </w:tcBorders>
            <w:tcMar>
              <w:top w:w="20" w:type="dxa"/>
              <w:left w:w="115" w:type="dxa"/>
              <w:bottom w:w="20" w:type="dxa"/>
              <w:right w:w="115" w:type="dxa"/>
            </w:tcMar>
            <w:vAlign w:val="bottom"/>
            <w:hideMark/>
          </w:tcPr>
          <w:p w14:paraId="5E21E4CA" w14:textId="77777777" w:rsidR="00035B6A" w:rsidRPr="00C300F4" w:rsidRDefault="00035B6A" w:rsidP="00A75653">
            <w:pPr>
              <w:pStyle w:val="BulletListLettered"/>
              <w:numPr>
                <w:ilvl w:val="0"/>
                <w:numId w:val="16"/>
              </w:numPr>
              <w:spacing w:before="40" w:after="40"/>
            </w:pPr>
            <w:r w:rsidRPr="00C300F4">
              <w:t>Conflict with or obstruct implementation of a water quality control plan or sustainable groundwater management plan?</w:t>
            </w:r>
          </w:p>
        </w:tc>
        <w:tc>
          <w:tcPr>
            <w:tcW w:w="1327" w:type="dxa"/>
            <w:gridSpan w:val="3"/>
            <w:tcBorders>
              <w:bottom w:val="single" w:sz="4" w:space="0" w:color="auto"/>
            </w:tcBorders>
            <w:tcMar>
              <w:top w:w="20" w:type="dxa"/>
              <w:left w:w="115" w:type="dxa"/>
              <w:bottom w:w="20" w:type="dxa"/>
              <w:right w:w="115" w:type="dxa"/>
            </w:tcMar>
            <w:vAlign w:val="bottom"/>
          </w:tcPr>
          <w:p w14:paraId="55530A99" w14:textId="0EFE7CB7" w:rsidR="00035B6A" w:rsidRPr="00EF1ABF" w:rsidRDefault="00035B6A" w:rsidP="00A75653">
            <w:pPr>
              <w:spacing w:before="40" w:after="40"/>
              <w:jc w:val="center"/>
              <w:rPr>
                <w:sz w:val="22"/>
                <w:szCs w:val="22"/>
                <w:highlight w:val="lightGray"/>
              </w:rPr>
            </w:pPr>
            <w:r w:rsidRPr="00EF1ABF">
              <w:rPr>
                <w:rFonts w:ascii="Times New Roman" w:hAnsi="Times New Roman"/>
                <w:sz w:val="22"/>
                <w:szCs w:val="22"/>
              </w:rPr>
              <w:t>□</w:t>
            </w:r>
          </w:p>
        </w:tc>
        <w:tc>
          <w:tcPr>
            <w:tcW w:w="1088" w:type="dxa"/>
            <w:gridSpan w:val="3"/>
            <w:tcBorders>
              <w:bottom w:val="single" w:sz="4" w:space="0" w:color="auto"/>
            </w:tcBorders>
            <w:tcMar>
              <w:top w:w="20" w:type="dxa"/>
              <w:left w:w="115" w:type="dxa"/>
              <w:bottom w:w="20" w:type="dxa"/>
              <w:right w:w="115" w:type="dxa"/>
            </w:tcMar>
            <w:vAlign w:val="bottom"/>
          </w:tcPr>
          <w:p w14:paraId="6DCA7B07" w14:textId="35F6C440" w:rsidR="00035B6A" w:rsidRPr="00EF1ABF" w:rsidRDefault="00035B6A" w:rsidP="00A75653">
            <w:pPr>
              <w:spacing w:before="40" w:after="40"/>
              <w:jc w:val="center"/>
              <w:rPr>
                <w:sz w:val="22"/>
                <w:szCs w:val="22"/>
                <w:highlight w:val="lightGray"/>
              </w:rPr>
            </w:pPr>
            <w:r w:rsidRPr="00EF1ABF">
              <w:rPr>
                <w:rFonts w:ascii="Times New Roman" w:hAnsi="Times New Roman"/>
                <w:sz w:val="22"/>
                <w:szCs w:val="22"/>
              </w:rPr>
              <w:t>□</w:t>
            </w:r>
          </w:p>
        </w:tc>
        <w:tc>
          <w:tcPr>
            <w:tcW w:w="1088" w:type="dxa"/>
            <w:tcBorders>
              <w:bottom w:val="single" w:sz="4" w:space="0" w:color="auto"/>
            </w:tcBorders>
            <w:tcMar>
              <w:top w:w="20" w:type="dxa"/>
              <w:left w:w="115" w:type="dxa"/>
              <w:bottom w:w="20" w:type="dxa"/>
              <w:right w:w="115" w:type="dxa"/>
            </w:tcMar>
            <w:vAlign w:val="bottom"/>
          </w:tcPr>
          <w:p w14:paraId="0BDEA785" w14:textId="6EC12883" w:rsidR="00035B6A" w:rsidRPr="00EF1ABF" w:rsidRDefault="00BD3EBD" w:rsidP="00A75653">
            <w:pPr>
              <w:spacing w:before="40" w:after="40"/>
              <w:jc w:val="center"/>
              <w:rPr>
                <w:sz w:val="22"/>
                <w:szCs w:val="22"/>
                <w:highlight w:val="lightGray"/>
              </w:rPr>
            </w:pPr>
            <w:r w:rsidRPr="00EF1ABF">
              <w:rPr>
                <w:rFonts w:ascii="Times New Roman" w:hAnsi="Times New Roman"/>
                <w:sz w:val="22"/>
                <w:szCs w:val="22"/>
              </w:rPr>
              <w:t>■</w:t>
            </w:r>
          </w:p>
        </w:tc>
        <w:tc>
          <w:tcPr>
            <w:tcW w:w="1088" w:type="dxa"/>
            <w:gridSpan w:val="2"/>
            <w:tcBorders>
              <w:bottom w:val="single" w:sz="4" w:space="0" w:color="auto"/>
              <w:right w:val="nil"/>
            </w:tcBorders>
            <w:tcMar>
              <w:top w:w="20" w:type="dxa"/>
              <w:left w:w="115" w:type="dxa"/>
              <w:bottom w:w="20" w:type="dxa"/>
              <w:right w:w="115" w:type="dxa"/>
            </w:tcMar>
            <w:vAlign w:val="bottom"/>
          </w:tcPr>
          <w:p w14:paraId="77CD430C" w14:textId="72DD563B" w:rsidR="00035B6A" w:rsidRPr="00EF1ABF" w:rsidRDefault="00BD3EBD" w:rsidP="00A75653">
            <w:pPr>
              <w:spacing w:before="40" w:after="40"/>
              <w:jc w:val="center"/>
              <w:rPr>
                <w:sz w:val="22"/>
                <w:szCs w:val="22"/>
                <w:highlight w:val="lightGray"/>
              </w:rPr>
            </w:pPr>
            <w:r w:rsidRPr="00EF1ABF">
              <w:rPr>
                <w:rFonts w:ascii="Times New Roman" w:hAnsi="Times New Roman"/>
                <w:sz w:val="22"/>
                <w:szCs w:val="22"/>
              </w:rPr>
              <w:t>□</w:t>
            </w:r>
          </w:p>
        </w:tc>
      </w:tr>
    </w:tbl>
    <w:p w14:paraId="2A78AD14" w14:textId="45EE34B1" w:rsidR="00617C41" w:rsidRPr="004D3568" w:rsidRDefault="00617C41" w:rsidP="00617C41">
      <w:pPr>
        <w:pStyle w:val="Heading5"/>
      </w:pPr>
      <w:r w:rsidRPr="004D3568">
        <w:t>Setting</w:t>
      </w:r>
    </w:p>
    <w:p w14:paraId="5E684AA8" w14:textId="2A08A553" w:rsidR="004D3568" w:rsidRPr="004D3568" w:rsidRDefault="004D3568" w:rsidP="004D3568">
      <w:pPr>
        <w:pStyle w:val="BodyText"/>
      </w:pPr>
      <w:r w:rsidRPr="004D3568">
        <w:t xml:space="preserve">The project site is approximately 1.3 acres and generally flat, with </w:t>
      </w:r>
      <w:r w:rsidR="001362CB">
        <w:t xml:space="preserve">gentle </w:t>
      </w:r>
      <w:r>
        <w:t>slopes to the northwest and southeast</w:t>
      </w:r>
      <w:r w:rsidR="00614D15">
        <w:t xml:space="preserve">. </w:t>
      </w:r>
      <w:r>
        <w:t>The elevation of the site ranges from 36 to 40 feet, with the highest point occurring roughly in the center of the L-shaped site</w:t>
      </w:r>
      <w:r w:rsidR="00EF1ABF">
        <w:t xml:space="preserve"> (Google Earth 2022)</w:t>
      </w:r>
      <w:r>
        <w:t xml:space="preserve">. </w:t>
      </w:r>
      <w:r w:rsidR="009B0FC4">
        <w:t xml:space="preserve">There is an existing storm drain system on Terra Bella Avenue. The site is approximately 1.8 miles south of the San Francisco Bay, 0.47 mile west of Stevens Creek, and 0.52 mile east of Permanente Creek. Both creeks flow to the north </w:t>
      </w:r>
      <w:r w:rsidR="00D458DD">
        <w:t>and</w:t>
      </w:r>
      <w:r w:rsidR="009B0FC4">
        <w:t xml:space="preserve"> terminate in the San Francisco Bay. The City of Mountain View receives approximately 16 inches of rain annually, with rainfall concentrated in the winter months (</w:t>
      </w:r>
      <w:r w:rsidR="00D458DD">
        <w:t xml:space="preserve">NOAA 2020). </w:t>
      </w:r>
    </w:p>
    <w:p w14:paraId="4BFF664D" w14:textId="77777777" w:rsidR="00617C41" w:rsidRPr="00D458DD" w:rsidRDefault="00617C41" w:rsidP="00617C41">
      <w:pPr>
        <w:pStyle w:val="Heading5"/>
      </w:pPr>
      <w:r w:rsidRPr="00D458DD">
        <w:t>Regulatory Setting</w:t>
      </w:r>
    </w:p>
    <w:p w14:paraId="20046A8C" w14:textId="77777777" w:rsidR="00617C41" w:rsidRPr="00D458DD" w:rsidRDefault="00617C41" w:rsidP="00617C41">
      <w:pPr>
        <w:pStyle w:val="Heading6"/>
      </w:pPr>
      <w:r w:rsidRPr="00D458DD">
        <w:t>Clean Water Act</w:t>
      </w:r>
    </w:p>
    <w:p w14:paraId="647836C7" w14:textId="11327C09" w:rsidR="00617C41" w:rsidRPr="00D458DD" w:rsidRDefault="00617C41" w:rsidP="00617C41">
      <w:pPr>
        <w:pStyle w:val="BodyText"/>
      </w:pPr>
      <w:r w:rsidRPr="00D458DD">
        <w:t xml:space="preserve">Congress enacted the CWA, formerly the Federal Water Pollution Control Act of 1972, with the intent of restoring and maintaining the chemical, physical, and biological integrity of the waters of the U.S. The CWA requires states to set standards to protect, maintain, and restore water quality through the regulation of point source and non-point source discharges to surface water. The NPDES permit process regulates those discharges (CWA Section 402). NPDES permitting authority is </w:t>
      </w:r>
      <w:r w:rsidRPr="00FE3143">
        <w:t xml:space="preserve">administered by the SWRCB and its nine RWQCBs. The project site is in a watershed administered by the San Francisco Bay RWQCB (San Francisco Bay RWQCB </w:t>
      </w:r>
      <w:r w:rsidR="00F171F6">
        <w:t>2017</w:t>
      </w:r>
      <w:r w:rsidRPr="00FE3143">
        <w:t>).</w:t>
      </w:r>
    </w:p>
    <w:p w14:paraId="72DA59CA" w14:textId="77777777" w:rsidR="00617C41" w:rsidRPr="00D458DD" w:rsidRDefault="00617C41" w:rsidP="00617C41">
      <w:pPr>
        <w:pStyle w:val="Heading6"/>
      </w:pPr>
      <w:r w:rsidRPr="00D458DD">
        <w:t>California Porter Cologne Water Quality Control Act</w:t>
      </w:r>
    </w:p>
    <w:p w14:paraId="3DB390FF" w14:textId="552A5457" w:rsidR="00617C41" w:rsidRPr="00D458DD" w:rsidRDefault="00617C41" w:rsidP="00617C41">
      <w:pPr>
        <w:pStyle w:val="BodyText"/>
      </w:pPr>
      <w:r w:rsidRPr="00D458DD">
        <w:t xml:space="preserve">The Porter Cologne Water Quality Control Act of 1967 requires the SWRCB and the nine RWQCBs to adopt water quality criteria to protect State waters. These criteria include the identification of beneficial uses, narrative and numerical water quality standards, and implementation procedures. The criteria for state waters in the region are contained in the </w:t>
      </w:r>
      <w:r w:rsidRPr="00D458DD">
        <w:rPr>
          <w:i/>
        </w:rPr>
        <w:t>Water Quality Objectives</w:t>
      </w:r>
      <w:r w:rsidRPr="00D458DD">
        <w:t xml:space="preserve"> Chapter of the Basin Plan for the San Francisco Bay </w:t>
      </w:r>
      <w:r w:rsidRPr="00FE3143">
        <w:t xml:space="preserve">RWQCB (San Francisco Bay RWQCB </w:t>
      </w:r>
      <w:r w:rsidR="00F171F6">
        <w:t>2017</w:t>
      </w:r>
      <w:r w:rsidRPr="00FE3143">
        <w:t>). The</w:t>
      </w:r>
      <w:r w:rsidRPr="00D458DD">
        <w:t xml:space="preserve"> Water Quality Control Plan, or Basin Plan, protects designated beneficial uses of State waters through the issuance of Waste Discharge Requirements and through the development of </w:t>
      </w:r>
      <w:r w:rsidR="00EB3731">
        <w:t>total maximum daily loads</w:t>
      </w:r>
      <w:r w:rsidRPr="00D458DD">
        <w:t>. Anyone proposing to discharge waste that could affect the quality of the waters of the State must make a report of the waste discharge to the RWQCB or SWRCB, as appropriate, in compliance with Porter-Cologne.</w:t>
      </w:r>
    </w:p>
    <w:p w14:paraId="2CCE4ECB" w14:textId="7C3A49AD" w:rsidR="00617C41" w:rsidRPr="008979FE" w:rsidRDefault="009F6B30" w:rsidP="00617C41">
      <w:pPr>
        <w:pStyle w:val="Heading6"/>
      </w:pPr>
      <w:r w:rsidRPr="008979FE">
        <w:t>Santa Clara Valley Urban Runoff Pollution Prevention Program</w:t>
      </w:r>
    </w:p>
    <w:p w14:paraId="43C16047" w14:textId="6F820787" w:rsidR="008979FE" w:rsidRDefault="008979FE" w:rsidP="00617C41">
      <w:pPr>
        <w:pStyle w:val="BodyText"/>
      </w:pPr>
      <w:r w:rsidRPr="008979FE">
        <w:t xml:space="preserve">The City of </w:t>
      </w:r>
      <w:r>
        <w:t xml:space="preserve">Mountain View is a contributing city to the Santa Clara Valley Urban Runoff </w:t>
      </w:r>
      <w:r w:rsidR="00C50E87">
        <w:t>P</w:t>
      </w:r>
      <w:r>
        <w:t xml:space="preserve">ollution Prevention Program (SCVURPPP), </w:t>
      </w:r>
      <w:r w:rsidR="00F07F74">
        <w:t>which was established in 1990 in response to federal stormwater NPDES regulations. Pursuant to the SCVURPPP Stormwater C.3 Handbook (SCVURPPP 2016)</w:t>
      </w:r>
      <w:r w:rsidR="00263AF3">
        <w:t xml:space="preserve">, projects that create or replace 10,000 square feet or more of impervious surface must comply with Provision C.3, which requires “appropriate source control, site design, and stormwater treatment measures in new development and redevelopment projects to address stormwater runoff pollutant discharges </w:t>
      </w:r>
      <w:r w:rsidR="00C300F4">
        <w:t xml:space="preserve">and prevent increases in runoff flows.” The proposed project would be subject to this provision and would be required to implement appropriate measures. </w:t>
      </w:r>
    </w:p>
    <w:p w14:paraId="6A67C558" w14:textId="7C96AF91" w:rsidR="00A24D2F" w:rsidRDefault="00A24D2F" w:rsidP="00A24D2F">
      <w:pPr>
        <w:pStyle w:val="Heading7"/>
      </w:pPr>
      <w:r>
        <w:t xml:space="preserve">Municipal Regional Permit Provision C.3 </w:t>
      </w:r>
    </w:p>
    <w:p w14:paraId="3FAFD67D" w14:textId="77777777" w:rsidR="00B151EF" w:rsidRDefault="00B151EF" w:rsidP="00B151EF">
      <w:pPr>
        <w:pStyle w:val="BodyText"/>
      </w:pPr>
      <w:r w:rsidRPr="004C7545">
        <w:t>The San Francisco Bay RWQCB re-issued the Municipal Regional Stormwater NPDES</w:t>
      </w:r>
      <w:r>
        <w:t xml:space="preserve"> </w:t>
      </w:r>
      <w:r w:rsidRPr="004C7545">
        <w:t>Permit (MRP) in 2015 to regulate stormwater discharges from municipalities and local</w:t>
      </w:r>
      <w:r>
        <w:t xml:space="preserve"> </w:t>
      </w:r>
      <w:r w:rsidRPr="004C7545">
        <w:t>agencies (co-permittees) in</w:t>
      </w:r>
      <w:r>
        <w:t xml:space="preserve"> </w:t>
      </w:r>
      <w:r w:rsidRPr="004C7545">
        <w:t>Alameda, Contra Costa, San Mateo, and Santa Clara counties,</w:t>
      </w:r>
      <w:r>
        <w:t xml:space="preserve"> </w:t>
      </w:r>
      <w:r w:rsidRPr="004C7545">
        <w:t>and the cities of Fairfield, Suisun City, and Vallejo. Under Provision C.3 of the MRP, new</w:t>
      </w:r>
      <w:r w:rsidRPr="00B151EF">
        <w:t xml:space="preserve"> </w:t>
      </w:r>
      <w:r w:rsidRPr="004C7545">
        <w:t>and redevelopment projects that create or replace 10,000 square feet or more of</w:t>
      </w:r>
      <w:r w:rsidRPr="00B151EF">
        <w:t xml:space="preserve"> </w:t>
      </w:r>
      <w:r w:rsidRPr="004C7545">
        <w:t>impervious surface area are required to implement site design, source control, and Low</w:t>
      </w:r>
      <w:r w:rsidRPr="00B151EF">
        <w:t xml:space="preserve"> </w:t>
      </w:r>
      <w:r w:rsidRPr="004C7545">
        <w:t>Impact Development (LID)-based stormwater treatment controls to treat post</w:t>
      </w:r>
      <w:r w:rsidRPr="00B151EF">
        <w:t>-</w:t>
      </w:r>
      <w:r w:rsidRPr="004C7545">
        <w:t>construction stormwater runoff. LID-based treatment controls are intended to maintain</w:t>
      </w:r>
      <w:r>
        <w:t xml:space="preserve"> </w:t>
      </w:r>
      <w:r w:rsidRPr="004C7545">
        <w:t>or restore the site’s natural hydrologic functions, maximizing opportunities for infiltration</w:t>
      </w:r>
      <w:r>
        <w:t xml:space="preserve"> </w:t>
      </w:r>
      <w:r w:rsidRPr="004C7545">
        <w:t>and evapotranspiration, and using stormwater as a resource (e.g., rainwater harvesting</w:t>
      </w:r>
      <w:r>
        <w:t xml:space="preserve"> </w:t>
      </w:r>
      <w:r w:rsidRPr="004C7545">
        <w:t>for non-potable uses). The MRP also requires that stormwater treatment measures are</w:t>
      </w:r>
      <w:r>
        <w:t xml:space="preserve"> </w:t>
      </w:r>
      <w:r w:rsidRPr="004C7545">
        <w:t>properly installed, operated, and maintained.</w:t>
      </w:r>
      <w:r>
        <w:t xml:space="preserve"> </w:t>
      </w:r>
    </w:p>
    <w:p w14:paraId="25C05265" w14:textId="0D6D54C2" w:rsidR="00B151EF" w:rsidRDefault="00B151EF" w:rsidP="00B151EF">
      <w:pPr>
        <w:pStyle w:val="BodyText"/>
      </w:pPr>
      <w:r w:rsidRPr="004C7545">
        <w:t>In addition to water quality controls, the MRP requires new development and</w:t>
      </w:r>
      <w:r w:rsidR="00C26DA8">
        <w:t xml:space="preserve"> </w:t>
      </w:r>
      <w:r w:rsidRPr="004C7545">
        <w:t>redevelopment projects that create or replace one acre or more of impervious surface to</w:t>
      </w:r>
      <w:r>
        <w:t xml:space="preserve"> </w:t>
      </w:r>
      <w:r w:rsidRPr="004C7545">
        <w:t>manage development-related increases in peak runoff flow, volume, and duration, where</w:t>
      </w:r>
      <w:r>
        <w:t xml:space="preserve"> </w:t>
      </w:r>
      <w:r w:rsidRPr="004C7545">
        <w:t>such hydromodification is likely to cause increased erosion, silt pollutant generation, or</w:t>
      </w:r>
      <w:r>
        <w:t xml:space="preserve"> </w:t>
      </w:r>
      <w:r w:rsidRPr="004C7545">
        <w:t>other impacts to local rivers, streams, and creeks. Projects may be deemed exempt from</w:t>
      </w:r>
      <w:r>
        <w:t xml:space="preserve"> </w:t>
      </w:r>
      <w:r w:rsidRPr="004C7545">
        <w:t>these requirements if they</w:t>
      </w:r>
      <w:r>
        <w:t xml:space="preserve"> </w:t>
      </w:r>
      <w:r w:rsidRPr="004C7545">
        <w:t>do not meet the minimized size threshold, drain into tidally</w:t>
      </w:r>
      <w:r>
        <w:t xml:space="preserve"> </w:t>
      </w:r>
      <w:r w:rsidRPr="004C7545">
        <w:t>influenced areas or directly into the Bay, or drain into hardened channels, or if they are</w:t>
      </w:r>
      <w:r>
        <w:t xml:space="preserve"> </w:t>
      </w:r>
      <w:r w:rsidRPr="004C7545">
        <w:t>infill projects in subwatersheds or catchment areas that are greater than or equal to 65</w:t>
      </w:r>
      <w:r>
        <w:t xml:space="preserve"> </w:t>
      </w:r>
      <w:r w:rsidRPr="004C7545">
        <w:t>percent impervious.</w:t>
      </w:r>
      <w:r>
        <w:t xml:space="preserve"> </w:t>
      </w:r>
    </w:p>
    <w:p w14:paraId="3BDA512D" w14:textId="056EF5BC" w:rsidR="00A24D2F" w:rsidRPr="00B151EF" w:rsidRDefault="00B151EF">
      <w:pPr>
        <w:pStyle w:val="BodyText"/>
      </w:pPr>
      <w:r w:rsidRPr="004C7545">
        <w:t xml:space="preserve">The project </w:t>
      </w:r>
      <w:r>
        <w:t>would</w:t>
      </w:r>
      <w:r w:rsidRPr="004C7545">
        <w:t xml:space="preserve"> be required to comply</w:t>
      </w:r>
      <w:r>
        <w:t xml:space="preserve"> </w:t>
      </w:r>
      <w:r w:rsidRPr="004C7545">
        <w:t>with all requirements in the Municipal Regional</w:t>
      </w:r>
      <w:r>
        <w:t xml:space="preserve"> </w:t>
      </w:r>
      <w:r w:rsidRPr="004C7545">
        <w:t>Permit. This permit is currently being reissued by</w:t>
      </w:r>
      <w:r>
        <w:t xml:space="preserve"> </w:t>
      </w:r>
      <w:r w:rsidRPr="004C7545">
        <w:t>the Regional Water Quality Control</w:t>
      </w:r>
      <w:r>
        <w:t xml:space="preserve"> </w:t>
      </w:r>
      <w:r w:rsidRPr="004C7545">
        <w:t>Board and has an anticipated effective date of July 2022.</w:t>
      </w:r>
    </w:p>
    <w:p w14:paraId="396F2DEA" w14:textId="4C341995" w:rsidR="004C4533" w:rsidRPr="00077C4E" w:rsidRDefault="00617C41" w:rsidP="008E2EDF">
      <w:pPr>
        <w:pStyle w:val="Heading6"/>
      </w:pPr>
      <w:r w:rsidRPr="00C300F4">
        <w:t xml:space="preserve">City of </w:t>
      </w:r>
      <w:r w:rsidR="00C300F4" w:rsidRPr="00C300F4">
        <w:t>Mountain View</w:t>
      </w:r>
      <w:r w:rsidRPr="00C300F4">
        <w:t xml:space="preserve"> Municipal Code</w:t>
      </w:r>
    </w:p>
    <w:p w14:paraId="4CCA0B9A" w14:textId="601461A4" w:rsidR="004C4533" w:rsidRPr="00BD59DF" w:rsidRDefault="004C4533" w:rsidP="005A7336">
      <w:pPr>
        <w:pStyle w:val="p0"/>
        <w:shd w:val="clear" w:color="auto" w:fill="FFFFFF"/>
        <w:spacing w:before="60" w:beforeAutospacing="0" w:after="60" w:afterAutospacing="0"/>
        <w:ind w:left="1728" w:hanging="1728"/>
        <w:rPr>
          <w:rFonts w:asciiTheme="minorHAnsi" w:hAnsiTheme="minorHAnsi" w:cstheme="minorHAnsi"/>
          <w:sz w:val="22"/>
          <w:szCs w:val="22"/>
        </w:rPr>
      </w:pPr>
      <w:r w:rsidRPr="004C4533">
        <w:rPr>
          <w:rFonts w:asciiTheme="minorHAnsi" w:hAnsiTheme="minorHAnsi" w:cstheme="minorHAnsi"/>
          <w:b/>
          <w:bCs/>
          <w:sz w:val="22"/>
          <w:szCs w:val="22"/>
        </w:rPr>
        <w:t>Section 8.20.3</w:t>
      </w:r>
      <w:r w:rsidR="00945023">
        <w:rPr>
          <w:rFonts w:asciiTheme="minorHAnsi" w:hAnsiTheme="minorHAnsi" w:cstheme="minorHAnsi"/>
          <w:b/>
          <w:bCs/>
          <w:sz w:val="22"/>
          <w:szCs w:val="22"/>
        </w:rPr>
        <w:t>6</w:t>
      </w:r>
      <w:r>
        <w:rPr>
          <w:rFonts w:asciiTheme="minorHAnsi" w:hAnsiTheme="minorHAnsi" w:cstheme="minorHAnsi"/>
          <w:b/>
          <w:bCs/>
          <w:sz w:val="22"/>
          <w:szCs w:val="22"/>
        </w:rPr>
        <w:tab/>
      </w:r>
      <w:r w:rsidR="00BD59DF" w:rsidRPr="005A7336">
        <w:rPr>
          <w:rFonts w:asciiTheme="minorHAnsi" w:hAnsiTheme="minorHAnsi" w:cstheme="minorHAnsi"/>
          <w:b/>
          <w:bCs/>
          <w:sz w:val="22"/>
          <w:szCs w:val="22"/>
        </w:rPr>
        <w:t xml:space="preserve">Stormwater </w:t>
      </w:r>
      <w:r w:rsidR="005A7336" w:rsidRPr="005A7336">
        <w:rPr>
          <w:rFonts w:asciiTheme="minorHAnsi" w:hAnsiTheme="minorHAnsi" w:cstheme="minorHAnsi"/>
          <w:b/>
          <w:bCs/>
          <w:sz w:val="22"/>
          <w:szCs w:val="22"/>
        </w:rPr>
        <w:t xml:space="preserve">Sediment </w:t>
      </w:r>
      <w:r w:rsidR="00BD59DF" w:rsidRPr="005A7336">
        <w:rPr>
          <w:rFonts w:asciiTheme="minorHAnsi" w:hAnsiTheme="minorHAnsi" w:cstheme="minorHAnsi"/>
          <w:b/>
          <w:bCs/>
          <w:sz w:val="22"/>
          <w:szCs w:val="22"/>
        </w:rPr>
        <w:t xml:space="preserve">and </w:t>
      </w:r>
      <w:r w:rsidR="005A7336" w:rsidRPr="005A7336">
        <w:rPr>
          <w:rFonts w:asciiTheme="minorHAnsi" w:hAnsiTheme="minorHAnsi" w:cstheme="minorHAnsi"/>
          <w:b/>
          <w:bCs/>
          <w:sz w:val="22"/>
          <w:szCs w:val="22"/>
        </w:rPr>
        <w:t>Erosion Cont</w:t>
      </w:r>
      <w:r w:rsidR="00BD59DF" w:rsidRPr="005A7336">
        <w:rPr>
          <w:rFonts w:asciiTheme="minorHAnsi" w:hAnsiTheme="minorHAnsi" w:cstheme="minorHAnsi"/>
          <w:b/>
          <w:bCs/>
          <w:sz w:val="22"/>
          <w:szCs w:val="22"/>
        </w:rPr>
        <w:t xml:space="preserve">rol </w:t>
      </w:r>
      <w:r w:rsidR="005A7336" w:rsidRPr="005A7336">
        <w:rPr>
          <w:rFonts w:asciiTheme="minorHAnsi" w:hAnsiTheme="minorHAnsi" w:cstheme="minorHAnsi"/>
          <w:b/>
          <w:bCs/>
          <w:sz w:val="22"/>
          <w:szCs w:val="22"/>
        </w:rPr>
        <w:t>Plan</w:t>
      </w:r>
      <w:r w:rsidR="00BD59DF" w:rsidRPr="005A7336">
        <w:rPr>
          <w:rFonts w:asciiTheme="minorHAnsi" w:hAnsiTheme="minorHAnsi" w:cstheme="minorHAnsi"/>
          <w:b/>
          <w:bCs/>
          <w:sz w:val="22"/>
          <w:szCs w:val="22"/>
        </w:rPr>
        <w:t xml:space="preserve">. </w:t>
      </w:r>
      <w:r w:rsidR="00BD59DF" w:rsidRPr="00BD59DF">
        <w:rPr>
          <w:rFonts w:asciiTheme="minorHAnsi" w:hAnsiTheme="minorHAnsi" w:cstheme="minorHAnsi"/>
          <w:spacing w:val="2"/>
          <w:sz w:val="22"/>
          <w:szCs w:val="22"/>
          <w:shd w:val="clear" w:color="auto" w:fill="FFFFFF"/>
        </w:rPr>
        <w:t>Subsection 5.106.1 of the 2019 California Green Building Standards Code is amended to read as follows:</w:t>
      </w:r>
      <w:r w:rsidR="00BD59DF" w:rsidRPr="00BD59DF">
        <w:rPr>
          <w:rFonts w:asciiTheme="minorHAnsi" w:hAnsiTheme="minorHAnsi" w:cstheme="minorHAnsi"/>
          <w:sz w:val="22"/>
          <w:szCs w:val="22"/>
        </w:rPr>
        <w:t xml:space="preserve"> for newly constructed projects of less than one (1) acre, develop and </w:t>
      </w:r>
      <w:r w:rsidR="00BD59DF" w:rsidRPr="00BD59DF">
        <w:rPr>
          <w:rFonts w:asciiTheme="minorHAnsi" w:hAnsiTheme="minorHAnsi" w:cstheme="minorHAnsi"/>
          <w:spacing w:val="2"/>
          <w:sz w:val="22"/>
          <w:szCs w:val="22"/>
          <w:shd w:val="clear" w:color="auto" w:fill="FFFFFF"/>
        </w:rPr>
        <w:t>implement a</w:t>
      </w:r>
      <w:r w:rsidR="00BD59DF">
        <w:rPr>
          <w:rFonts w:asciiTheme="minorHAnsi" w:hAnsiTheme="minorHAnsi" w:cstheme="minorHAnsi"/>
          <w:spacing w:val="2"/>
          <w:sz w:val="22"/>
          <w:szCs w:val="22"/>
          <w:shd w:val="clear" w:color="auto" w:fill="FFFFFF"/>
        </w:rPr>
        <w:t xml:space="preserve"> stormwater</w:t>
      </w:r>
      <w:r w:rsidR="00BD59DF" w:rsidRPr="00BD59DF">
        <w:rPr>
          <w:rFonts w:asciiTheme="minorHAnsi" w:hAnsiTheme="minorHAnsi" w:cstheme="minorHAnsi"/>
          <w:spacing w:val="2"/>
          <w:sz w:val="22"/>
          <w:szCs w:val="22"/>
          <w:shd w:val="clear" w:color="auto" w:fill="FFFFFF"/>
        </w:rPr>
        <w:t> sediment and erosion control plan that has been designed specific to its site. The</w:t>
      </w:r>
      <w:r w:rsidR="00BD59DF">
        <w:rPr>
          <w:rFonts w:asciiTheme="minorHAnsi" w:hAnsiTheme="minorHAnsi" w:cstheme="minorHAnsi"/>
          <w:spacing w:val="2"/>
          <w:sz w:val="22"/>
          <w:szCs w:val="22"/>
          <w:shd w:val="clear" w:color="auto" w:fill="FFFFFF"/>
        </w:rPr>
        <w:t xml:space="preserve"> stormwater</w:t>
      </w:r>
      <w:r w:rsidR="00BD59DF" w:rsidRPr="00BD59DF">
        <w:rPr>
          <w:rFonts w:asciiTheme="minorHAnsi" w:hAnsiTheme="minorHAnsi" w:cstheme="minorHAnsi"/>
          <w:spacing w:val="2"/>
          <w:sz w:val="22"/>
          <w:szCs w:val="22"/>
          <w:shd w:val="clear" w:color="auto" w:fill="FFFFFF"/>
        </w:rPr>
        <w:t> sediment and erosion control plan shall be developed to provide equivalent protection to projects regulated by the state</w:t>
      </w:r>
      <w:r w:rsidR="00BD59DF">
        <w:rPr>
          <w:rFonts w:asciiTheme="minorHAnsi" w:hAnsiTheme="minorHAnsi" w:cstheme="minorHAnsi"/>
          <w:spacing w:val="2"/>
          <w:sz w:val="22"/>
          <w:szCs w:val="22"/>
          <w:shd w:val="clear" w:color="auto" w:fill="FFFFFF"/>
        </w:rPr>
        <w:t xml:space="preserve"> stormwater</w:t>
      </w:r>
      <w:r w:rsidR="00BD59DF" w:rsidRPr="00BD59DF">
        <w:rPr>
          <w:rFonts w:asciiTheme="minorHAnsi" w:hAnsiTheme="minorHAnsi" w:cstheme="minorHAnsi"/>
          <w:spacing w:val="2"/>
          <w:sz w:val="22"/>
          <w:szCs w:val="22"/>
          <w:shd w:val="clear" w:color="auto" w:fill="FFFFFF"/>
        </w:rPr>
        <w:t xml:space="preserve"> NPDES construction permit (greater than one (1) acre of disturbed land), and Sec. 35.32.10.1(T) in accordance with the Mountain View city code. The </w:t>
      </w:r>
      <w:r w:rsidR="00BD59DF">
        <w:rPr>
          <w:rFonts w:asciiTheme="minorHAnsi" w:hAnsiTheme="minorHAnsi" w:cstheme="minorHAnsi"/>
          <w:spacing w:val="2"/>
          <w:sz w:val="22"/>
          <w:szCs w:val="22"/>
          <w:shd w:val="clear" w:color="auto" w:fill="FFFFFF"/>
        </w:rPr>
        <w:t xml:space="preserve">stormwater </w:t>
      </w:r>
      <w:r w:rsidR="00BD59DF" w:rsidRPr="00BD59DF">
        <w:rPr>
          <w:rFonts w:asciiTheme="minorHAnsi" w:hAnsiTheme="minorHAnsi" w:cstheme="minorHAnsi"/>
          <w:spacing w:val="2"/>
          <w:sz w:val="22"/>
          <w:szCs w:val="22"/>
          <w:shd w:val="clear" w:color="auto" w:fill="FFFFFF"/>
        </w:rPr>
        <w:t>pollutant control measures that shall be included in the plan are erosion control, run-on and runoff control, sediment control, advanced treatment (as appropriate), good site management and non-stormwater management through all phases of construction until it is fully stabilized by landscaping or the installation of permanent erosion control measures.</w:t>
      </w:r>
    </w:p>
    <w:p w14:paraId="6C62FAFE" w14:textId="7CDB2ACE" w:rsidR="004C4533" w:rsidRPr="0091756B" w:rsidRDefault="004C4533" w:rsidP="005A7336">
      <w:pPr>
        <w:pStyle w:val="p0"/>
        <w:shd w:val="clear" w:color="auto" w:fill="FFFFFF"/>
        <w:spacing w:before="60" w:beforeAutospacing="0" w:after="60" w:afterAutospacing="0"/>
        <w:ind w:left="1728" w:hanging="1728"/>
        <w:rPr>
          <w:rFonts w:asciiTheme="minorHAnsi" w:hAnsiTheme="minorHAnsi" w:cstheme="minorHAnsi"/>
          <w:spacing w:val="2"/>
          <w:sz w:val="22"/>
          <w:szCs w:val="22"/>
          <w:shd w:val="clear" w:color="auto" w:fill="FFFFFF"/>
        </w:rPr>
      </w:pPr>
      <w:r w:rsidRPr="004C4533">
        <w:rPr>
          <w:rFonts w:asciiTheme="minorHAnsi" w:hAnsiTheme="minorHAnsi" w:cstheme="minorHAnsi"/>
          <w:b/>
          <w:bCs/>
          <w:sz w:val="22"/>
          <w:szCs w:val="22"/>
        </w:rPr>
        <w:t>Section 8.20.38</w:t>
      </w:r>
      <w:r w:rsidRPr="005A7336">
        <w:rPr>
          <w:rFonts w:asciiTheme="minorHAnsi" w:hAnsiTheme="minorHAnsi" w:cstheme="minorHAnsi"/>
          <w:b/>
          <w:bCs/>
          <w:sz w:val="22"/>
          <w:szCs w:val="22"/>
        </w:rPr>
        <w:tab/>
        <w:t xml:space="preserve">Postconstruction </w:t>
      </w:r>
      <w:r w:rsidR="005A7336" w:rsidRPr="005A7336">
        <w:rPr>
          <w:rFonts w:asciiTheme="minorHAnsi" w:hAnsiTheme="minorHAnsi" w:cstheme="minorHAnsi"/>
          <w:b/>
          <w:bCs/>
          <w:sz w:val="22"/>
          <w:szCs w:val="22"/>
        </w:rPr>
        <w:t>Stormwater Control Requirements</w:t>
      </w:r>
      <w:r w:rsidRPr="005A7336">
        <w:rPr>
          <w:rFonts w:asciiTheme="minorHAnsi" w:hAnsiTheme="minorHAnsi" w:cstheme="minorHAnsi"/>
          <w:b/>
          <w:bCs/>
          <w:sz w:val="22"/>
          <w:szCs w:val="22"/>
        </w:rPr>
        <w:t xml:space="preserve">. </w:t>
      </w:r>
      <w:r w:rsidRPr="004C4533">
        <w:rPr>
          <w:rFonts w:asciiTheme="minorHAnsi" w:hAnsiTheme="minorHAnsi" w:cstheme="minorHAnsi"/>
          <w:sz w:val="22"/>
          <w:szCs w:val="22"/>
        </w:rPr>
        <w:t>Section 5.106.3 of the 2019 California Green Building Standards Code is added to read as follows: Postconstruction stormwater controls are required for certain projects as defined and described in Provision C.3 of the Municipal Regional Stormwater NPDES Permit, and Sec. 35.4 of the Mountain View city code.</w:t>
      </w:r>
    </w:p>
    <w:p w14:paraId="23C87E22" w14:textId="63847162" w:rsidR="00617C41" w:rsidRPr="0091756B" w:rsidRDefault="00C300F4" w:rsidP="005A7336">
      <w:pPr>
        <w:pStyle w:val="BodyText"/>
        <w:spacing w:before="60" w:after="60"/>
        <w:ind w:left="1728" w:hanging="1728"/>
      </w:pPr>
      <w:r w:rsidRPr="00C300F4">
        <w:rPr>
          <w:b/>
          <w:bCs/>
        </w:rPr>
        <w:t>Section 35.32.3.1</w:t>
      </w:r>
      <w:r w:rsidR="00617C41" w:rsidRPr="00C300F4">
        <w:rPr>
          <w:b/>
          <w:bCs/>
        </w:rPr>
        <w:tab/>
      </w:r>
      <w:r w:rsidRPr="005A7336">
        <w:rPr>
          <w:b/>
          <w:bCs/>
        </w:rPr>
        <w:t xml:space="preserve">Discharge to </w:t>
      </w:r>
      <w:r w:rsidR="005A7336" w:rsidRPr="005A7336">
        <w:rPr>
          <w:b/>
          <w:bCs/>
        </w:rPr>
        <w:t>Curbside Gutter</w:t>
      </w:r>
      <w:r w:rsidRPr="005A7336">
        <w:rPr>
          <w:b/>
          <w:bCs/>
        </w:rPr>
        <w:t xml:space="preserve">, </w:t>
      </w:r>
      <w:r w:rsidR="005A7336" w:rsidRPr="005A7336">
        <w:rPr>
          <w:b/>
          <w:bCs/>
        </w:rPr>
        <w:t>Storm Sewer</w:t>
      </w:r>
      <w:r w:rsidRPr="005A7336">
        <w:rPr>
          <w:b/>
          <w:bCs/>
        </w:rPr>
        <w:t xml:space="preserve">, </w:t>
      </w:r>
      <w:r w:rsidR="005A7336" w:rsidRPr="005A7336">
        <w:rPr>
          <w:b/>
          <w:bCs/>
        </w:rPr>
        <w:t>Storm Drain</w:t>
      </w:r>
      <w:r w:rsidRPr="005A7336">
        <w:rPr>
          <w:b/>
          <w:bCs/>
        </w:rPr>
        <w:t xml:space="preserve">, or </w:t>
      </w:r>
      <w:r w:rsidR="005A7336" w:rsidRPr="005A7336">
        <w:rPr>
          <w:b/>
          <w:bCs/>
        </w:rPr>
        <w:t>Natural Outlets</w:t>
      </w:r>
      <w:r w:rsidRPr="005A7336">
        <w:rPr>
          <w:b/>
          <w:bCs/>
        </w:rPr>
        <w:t>.</w:t>
      </w:r>
      <w:r w:rsidRPr="00C300F4">
        <w:rPr>
          <w:i/>
          <w:iCs/>
        </w:rPr>
        <w:t xml:space="preserve"> </w:t>
      </w:r>
      <w:r w:rsidRPr="00C300F4">
        <w:t xml:space="preserve">It shall be </w:t>
      </w:r>
      <w:r w:rsidRPr="00C300F4">
        <w:rPr>
          <w:rFonts w:cstheme="minorHAnsi"/>
        </w:rPr>
        <w:t>unlawful</w:t>
      </w:r>
      <w:r w:rsidR="00617C41" w:rsidRPr="00C300F4">
        <w:rPr>
          <w:rFonts w:cstheme="minorHAnsi"/>
          <w:i/>
          <w:iCs/>
        </w:rPr>
        <w:t xml:space="preserve"> </w:t>
      </w:r>
      <w:r w:rsidRPr="00C300F4">
        <w:rPr>
          <w:rFonts w:cstheme="minorHAnsi"/>
          <w:spacing w:val="2"/>
          <w:shd w:val="clear" w:color="auto" w:fill="FFFFFF"/>
        </w:rPr>
        <w:t>to discharge or cause a threatened discharge to any curbside gutter</w:t>
      </w:r>
      <w:r>
        <w:rPr>
          <w:rFonts w:cstheme="minorHAnsi"/>
          <w:spacing w:val="2"/>
          <w:shd w:val="clear" w:color="auto" w:fill="FFFFFF"/>
        </w:rPr>
        <w:t>, storm</w:t>
      </w:r>
      <w:r w:rsidRPr="00C300F4">
        <w:rPr>
          <w:rFonts w:cstheme="minorHAnsi"/>
          <w:spacing w:val="2"/>
          <w:shd w:val="clear" w:color="auto" w:fill="FFFFFF"/>
        </w:rPr>
        <w:t> sewer</w:t>
      </w:r>
      <w:r>
        <w:rPr>
          <w:rFonts w:cstheme="minorHAnsi"/>
          <w:spacing w:val="2"/>
          <w:shd w:val="clear" w:color="auto" w:fill="FFFFFF"/>
        </w:rPr>
        <w:t>, storm</w:t>
      </w:r>
      <w:r w:rsidRPr="00C300F4">
        <w:rPr>
          <w:rFonts w:cstheme="minorHAnsi"/>
          <w:spacing w:val="2"/>
          <w:shd w:val="clear" w:color="auto" w:fill="FFFFFF"/>
        </w:rPr>
        <w:t xml:space="preserve"> drain gutter, creek or natural outlet any domestic sewage, sanitary sewage, industrial wastes, polluted waters, construction waste, litter or refuse except where permission is granted by the fire chief. Unlawful discharges to</w:t>
      </w:r>
      <w:r>
        <w:rPr>
          <w:rFonts w:cstheme="minorHAnsi"/>
          <w:spacing w:val="2"/>
          <w:shd w:val="clear" w:color="auto" w:fill="FFFFFF"/>
        </w:rPr>
        <w:t xml:space="preserve"> storm</w:t>
      </w:r>
      <w:r w:rsidRPr="00C300F4">
        <w:rPr>
          <w:rFonts w:cstheme="minorHAnsi"/>
          <w:spacing w:val="2"/>
          <w:shd w:val="clear" w:color="auto" w:fill="FFFFFF"/>
        </w:rPr>
        <w:t> drains shall include, but are not limited to, discharges from: toilets, sinks, commercial or industrial processes, cooling systems, air compressors, boilers, fabric or carpet cleaning, equipment cleaning, vehicle cleaning, swimming pools, spas, fountains, construction activities (e.g., painting, paving, concrete placement, saw cutting, grading), painting and paint stripping, unless specifically permitted by a discharge permit or unless exempted pursuant to regulations established by the fire chief. Additionally, it shall be unlawful to discharge any pollutants or waters containing pollutants that would contribute to violations of the city</w:t>
      </w:r>
      <w:r w:rsidR="00A07DFA">
        <w:rPr>
          <w:rFonts w:cstheme="minorHAnsi"/>
          <w:spacing w:val="2"/>
          <w:shd w:val="clear" w:color="auto" w:fill="FFFFFF"/>
        </w:rPr>
        <w:t>’</w:t>
      </w:r>
      <w:r w:rsidRPr="00C300F4">
        <w:rPr>
          <w:rFonts w:cstheme="minorHAnsi"/>
          <w:spacing w:val="2"/>
          <w:shd w:val="clear" w:color="auto" w:fill="FFFFFF"/>
        </w:rPr>
        <w:t xml:space="preserve">s stormwater discharge permit </w:t>
      </w:r>
      <w:r w:rsidRPr="0091756B">
        <w:rPr>
          <w:rFonts w:cstheme="minorHAnsi"/>
          <w:spacing w:val="2"/>
          <w:shd w:val="clear" w:color="auto" w:fill="FFFFFF"/>
        </w:rPr>
        <w:t>or applicable water quality standards.</w:t>
      </w:r>
    </w:p>
    <w:p w14:paraId="7DB6B6C0" w14:textId="0DDF0CF5" w:rsidR="0091756B" w:rsidRPr="007D575A" w:rsidRDefault="00617C41" w:rsidP="005A7336">
      <w:pPr>
        <w:pStyle w:val="BodyText"/>
        <w:spacing w:before="60" w:after="60"/>
        <w:ind w:left="1728" w:hanging="1728"/>
        <w:rPr>
          <w:iCs/>
        </w:rPr>
      </w:pPr>
      <w:r w:rsidRPr="0091756B">
        <w:rPr>
          <w:b/>
          <w:bCs/>
        </w:rPr>
        <w:t xml:space="preserve">Section </w:t>
      </w:r>
      <w:r w:rsidR="0091756B" w:rsidRPr="0091756B">
        <w:rPr>
          <w:b/>
          <w:bCs/>
        </w:rPr>
        <w:t>36.34.30</w:t>
      </w:r>
      <w:r w:rsidR="0091756B" w:rsidRPr="0091756B">
        <w:rPr>
          <w:b/>
          <w:bCs/>
        </w:rPr>
        <w:tab/>
      </w:r>
      <w:r w:rsidR="0091756B" w:rsidRPr="005A7336">
        <w:rPr>
          <w:rFonts w:cstheme="minorHAnsi"/>
          <w:b/>
          <w:bCs/>
        </w:rPr>
        <w:t xml:space="preserve">Water </w:t>
      </w:r>
      <w:r w:rsidR="005A7336" w:rsidRPr="005A7336">
        <w:rPr>
          <w:rFonts w:cstheme="minorHAnsi"/>
          <w:b/>
          <w:bCs/>
        </w:rPr>
        <w:t xml:space="preserve">Conservation </w:t>
      </w:r>
      <w:r w:rsidR="0091756B" w:rsidRPr="005A7336">
        <w:rPr>
          <w:rFonts w:cstheme="minorHAnsi"/>
          <w:b/>
          <w:bCs/>
        </w:rPr>
        <w:t xml:space="preserve">in </w:t>
      </w:r>
      <w:r w:rsidR="005A7336" w:rsidRPr="005A7336">
        <w:rPr>
          <w:rFonts w:cstheme="minorHAnsi"/>
          <w:b/>
          <w:bCs/>
        </w:rPr>
        <w:t>Landscaping Regulations</w:t>
      </w:r>
      <w:r w:rsidR="0091756B" w:rsidRPr="005A7336">
        <w:rPr>
          <w:rFonts w:cstheme="minorHAnsi"/>
          <w:b/>
          <w:bCs/>
        </w:rPr>
        <w:t>.</w:t>
      </w:r>
      <w:r w:rsidR="0091756B" w:rsidRPr="0091756B">
        <w:rPr>
          <w:rFonts w:cstheme="minorHAnsi"/>
          <w:i/>
          <w:iCs/>
        </w:rPr>
        <w:t xml:space="preserve"> </w:t>
      </w:r>
      <w:r w:rsidR="0091756B" w:rsidRPr="0091756B">
        <w:rPr>
          <w:rFonts w:cstheme="minorHAnsi"/>
          <w:spacing w:val="2"/>
          <w:shd w:val="clear" w:color="auto" w:fill="FFFFFF"/>
        </w:rPr>
        <w:t>The</w:t>
      </w:r>
      <w:r w:rsidR="0091756B">
        <w:rPr>
          <w:rFonts w:cstheme="minorHAnsi"/>
          <w:spacing w:val="2"/>
          <w:shd w:val="clear" w:color="auto" w:fill="FFFFFF"/>
        </w:rPr>
        <w:t xml:space="preserve"> water</w:t>
      </w:r>
      <w:r w:rsidR="0091756B" w:rsidRPr="0091756B">
        <w:rPr>
          <w:rFonts w:cstheme="minorHAnsi"/>
          <w:spacing w:val="2"/>
          <w:shd w:val="clear" w:color="auto" w:fill="FFFFFF"/>
        </w:rPr>
        <w:t> conservation in landscaping regulations supplement the requirements of this article by providing detailed requirements for landscaping and irrigation systems for select new and rehabilitated landscape areas and are incorporated herein by reference. These regulations further the city</w:t>
      </w:r>
      <w:r w:rsidR="00A07DFA">
        <w:rPr>
          <w:rFonts w:cstheme="minorHAnsi"/>
          <w:spacing w:val="2"/>
          <w:shd w:val="clear" w:color="auto" w:fill="FFFFFF"/>
        </w:rPr>
        <w:t>’</w:t>
      </w:r>
      <w:r w:rsidR="0091756B" w:rsidRPr="0091756B">
        <w:rPr>
          <w:rFonts w:cstheme="minorHAnsi"/>
          <w:spacing w:val="2"/>
          <w:shd w:val="clear" w:color="auto" w:fill="FFFFFF"/>
        </w:rPr>
        <w:t>s curren</w:t>
      </w:r>
      <w:r w:rsidR="0091756B">
        <w:rPr>
          <w:rFonts w:cstheme="minorHAnsi"/>
          <w:spacing w:val="2"/>
          <w:shd w:val="clear" w:color="auto" w:fill="FFFFFF"/>
        </w:rPr>
        <w:t xml:space="preserve">t water </w:t>
      </w:r>
      <w:r w:rsidR="0091756B" w:rsidRPr="0091756B">
        <w:rPr>
          <w:rFonts w:cstheme="minorHAnsi"/>
          <w:spacing w:val="2"/>
          <w:shd w:val="clear" w:color="auto" w:fill="FFFFFF"/>
        </w:rPr>
        <w:t>conservation efforts, reduce future</w:t>
      </w:r>
      <w:r w:rsidR="0091756B">
        <w:rPr>
          <w:rFonts w:cstheme="minorHAnsi"/>
          <w:spacing w:val="2"/>
          <w:shd w:val="clear" w:color="auto" w:fill="FFFFFF"/>
        </w:rPr>
        <w:t xml:space="preserve"> water</w:t>
      </w:r>
      <w:r w:rsidR="0091756B" w:rsidRPr="0091756B">
        <w:rPr>
          <w:rFonts w:cstheme="minorHAnsi"/>
          <w:spacing w:val="2"/>
          <w:shd w:val="clear" w:color="auto" w:fill="FFFFFF"/>
        </w:rPr>
        <w:t> demands and comply with stat</w:t>
      </w:r>
      <w:r w:rsidR="0091756B">
        <w:rPr>
          <w:rFonts w:cstheme="minorHAnsi"/>
          <w:spacing w:val="2"/>
          <w:shd w:val="clear" w:color="auto" w:fill="FFFFFF"/>
        </w:rPr>
        <w:t xml:space="preserve">e water </w:t>
      </w:r>
      <w:r w:rsidR="0091756B" w:rsidRPr="0091756B">
        <w:rPr>
          <w:rFonts w:cstheme="minorHAnsi"/>
          <w:spacing w:val="2"/>
          <w:shd w:val="clear" w:color="auto" w:fill="FFFFFF"/>
        </w:rPr>
        <w:t>conservation requirements. New and/or rehabilitated landscaping shall comply with the provisions of th</w:t>
      </w:r>
      <w:r w:rsidR="0091756B">
        <w:rPr>
          <w:rFonts w:cstheme="minorHAnsi"/>
          <w:spacing w:val="2"/>
          <w:shd w:val="clear" w:color="auto" w:fill="FFFFFF"/>
        </w:rPr>
        <w:t>e water c</w:t>
      </w:r>
      <w:r w:rsidR="0091756B" w:rsidRPr="0091756B">
        <w:rPr>
          <w:rFonts w:cstheme="minorHAnsi"/>
          <w:spacing w:val="2"/>
          <w:shd w:val="clear" w:color="auto" w:fill="FFFFFF"/>
        </w:rPr>
        <w:t>onservation in landscaping regulations.</w:t>
      </w:r>
    </w:p>
    <w:p w14:paraId="3FB481D0" w14:textId="50C6EE8E" w:rsidR="00617C41" w:rsidRPr="003D0D1A" w:rsidRDefault="00617C41" w:rsidP="008E2EDF">
      <w:pPr>
        <w:pStyle w:val="Heading6"/>
      </w:pPr>
      <w:r w:rsidRPr="003D0D1A">
        <w:t xml:space="preserve">City of </w:t>
      </w:r>
      <w:r w:rsidR="003D0D1A" w:rsidRPr="003D0D1A">
        <w:t>Mountain View</w:t>
      </w:r>
      <w:r w:rsidRPr="003D0D1A">
        <w:t xml:space="preserve"> General Plan</w:t>
      </w:r>
    </w:p>
    <w:p w14:paraId="0AE4CF26" w14:textId="6C9A1A9A" w:rsidR="00617C41" w:rsidRDefault="00617C41" w:rsidP="00617C41">
      <w:pPr>
        <w:pStyle w:val="BodyText"/>
      </w:pPr>
      <w:r w:rsidRPr="003D0D1A">
        <w:t xml:space="preserve">The following policies </w:t>
      </w:r>
      <w:r w:rsidR="001362CB">
        <w:t>are applicable</w:t>
      </w:r>
      <w:r w:rsidR="001362CB" w:rsidRPr="003D0D1A">
        <w:t xml:space="preserve"> </w:t>
      </w:r>
      <w:r w:rsidRPr="003D0D1A">
        <w:t xml:space="preserve">to the proposed project: </w:t>
      </w:r>
    </w:p>
    <w:p w14:paraId="76E4646F" w14:textId="003AB930" w:rsidR="003D0D1A" w:rsidRPr="003D0D1A" w:rsidRDefault="003D0D1A" w:rsidP="005A7336">
      <w:pPr>
        <w:pStyle w:val="BodyText"/>
        <w:spacing w:before="60" w:after="60"/>
        <w:ind w:left="1008" w:hanging="1008"/>
        <w:rPr>
          <w:rFonts w:cstheme="minorHAnsi"/>
        </w:rPr>
      </w:pPr>
      <w:r w:rsidRPr="003D0D1A">
        <w:rPr>
          <w:rFonts w:cstheme="minorHAnsi"/>
          <w:b/>
          <w:bCs/>
        </w:rPr>
        <w:t xml:space="preserve">LUD 10.7 </w:t>
      </w:r>
      <w:r w:rsidRPr="005A7336">
        <w:rPr>
          <w:rFonts w:cstheme="minorHAnsi"/>
          <w:b/>
          <w:bCs/>
        </w:rPr>
        <w:tab/>
        <w:t xml:space="preserve">Beneficial </w:t>
      </w:r>
      <w:r w:rsidR="005A7336" w:rsidRPr="005A7336">
        <w:rPr>
          <w:rFonts w:cstheme="minorHAnsi"/>
          <w:b/>
          <w:bCs/>
        </w:rPr>
        <w:t>Landscaping Options</w:t>
      </w:r>
      <w:r w:rsidRPr="005A7336">
        <w:rPr>
          <w:rFonts w:cstheme="minorHAnsi"/>
          <w:b/>
          <w:bCs/>
        </w:rPr>
        <w:t xml:space="preserve">. </w:t>
      </w:r>
      <w:r w:rsidRPr="003D0D1A">
        <w:rPr>
          <w:rFonts w:cstheme="minorHAnsi"/>
        </w:rPr>
        <w:t>Promote landscaping options that conserve water, support the natural environment and provide shade and food.</w:t>
      </w:r>
    </w:p>
    <w:p w14:paraId="792E6ED9" w14:textId="5DF05C1E" w:rsidR="003D0D1A" w:rsidRPr="003D0D1A" w:rsidRDefault="003D0D1A" w:rsidP="005A7336">
      <w:pPr>
        <w:pStyle w:val="BodyText"/>
        <w:spacing w:before="60" w:after="60"/>
        <w:ind w:left="1008" w:hanging="1008"/>
        <w:rPr>
          <w:rFonts w:cstheme="minorHAnsi"/>
        </w:rPr>
      </w:pPr>
      <w:r w:rsidRPr="003D0D1A">
        <w:rPr>
          <w:rFonts w:cstheme="minorHAnsi"/>
          <w:b/>
          <w:bCs/>
        </w:rPr>
        <w:t>INC 5.5</w:t>
      </w:r>
      <w:r w:rsidRPr="003D0D1A">
        <w:rPr>
          <w:rFonts w:cstheme="minorHAnsi"/>
        </w:rPr>
        <w:t xml:space="preserve"> </w:t>
      </w:r>
      <w:r w:rsidRPr="003D0D1A">
        <w:rPr>
          <w:rFonts w:cstheme="minorHAnsi"/>
        </w:rPr>
        <w:tab/>
      </w:r>
      <w:r w:rsidRPr="005A7336">
        <w:rPr>
          <w:rFonts w:cstheme="minorHAnsi"/>
          <w:b/>
          <w:bCs/>
        </w:rPr>
        <w:t xml:space="preserve">Landscape </w:t>
      </w:r>
      <w:r w:rsidR="005A7336" w:rsidRPr="005A7336">
        <w:rPr>
          <w:rFonts w:cstheme="minorHAnsi"/>
          <w:b/>
          <w:bCs/>
        </w:rPr>
        <w:t>Efficiency</w:t>
      </w:r>
      <w:r w:rsidRPr="005A7336">
        <w:rPr>
          <w:rFonts w:cstheme="minorHAnsi"/>
          <w:b/>
          <w:bCs/>
        </w:rPr>
        <w:t xml:space="preserve">. </w:t>
      </w:r>
      <w:r w:rsidRPr="003D0D1A">
        <w:rPr>
          <w:rFonts w:cstheme="minorHAnsi"/>
        </w:rPr>
        <w:t>Promote water-efficient landscaping including drought-tolerant and native plants, along with efficient irrigation techniques.</w:t>
      </w:r>
    </w:p>
    <w:p w14:paraId="6A04CF63" w14:textId="0C4AE1B1" w:rsidR="003D0D1A" w:rsidRPr="003D0D1A" w:rsidRDefault="003D0D1A" w:rsidP="005A7336">
      <w:pPr>
        <w:pStyle w:val="BodyText"/>
        <w:spacing w:before="60" w:after="60"/>
        <w:ind w:left="1008" w:hanging="1008"/>
        <w:rPr>
          <w:rFonts w:cstheme="minorHAnsi"/>
        </w:rPr>
      </w:pPr>
      <w:r w:rsidRPr="003D0D1A">
        <w:rPr>
          <w:rFonts w:cstheme="minorHAnsi"/>
          <w:b/>
          <w:bCs/>
        </w:rPr>
        <w:t>INC 5.6</w:t>
      </w:r>
      <w:r w:rsidRPr="003D0D1A">
        <w:rPr>
          <w:rFonts w:cstheme="minorHAnsi"/>
          <w:b/>
          <w:bCs/>
        </w:rPr>
        <w:tab/>
      </w:r>
      <w:r w:rsidRPr="005A7336">
        <w:rPr>
          <w:rFonts w:cstheme="minorHAnsi"/>
          <w:b/>
          <w:bCs/>
        </w:rPr>
        <w:t xml:space="preserve">Indoor </w:t>
      </w:r>
      <w:r w:rsidR="005A7336" w:rsidRPr="005A7336">
        <w:rPr>
          <w:rFonts w:cstheme="minorHAnsi"/>
          <w:b/>
          <w:bCs/>
        </w:rPr>
        <w:t>Efficiency</w:t>
      </w:r>
      <w:r w:rsidRPr="005A7336">
        <w:rPr>
          <w:rFonts w:cstheme="minorHAnsi"/>
          <w:b/>
          <w:bCs/>
        </w:rPr>
        <w:t xml:space="preserve">. </w:t>
      </w:r>
      <w:r w:rsidRPr="003D0D1A">
        <w:rPr>
          <w:rFonts w:cstheme="minorHAnsi"/>
        </w:rPr>
        <w:t xml:space="preserve">Promote the use of water-efficient fixtures and appliances. </w:t>
      </w:r>
    </w:p>
    <w:p w14:paraId="4ABB3956" w14:textId="18FCE8FF" w:rsidR="003D0D1A" w:rsidRDefault="003D0D1A" w:rsidP="005A7336">
      <w:pPr>
        <w:pStyle w:val="BodyText"/>
        <w:spacing w:before="60" w:after="60"/>
        <w:ind w:left="1008" w:hanging="1008"/>
        <w:rPr>
          <w:rFonts w:cstheme="minorHAnsi"/>
        </w:rPr>
      </w:pPr>
      <w:r w:rsidRPr="003D0D1A">
        <w:rPr>
          <w:rFonts w:cstheme="minorHAnsi"/>
          <w:b/>
          <w:bCs/>
        </w:rPr>
        <w:t>INC 8.4</w:t>
      </w:r>
      <w:r w:rsidRPr="003D0D1A">
        <w:rPr>
          <w:rFonts w:cstheme="minorHAnsi"/>
        </w:rPr>
        <w:t xml:space="preserve"> </w:t>
      </w:r>
      <w:r w:rsidRPr="003D0D1A">
        <w:rPr>
          <w:rFonts w:cstheme="minorHAnsi"/>
        </w:rPr>
        <w:tab/>
      </w:r>
      <w:r w:rsidRPr="005A7336">
        <w:rPr>
          <w:rFonts w:cstheme="minorHAnsi"/>
          <w:b/>
          <w:bCs/>
        </w:rPr>
        <w:t xml:space="preserve">Runoff </w:t>
      </w:r>
      <w:r w:rsidR="005A7336" w:rsidRPr="005A7336">
        <w:rPr>
          <w:rFonts w:cstheme="minorHAnsi"/>
          <w:b/>
          <w:bCs/>
        </w:rPr>
        <w:t>Pollution Prevention</w:t>
      </w:r>
      <w:r w:rsidRPr="005A7336">
        <w:rPr>
          <w:rFonts w:cstheme="minorHAnsi"/>
          <w:b/>
          <w:bCs/>
        </w:rPr>
        <w:t xml:space="preserve">. </w:t>
      </w:r>
      <w:r w:rsidRPr="003D0D1A">
        <w:rPr>
          <w:rFonts w:cstheme="minorHAnsi"/>
        </w:rPr>
        <w:t>Reduce the amount of stormwater runoff and stormwater pollution entering creeks, water channels and the San Francisco Bay through participation in the Santa Clara Valley Urban Runoff Pollution Prevention Program.</w:t>
      </w:r>
    </w:p>
    <w:p w14:paraId="48C5C1BF" w14:textId="25DB3306" w:rsidR="003D0D1A" w:rsidRDefault="003D0D1A" w:rsidP="005A7336">
      <w:pPr>
        <w:pStyle w:val="BodyText"/>
        <w:spacing w:before="60" w:after="60"/>
        <w:ind w:left="1008" w:hanging="1008"/>
      </w:pPr>
      <w:r w:rsidRPr="003D0D1A">
        <w:rPr>
          <w:b/>
          <w:bCs/>
        </w:rPr>
        <w:t>INC 8.5</w:t>
      </w:r>
      <w:r>
        <w:t xml:space="preserve"> </w:t>
      </w:r>
      <w:r>
        <w:tab/>
      </w:r>
      <w:r w:rsidRPr="005A7336">
        <w:rPr>
          <w:b/>
          <w:bCs/>
        </w:rPr>
        <w:t xml:space="preserve">Site-specific </w:t>
      </w:r>
      <w:r w:rsidR="005A7336" w:rsidRPr="005A7336">
        <w:rPr>
          <w:b/>
          <w:bCs/>
        </w:rPr>
        <w:t>Stormwater Trea</w:t>
      </w:r>
      <w:r w:rsidRPr="005A7336">
        <w:rPr>
          <w:b/>
          <w:bCs/>
        </w:rPr>
        <w:t xml:space="preserve">tment. </w:t>
      </w:r>
      <w:r>
        <w:t>Require post-construction stormwater treatment controls consistent with MRP requirements for both new development and redevelopment projects.</w:t>
      </w:r>
    </w:p>
    <w:p w14:paraId="3C275916" w14:textId="4B176188" w:rsidR="003D0D1A" w:rsidRPr="003D0D1A" w:rsidRDefault="003D0D1A" w:rsidP="005A7336">
      <w:pPr>
        <w:pStyle w:val="BodyText"/>
        <w:spacing w:before="60" w:after="60"/>
        <w:ind w:left="1008" w:hanging="1008"/>
        <w:rPr>
          <w:rFonts w:cstheme="minorHAnsi"/>
        </w:rPr>
      </w:pPr>
      <w:r w:rsidRPr="003D0D1A">
        <w:rPr>
          <w:b/>
          <w:bCs/>
        </w:rPr>
        <w:t>POS 12.4</w:t>
      </w:r>
      <w:r>
        <w:t xml:space="preserve"> </w:t>
      </w:r>
      <w:r w:rsidRPr="003D0D1A">
        <w:rPr>
          <w:i/>
          <w:iCs/>
        </w:rPr>
        <w:tab/>
      </w:r>
      <w:r w:rsidRPr="005A7336">
        <w:rPr>
          <w:b/>
          <w:bCs/>
        </w:rPr>
        <w:t xml:space="preserve">Drought-tolerant </w:t>
      </w:r>
      <w:r w:rsidR="005A7336" w:rsidRPr="005A7336">
        <w:rPr>
          <w:b/>
          <w:bCs/>
        </w:rPr>
        <w:t>Landscaping</w:t>
      </w:r>
      <w:r w:rsidRPr="005A7336">
        <w:rPr>
          <w:b/>
          <w:bCs/>
        </w:rPr>
        <w:t>. I</w:t>
      </w:r>
      <w:r>
        <w:t xml:space="preserve">ncrease water-efficient, drought-tolerant and native </w:t>
      </w:r>
      <w:r w:rsidRPr="003D0D1A">
        <w:t>landscaping where appropriate on public and private property.</w:t>
      </w:r>
    </w:p>
    <w:p w14:paraId="1769A839" w14:textId="195FA8AC" w:rsidR="00617C41" w:rsidRPr="003D0D1A" w:rsidRDefault="00617C41" w:rsidP="00617C41">
      <w:pPr>
        <w:pStyle w:val="Heading5"/>
      </w:pPr>
      <w:r w:rsidRPr="003D0D1A">
        <w:t>Impact Analysis</w:t>
      </w:r>
    </w:p>
    <w:p w14:paraId="3A6AF17A" w14:textId="582D346D" w:rsidR="00542725" w:rsidRDefault="00542725" w:rsidP="00C70212">
      <w:pPr>
        <w:pStyle w:val="BulletLtrManAFTER"/>
        <w:rPr>
          <w:i w:val="0"/>
        </w:rPr>
      </w:pPr>
      <w:r w:rsidRPr="003D0D1A">
        <w:t>a.</w:t>
      </w:r>
      <w:bookmarkStart w:id="256" w:name="_Hlk93561708"/>
      <w:r w:rsidRPr="003D0D1A">
        <w:tab/>
        <w:t>Would the project</w:t>
      </w:r>
      <w:r w:rsidR="0000745D" w:rsidRPr="003D0D1A">
        <w:t xml:space="preserve"> violate any water quality standards or waste </w:t>
      </w:r>
      <w:r w:rsidR="00405CD7" w:rsidRPr="003D0D1A">
        <w:t>discharge requirements or otherwise substantially degrade surface or ground water quality</w:t>
      </w:r>
      <w:r w:rsidR="0000745D" w:rsidRPr="003D0D1A">
        <w:t>?</w:t>
      </w:r>
      <w:r w:rsidR="00A340FC" w:rsidRPr="003D0D1A">
        <w:rPr>
          <w:i w:val="0"/>
        </w:rPr>
        <w:t xml:space="preserve"> </w:t>
      </w:r>
    </w:p>
    <w:p w14:paraId="1C4CCE54" w14:textId="374D9212" w:rsidR="00FE3143" w:rsidRDefault="006633FE" w:rsidP="005A7336">
      <w:pPr>
        <w:pStyle w:val="BulletLtrManAFTER"/>
        <w:spacing w:before="120"/>
      </w:pPr>
      <w:r w:rsidRPr="00E018ED">
        <w:t>b.</w:t>
      </w:r>
      <w:r w:rsidRPr="00E018ED">
        <w:tab/>
        <w:t>Would the project substantially decrease groundwater supplies or interfere substantially with groundwater recharge such that the project may impede sustainable groundwater management of the basin?</w:t>
      </w:r>
    </w:p>
    <w:p w14:paraId="6A7499F7" w14:textId="77777777" w:rsidR="00A60F8D" w:rsidRDefault="00A60F8D" w:rsidP="00A60F8D">
      <w:pPr>
        <w:pStyle w:val="Heading5"/>
      </w:pPr>
      <w:r>
        <w:t xml:space="preserve">Construction </w:t>
      </w:r>
    </w:p>
    <w:p w14:paraId="16437DD0" w14:textId="2EBDA4B5" w:rsidR="00A60F8D" w:rsidRDefault="00A60F8D" w:rsidP="00A60F8D">
      <w:pPr>
        <w:pStyle w:val="BodyText"/>
      </w:pPr>
      <w:r w:rsidRPr="005D30D1">
        <w:t>Project construction has the potential to impact water quality through erosion and through debris carried in runoff</w:t>
      </w:r>
      <w:r>
        <w:t>. Construction</w:t>
      </w:r>
      <w:r w:rsidRPr="005D30D1">
        <w:t xml:space="preserve"> would involve heavy equipment that could result in an increase in fuel, oil, and lubricants in stormwater runoff due to leaks or accidental releases. To minimize these impacts, the project would be required to comply with </w:t>
      </w:r>
      <w:r>
        <w:t xml:space="preserve">MVMC Section 8.20.36 which details erosion and sediment control BMPs, and with MVMC Section 35.32.3 which regulates discharge of materials into curbside gutters, storm sewers, and storm drains. The project would </w:t>
      </w:r>
      <w:r w:rsidR="001362CB">
        <w:t xml:space="preserve">be required to </w:t>
      </w:r>
      <w:r>
        <w:t>i</w:t>
      </w:r>
      <w:r w:rsidRPr="005D30D1">
        <w:t>mplement BMPs for drainage and erosion control</w:t>
      </w:r>
      <w:r>
        <w:t xml:space="preserve"> during construction and meet requirements for stormwater and sewer discharge. </w:t>
      </w:r>
    </w:p>
    <w:p w14:paraId="363E4950" w14:textId="59CA7CA7" w:rsidR="00A60F8D" w:rsidRPr="00D27A83" w:rsidRDefault="00A60F8D" w:rsidP="00A60F8D">
      <w:pPr>
        <w:pStyle w:val="BodyText"/>
      </w:pPr>
      <w:r>
        <w:t>In addition, t</w:t>
      </w:r>
      <w:r w:rsidRPr="00740F58">
        <w:t>he project would be required to obtain coverage under the statewide National Pollutant Discharge Elimination System (NPDES) General Permit for Discharges of Storm Water associated with Construction Activity, Construction General Permit Order 2009-0009 DWQ (Construction General Permit), administered by the SWRQCB. Coverage under the NPDES Permit would require implementation of a S</w:t>
      </w:r>
      <w:r>
        <w:t>tormwater Pollution Prevention Program</w:t>
      </w:r>
      <w:r w:rsidRPr="00740F58">
        <w:t xml:space="preserve"> and various site-specific BMPs to reduce erosion and loss of topsoil during </w:t>
      </w:r>
      <w:r>
        <w:t>project</w:t>
      </w:r>
      <w:r w:rsidRPr="00740F58">
        <w:t xml:space="preserve"> construction. Compliance with the NPDES permit and BMPs during demolition and construction such as straw wattles, silt fencing, concrete washouts, and inlet protection during construction would reduce impacts resulting from loss of topsoil. The project would be required to comply with </w:t>
      </w:r>
      <w:r>
        <w:t>MVMC</w:t>
      </w:r>
      <w:r w:rsidRPr="00740F58">
        <w:t xml:space="preserve"> Section </w:t>
      </w:r>
      <w:r>
        <w:t>8.20.37</w:t>
      </w:r>
      <w:r w:rsidRPr="00740F58">
        <w:t xml:space="preserve"> which sets forth standards and regulations regarding stormwater control plans for projects within </w:t>
      </w:r>
      <w:r>
        <w:t>Mountain View</w:t>
      </w:r>
      <w:r w:rsidRPr="00740F58">
        <w:t xml:space="preserve">. Compliance with state and local requirements would reduce impacts </w:t>
      </w:r>
      <w:r>
        <w:t>to surface and ground water quality to less than</w:t>
      </w:r>
      <w:r w:rsidRPr="00740F58">
        <w:t xml:space="preserve"> significant</w:t>
      </w:r>
      <w:r w:rsidR="001362CB">
        <w:t xml:space="preserve"> levels</w:t>
      </w:r>
      <w:r w:rsidRPr="00740F58">
        <w:t xml:space="preserve">. </w:t>
      </w:r>
    </w:p>
    <w:p w14:paraId="0E8F571C" w14:textId="77777777" w:rsidR="00A60F8D" w:rsidRPr="00DB6993" w:rsidRDefault="00A60F8D" w:rsidP="00A60F8D">
      <w:pPr>
        <w:pStyle w:val="Heading5"/>
      </w:pPr>
      <w:r w:rsidRPr="00DB6993">
        <w:t xml:space="preserve">Operation </w:t>
      </w:r>
    </w:p>
    <w:p w14:paraId="2C0D86DE" w14:textId="72D9C64A" w:rsidR="00A60F8D" w:rsidRDefault="00A60F8D" w:rsidP="00A60F8D">
      <w:pPr>
        <w:pStyle w:val="body0"/>
      </w:pPr>
      <w:r>
        <w:t xml:space="preserve">The City of Mountain View overlies the Santa Clara Valley Groundwater Subbasin, which is bounded by the northern boundary of Santa Clara County, the Diablo Range to the east, the Santa Cruz Mountains to </w:t>
      </w:r>
      <w:r w:rsidRPr="00B844C4">
        <w:t>the west, and a groundwater divide near the City of Morgan Hill to the south (California’s Groundwater 2004).</w:t>
      </w:r>
      <w:r>
        <w:t xml:space="preserve"> The project would</w:t>
      </w:r>
      <w:r w:rsidR="00F6628A">
        <w:t xml:space="preserve"> involve the development of an office structure, surface parking lot, and various patios and walkways that would</w:t>
      </w:r>
      <w:r w:rsidR="00A72C3D">
        <w:t xml:space="preserve"> increase the </w:t>
      </w:r>
      <w:r w:rsidR="00F6628A">
        <w:t>amount</w:t>
      </w:r>
      <w:r w:rsidR="00A72C3D">
        <w:t xml:space="preserve"> of impervious surfaces on the </w:t>
      </w:r>
      <w:r w:rsidR="00F6628A">
        <w:t xml:space="preserve">project site compared to existing conditions. Stormwater runoff from the site currently drains north into the existing storm drain on Terra Bella Avenue. The addition of impervious surfaces could impact stormwater flows and groundwater recharge. To address this change, </w:t>
      </w:r>
      <w:r>
        <w:t xml:space="preserve">, the project would </w:t>
      </w:r>
      <w:r w:rsidR="0050549F">
        <w:t xml:space="preserve">include </w:t>
      </w:r>
      <w:r>
        <w:t>the installation of four bioretention treatment areas, located along the northern perimeter of the site, the western side of the proposed office structure, the northwestern corner of the site, and in the southern end of the surface parking lot. There would be a total of approximately 2,250 square feet of bioretention areas with up to six inches of ponding depth</w:t>
      </w:r>
      <w:r w:rsidR="004B65B7" w:rsidRPr="00AC1C51">
        <w:rPr>
          <w:rStyle w:val="FootnoteReference"/>
          <w:vertAlign w:val="superscript"/>
        </w:rPr>
        <w:footnoteReference w:id="5"/>
      </w:r>
      <w:r>
        <w:t xml:space="preserve"> (</w:t>
      </w:r>
      <w:r w:rsidR="0053638B">
        <w:t>Appendix PPS</w:t>
      </w:r>
      <w:r>
        <w:t xml:space="preserve">). </w:t>
      </w:r>
      <w:r w:rsidR="004667C4">
        <w:t>The</w:t>
      </w:r>
      <w:r w:rsidR="00F3147A">
        <w:t xml:space="preserve"> bioretention areas located on the site’s northern and northwestern boundary </w:t>
      </w:r>
      <w:r w:rsidR="004667C4">
        <w:t xml:space="preserve">would capture increased </w:t>
      </w:r>
      <w:r w:rsidR="00F3147A">
        <w:t>stormwater runoff as it flows northward. Further, the bioretention area located in the southern end of the parking lot would capture increased runoff from the parking lot. Together, these areas would capture stormwater and would allow for</w:t>
      </w:r>
      <w:r>
        <w:t xml:space="preserve"> groundwater recharge. </w:t>
      </w:r>
      <w:r w:rsidRPr="00FE3143">
        <w:t xml:space="preserve">Remaining water that </w:t>
      </w:r>
      <w:r w:rsidR="00604490">
        <w:t>would</w:t>
      </w:r>
      <w:r w:rsidRPr="00FE3143">
        <w:t xml:space="preserve"> not recharge into the groundwater would be released into the City’s existing storm drain system</w:t>
      </w:r>
      <w:r w:rsidR="004667C4">
        <w:t xml:space="preserve"> via the storm drain on Terra Bella Avenue</w:t>
      </w:r>
      <w:r w:rsidR="00F3147A">
        <w:t>, which outfalls into the San Francisco Bay</w:t>
      </w:r>
      <w:r w:rsidR="00275B75">
        <w:t xml:space="preserve">. </w:t>
      </w:r>
      <w:r w:rsidR="00D04F2F">
        <w:t xml:space="preserve">The project would be required to comply with MVMC Section 35.34, </w:t>
      </w:r>
      <w:r w:rsidR="0021116D">
        <w:t xml:space="preserve">which requires development to implement permanent stormwater pollution prevention measures that are consistent with the City’s NPDES permit and the City’s Stormwater Quality Guidelines for Development projects. The project applicant would be required to submit a stormwater management plan that would be subject to City approval. </w:t>
      </w:r>
      <w:r w:rsidR="00D04F2F">
        <w:t>T</w:t>
      </w:r>
      <w:r>
        <w:t>he project would</w:t>
      </w:r>
      <w:r w:rsidR="0021116D">
        <w:t xml:space="preserve"> also</w:t>
      </w:r>
      <w:r>
        <w:t xml:space="preserve"> comply with the City’s C.3 Stormwater Handbook, which outlines acceptable stormwater controls under the NPDES permit issued by RWQCB. Therefore, project operation would not substantially interfere with groundwater recharge, impact groundwater quality, or impede sustainable groundwater management of the Santa Clara Valley Groundwater Subbasin. </w:t>
      </w:r>
    </w:p>
    <w:p w14:paraId="35E982F9" w14:textId="7178124E" w:rsidR="00A60F8D" w:rsidRDefault="00BC78C0" w:rsidP="00A60F8D">
      <w:pPr>
        <w:pStyle w:val="body0"/>
      </w:pPr>
      <w:r>
        <w:t xml:space="preserve">The City of Mountain View would supply water to the project site. </w:t>
      </w:r>
      <w:r w:rsidR="00A60F8D">
        <w:t>The San Francisco Public Utilities Commission (SFPUC) provides 87 percent of Mountain View’s water supply. Remaining supply is provided by the Santa Clara Valley Water District (SCVWD) (10 percent) and local groundwater sources (3 percent). Small parts of the City</w:t>
      </w:r>
      <w:r>
        <w:t xml:space="preserve">, not including the project site, </w:t>
      </w:r>
      <w:r w:rsidR="00A60F8D">
        <w:t xml:space="preserve">receive water supplied by California Water </w:t>
      </w:r>
      <w:r w:rsidR="00A60F8D" w:rsidRPr="00B844C4">
        <w:t>Company (City of Mountain View 2013). Mountain</w:t>
      </w:r>
      <w:r w:rsidR="00A60F8D">
        <w:t xml:space="preserve"> View’s 2020 Urban Water Management Plan (UWMP) anticipates future growth in the City which includes the project, as allowed under existing land use and zoning </w:t>
      </w:r>
      <w:r w:rsidR="00A60F8D" w:rsidRPr="00B844C4">
        <w:t>designations (City of Mountain View 2020).</w:t>
      </w:r>
      <w:r w:rsidR="00A60F8D">
        <w:t xml:space="preserve"> The project would not extract groundwater or directly interfere with the groundwater </w:t>
      </w:r>
      <w:r w:rsidR="00A60F8D" w:rsidRPr="00FE3143">
        <w:t>table through construction activities on the site, as ground disturbance would not occur below the water table. Because the project would be served by a water utility with enough supply that does not extract groundwater, and the project would not interfere with groundwater recharge, impacts would be less than significant.</w:t>
      </w:r>
    </w:p>
    <w:p w14:paraId="5E20861F" w14:textId="7317F626" w:rsidR="007D575A" w:rsidRDefault="00817BC5" w:rsidP="00FE3143">
      <w:pPr>
        <w:pStyle w:val="BodyText"/>
        <w:rPr>
          <w:rStyle w:val="DropdownList"/>
        </w:rPr>
      </w:pPr>
      <w:sdt>
        <w:sdtPr>
          <w:rPr>
            <w:rStyle w:val="DropdownList"/>
            <w:highlight w:val="lightGray"/>
          </w:rPr>
          <w:alias w:val="1a"/>
          <w:tag w:val="dropdown"/>
          <w:id w:val="-2086995957"/>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highlight w:val="none"/>
          </w:rPr>
        </w:sdtEndPr>
        <w:sdtContent>
          <w:r w:rsidR="007D575A" w:rsidRPr="007D575A">
            <w:rPr>
              <w:rStyle w:val="DropdownList"/>
            </w:rPr>
            <w:t>Less Than Significant Impact</w:t>
          </w:r>
        </w:sdtContent>
      </w:sdt>
    </w:p>
    <w:bookmarkEnd w:id="256"/>
    <w:p w14:paraId="104E9D86" w14:textId="586BE677" w:rsidR="00D41409" w:rsidRPr="00BD59DF" w:rsidRDefault="00542725" w:rsidP="008E2EDF">
      <w:pPr>
        <w:pStyle w:val="BulletLtrManAFTER"/>
        <w:ind w:left="576" w:hanging="576"/>
        <w:rPr>
          <w:rStyle w:val="DropdownList"/>
          <w:rFonts w:asciiTheme="minorHAnsi" w:hAnsiTheme="minorHAnsi"/>
          <w:b w:val="0"/>
          <w:caps w:val="0"/>
        </w:rPr>
      </w:pPr>
      <w:r w:rsidRPr="00BD59DF">
        <w:t>c.</w:t>
      </w:r>
      <w:r w:rsidR="00035B6A" w:rsidRPr="00BD59DF">
        <w:t>(i)</w:t>
      </w:r>
      <w:r w:rsidRPr="00BD59DF">
        <w:tab/>
      </w:r>
      <w:r w:rsidR="00514A7B" w:rsidRPr="00BD59DF">
        <w:t>Would the project</w:t>
      </w:r>
      <w:r w:rsidR="00405CD7" w:rsidRPr="00BD59DF">
        <w:t xml:space="preserve"> substantially alter the existing drainage pattern of the site or area, including through the alteration of the course of a stream or river or through the addition of impervious surfaces, in a manner </w:t>
      </w:r>
      <w:r w:rsidR="00035B6A" w:rsidRPr="00BD59DF">
        <w:t>which</w:t>
      </w:r>
      <w:r w:rsidR="00405CD7" w:rsidRPr="00BD59DF">
        <w:t xml:space="preserve"> would</w:t>
      </w:r>
      <w:r w:rsidR="00035B6A" w:rsidRPr="00BD59DF">
        <w:t xml:space="preserve"> result in substantial erosion or </w:t>
      </w:r>
      <w:r w:rsidR="005401D1" w:rsidRPr="00BD59DF">
        <w:t>siltation</w:t>
      </w:r>
      <w:r w:rsidR="00035B6A" w:rsidRPr="00BD59DF">
        <w:t xml:space="preserve"> on- or off-site?</w:t>
      </w:r>
    </w:p>
    <w:p w14:paraId="09939C69" w14:textId="752CCD29" w:rsidR="00D41409" w:rsidRPr="00BD59DF" w:rsidRDefault="00035B6A" w:rsidP="00F97E5E">
      <w:pPr>
        <w:pStyle w:val="BulletLtrManAFTER"/>
        <w:spacing w:before="120"/>
        <w:ind w:left="576" w:hanging="576"/>
        <w:rPr>
          <w:rStyle w:val="DropdownList"/>
          <w:rFonts w:asciiTheme="minorHAnsi" w:hAnsiTheme="minorHAnsi"/>
          <w:b w:val="0"/>
          <w:caps w:val="0"/>
        </w:rPr>
      </w:pPr>
      <w:r w:rsidRPr="00BD59DF">
        <w:t>c.(ii)</w:t>
      </w:r>
      <w:r w:rsidRPr="00BD59DF">
        <w:tab/>
      </w:r>
      <w:r w:rsidR="002A5569" w:rsidRPr="00BD59DF">
        <w:t xml:space="preserve">Would the project substantially alter the existing drainage pattern of the site or area, including through the alteration of the course of a stream or river or through the addition of impervious surfaces, in a manner which would substantially increase the rate or amount of surface runoff in a manner which would </w:t>
      </w:r>
      <w:r w:rsidR="00CB0791" w:rsidRPr="00BD59DF">
        <w:t>result in flooding on- or off-site</w:t>
      </w:r>
      <w:r w:rsidR="00D41409" w:rsidRPr="00BD59DF">
        <w:t>?</w:t>
      </w:r>
    </w:p>
    <w:p w14:paraId="7EE41300" w14:textId="557CEF66" w:rsidR="00035B6A" w:rsidRDefault="00035B6A" w:rsidP="00F97E5E">
      <w:pPr>
        <w:pStyle w:val="BulletLtrManAFTER"/>
        <w:spacing w:before="120"/>
        <w:ind w:left="576" w:hanging="576"/>
      </w:pPr>
      <w:r w:rsidRPr="00BD59DF">
        <w:t>c.(iii)</w:t>
      </w:r>
      <w:r w:rsidRPr="00BD59DF">
        <w:tab/>
        <w:t xml:space="preserve">Would the project substantially alter the existing drainage pattern of the site or area, including through the alteration of the course of a stream or river or through the addition of impervious surfaces, in a manner that would </w:t>
      </w:r>
      <w:r w:rsidR="00D41409" w:rsidRPr="00BD59DF">
        <w:t>create or contribute runoff water which would exceed the capacity of existing or planned stormwater drainage systems or provide substantial additional sources of polluted runoff?</w:t>
      </w:r>
    </w:p>
    <w:p w14:paraId="244B16F4" w14:textId="77777777" w:rsidR="007517FF" w:rsidRPr="00786E6B" w:rsidRDefault="007517FF" w:rsidP="005A7336">
      <w:pPr>
        <w:pStyle w:val="BulletLtrManAFTER"/>
        <w:spacing w:before="120"/>
        <w:ind w:left="576" w:hanging="576"/>
      </w:pPr>
      <w:r w:rsidRPr="00786E6B">
        <w:t>c.(iv)</w:t>
      </w:r>
      <w:r w:rsidRPr="00786E6B">
        <w:tab/>
        <w:t>Would the project substantially alter the existing drainage pattern of the site or area, including through the alteration of the course of a stream or river or through the addition of impervious surfaces, in a manner which would impede or redirect flood flows?</w:t>
      </w:r>
    </w:p>
    <w:p w14:paraId="040391EA" w14:textId="3E57DA75" w:rsidR="00E5177B" w:rsidRDefault="001C272B" w:rsidP="00E5177B">
      <w:pPr>
        <w:pStyle w:val="Body"/>
        <w:rPr>
          <w:highlight w:val="lightGray"/>
        </w:rPr>
      </w:pPr>
      <w:r>
        <w:t xml:space="preserve">Stevens Creek is approximately 0.47 mile east of the project </w:t>
      </w:r>
      <w:r w:rsidR="00702BCE">
        <w:t>site and</w:t>
      </w:r>
      <w:r>
        <w:t xml:space="preserve"> does not flow through or adjacent to the site. Existing development between the project site and Stevens Creek includes roadways</w:t>
      </w:r>
      <w:r w:rsidR="00A36345">
        <w:t xml:space="preserve"> as well as </w:t>
      </w:r>
      <w:r>
        <w:t xml:space="preserve">commercial and industrial developments. Permanente Creek is 0.52 mile west of the project </w:t>
      </w:r>
      <w:r w:rsidR="00E61D17">
        <w:t>site and</w:t>
      </w:r>
      <w:r>
        <w:t xml:space="preserve"> does not flow through or adjacent </w:t>
      </w:r>
      <w:r w:rsidR="00E5177B">
        <w:t>to the site. Existing development between the project site and Permanente Creek includes roadway</w:t>
      </w:r>
      <w:r w:rsidR="00A36345">
        <w:t>s as well as</w:t>
      </w:r>
      <w:r w:rsidR="00E5177B">
        <w:t xml:space="preserve"> commercial and residential developments</w:t>
      </w:r>
      <w:r w:rsidR="00E5177B" w:rsidRPr="00E5177B">
        <w:t xml:space="preserve">. </w:t>
      </w:r>
      <w:r w:rsidR="00404FF8" w:rsidRPr="00E5177B">
        <w:t xml:space="preserve">Project construction would not alter the course of this creek </w:t>
      </w:r>
      <w:r w:rsidR="007C3A97" w:rsidRPr="00E5177B">
        <w:t xml:space="preserve">or the canal </w:t>
      </w:r>
      <w:r w:rsidR="00404FF8" w:rsidRPr="00E5177B">
        <w:t xml:space="preserve">or any other streams or rivers. </w:t>
      </w:r>
    </w:p>
    <w:p w14:paraId="60A84402" w14:textId="6895D907" w:rsidR="00DA0949" w:rsidRPr="00E5177B" w:rsidRDefault="00E5177B" w:rsidP="00DA0949">
      <w:pPr>
        <w:pStyle w:val="Body"/>
      </w:pPr>
      <w:r w:rsidRPr="00E5177B">
        <w:t xml:space="preserve">The project site was previously developed but is currently vacant. </w:t>
      </w:r>
      <w:r w:rsidR="00DA0949">
        <w:t xml:space="preserve">The project would introduce </w:t>
      </w:r>
      <w:r w:rsidR="00176900">
        <w:t>new impervious surfaces, which would increase stormwater runoff</w:t>
      </w:r>
      <w:r w:rsidR="00211E50">
        <w:t xml:space="preserve"> from the project site</w:t>
      </w:r>
      <w:r w:rsidR="00176900">
        <w:t xml:space="preserve">. </w:t>
      </w:r>
      <w:r w:rsidR="00DA0949" w:rsidRPr="00DA0949">
        <w:t>However, the project would include</w:t>
      </w:r>
      <w:r w:rsidR="00176900">
        <w:t xml:space="preserve"> approximately 2,250 square feet of</w:t>
      </w:r>
      <w:r w:rsidR="00DA0949" w:rsidRPr="00DA0949">
        <w:t xml:space="preserve"> bioretention </w:t>
      </w:r>
      <w:r w:rsidR="00176900">
        <w:t>areas</w:t>
      </w:r>
      <w:r w:rsidR="00176900" w:rsidRPr="00DA0949">
        <w:t xml:space="preserve"> </w:t>
      </w:r>
      <w:r w:rsidR="00DA0949" w:rsidRPr="00DA0949">
        <w:t xml:space="preserve">to promote filtration and infiltration of stormwater from the project site. Stormwater control measures incorporated into the project’s site design include flow-through planters and landscaped bio-retention basins. Landscaping would be used on the site to minimize irrigation, runoff, pesticides, and fertilizers that could contribute to runoff and to promote treatment of runoff. Although </w:t>
      </w:r>
      <w:r w:rsidR="00211E50">
        <w:t>the amount of impervious surfaces would increase at the project site</w:t>
      </w:r>
      <w:r w:rsidR="00DA0949" w:rsidRPr="00DA0949">
        <w:t xml:space="preserve">, stormwater control measures </w:t>
      </w:r>
      <w:r w:rsidR="00583DE2">
        <w:t xml:space="preserve">and NPDES permit requirements </w:t>
      </w:r>
      <w:r w:rsidR="00DA0949" w:rsidRPr="00DA0949">
        <w:t>would reduce the amount of runoff that would enter the storm drain system compared to existing conditions and no additional measures would be required. Impacts would be less than significant.</w:t>
      </w:r>
    </w:p>
    <w:p w14:paraId="65455A66" w14:textId="4E757B28" w:rsidR="00D8639F" w:rsidRPr="000E45CD" w:rsidRDefault="00D8639F" w:rsidP="00404FF8">
      <w:pPr>
        <w:pStyle w:val="BodyText"/>
        <w:rPr>
          <w:highlight w:val="lightGray"/>
        </w:rPr>
      </w:pPr>
      <w:r w:rsidRPr="00DA0949">
        <w:t xml:space="preserve">The project would connect to the City’s storm drain system, </w:t>
      </w:r>
      <w:r w:rsidR="00604490">
        <w:t>which</w:t>
      </w:r>
      <w:r w:rsidRPr="00DA0949">
        <w:t xml:space="preserve"> delivers stormwater and other runoff into local streams and creeks and ultimately to </w:t>
      </w:r>
      <w:r w:rsidR="00DA0949" w:rsidRPr="00DA0949">
        <w:t>the San Francisc</w:t>
      </w:r>
      <w:r w:rsidR="00DA0949" w:rsidRPr="00786E6B">
        <w:t>o</w:t>
      </w:r>
      <w:r w:rsidRPr="00786E6B">
        <w:t xml:space="preserve"> Bay. The project </w:t>
      </w:r>
      <w:r w:rsidR="00DA0949" w:rsidRPr="00786E6B">
        <w:t xml:space="preserve">would cover </w:t>
      </w:r>
      <w:r w:rsidR="007517FF">
        <w:t xml:space="preserve">approximately </w:t>
      </w:r>
      <w:r w:rsidR="00DA0949" w:rsidRPr="00786E6B">
        <w:t xml:space="preserve">35 percent of the site with impermeable </w:t>
      </w:r>
      <w:r w:rsidR="00786E6B" w:rsidRPr="00786E6B">
        <w:t>surfaces but</w:t>
      </w:r>
      <w:r w:rsidR="00B91E0B" w:rsidRPr="00786E6B">
        <w:t xml:space="preserve"> w</w:t>
      </w:r>
      <w:r w:rsidR="00061D8E" w:rsidRPr="00786E6B">
        <w:t>ould</w:t>
      </w:r>
      <w:r w:rsidR="00786E6B" w:rsidRPr="00786E6B">
        <w:t xml:space="preserve"> also</w:t>
      </w:r>
      <w:r w:rsidR="00B91E0B" w:rsidRPr="00786E6B">
        <w:t xml:space="preserve"> incorporate </w:t>
      </w:r>
      <w:r w:rsidR="00176900">
        <w:t>four stormwater bioretention areas totaling approximately 2,250 square feet</w:t>
      </w:r>
      <w:r w:rsidR="00BA244C">
        <w:t>.</w:t>
      </w:r>
      <w:r w:rsidR="00176900">
        <w:t xml:space="preserve"> </w:t>
      </w:r>
      <w:r w:rsidR="00B91E0B" w:rsidRPr="00786E6B">
        <w:t xml:space="preserve">to ensure that post project stormwater runoff </w:t>
      </w:r>
      <w:r w:rsidR="00061D8E" w:rsidRPr="00786E6B">
        <w:t>would</w:t>
      </w:r>
      <w:r w:rsidR="00B91E0B" w:rsidRPr="00786E6B">
        <w:t xml:space="preserve"> not exceed existing condition</w:t>
      </w:r>
      <w:r w:rsidR="00061D8E" w:rsidRPr="00786E6B">
        <w:t>s</w:t>
      </w:r>
      <w:r w:rsidR="003D3072" w:rsidRPr="00786E6B">
        <w:t xml:space="preserve"> (</w:t>
      </w:r>
      <w:r w:rsidR="0053638B">
        <w:t>Appendix PPS</w:t>
      </w:r>
      <w:r w:rsidR="003D3072" w:rsidRPr="00786E6B">
        <w:t>)</w:t>
      </w:r>
      <w:r w:rsidRPr="00786E6B">
        <w:t>. T</w:t>
      </w:r>
      <w:r w:rsidRPr="00DA0949">
        <w:t xml:space="preserve">herefore, the project would not result in flooding on or off site or substantial erosion or siltation of a creek or river. </w:t>
      </w:r>
    </w:p>
    <w:p w14:paraId="0C520E5E" w14:textId="63353362" w:rsidR="00D41409" w:rsidRPr="000E45CD" w:rsidRDefault="00817BC5" w:rsidP="00D41409">
      <w:pPr>
        <w:spacing w:before="120"/>
        <w:rPr>
          <w:rStyle w:val="DropdownList"/>
          <w:highlight w:val="lightGray"/>
        </w:rPr>
      </w:pPr>
      <w:sdt>
        <w:sdtPr>
          <w:rPr>
            <w:rStyle w:val="DropdownList"/>
            <w:highlight w:val="lightGray"/>
          </w:rPr>
          <w:alias w:val="1a"/>
          <w:tag w:val="dropdown"/>
          <w:id w:val="804278147"/>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highlight w:val="none"/>
          </w:rPr>
        </w:sdtEndPr>
        <w:sdtContent>
          <w:r w:rsidR="000E45CD" w:rsidRPr="000E45CD">
            <w:rPr>
              <w:rStyle w:val="DropdownList"/>
            </w:rPr>
            <w:t>Less Than Significant Impact</w:t>
          </w:r>
        </w:sdtContent>
      </w:sdt>
    </w:p>
    <w:p w14:paraId="31D10EC3" w14:textId="6697F17E" w:rsidR="007517FF" w:rsidRPr="00702BCE" w:rsidRDefault="007517FF" w:rsidP="008E2EDF">
      <w:pPr>
        <w:pStyle w:val="BulletLtrManAFTER"/>
      </w:pPr>
      <w:r w:rsidRPr="00702BCE">
        <w:t>d.</w:t>
      </w:r>
      <w:r w:rsidRPr="00702BCE">
        <w:tab/>
        <w:t>In flood hazard, tsunami, or seiche zones, would the project risk release of pollutants due to project inundation?</w:t>
      </w:r>
    </w:p>
    <w:p w14:paraId="6313DF27" w14:textId="4434BF2D" w:rsidR="0002162C" w:rsidRPr="008D7567" w:rsidRDefault="0002162C" w:rsidP="0002162C">
      <w:pPr>
        <w:pStyle w:val="BodyText"/>
      </w:pPr>
      <w:r w:rsidRPr="00786E6B">
        <w:t xml:space="preserve">According to the Federal Emergency Management Agency </w:t>
      </w:r>
      <w:r w:rsidR="004C72FE">
        <w:t xml:space="preserve">(FEMA) </w:t>
      </w:r>
      <w:r w:rsidRPr="00786E6B">
        <w:t xml:space="preserve">Flood Insurance Rate Map, the project site is located in Zone X, which is characterized as an area of minimal flood hazard and having a less than 0.2 percent annual chance to be inundated by flood waters as a result of a storm </w:t>
      </w:r>
      <w:r w:rsidRPr="004C72FE">
        <w:t>event (Map #0</w:t>
      </w:r>
      <w:r w:rsidR="00786E6B" w:rsidRPr="004C72FE">
        <w:t>6085C0037H</w:t>
      </w:r>
      <w:r w:rsidRPr="004C72FE">
        <w:t xml:space="preserve">, </w:t>
      </w:r>
      <w:r w:rsidR="00786E6B" w:rsidRPr="004C72FE">
        <w:t>May 18</w:t>
      </w:r>
      <w:r w:rsidRPr="004C72FE">
        <w:t>, 2009) (</w:t>
      </w:r>
      <w:r w:rsidR="004C72FE" w:rsidRPr="004C72FE">
        <w:t>FEMA</w:t>
      </w:r>
      <w:r w:rsidRPr="004C72FE">
        <w:t xml:space="preserve"> 2020). </w:t>
      </w:r>
      <w:r w:rsidRPr="008D7567">
        <w:t xml:space="preserve">According to the California Governor’s Office of Emergency Services (Cal OES) MyHazards online database, the project site is not located in a 100-year floodplain (Cal OES 2015). </w:t>
      </w:r>
    </w:p>
    <w:p w14:paraId="1DE6B855" w14:textId="1A67CEAC" w:rsidR="00702BCE" w:rsidRPr="00C265A6" w:rsidRDefault="00702BCE" w:rsidP="00702BCE">
      <w:pPr>
        <w:pStyle w:val="body0"/>
      </w:pPr>
      <w:r w:rsidRPr="00816775">
        <w:t xml:space="preserve">The </w:t>
      </w:r>
      <w:r>
        <w:t xml:space="preserve">project </w:t>
      </w:r>
      <w:r w:rsidR="00985F82">
        <w:t xml:space="preserve">site </w:t>
      </w:r>
      <w:r>
        <w:t xml:space="preserve">is located approximately 1.8 miles south of the San Francisco </w:t>
      </w:r>
      <w:r w:rsidR="00E61D17">
        <w:t>Bay and</w:t>
      </w:r>
      <w:r>
        <w:t xml:space="preserve"> is not located in a tsunami or seiche zone, as shown in the Santa Clara County Tsunami Hazard Areas maps produced by the California Department of Conservation (DOC) (DOC 2021). </w:t>
      </w:r>
      <w:r w:rsidRPr="00792927">
        <w:t xml:space="preserve">The nearest body of water that could experience seiche (water level oscillations in an enclosed or partially enclosed body of water) is the </w:t>
      </w:r>
      <w:r>
        <w:t>San Francisco</w:t>
      </w:r>
      <w:r w:rsidRPr="00792927">
        <w:t xml:space="preserve"> Bay. No other large bodies of water with the potential to inundate the project site by a seiche are located near the site. Therefore, the proposed project would not result in the risk of release of pollutants due to inundation by a tsunami, seiche, or flooding. Impacts would be less than significant.</w:t>
      </w:r>
    </w:p>
    <w:p w14:paraId="373A5E4F" w14:textId="77777777" w:rsidR="00702BCE" w:rsidRPr="00702BCE" w:rsidRDefault="00817BC5" w:rsidP="00702BCE">
      <w:pPr>
        <w:spacing w:before="120"/>
        <w:rPr>
          <w:rStyle w:val="DropdownList"/>
          <w:highlight w:val="lightGray"/>
        </w:rPr>
      </w:pPr>
      <w:sdt>
        <w:sdtPr>
          <w:rPr>
            <w:rStyle w:val="DropdownList"/>
            <w:highlight w:val="lightGray"/>
          </w:rPr>
          <w:alias w:val="1a"/>
          <w:tag w:val="dropdown"/>
          <w:id w:val="-1475129508"/>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highlight w:val="none"/>
          </w:rPr>
        </w:sdtEndPr>
        <w:sdtContent>
          <w:r w:rsidR="00702BCE" w:rsidRPr="00702BCE">
            <w:rPr>
              <w:rStyle w:val="DropdownList"/>
            </w:rPr>
            <w:t>Less Than Significant Impact</w:t>
          </w:r>
        </w:sdtContent>
      </w:sdt>
    </w:p>
    <w:p w14:paraId="5540D6D6" w14:textId="77777777" w:rsidR="00702BCE" w:rsidRPr="00702BCE" w:rsidRDefault="00702BCE" w:rsidP="000556E7">
      <w:pPr>
        <w:pStyle w:val="BulletLtrManAFTER"/>
        <w:rPr>
          <w:highlight w:val="lightGray"/>
        </w:rPr>
      </w:pPr>
      <w:r w:rsidRPr="009E44C2">
        <w:t>e.</w:t>
      </w:r>
      <w:r w:rsidRPr="00792927">
        <w:tab/>
        <w:t>Would the project conflict with or obstruct implementation of a water quality control plan or sustainable groundwater management plan?</w:t>
      </w:r>
    </w:p>
    <w:p w14:paraId="337EBD4A" w14:textId="3BA29464" w:rsidR="00702BCE" w:rsidRPr="00702BCE" w:rsidRDefault="00702BCE" w:rsidP="00702BCE">
      <w:pPr>
        <w:spacing w:before="120"/>
        <w:rPr>
          <w:rFonts w:ascii="Calibri" w:hAnsi="Calibri"/>
          <w:sz w:val="22"/>
          <w:szCs w:val="22"/>
          <w:highlight w:val="lightGray"/>
        </w:rPr>
      </w:pPr>
      <w:r w:rsidRPr="00792927">
        <w:rPr>
          <w:rFonts w:ascii="Calibri" w:hAnsi="Calibri"/>
          <w:sz w:val="22"/>
          <w:szCs w:val="22"/>
        </w:rPr>
        <w:t>The Mountain View Public Works Department would serve the project and this agency maintains an UWMP (</w:t>
      </w:r>
      <w:r>
        <w:rPr>
          <w:rFonts w:ascii="Calibri" w:hAnsi="Calibri"/>
          <w:sz w:val="22"/>
          <w:szCs w:val="22"/>
        </w:rPr>
        <w:t>City of Mountain View</w:t>
      </w:r>
      <w:r w:rsidRPr="00792927">
        <w:rPr>
          <w:rFonts w:ascii="Calibri" w:hAnsi="Calibri"/>
          <w:sz w:val="22"/>
          <w:szCs w:val="22"/>
        </w:rPr>
        <w:t xml:space="preserve"> </w:t>
      </w:r>
      <w:r>
        <w:rPr>
          <w:rFonts w:ascii="Calibri" w:hAnsi="Calibri"/>
          <w:sz w:val="22"/>
          <w:szCs w:val="22"/>
        </w:rPr>
        <w:t>2020b</w:t>
      </w:r>
      <w:r w:rsidRPr="00C265A6">
        <w:rPr>
          <w:rFonts w:ascii="Calibri" w:hAnsi="Calibri"/>
          <w:sz w:val="22"/>
          <w:szCs w:val="22"/>
        </w:rPr>
        <w:t>). The City utilizes water treatment plants</w:t>
      </w:r>
      <w:r w:rsidR="0071295D">
        <w:rPr>
          <w:rFonts w:ascii="Calibri" w:hAnsi="Calibri"/>
          <w:sz w:val="22"/>
          <w:szCs w:val="22"/>
        </w:rPr>
        <w:t>, such as the Regional Water Quality Control Plant</w:t>
      </w:r>
      <w:r w:rsidRPr="00C265A6">
        <w:rPr>
          <w:rFonts w:ascii="Calibri" w:hAnsi="Calibri"/>
          <w:sz w:val="22"/>
          <w:szCs w:val="22"/>
        </w:rPr>
        <w:t xml:space="preserve"> maintained by the Santa Clara Valley Water District and the City of Palo Alto</w:t>
      </w:r>
      <w:r w:rsidR="0071295D">
        <w:rPr>
          <w:rFonts w:ascii="Calibri" w:hAnsi="Calibri"/>
          <w:sz w:val="22"/>
          <w:szCs w:val="22"/>
        </w:rPr>
        <w:t xml:space="preserve">, </w:t>
      </w:r>
      <w:r w:rsidRPr="00C265A6">
        <w:rPr>
          <w:rFonts w:ascii="Calibri" w:hAnsi="Calibri"/>
          <w:sz w:val="22"/>
          <w:szCs w:val="22"/>
        </w:rPr>
        <w:t xml:space="preserve">to ensure water quality standards and goals are met. The project would not interfere with the ability of the City to maintain water quality standards per the UWMP. The City </w:t>
      </w:r>
      <w:r>
        <w:rPr>
          <w:rFonts w:ascii="Calibri" w:hAnsi="Calibri"/>
          <w:sz w:val="22"/>
          <w:szCs w:val="22"/>
        </w:rPr>
        <w:t>uses a minimal amount of groundwater</w:t>
      </w:r>
      <w:r w:rsidRPr="00C265A6">
        <w:rPr>
          <w:rFonts w:ascii="Calibri" w:hAnsi="Calibri"/>
          <w:sz w:val="22"/>
          <w:szCs w:val="22"/>
        </w:rPr>
        <w:t xml:space="preserve">. Therefore, project implementation would not conflict with a sustainable groundwater management plan. Moreover, as outlined above in item (a), the proposed grading would be required to comply with applicable provisions of MVMC Section 35.32.3, which ensures protection of watercourses and drainage. Impacts would be less than significant. </w:t>
      </w:r>
    </w:p>
    <w:p w14:paraId="3DD17796" w14:textId="360381F5" w:rsidR="00702BCE" w:rsidRPr="00702BCE" w:rsidRDefault="00817BC5" w:rsidP="00702BCE">
      <w:pPr>
        <w:spacing w:before="120"/>
        <w:rPr>
          <w:rFonts w:ascii="Calibri" w:hAnsi="Calibri"/>
          <w:b/>
          <w:caps/>
          <w:sz w:val="22"/>
          <w:highlight w:val="lightGray"/>
        </w:rPr>
      </w:pPr>
      <w:sdt>
        <w:sdtPr>
          <w:rPr>
            <w:rStyle w:val="DropdownList"/>
            <w:highlight w:val="lightGray"/>
          </w:rPr>
          <w:alias w:val="1a"/>
          <w:tag w:val="dropdown"/>
          <w:id w:val="-1690366474"/>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highlight w:val="none"/>
          </w:rPr>
        </w:sdtEndPr>
        <w:sdtContent>
          <w:r w:rsidR="00702BCE" w:rsidRPr="00702BCE">
            <w:rPr>
              <w:rStyle w:val="DropdownList"/>
            </w:rPr>
            <w:t>Less Than Significant Impact</w:t>
          </w:r>
        </w:sdtContent>
      </w:sdt>
    </w:p>
    <w:p w14:paraId="6FE0A8C8" w14:textId="77777777" w:rsidR="00702BCE" w:rsidRDefault="00702BCE" w:rsidP="00F9294F">
      <w:pPr>
        <w:pStyle w:val="BlankIntentionally"/>
      </w:pPr>
    </w:p>
    <w:p w14:paraId="655D09E3" w14:textId="01B09F6C" w:rsidR="00F97E5E" w:rsidRPr="00870F1A" w:rsidRDefault="00F97E5E" w:rsidP="00F9294F">
      <w:pPr>
        <w:pStyle w:val="BlankIntentionally"/>
      </w:pPr>
      <w:r w:rsidRPr="00870F1A">
        <w:t>This page intentionally left blank.</w:t>
      </w:r>
    </w:p>
    <w:p w14:paraId="6F689769" w14:textId="5AB6A654" w:rsidR="00542725" w:rsidRPr="00964C58" w:rsidRDefault="00542725" w:rsidP="00275B75">
      <w:pPr>
        <w:pStyle w:val="Heading3CEQA"/>
      </w:pPr>
      <w:bookmarkStart w:id="257" w:name="_Toc453855772"/>
      <w:bookmarkStart w:id="258" w:name="_Toc475630719"/>
      <w:bookmarkStart w:id="259" w:name="_Toc112942436"/>
      <w:r w:rsidRPr="00964C58">
        <w:t>Land Use and Planning</w:t>
      </w:r>
      <w:bookmarkEnd w:id="257"/>
      <w:bookmarkEnd w:id="258"/>
      <w:bookmarkEnd w:id="259"/>
    </w:p>
    <w:tbl>
      <w:tblPr>
        <w:tblW w:w="9047" w:type="dxa"/>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
        <w:gridCol w:w="4335"/>
        <w:gridCol w:w="1184"/>
        <w:gridCol w:w="8"/>
        <w:gridCol w:w="1212"/>
        <w:gridCol w:w="12"/>
        <w:gridCol w:w="1098"/>
        <w:gridCol w:w="1188"/>
      </w:tblGrid>
      <w:tr w:rsidR="00542725" w:rsidRPr="00964C58" w14:paraId="592909E6" w14:textId="77777777" w:rsidTr="00F97E5E">
        <w:trPr>
          <w:tblHeader/>
        </w:trPr>
        <w:tc>
          <w:tcPr>
            <w:tcW w:w="4345" w:type="dxa"/>
            <w:gridSpan w:val="2"/>
            <w:tcBorders>
              <w:top w:val="nil"/>
              <w:right w:val="nil"/>
            </w:tcBorders>
            <w:shd w:val="clear" w:color="auto" w:fill="D9D9D9"/>
            <w:tcMar>
              <w:top w:w="20" w:type="dxa"/>
              <w:left w:w="115" w:type="dxa"/>
              <w:bottom w:w="20" w:type="dxa"/>
              <w:right w:w="115" w:type="dxa"/>
            </w:tcMar>
            <w:vAlign w:val="bottom"/>
          </w:tcPr>
          <w:p w14:paraId="1A857781" w14:textId="77777777" w:rsidR="00542725" w:rsidRPr="00964C58" w:rsidRDefault="00542725" w:rsidP="0007759E">
            <w:pPr>
              <w:pStyle w:val="TableHeadings"/>
            </w:pPr>
          </w:p>
        </w:tc>
        <w:tc>
          <w:tcPr>
            <w:tcW w:w="1184" w:type="dxa"/>
            <w:tcBorders>
              <w:top w:val="nil"/>
              <w:left w:val="nil"/>
              <w:right w:val="nil"/>
            </w:tcBorders>
            <w:shd w:val="clear" w:color="auto" w:fill="D9D9D9"/>
            <w:tcMar>
              <w:top w:w="20" w:type="dxa"/>
              <w:left w:w="115" w:type="dxa"/>
              <w:bottom w:w="20" w:type="dxa"/>
              <w:right w:w="115" w:type="dxa"/>
            </w:tcMar>
            <w:vAlign w:val="bottom"/>
            <w:hideMark/>
          </w:tcPr>
          <w:p w14:paraId="0D465A1F" w14:textId="77777777" w:rsidR="00542725" w:rsidRPr="00964C58" w:rsidRDefault="00542725" w:rsidP="0007759E">
            <w:pPr>
              <w:pStyle w:val="TableHeadings"/>
              <w:jc w:val="center"/>
            </w:pPr>
            <w:r w:rsidRPr="00964C58">
              <w:t>Potentially Significant Impact</w:t>
            </w:r>
          </w:p>
        </w:tc>
        <w:tc>
          <w:tcPr>
            <w:tcW w:w="1220" w:type="dxa"/>
            <w:gridSpan w:val="2"/>
            <w:tcBorders>
              <w:top w:val="nil"/>
              <w:left w:val="nil"/>
              <w:right w:val="nil"/>
            </w:tcBorders>
            <w:shd w:val="clear" w:color="auto" w:fill="D9D9D9"/>
            <w:tcMar>
              <w:top w:w="20" w:type="dxa"/>
              <w:left w:w="115" w:type="dxa"/>
              <w:bottom w:w="20" w:type="dxa"/>
              <w:right w:w="115" w:type="dxa"/>
            </w:tcMar>
            <w:vAlign w:val="bottom"/>
            <w:hideMark/>
          </w:tcPr>
          <w:p w14:paraId="5EFC0AF6" w14:textId="77777777" w:rsidR="00542725" w:rsidRPr="00964C58" w:rsidRDefault="00542725" w:rsidP="0007759E">
            <w:pPr>
              <w:pStyle w:val="TableHeadings"/>
              <w:jc w:val="center"/>
            </w:pPr>
            <w:r w:rsidRPr="00964C58">
              <w:t>Less than Significant with Mitigation Incorporated</w:t>
            </w:r>
          </w:p>
        </w:tc>
        <w:tc>
          <w:tcPr>
            <w:tcW w:w="1110" w:type="dxa"/>
            <w:gridSpan w:val="2"/>
            <w:tcBorders>
              <w:top w:val="nil"/>
              <w:left w:val="nil"/>
              <w:right w:val="nil"/>
            </w:tcBorders>
            <w:shd w:val="clear" w:color="auto" w:fill="D9D9D9"/>
            <w:tcMar>
              <w:top w:w="20" w:type="dxa"/>
              <w:left w:w="115" w:type="dxa"/>
              <w:bottom w:w="20" w:type="dxa"/>
              <w:right w:w="115" w:type="dxa"/>
            </w:tcMar>
            <w:vAlign w:val="bottom"/>
            <w:hideMark/>
          </w:tcPr>
          <w:p w14:paraId="063D65F3" w14:textId="77777777" w:rsidR="00542725" w:rsidRPr="00964C58" w:rsidRDefault="00542725" w:rsidP="0007759E">
            <w:pPr>
              <w:pStyle w:val="TableHeadings"/>
              <w:jc w:val="center"/>
            </w:pPr>
            <w:r w:rsidRPr="00964C58">
              <w:t>Less than Significant Impact</w:t>
            </w:r>
          </w:p>
        </w:tc>
        <w:tc>
          <w:tcPr>
            <w:tcW w:w="1188" w:type="dxa"/>
            <w:tcBorders>
              <w:top w:val="nil"/>
              <w:left w:val="nil"/>
            </w:tcBorders>
            <w:shd w:val="clear" w:color="auto" w:fill="D9D9D9"/>
            <w:tcMar>
              <w:top w:w="20" w:type="dxa"/>
              <w:left w:w="115" w:type="dxa"/>
              <w:bottom w:w="20" w:type="dxa"/>
              <w:right w:w="115" w:type="dxa"/>
            </w:tcMar>
            <w:vAlign w:val="bottom"/>
            <w:hideMark/>
          </w:tcPr>
          <w:p w14:paraId="7C7CC1F0" w14:textId="77777777" w:rsidR="00542725" w:rsidRPr="00964C58" w:rsidRDefault="00542725" w:rsidP="0007759E">
            <w:pPr>
              <w:pStyle w:val="TableHeadings"/>
              <w:jc w:val="center"/>
            </w:pPr>
            <w:r w:rsidRPr="00964C58">
              <w:t>No Impact</w:t>
            </w:r>
          </w:p>
        </w:tc>
      </w:tr>
      <w:tr w:rsidR="00542725" w:rsidRPr="00964C58" w14:paraId="07405A92" w14:textId="77777777" w:rsidTr="00F97E5E">
        <w:trPr>
          <w:gridBefore w:val="1"/>
          <w:wBefore w:w="10" w:type="dxa"/>
        </w:trPr>
        <w:tc>
          <w:tcPr>
            <w:tcW w:w="9037" w:type="dxa"/>
            <w:gridSpan w:val="7"/>
            <w:tcBorders>
              <w:top w:val="single" w:sz="4" w:space="0" w:color="auto"/>
              <w:bottom w:val="nil"/>
            </w:tcBorders>
            <w:tcMar>
              <w:top w:w="20" w:type="dxa"/>
              <w:left w:w="115" w:type="dxa"/>
              <w:bottom w:w="20" w:type="dxa"/>
              <w:right w:w="115" w:type="dxa"/>
            </w:tcMar>
            <w:vAlign w:val="bottom"/>
            <w:hideMark/>
          </w:tcPr>
          <w:p w14:paraId="166DA42F" w14:textId="77777777" w:rsidR="00542725" w:rsidRPr="00964C58" w:rsidRDefault="00542725" w:rsidP="0013288A">
            <w:pPr>
              <w:pStyle w:val="BodyText"/>
              <w:spacing w:before="60" w:after="60"/>
              <w:rPr>
                <w:b/>
              </w:rPr>
            </w:pPr>
            <w:r w:rsidRPr="00964C58">
              <w:t>Would the project:</w:t>
            </w:r>
          </w:p>
        </w:tc>
      </w:tr>
      <w:tr w:rsidR="00542725" w:rsidRPr="00964C58" w14:paraId="4361626F" w14:textId="77777777" w:rsidTr="00F97E5E">
        <w:trPr>
          <w:gridBefore w:val="1"/>
          <w:wBefore w:w="10" w:type="dxa"/>
        </w:trPr>
        <w:tc>
          <w:tcPr>
            <w:tcW w:w="4335" w:type="dxa"/>
            <w:tcBorders>
              <w:top w:val="nil"/>
              <w:bottom w:val="nil"/>
              <w:right w:val="nil"/>
            </w:tcBorders>
            <w:tcMar>
              <w:top w:w="20" w:type="dxa"/>
              <w:left w:w="115" w:type="dxa"/>
              <w:bottom w:w="20" w:type="dxa"/>
              <w:right w:w="115" w:type="dxa"/>
            </w:tcMar>
            <w:vAlign w:val="bottom"/>
            <w:hideMark/>
          </w:tcPr>
          <w:p w14:paraId="4ADF4F0E" w14:textId="77777777" w:rsidR="00542725" w:rsidRPr="00964C58" w:rsidRDefault="00542725" w:rsidP="00F6307A">
            <w:pPr>
              <w:pStyle w:val="BulletListLettered"/>
              <w:numPr>
                <w:ilvl w:val="0"/>
                <w:numId w:val="18"/>
              </w:numPr>
            </w:pPr>
            <w:r w:rsidRPr="00964C58">
              <w:t>Physically divide an established community?</w:t>
            </w:r>
          </w:p>
        </w:tc>
        <w:tc>
          <w:tcPr>
            <w:tcW w:w="1192" w:type="dxa"/>
            <w:gridSpan w:val="2"/>
            <w:tcBorders>
              <w:top w:val="nil"/>
              <w:left w:val="nil"/>
              <w:bottom w:val="nil"/>
              <w:right w:val="nil"/>
            </w:tcBorders>
            <w:tcMar>
              <w:top w:w="20" w:type="dxa"/>
              <w:left w:w="115" w:type="dxa"/>
              <w:bottom w:w="20" w:type="dxa"/>
              <w:right w:w="115" w:type="dxa"/>
            </w:tcMar>
            <w:vAlign w:val="bottom"/>
          </w:tcPr>
          <w:p w14:paraId="73E8B8E1" w14:textId="3CAEAD83" w:rsidR="00542725" w:rsidRPr="00964C58" w:rsidRDefault="0092377F" w:rsidP="0013288A">
            <w:pPr>
              <w:spacing w:before="60" w:after="60"/>
              <w:jc w:val="center"/>
              <w:rPr>
                <w:sz w:val="28"/>
                <w:szCs w:val="28"/>
              </w:rPr>
            </w:pPr>
            <w:r w:rsidRPr="00964C58">
              <w:rPr>
                <w:rFonts w:ascii="Times New Roman" w:hAnsi="Times New Roman"/>
              </w:rPr>
              <w:t>□</w:t>
            </w:r>
          </w:p>
        </w:tc>
        <w:tc>
          <w:tcPr>
            <w:tcW w:w="1224" w:type="dxa"/>
            <w:gridSpan w:val="2"/>
            <w:tcBorders>
              <w:top w:val="nil"/>
              <w:left w:val="nil"/>
              <w:bottom w:val="nil"/>
              <w:right w:val="nil"/>
            </w:tcBorders>
            <w:tcMar>
              <w:top w:w="20" w:type="dxa"/>
              <w:left w:w="115" w:type="dxa"/>
              <w:bottom w:w="20" w:type="dxa"/>
              <w:right w:w="115" w:type="dxa"/>
            </w:tcMar>
            <w:vAlign w:val="bottom"/>
          </w:tcPr>
          <w:p w14:paraId="4209860D" w14:textId="06F6F5EE" w:rsidR="00542725" w:rsidRPr="00964C58" w:rsidRDefault="00465923" w:rsidP="0013288A">
            <w:pPr>
              <w:spacing w:before="60" w:after="60"/>
              <w:jc w:val="center"/>
              <w:rPr>
                <w:sz w:val="28"/>
                <w:szCs w:val="28"/>
              </w:rPr>
            </w:pPr>
            <w:r w:rsidRPr="00964C58">
              <w:rPr>
                <w:rFonts w:ascii="Times New Roman" w:hAnsi="Times New Roman"/>
              </w:rPr>
              <w:t>□</w:t>
            </w:r>
          </w:p>
        </w:tc>
        <w:tc>
          <w:tcPr>
            <w:tcW w:w="1098" w:type="dxa"/>
            <w:tcBorders>
              <w:top w:val="nil"/>
              <w:left w:val="nil"/>
              <w:bottom w:val="nil"/>
              <w:right w:val="nil"/>
            </w:tcBorders>
            <w:tcMar>
              <w:top w:w="20" w:type="dxa"/>
              <w:left w:w="115" w:type="dxa"/>
              <w:bottom w:w="20" w:type="dxa"/>
              <w:right w:w="115" w:type="dxa"/>
            </w:tcMar>
            <w:vAlign w:val="bottom"/>
          </w:tcPr>
          <w:p w14:paraId="0268735F" w14:textId="688A5345" w:rsidR="00542725" w:rsidRPr="00964C58" w:rsidRDefault="00465923" w:rsidP="0013288A">
            <w:pPr>
              <w:spacing w:before="60" w:after="60"/>
              <w:jc w:val="center"/>
              <w:rPr>
                <w:sz w:val="28"/>
                <w:szCs w:val="28"/>
              </w:rPr>
            </w:pPr>
            <w:r w:rsidRPr="00964C58">
              <w:rPr>
                <w:rFonts w:ascii="Times New Roman" w:hAnsi="Times New Roman"/>
              </w:rPr>
              <w:t>□</w:t>
            </w:r>
          </w:p>
        </w:tc>
        <w:tc>
          <w:tcPr>
            <w:tcW w:w="1188" w:type="dxa"/>
            <w:tcBorders>
              <w:top w:val="nil"/>
              <w:left w:val="nil"/>
              <w:bottom w:val="nil"/>
            </w:tcBorders>
            <w:tcMar>
              <w:top w:w="20" w:type="dxa"/>
              <w:left w:w="115" w:type="dxa"/>
              <w:bottom w:w="20" w:type="dxa"/>
              <w:right w:w="115" w:type="dxa"/>
            </w:tcMar>
            <w:vAlign w:val="bottom"/>
          </w:tcPr>
          <w:p w14:paraId="7C1EC465" w14:textId="419F05DB" w:rsidR="00542725" w:rsidRPr="00964C58" w:rsidRDefault="001D7E8D" w:rsidP="0013288A">
            <w:pPr>
              <w:spacing w:before="60" w:after="60"/>
              <w:jc w:val="center"/>
              <w:rPr>
                <w:sz w:val="28"/>
                <w:szCs w:val="28"/>
              </w:rPr>
            </w:pPr>
            <w:r w:rsidRPr="00964C58">
              <w:rPr>
                <w:rFonts w:ascii="Times New Roman" w:hAnsi="Times New Roman"/>
              </w:rPr>
              <w:t>■</w:t>
            </w:r>
          </w:p>
        </w:tc>
      </w:tr>
      <w:tr w:rsidR="00542725" w:rsidRPr="00E5753A" w14:paraId="550568AC" w14:textId="77777777" w:rsidTr="00F97E5E">
        <w:trPr>
          <w:gridBefore w:val="1"/>
          <w:wBefore w:w="10" w:type="dxa"/>
          <w:trHeight w:val="196"/>
        </w:trPr>
        <w:tc>
          <w:tcPr>
            <w:tcW w:w="4335" w:type="dxa"/>
            <w:tcBorders>
              <w:top w:val="nil"/>
              <w:right w:val="nil"/>
            </w:tcBorders>
            <w:tcMar>
              <w:top w:w="20" w:type="dxa"/>
              <w:left w:w="115" w:type="dxa"/>
              <w:bottom w:w="20" w:type="dxa"/>
              <w:right w:w="115" w:type="dxa"/>
            </w:tcMar>
            <w:vAlign w:val="bottom"/>
            <w:hideMark/>
          </w:tcPr>
          <w:p w14:paraId="0A0A23F4" w14:textId="77777777" w:rsidR="00542725" w:rsidRPr="00964C58" w:rsidRDefault="00D41409" w:rsidP="00F6307A">
            <w:pPr>
              <w:pStyle w:val="BulletListLettered"/>
              <w:numPr>
                <w:ilvl w:val="0"/>
                <w:numId w:val="16"/>
              </w:numPr>
            </w:pPr>
            <w:r w:rsidRPr="00964C58">
              <w:t>Cause a significant environmental impact due to a conflict with any land use plan, policy, or regulation adopted for the purpose of avoiding or mitigating an environmental effect?</w:t>
            </w:r>
          </w:p>
        </w:tc>
        <w:tc>
          <w:tcPr>
            <w:tcW w:w="1192" w:type="dxa"/>
            <w:gridSpan w:val="2"/>
            <w:tcBorders>
              <w:top w:val="nil"/>
              <w:left w:val="nil"/>
              <w:right w:val="nil"/>
            </w:tcBorders>
            <w:tcMar>
              <w:top w:w="20" w:type="dxa"/>
              <w:left w:w="115" w:type="dxa"/>
              <w:bottom w:w="20" w:type="dxa"/>
              <w:right w:w="115" w:type="dxa"/>
            </w:tcMar>
            <w:vAlign w:val="bottom"/>
          </w:tcPr>
          <w:p w14:paraId="42120322" w14:textId="07469F6D" w:rsidR="00542725" w:rsidRPr="00964C58" w:rsidRDefault="0092377F" w:rsidP="0013288A">
            <w:pPr>
              <w:spacing w:before="60" w:after="60"/>
              <w:jc w:val="center"/>
              <w:rPr>
                <w:sz w:val="28"/>
                <w:szCs w:val="28"/>
              </w:rPr>
            </w:pPr>
            <w:r w:rsidRPr="00964C58">
              <w:rPr>
                <w:rFonts w:ascii="Times New Roman" w:hAnsi="Times New Roman"/>
              </w:rPr>
              <w:t>□</w:t>
            </w:r>
          </w:p>
        </w:tc>
        <w:tc>
          <w:tcPr>
            <w:tcW w:w="1224" w:type="dxa"/>
            <w:gridSpan w:val="2"/>
            <w:tcBorders>
              <w:top w:val="nil"/>
              <w:left w:val="nil"/>
              <w:right w:val="nil"/>
            </w:tcBorders>
            <w:tcMar>
              <w:top w:w="20" w:type="dxa"/>
              <w:left w:w="115" w:type="dxa"/>
              <w:bottom w:w="20" w:type="dxa"/>
              <w:right w:w="115" w:type="dxa"/>
            </w:tcMar>
            <w:vAlign w:val="bottom"/>
          </w:tcPr>
          <w:p w14:paraId="480F11BB" w14:textId="79BB57AC" w:rsidR="00542725" w:rsidRPr="00964C58" w:rsidRDefault="00542725" w:rsidP="0013288A">
            <w:pPr>
              <w:spacing w:before="60" w:after="60"/>
              <w:jc w:val="center"/>
              <w:rPr>
                <w:sz w:val="28"/>
                <w:szCs w:val="28"/>
              </w:rPr>
            </w:pPr>
            <w:r w:rsidRPr="00964C58">
              <w:rPr>
                <w:rFonts w:ascii="Times New Roman" w:hAnsi="Times New Roman"/>
              </w:rPr>
              <w:t>□</w:t>
            </w:r>
          </w:p>
        </w:tc>
        <w:tc>
          <w:tcPr>
            <w:tcW w:w="1098" w:type="dxa"/>
            <w:tcBorders>
              <w:top w:val="nil"/>
              <w:left w:val="nil"/>
              <w:right w:val="nil"/>
            </w:tcBorders>
            <w:tcMar>
              <w:top w:w="20" w:type="dxa"/>
              <w:left w:w="115" w:type="dxa"/>
              <w:bottom w:w="20" w:type="dxa"/>
              <w:right w:w="115" w:type="dxa"/>
            </w:tcMar>
            <w:vAlign w:val="bottom"/>
          </w:tcPr>
          <w:p w14:paraId="05281FBC" w14:textId="46C6CEB3" w:rsidR="00542725" w:rsidRPr="00964C58" w:rsidRDefault="00AE4C32" w:rsidP="0013288A">
            <w:pPr>
              <w:spacing w:before="60" w:after="60"/>
              <w:jc w:val="center"/>
              <w:rPr>
                <w:sz w:val="28"/>
                <w:szCs w:val="28"/>
              </w:rPr>
            </w:pPr>
            <w:r w:rsidRPr="00964C58">
              <w:rPr>
                <w:rFonts w:ascii="Times New Roman" w:hAnsi="Times New Roman"/>
              </w:rPr>
              <w:t>□</w:t>
            </w:r>
          </w:p>
        </w:tc>
        <w:tc>
          <w:tcPr>
            <w:tcW w:w="1188" w:type="dxa"/>
            <w:tcBorders>
              <w:top w:val="nil"/>
              <w:left w:val="nil"/>
            </w:tcBorders>
            <w:tcMar>
              <w:top w:w="20" w:type="dxa"/>
              <w:left w:w="115" w:type="dxa"/>
              <w:bottom w:w="20" w:type="dxa"/>
              <w:right w:w="115" w:type="dxa"/>
            </w:tcMar>
            <w:vAlign w:val="bottom"/>
          </w:tcPr>
          <w:p w14:paraId="6F5618E1" w14:textId="22E1609A" w:rsidR="00542725" w:rsidRPr="00964C58" w:rsidRDefault="00AE4C32" w:rsidP="0013288A">
            <w:pPr>
              <w:spacing w:before="60" w:after="60"/>
              <w:jc w:val="center"/>
              <w:rPr>
                <w:sz w:val="28"/>
                <w:szCs w:val="28"/>
              </w:rPr>
            </w:pPr>
            <w:r w:rsidRPr="00964C58">
              <w:rPr>
                <w:rFonts w:ascii="Times New Roman" w:hAnsi="Times New Roman"/>
              </w:rPr>
              <w:t>■</w:t>
            </w:r>
          </w:p>
        </w:tc>
      </w:tr>
    </w:tbl>
    <w:p w14:paraId="535F0E01" w14:textId="087CF905" w:rsidR="001258A7" w:rsidRPr="00964C58" w:rsidRDefault="001258A7" w:rsidP="001258A7">
      <w:pPr>
        <w:pStyle w:val="Heading5"/>
      </w:pPr>
      <w:r w:rsidRPr="00964C58">
        <w:t>Setting</w:t>
      </w:r>
    </w:p>
    <w:p w14:paraId="749EC600" w14:textId="0C83D8CE" w:rsidR="00E33AA9" w:rsidRDefault="001258A7" w:rsidP="001258A7">
      <w:pPr>
        <w:pStyle w:val="BodyText"/>
      </w:pPr>
      <w:r w:rsidRPr="00964C58">
        <w:t xml:space="preserve">As stated in the </w:t>
      </w:r>
      <w:r w:rsidRPr="00964C58">
        <w:rPr>
          <w:i/>
          <w:iCs/>
        </w:rPr>
        <w:t>Project Description</w:t>
      </w:r>
      <w:r w:rsidRPr="00964C58">
        <w:t xml:space="preserve">, the project site currently has a </w:t>
      </w:r>
      <w:r w:rsidR="00AD1B23" w:rsidRPr="00964C58">
        <w:t xml:space="preserve">land use designation of </w:t>
      </w:r>
      <w:r w:rsidR="00964C58" w:rsidRPr="00964C58">
        <w:t>General Industrial</w:t>
      </w:r>
      <w:r w:rsidR="00AD1B23" w:rsidRPr="00964C58">
        <w:t xml:space="preserve"> in the City’s General Plan. </w:t>
      </w:r>
      <w:r w:rsidR="003551DB">
        <w:t xml:space="preserve">The 1155 Terra Bella Avenue portion of the project site is zoned Limited Industrial, and the 1185 Terra Bella Avenue portion is zoned for General Industrial. </w:t>
      </w:r>
    </w:p>
    <w:p w14:paraId="39211900" w14:textId="08505728" w:rsidR="00422706" w:rsidRDefault="00422706" w:rsidP="001258A7">
      <w:pPr>
        <w:pStyle w:val="BodyText"/>
      </w:pPr>
      <w:r>
        <w:t>The General Industrial (GI)</w:t>
      </w:r>
      <w:r w:rsidR="00870F1A">
        <w:t xml:space="preserve"> General Plan</w:t>
      </w:r>
      <w:r>
        <w:t xml:space="preserve"> land use designation includes industrial uses, including manufacturing and storage, research and development, administrative offices and ancillary commercial. Allowable intensity on the project site is 0.35 </w:t>
      </w:r>
      <w:r w:rsidR="001E41B5">
        <w:t xml:space="preserve">FAR, </w:t>
      </w:r>
      <w:r>
        <w:t>and maximum building height is 3 stories.</w:t>
      </w:r>
    </w:p>
    <w:p w14:paraId="579B9B7F" w14:textId="2968B869" w:rsidR="0015061A" w:rsidRPr="00964C58" w:rsidRDefault="0015061A" w:rsidP="0015061A">
      <w:pPr>
        <w:pStyle w:val="Heading5"/>
      </w:pPr>
      <w:r>
        <w:t xml:space="preserve">Regulatory </w:t>
      </w:r>
      <w:r w:rsidRPr="00964C58">
        <w:t>Setting</w:t>
      </w:r>
    </w:p>
    <w:p w14:paraId="47F33095" w14:textId="336532C3" w:rsidR="0015061A" w:rsidRDefault="0015061A" w:rsidP="0015061A">
      <w:pPr>
        <w:pStyle w:val="Heading6"/>
      </w:pPr>
      <w:r>
        <w:t xml:space="preserve">Mountain View 2030 General Plan </w:t>
      </w:r>
    </w:p>
    <w:p w14:paraId="0B759551" w14:textId="7327EF36" w:rsidR="00422706" w:rsidRDefault="00422706" w:rsidP="005A7336">
      <w:pPr>
        <w:pStyle w:val="BodyText"/>
        <w:tabs>
          <w:tab w:val="left" w:pos="720"/>
          <w:tab w:val="left" w:pos="2340"/>
        </w:tabs>
        <w:ind w:left="1440" w:hanging="1440"/>
        <w:rPr>
          <w:b/>
          <w:bCs/>
        </w:rPr>
      </w:pPr>
      <w:r>
        <w:rPr>
          <w:b/>
          <w:bCs/>
        </w:rPr>
        <w:t xml:space="preserve">GI Definition </w:t>
      </w:r>
      <w:r>
        <w:rPr>
          <w:b/>
          <w:bCs/>
        </w:rPr>
        <w:tab/>
      </w:r>
      <w:r>
        <w:t xml:space="preserve">The General Industrial (GI) land use designation includes industrial uses, including </w:t>
      </w:r>
      <w:r w:rsidR="00953CBA">
        <w:t xml:space="preserve">manufacturing and storage, research and development, administrative offices and ancillary commercial. Allowable intensity on the project site includes a 0.35 </w:t>
      </w:r>
      <w:r w:rsidR="001E41B5">
        <w:t xml:space="preserve">FAR </w:t>
      </w:r>
      <w:r w:rsidR="00953CBA">
        <w:t xml:space="preserve">and a maximum building height of three stories. </w:t>
      </w:r>
    </w:p>
    <w:p w14:paraId="56DD58D8" w14:textId="1D41ACB9" w:rsidR="001F3B0D" w:rsidRDefault="009B2503" w:rsidP="005A7336">
      <w:pPr>
        <w:pStyle w:val="BodyText"/>
        <w:tabs>
          <w:tab w:val="left" w:pos="2340"/>
        </w:tabs>
        <w:spacing w:after="60"/>
        <w:ind w:left="1440" w:hanging="1440"/>
      </w:pPr>
      <w:r>
        <w:rPr>
          <w:b/>
          <w:bCs/>
        </w:rPr>
        <w:t>LUD 9.3</w:t>
      </w:r>
      <w:r>
        <w:rPr>
          <w:b/>
          <w:bCs/>
        </w:rPr>
        <w:tab/>
      </w:r>
      <w:r w:rsidRPr="005A7336">
        <w:rPr>
          <w:b/>
          <w:bCs/>
        </w:rPr>
        <w:t xml:space="preserve">Enhanced </w:t>
      </w:r>
      <w:r w:rsidR="005A7336" w:rsidRPr="005A7336">
        <w:rPr>
          <w:b/>
          <w:bCs/>
        </w:rPr>
        <w:t>Public Space</w:t>
      </w:r>
      <w:r w:rsidRPr="005A7336">
        <w:rPr>
          <w:b/>
          <w:bCs/>
        </w:rPr>
        <w:t>.</w:t>
      </w:r>
      <w:r>
        <w:rPr>
          <w:i/>
          <w:iCs/>
        </w:rPr>
        <w:t xml:space="preserve"> </w:t>
      </w:r>
      <w:r>
        <w:t xml:space="preserve">Ensure that development enhances public spaces through these measures: </w:t>
      </w:r>
    </w:p>
    <w:p w14:paraId="2CB96EF2" w14:textId="6DC461EA" w:rsidR="001F3B0D" w:rsidRPr="0015061A" w:rsidRDefault="001F3B0D" w:rsidP="005A7336">
      <w:pPr>
        <w:pStyle w:val="BulletListLevel1"/>
        <w:ind w:left="1800"/>
        <w:rPr>
          <w:i/>
          <w:iCs/>
        </w:rPr>
      </w:pPr>
      <w:r>
        <w:t xml:space="preserve">Encourage strong pedestrian-oriented design with visible, accessible entrances and pathways from the street. </w:t>
      </w:r>
    </w:p>
    <w:p w14:paraId="60E205D1" w14:textId="637ABCA4" w:rsidR="001F3B0D" w:rsidRPr="0015061A" w:rsidRDefault="001F3B0D" w:rsidP="005A7336">
      <w:pPr>
        <w:pStyle w:val="BulletListLevel1"/>
        <w:ind w:left="1800"/>
        <w:rPr>
          <w:i/>
          <w:iCs/>
        </w:rPr>
      </w:pPr>
      <w:r>
        <w:t xml:space="preserve">Encourage pedestrian-scaled design elements such as stoops, </w:t>
      </w:r>
      <w:r w:rsidR="00275B75">
        <w:t>canopies,</w:t>
      </w:r>
      <w:r>
        <w:t xml:space="preserve"> and porches.</w:t>
      </w:r>
    </w:p>
    <w:p w14:paraId="6B1FDCBA" w14:textId="04DDD63B" w:rsidR="001F3B0D" w:rsidRPr="001F3B0D" w:rsidRDefault="001F3B0D" w:rsidP="005A7336">
      <w:pPr>
        <w:pStyle w:val="BulletListLevel1"/>
        <w:ind w:left="1800"/>
        <w:rPr>
          <w:i/>
          <w:iCs/>
        </w:rPr>
      </w:pPr>
      <w:r>
        <w:t xml:space="preserve">Encourage connections to pedestrian and bicycle facilities. </w:t>
      </w:r>
    </w:p>
    <w:p w14:paraId="5A05FCD7" w14:textId="3C7564F2" w:rsidR="001F3B0D" w:rsidRPr="0015061A" w:rsidRDefault="001F3B0D" w:rsidP="005A7336">
      <w:pPr>
        <w:pStyle w:val="BulletListLevel1"/>
        <w:ind w:left="1800"/>
        <w:rPr>
          <w:i/>
          <w:iCs/>
        </w:rPr>
      </w:pPr>
      <w:r>
        <w:t>Locate buildings near the edge of the sidewalk.</w:t>
      </w:r>
    </w:p>
    <w:p w14:paraId="7E80553C" w14:textId="77777777" w:rsidR="001F3B0D" w:rsidRPr="001F3B0D" w:rsidRDefault="001F3B0D" w:rsidP="005A7336">
      <w:pPr>
        <w:pStyle w:val="BulletListLevel1"/>
        <w:ind w:left="1800"/>
        <w:rPr>
          <w:i/>
          <w:iCs/>
        </w:rPr>
      </w:pPr>
      <w:r>
        <w:t xml:space="preserve">Encourage design compatibility with surrounding uses. </w:t>
      </w:r>
    </w:p>
    <w:p w14:paraId="32C19CBF" w14:textId="05F7623C" w:rsidR="001F3B0D" w:rsidRPr="0015061A" w:rsidRDefault="001F3B0D" w:rsidP="005A7336">
      <w:pPr>
        <w:pStyle w:val="BulletListLevel1"/>
        <w:ind w:left="1800"/>
        <w:rPr>
          <w:i/>
          <w:iCs/>
        </w:rPr>
      </w:pPr>
      <w:r>
        <w:t>Locate parking lots to the rear or side of buildings.</w:t>
      </w:r>
    </w:p>
    <w:p w14:paraId="48A720A8" w14:textId="77777777" w:rsidR="001F3B0D" w:rsidRPr="0015061A" w:rsidRDefault="001F3B0D" w:rsidP="005A7336">
      <w:pPr>
        <w:pStyle w:val="BulletListLevel1"/>
        <w:ind w:left="1800"/>
        <w:rPr>
          <w:i/>
          <w:iCs/>
        </w:rPr>
      </w:pPr>
      <w:r>
        <w:t>Encourage building articulation and use of special materials to provide visual interest.</w:t>
      </w:r>
    </w:p>
    <w:p w14:paraId="4E9C9BA1" w14:textId="77777777" w:rsidR="001F3B0D" w:rsidRPr="0015061A" w:rsidRDefault="001F3B0D" w:rsidP="005A7336">
      <w:pPr>
        <w:pStyle w:val="BulletListLevel1"/>
        <w:ind w:left="1800"/>
        <w:rPr>
          <w:i/>
          <w:iCs/>
        </w:rPr>
      </w:pPr>
      <w:r>
        <w:t>Promote and regulate high-quality sign materials, colors and design that are compatible with site and building design.</w:t>
      </w:r>
    </w:p>
    <w:p w14:paraId="4C59217B" w14:textId="52478E98" w:rsidR="009B2503" w:rsidRPr="001F3B0D" w:rsidRDefault="001F3B0D" w:rsidP="005A7336">
      <w:pPr>
        <w:pStyle w:val="BulletListLevel1"/>
        <w:ind w:left="1800"/>
        <w:rPr>
          <w:i/>
          <w:iCs/>
        </w:rPr>
      </w:pPr>
      <w:r>
        <w:t>Encourage attractive water-efficient landscaping on the ground level.</w:t>
      </w:r>
    </w:p>
    <w:p w14:paraId="28A83AEE" w14:textId="77777777" w:rsidR="008F5FCB" w:rsidRDefault="008F5FCB" w:rsidP="008F5FCB">
      <w:pPr>
        <w:pStyle w:val="Heading6"/>
      </w:pPr>
      <w:r>
        <w:t xml:space="preserve">Mountain View Municipal Code </w:t>
      </w:r>
    </w:p>
    <w:p w14:paraId="0DA2E963" w14:textId="0FE67F8B" w:rsidR="00DC07B4" w:rsidRPr="005A7336" w:rsidRDefault="00DC07B4" w:rsidP="005A7336">
      <w:pPr>
        <w:pStyle w:val="BodyText"/>
        <w:tabs>
          <w:tab w:val="left" w:pos="1800"/>
        </w:tabs>
        <w:spacing w:before="60" w:after="60"/>
        <w:ind w:left="2520" w:hanging="2520"/>
        <w:rPr>
          <w:b/>
          <w:bCs/>
        </w:rPr>
      </w:pPr>
      <w:r w:rsidRPr="005A7336">
        <w:rPr>
          <w:b/>
          <w:bCs/>
        </w:rPr>
        <w:t>Section 36.20.35</w:t>
      </w:r>
      <w:r w:rsidRPr="005A7336">
        <w:rPr>
          <w:b/>
          <w:bCs/>
        </w:rPr>
        <w:tab/>
        <w:t xml:space="preserve">Limited Industrial </w:t>
      </w:r>
      <w:r w:rsidR="005A7336" w:rsidRPr="005A7336">
        <w:rPr>
          <w:b/>
          <w:bCs/>
        </w:rPr>
        <w:t>Zoning District Standards</w:t>
      </w:r>
    </w:p>
    <w:tbl>
      <w:tblPr>
        <w:tblStyle w:val="TableGrid"/>
        <w:tblW w:w="9029" w:type="dxa"/>
        <w:tblInd w:w="-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7"/>
        <w:gridCol w:w="7062"/>
      </w:tblGrid>
      <w:tr w:rsidR="00DC07B4" w:rsidRPr="005A7336" w14:paraId="52321F21" w14:textId="77777777" w:rsidTr="005A7336">
        <w:tc>
          <w:tcPr>
            <w:tcW w:w="1967" w:type="dxa"/>
          </w:tcPr>
          <w:p w14:paraId="3DE03230" w14:textId="77777777" w:rsidR="00DC07B4" w:rsidRPr="005A7336" w:rsidRDefault="00DC07B4" w:rsidP="005A7336">
            <w:pPr>
              <w:pStyle w:val="BodyText"/>
              <w:tabs>
                <w:tab w:val="left" w:pos="2520"/>
              </w:tabs>
              <w:spacing w:before="60" w:after="60"/>
              <w:ind w:left="208" w:right="-109"/>
            </w:pPr>
            <w:r w:rsidRPr="005A7336">
              <w:t>Lot Area</w:t>
            </w:r>
          </w:p>
        </w:tc>
        <w:tc>
          <w:tcPr>
            <w:tcW w:w="7062" w:type="dxa"/>
          </w:tcPr>
          <w:p w14:paraId="5CF23041" w14:textId="015CC417" w:rsidR="00DC07B4" w:rsidRPr="005A7336" w:rsidRDefault="00DC07B4" w:rsidP="005A7336">
            <w:pPr>
              <w:pStyle w:val="BodyText"/>
              <w:tabs>
                <w:tab w:val="left" w:pos="2520"/>
              </w:tabs>
              <w:spacing w:before="60" w:after="60"/>
            </w:pPr>
            <w:r w:rsidRPr="005A7336">
              <w:t xml:space="preserve">40,000 square foot minimum </w:t>
            </w:r>
          </w:p>
        </w:tc>
      </w:tr>
      <w:tr w:rsidR="00DC07B4" w:rsidRPr="005A7336" w14:paraId="2DC900F1" w14:textId="77777777" w:rsidTr="005A7336">
        <w:tc>
          <w:tcPr>
            <w:tcW w:w="1967" w:type="dxa"/>
          </w:tcPr>
          <w:p w14:paraId="67E115F2" w14:textId="77777777" w:rsidR="00DC07B4" w:rsidRPr="005A7336" w:rsidRDefault="00DC07B4" w:rsidP="005A7336">
            <w:pPr>
              <w:pStyle w:val="BodyText"/>
              <w:tabs>
                <w:tab w:val="left" w:pos="2520"/>
              </w:tabs>
              <w:spacing w:before="60" w:after="60"/>
              <w:ind w:left="208"/>
            </w:pPr>
            <w:r w:rsidRPr="005A7336">
              <w:t xml:space="preserve">Lot Width </w:t>
            </w:r>
          </w:p>
        </w:tc>
        <w:tc>
          <w:tcPr>
            <w:tcW w:w="7062" w:type="dxa"/>
          </w:tcPr>
          <w:p w14:paraId="4113C067" w14:textId="77777777" w:rsidR="00DC07B4" w:rsidRPr="005A7336" w:rsidRDefault="00DC07B4" w:rsidP="005A7336">
            <w:pPr>
              <w:pStyle w:val="BodyText"/>
              <w:tabs>
                <w:tab w:val="left" w:pos="2520"/>
              </w:tabs>
              <w:spacing w:before="60" w:after="60"/>
            </w:pPr>
            <w:r w:rsidRPr="005A7336">
              <w:t xml:space="preserve">None </w:t>
            </w:r>
          </w:p>
        </w:tc>
      </w:tr>
      <w:tr w:rsidR="00DC07B4" w:rsidRPr="005A7336" w14:paraId="15A53363" w14:textId="77777777" w:rsidTr="005A7336">
        <w:tc>
          <w:tcPr>
            <w:tcW w:w="1967" w:type="dxa"/>
          </w:tcPr>
          <w:p w14:paraId="1335E902" w14:textId="77777777" w:rsidR="00DC07B4" w:rsidRPr="005A7336" w:rsidRDefault="00DC07B4" w:rsidP="005A7336">
            <w:pPr>
              <w:pStyle w:val="BodyText"/>
              <w:tabs>
                <w:tab w:val="left" w:pos="2520"/>
              </w:tabs>
              <w:spacing w:before="60" w:after="60"/>
              <w:ind w:left="208"/>
            </w:pPr>
            <w:r w:rsidRPr="005A7336">
              <w:t xml:space="preserve">FAR </w:t>
            </w:r>
          </w:p>
        </w:tc>
        <w:tc>
          <w:tcPr>
            <w:tcW w:w="7062" w:type="dxa"/>
          </w:tcPr>
          <w:p w14:paraId="1638A1D5" w14:textId="77777777" w:rsidR="00DC07B4" w:rsidRPr="005A7336" w:rsidRDefault="00DC07B4" w:rsidP="005A7336">
            <w:pPr>
              <w:pStyle w:val="BodyText"/>
              <w:tabs>
                <w:tab w:val="left" w:pos="2520"/>
              </w:tabs>
              <w:spacing w:before="60" w:after="60"/>
            </w:pPr>
            <w:r w:rsidRPr="005A7336">
              <w:t xml:space="preserve">0.35 maximum </w:t>
            </w:r>
          </w:p>
        </w:tc>
      </w:tr>
      <w:tr w:rsidR="00DC07B4" w:rsidRPr="005A7336" w14:paraId="05453EA0" w14:textId="77777777" w:rsidTr="005A7336">
        <w:tc>
          <w:tcPr>
            <w:tcW w:w="1967" w:type="dxa"/>
          </w:tcPr>
          <w:p w14:paraId="7DB1099E" w14:textId="77777777" w:rsidR="00DC07B4" w:rsidRPr="005A7336" w:rsidRDefault="00DC07B4" w:rsidP="005A7336">
            <w:pPr>
              <w:pStyle w:val="BodyText"/>
              <w:tabs>
                <w:tab w:val="left" w:pos="2520"/>
              </w:tabs>
              <w:spacing w:before="60" w:after="60"/>
              <w:ind w:left="208"/>
            </w:pPr>
            <w:r w:rsidRPr="005A7336">
              <w:t>Setbacks</w:t>
            </w:r>
          </w:p>
        </w:tc>
        <w:tc>
          <w:tcPr>
            <w:tcW w:w="7062" w:type="dxa"/>
          </w:tcPr>
          <w:p w14:paraId="0BCAFC7F" w14:textId="2CE94965" w:rsidR="00DC07B4" w:rsidRPr="005A7336" w:rsidRDefault="00DC07B4" w:rsidP="005A7336">
            <w:pPr>
              <w:pStyle w:val="BodyText"/>
              <w:tabs>
                <w:tab w:val="left" w:pos="2520"/>
              </w:tabs>
              <w:spacing w:before="60" w:after="60"/>
            </w:pPr>
            <w:r w:rsidRPr="005A7336">
              <w:t>Front: average setback of 30 feet, 20 feet minimum</w:t>
            </w:r>
            <w:r w:rsidR="00275B75" w:rsidRPr="005A7336">
              <w:t xml:space="preserve"> </w:t>
            </w:r>
            <w:r w:rsidRPr="005A7336">
              <w:br/>
              <w:t xml:space="preserve">Side: none </w:t>
            </w:r>
            <w:r w:rsidRPr="005A7336">
              <w:br/>
              <w:t>Rear: none</w:t>
            </w:r>
          </w:p>
        </w:tc>
      </w:tr>
      <w:tr w:rsidR="00DC07B4" w:rsidRPr="005A7336" w14:paraId="671BB155" w14:textId="77777777" w:rsidTr="005A7336">
        <w:tc>
          <w:tcPr>
            <w:tcW w:w="1967" w:type="dxa"/>
          </w:tcPr>
          <w:p w14:paraId="4C80333A" w14:textId="77777777" w:rsidR="00DC07B4" w:rsidRPr="005A7336" w:rsidRDefault="00DC07B4" w:rsidP="005A7336">
            <w:pPr>
              <w:pStyle w:val="BodyText"/>
              <w:tabs>
                <w:tab w:val="left" w:pos="2520"/>
              </w:tabs>
              <w:spacing w:before="60" w:after="60"/>
              <w:ind w:left="208"/>
            </w:pPr>
            <w:r w:rsidRPr="005A7336">
              <w:t>Height limit</w:t>
            </w:r>
          </w:p>
        </w:tc>
        <w:tc>
          <w:tcPr>
            <w:tcW w:w="7062" w:type="dxa"/>
          </w:tcPr>
          <w:p w14:paraId="6D3A0D43" w14:textId="77777777" w:rsidR="00DC07B4" w:rsidRPr="005A7336" w:rsidRDefault="00DC07B4" w:rsidP="005A7336">
            <w:pPr>
              <w:pStyle w:val="BodyText"/>
              <w:tabs>
                <w:tab w:val="left" w:pos="2520"/>
              </w:tabs>
              <w:spacing w:before="60" w:after="60"/>
            </w:pPr>
            <w:r w:rsidRPr="005A7336">
              <w:t xml:space="preserve">40 feet </w:t>
            </w:r>
          </w:p>
        </w:tc>
      </w:tr>
      <w:tr w:rsidR="00DC07B4" w:rsidRPr="005A7336" w14:paraId="189D840C" w14:textId="77777777" w:rsidTr="005A7336">
        <w:tc>
          <w:tcPr>
            <w:tcW w:w="1967" w:type="dxa"/>
          </w:tcPr>
          <w:p w14:paraId="2C6EFC98" w14:textId="77777777" w:rsidR="00DC07B4" w:rsidRPr="005A7336" w:rsidRDefault="00DC07B4" w:rsidP="005A7336">
            <w:pPr>
              <w:pStyle w:val="BodyText"/>
              <w:tabs>
                <w:tab w:val="left" w:pos="2520"/>
              </w:tabs>
              <w:spacing w:before="60" w:after="60"/>
              <w:ind w:left="208"/>
            </w:pPr>
            <w:r w:rsidRPr="005A7336">
              <w:t>Landscaping</w:t>
            </w:r>
          </w:p>
        </w:tc>
        <w:tc>
          <w:tcPr>
            <w:tcW w:w="7062" w:type="dxa"/>
          </w:tcPr>
          <w:p w14:paraId="38DD3095" w14:textId="77777777" w:rsidR="00DC07B4" w:rsidRPr="005A7336" w:rsidRDefault="00DC07B4" w:rsidP="005A7336">
            <w:pPr>
              <w:pStyle w:val="BodyText"/>
              <w:tabs>
                <w:tab w:val="left" w:pos="2520"/>
              </w:tabs>
              <w:spacing w:before="60" w:after="60"/>
            </w:pPr>
            <w:r w:rsidRPr="005A7336">
              <w:t xml:space="preserve">Total site: 10% of total area, minimum </w:t>
            </w:r>
          </w:p>
        </w:tc>
      </w:tr>
      <w:tr w:rsidR="00DC07B4" w:rsidRPr="005A7336" w14:paraId="52EEAB5C" w14:textId="77777777" w:rsidTr="005A7336">
        <w:tc>
          <w:tcPr>
            <w:tcW w:w="1967" w:type="dxa"/>
          </w:tcPr>
          <w:p w14:paraId="6DDF7183" w14:textId="77777777" w:rsidR="00DC07B4" w:rsidRPr="005A7336" w:rsidRDefault="00DC07B4" w:rsidP="005A7336">
            <w:pPr>
              <w:pStyle w:val="BodyText"/>
              <w:tabs>
                <w:tab w:val="left" w:pos="2520"/>
              </w:tabs>
              <w:spacing w:before="60" w:after="60"/>
              <w:ind w:left="208"/>
            </w:pPr>
            <w:r w:rsidRPr="005A7336">
              <w:t xml:space="preserve">Other standards </w:t>
            </w:r>
          </w:p>
        </w:tc>
        <w:tc>
          <w:tcPr>
            <w:tcW w:w="7062" w:type="dxa"/>
          </w:tcPr>
          <w:p w14:paraId="30128E6D" w14:textId="77777777" w:rsidR="00DC07B4" w:rsidRPr="005A7336" w:rsidRDefault="00DC07B4" w:rsidP="005A7336">
            <w:pPr>
              <w:pStyle w:val="BodyText"/>
              <w:tabs>
                <w:tab w:val="left" w:pos="2520"/>
              </w:tabs>
              <w:spacing w:before="60" w:after="60"/>
            </w:pPr>
            <w:r w:rsidRPr="005A7336">
              <w:t xml:space="preserve">Trash enclosure: any trash containers must be within an opaque enclosure </w:t>
            </w:r>
          </w:p>
        </w:tc>
      </w:tr>
    </w:tbl>
    <w:p w14:paraId="236DC16B" w14:textId="2E6E156E" w:rsidR="007D6BF2" w:rsidRPr="005A7336" w:rsidRDefault="001F3B0D" w:rsidP="005A7336">
      <w:pPr>
        <w:pStyle w:val="BodyText"/>
        <w:tabs>
          <w:tab w:val="left" w:pos="1818"/>
        </w:tabs>
        <w:spacing w:before="180" w:after="60"/>
        <w:ind w:left="2520" w:hanging="2520"/>
        <w:rPr>
          <w:b/>
          <w:bCs/>
        </w:rPr>
      </w:pPr>
      <w:r w:rsidRPr="005A7336">
        <w:rPr>
          <w:b/>
          <w:bCs/>
        </w:rPr>
        <w:t>Section 36.20.35</w:t>
      </w:r>
      <w:r w:rsidRPr="005A7336">
        <w:rPr>
          <w:b/>
          <w:bCs/>
        </w:rPr>
        <w:tab/>
        <w:t xml:space="preserve">General Industrial </w:t>
      </w:r>
      <w:r w:rsidR="005A7336" w:rsidRPr="005A7336">
        <w:rPr>
          <w:b/>
          <w:bCs/>
        </w:rPr>
        <w:t>Zoning District Standards</w:t>
      </w:r>
    </w:p>
    <w:tbl>
      <w:tblPr>
        <w:tblStyle w:val="TableGrid"/>
        <w:tblW w:w="9029" w:type="dxa"/>
        <w:tblInd w:w="-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7"/>
        <w:gridCol w:w="6972"/>
      </w:tblGrid>
      <w:tr w:rsidR="007D6BF2" w:rsidRPr="005A7336" w14:paraId="323121C1" w14:textId="77777777" w:rsidTr="005A7336">
        <w:trPr>
          <w:trHeight w:val="458"/>
        </w:trPr>
        <w:tc>
          <w:tcPr>
            <w:tcW w:w="2057" w:type="dxa"/>
          </w:tcPr>
          <w:p w14:paraId="7D3FA1C4" w14:textId="7158858C" w:rsidR="007D6BF2" w:rsidRPr="005A7336" w:rsidRDefault="007D6BF2" w:rsidP="005A7336">
            <w:pPr>
              <w:pStyle w:val="BodyText"/>
              <w:tabs>
                <w:tab w:val="left" w:pos="2520"/>
              </w:tabs>
              <w:spacing w:before="60" w:after="60"/>
              <w:ind w:left="154" w:right="-109"/>
            </w:pPr>
            <w:r w:rsidRPr="005A7336">
              <w:t>Lot Area</w:t>
            </w:r>
          </w:p>
        </w:tc>
        <w:tc>
          <w:tcPr>
            <w:tcW w:w="6972" w:type="dxa"/>
          </w:tcPr>
          <w:p w14:paraId="0D2DD42B" w14:textId="4196EE3D" w:rsidR="007D6BF2" w:rsidRPr="005A7336" w:rsidRDefault="007D6BF2" w:rsidP="005A7336">
            <w:pPr>
              <w:pStyle w:val="BodyText"/>
              <w:tabs>
                <w:tab w:val="left" w:pos="2520"/>
              </w:tabs>
              <w:spacing w:before="60" w:after="60"/>
            </w:pPr>
            <w:r w:rsidRPr="005A7336">
              <w:t xml:space="preserve">20,000 square foot minimum </w:t>
            </w:r>
          </w:p>
        </w:tc>
      </w:tr>
      <w:tr w:rsidR="007D6BF2" w:rsidRPr="005A7336" w14:paraId="01A2DD39" w14:textId="77777777" w:rsidTr="005A7336">
        <w:trPr>
          <w:trHeight w:val="458"/>
        </w:trPr>
        <w:tc>
          <w:tcPr>
            <w:tcW w:w="2057" w:type="dxa"/>
          </w:tcPr>
          <w:p w14:paraId="21E8C26E" w14:textId="5D2FAEA6" w:rsidR="007D6BF2" w:rsidRPr="005A7336" w:rsidRDefault="007D6BF2" w:rsidP="005A7336">
            <w:pPr>
              <w:pStyle w:val="BodyText"/>
              <w:tabs>
                <w:tab w:val="left" w:pos="2520"/>
              </w:tabs>
              <w:spacing w:before="60" w:after="60"/>
              <w:ind w:left="154"/>
            </w:pPr>
            <w:r w:rsidRPr="005A7336">
              <w:t xml:space="preserve">Lot Width </w:t>
            </w:r>
          </w:p>
        </w:tc>
        <w:tc>
          <w:tcPr>
            <w:tcW w:w="6972" w:type="dxa"/>
          </w:tcPr>
          <w:p w14:paraId="7977BD37" w14:textId="388EF2F8" w:rsidR="007D6BF2" w:rsidRPr="005A7336" w:rsidRDefault="007D6BF2" w:rsidP="005A7336">
            <w:pPr>
              <w:pStyle w:val="BodyText"/>
              <w:tabs>
                <w:tab w:val="left" w:pos="2520"/>
              </w:tabs>
              <w:spacing w:before="60" w:after="60"/>
            </w:pPr>
            <w:r w:rsidRPr="005A7336">
              <w:t xml:space="preserve">None </w:t>
            </w:r>
          </w:p>
        </w:tc>
      </w:tr>
      <w:tr w:rsidR="007D6BF2" w:rsidRPr="005A7336" w14:paraId="089CABCD" w14:textId="77777777" w:rsidTr="005A7336">
        <w:trPr>
          <w:trHeight w:val="470"/>
        </w:trPr>
        <w:tc>
          <w:tcPr>
            <w:tcW w:w="2057" w:type="dxa"/>
          </w:tcPr>
          <w:p w14:paraId="600D7918" w14:textId="75BAE85A" w:rsidR="007D6BF2" w:rsidRPr="005A7336" w:rsidRDefault="007D6BF2" w:rsidP="005A7336">
            <w:pPr>
              <w:pStyle w:val="BodyText"/>
              <w:tabs>
                <w:tab w:val="left" w:pos="2520"/>
              </w:tabs>
              <w:spacing w:before="60" w:after="60"/>
              <w:ind w:left="154"/>
            </w:pPr>
            <w:r w:rsidRPr="005A7336">
              <w:t xml:space="preserve">FAR </w:t>
            </w:r>
          </w:p>
        </w:tc>
        <w:tc>
          <w:tcPr>
            <w:tcW w:w="6972" w:type="dxa"/>
          </w:tcPr>
          <w:p w14:paraId="7FEB800F" w14:textId="310108CE" w:rsidR="007D6BF2" w:rsidRPr="005A7336" w:rsidRDefault="007D6BF2" w:rsidP="005A7336">
            <w:pPr>
              <w:pStyle w:val="BodyText"/>
              <w:tabs>
                <w:tab w:val="left" w:pos="2520"/>
              </w:tabs>
              <w:spacing w:before="60" w:after="60"/>
            </w:pPr>
            <w:r w:rsidRPr="005A7336">
              <w:t xml:space="preserve">0.35 maximum </w:t>
            </w:r>
          </w:p>
        </w:tc>
      </w:tr>
      <w:tr w:rsidR="007D6BF2" w:rsidRPr="005A7336" w14:paraId="342A4010" w14:textId="77777777" w:rsidTr="005A7336">
        <w:trPr>
          <w:trHeight w:val="940"/>
        </w:trPr>
        <w:tc>
          <w:tcPr>
            <w:tcW w:w="2057" w:type="dxa"/>
          </w:tcPr>
          <w:p w14:paraId="7D777DC2" w14:textId="006142C9" w:rsidR="007D6BF2" w:rsidRPr="005A7336" w:rsidRDefault="007D6BF2" w:rsidP="005A7336">
            <w:pPr>
              <w:pStyle w:val="BodyText"/>
              <w:tabs>
                <w:tab w:val="left" w:pos="2520"/>
              </w:tabs>
              <w:spacing w:before="60" w:after="60"/>
              <w:ind w:left="154"/>
            </w:pPr>
            <w:r w:rsidRPr="005A7336">
              <w:t>Setbacks</w:t>
            </w:r>
          </w:p>
        </w:tc>
        <w:tc>
          <w:tcPr>
            <w:tcW w:w="6972" w:type="dxa"/>
          </w:tcPr>
          <w:p w14:paraId="6C2074B5" w14:textId="310188D0" w:rsidR="007D6BF2" w:rsidRPr="005A7336" w:rsidRDefault="007D6BF2" w:rsidP="005A7336">
            <w:pPr>
              <w:pStyle w:val="BodyText"/>
              <w:tabs>
                <w:tab w:val="left" w:pos="2520"/>
              </w:tabs>
              <w:spacing w:before="60" w:after="60"/>
            </w:pPr>
            <w:r w:rsidRPr="005A7336">
              <w:t xml:space="preserve">Front: 25 feet minimum </w:t>
            </w:r>
            <w:r w:rsidRPr="005A7336">
              <w:br/>
              <w:t xml:space="preserve">Side: none </w:t>
            </w:r>
            <w:r w:rsidRPr="005A7336">
              <w:br/>
              <w:t>Rear: non</w:t>
            </w:r>
            <w:r w:rsidR="00E4494A" w:rsidRPr="005A7336">
              <w:t>e</w:t>
            </w:r>
          </w:p>
        </w:tc>
      </w:tr>
      <w:tr w:rsidR="007D6BF2" w:rsidRPr="005A7336" w14:paraId="21CD16BC" w14:textId="77777777" w:rsidTr="005A7336">
        <w:trPr>
          <w:trHeight w:val="458"/>
        </w:trPr>
        <w:tc>
          <w:tcPr>
            <w:tcW w:w="2057" w:type="dxa"/>
          </w:tcPr>
          <w:p w14:paraId="53E8667A" w14:textId="698E6D35" w:rsidR="007D6BF2" w:rsidRPr="005A7336" w:rsidRDefault="007D6BF2" w:rsidP="005A7336">
            <w:pPr>
              <w:pStyle w:val="BodyText"/>
              <w:tabs>
                <w:tab w:val="left" w:pos="2520"/>
              </w:tabs>
              <w:spacing w:before="60" w:after="60"/>
              <w:ind w:left="154"/>
            </w:pPr>
            <w:r w:rsidRPr="005A7336">
              <w:t>Height limit</w:t>
            </w:r>
          </w:p>
        </w:tc>
        <w:tc>
          <w:tcPr>
            <w:tcW w:w="6972" w:type="dxa"/>
          </w:tcPr>
          <w:p w14:paraId="15B026CC" w14:textId="5111ACEB" w:rsidR="007D6BF2" w:rsidRPr="005A7336" w:rsidRDefault="00E4494A" w:rsidP="005A7336">
            <w:pPr>
              <w:pStyle w:val="BodyText"/>
              <w:tabs>
                <w:tab w:val="left" w:pos="2520"/>
              </w:tabs>
              <w:spacing w:before="60" w:after="60"/>
            </w:pPr>
            <w:r w:rsidRPr="005A7336">
              <w:t xml:space="preserve">40 feet </w:t>
            </w:r>
          </w:p>
        </w:tc>
      </w:tr>
      <w:tr w:rsidR="007D6BF2" w:rsidRPr="005A7336" w14:paraId="6DA2F60B" w14:textId="77777777" w:rsidTr="005A7336">
        <w:trPr>
          <w:trHeight w:val="470"/>
        </w:trPr>
        <w:tc>
          <w:tcPr>
            <w:tcW w:w="2057" w:type="dxa"/>
          </w:tcPr>
          <w:p w14:paraId="53EDEDBB" w14:textId="2E74B015" w:rsidR="007D6BF2" w:rsidRPr="005A7336" w:rsidRDefault="007D6BF2" w:rsidP="005A7336">
            <w:pPr>
              <w:pStyle w:val="BodyText"/>
              <w:tabs>
                <w:tab w:val="left" w:pos="2520"/>
              </w:tabs>
              <w:spacing w:before="60" w:after="60"/>
              <w:ind w:left="154"/>
            </w:pPr>
            <w:r w:rsidRPr="005A7336">
              <w:t>Landscaping</w:t>
            </w:r>
          </w:p>
        </w:tc>
        <w:tc>
          <w:tcPr>
            <w:tcW w:w="6972" w:type="dxa"/>
          </w:tcPr>
          <w:p w14:paraId="69C60B0E" w14:textId="59858416" w:rsidR="007D6BF2" w:rsidRPr="005A7336" w:rsidRDefault="00E4494A" w:rsidP="005A7336">
            <w:pPr>
              <w:pStyle w:val="BodyText"/>
              <w:tabs>
                <w:tab w:val="left" w:pos="2520"/>
              </w:tabs>
              <w:spacing w:before="60" w:after="60"/>
            </w:pPr>
            <w:r w:rsidRPr="005A7336">
              <w:t>Total site: 1</w:t>
            </w:r>
            <w:r w:rsidR="00AE4C32" w:rsidRPr="005A7336">
              <w:t>5</w:t>
            </w:r>
            <w:r w:rsidRPr="005A7336">
              <w:t xml:space="preserve">% of total area, minimum </w:t>
            </w:r>
          </w:p>
        </w:tc>
      </w:tr>
      <w:tr w:rsidR="007D6BF2" w:rsidRPr="005A7336" w14:paraId="5CA1BCA1" w14:textId="77777777" w:rsidTr="005A7336">
        <w:trPr>
          <w:trHeight w:val="693"/>
        </w:trPr>
        <w:tc>
          <w:tcPr>
            <w:tcW w:w="2057" w:type="dxa"/>
          </w:tcPr>
          <w:p w14:paraId="3E362D1B" w14:textId="4135FD16" w:rsidR="007D6BF2" w:rsidRPr="005A7336" w:rsidRDefault="007D6BF2" w:rsidP="005A7336">
            <w:pPr>
              <w:pStyle w:val="BodyText"/>
              <w:tabs>
                <w:tab w:val="left" w:pos="2520"/>
              </w:tabs>
              <w:spacing w:before="60" w:after="60"/>
              <w:ind w:left="154"/>
            </w:pPr>
            <w:r w:rsidRPr="005A7336">
              <w:t xml:space="preserve">Other standards </w:t>
            </w:r>
          </w:p>
        </w:tc>
        <w:tc>
          <w:tcPr>
            <w:tcW w:w="6972" w:type="dxa"/>
          </w:tcPr>
          <w:p w14:paraId="3F6D3BF3" w14:textId="0CA93A96" w:rsidR="007D6BF2" w:rsidRPr="005A7336" w:rsidRDefault="00E4494A" w:rsidP="005A7336">
            <w:pPr>
              <w:pStyle w:val="BodyText"/>
              <w:tabs>
                <w:tab w:val="left" w:pos="2520"/>
              </w:tabs>
              <w:spacing w:before="60" w:after="60"/>
            </w:pPr>
            <w:r w:rsidRPr="005A7336">
              <w:t xml:space="preserve">Trash enclosure: any trash containers must be within an opaque enclosure </w:t>
            </w:r>
          </w:p>
        </w:tc>
      </w:tr>
    </w:tbl>
    <w:p w14:paraId="17261D13" w14:textId="553E60A3" w:rsidR="008A7E54" w:rsidRPr="008A7E54" w:rsidRDefault="001F3B0D" w:rsidP="005A7336">
      <w:pPr>
        <w:pStyle w:val="BodyText"/>
        <w:tabs>
          <w:tab w:val="left" w:pos="2520"/>
        </w:tabs>
        <w:spacing w:before="60" w:after="60"/>
        <w:ind w:left="2160" w:hanging="2160"/>
        <w:rPr>
          <w:bCs/>
          <w:iCs/>
        </w:rPr>
      </w:pPr>
      <w:r w:rsidRPr="00C32947">
        <w:rPr>
          <w:b/>
          <w:bCs/>
        </w:rPr>
        <w:t>Section 28.45</w:t>
      </w:r>
      <w:r w:rsidRPr="00C32947">
        <w:rPr>
          <w:b/>
          <w:bCs/>
        </w:rPr>
        <w:tab/>
      </w:r>
      <w:r w:rsidR="008A7E54" w:rsidRPr="005A7336">
        <w:rPr>
          <w:b/>
          <w:iCs/>
        </w:rPr>
        <w:t xml:space="preserve">Required </w:t>
      </w:r>
      <w:r w:rsidR="005A7336" w:rsidRPr="005A7336">
        <w:rPr>
          <w:b/>
          <w:iCs/>
        </w:rPr>
        <w:t xml:space="preserve">Number </w:t>
      </w:r>
      <w:r w:rsidR="008A7E54" w:rsidRPr="005A7336">
        <w:rPr>
          <w:b/>
          <w:iCs/>
        </w:rPr>
        <w:t xml:space="preserve">of </w:t>
      </w:r>
      <w:r w:rsidR="005A7336" w:rsidRPr="005A7336">
        <w:rPr>
          <w:b/>
          <w:iCs/>
        </w:rPr>
        <w:t>Parking Spaces</w:t>
      </w:r>
      <w:r w:rsidR="008A7E54" w:rsidRPr="005A7336">
        <w:rPr>
          <w:b/>
          <w:iCs/>
        </w:rPr>
        <w:t>.</w:t>
      </w:r>
      <w:r w:rsidR="008A7E54">
        <w:rPr>
          <w:bCs/>
          <w:i/>
        </w:rPr>
        <w:t xml:space="preserve"> </w:t>
      </w:r>
      <w:r w:rsidR="008A7E54">
        <w:rPr>
          <w:bCs/>
          <w:iCs/>
        </w:rPr>
        <w:t xml:space="preserve">In General Industrial zones, 1 space for each 250 square foot of gross floor area plus 1 space for each vehicle operated in connection with each on-site use </w:t>
      </w:r>
    </w:p>
    <w:p w14:paraId="18B66418" w14:textId="00000541" w:rsidR="001258A7" w:rsidRPr="00260E10" w:rsidRDefault="001258A7" w:rsidP="005A7336">
      <w:pPr>
        <w:pStyle w:val="Heading5"/>
        <w:pageBreakBefore/>
        <w:spacing w:before="0"/>
      </w:pPr>
      <w:r w:rsidRPr="00260E10">
        <w:t>Impact Analysis</w:t>
      </w:r>
    </w:p>
    <w:p w14:paraId="4B8D6EEB" w14:textId="4B410700" w:rsidR="00542725" w:rsidRPr="00260E10" w:rsidRDefault="00542725" w:rsidP="005A7336">
      <w:pPr>
        <w:pStyle w:val="BulletLtrManAFTER"/>
        <w:spacing w:before="120"/>
      </w:pPr>
      <w:r w:rsidRPr="00260E10">
        <w:t>a.</w:t>
      </w:r>
      <w:r w:rsidRPr="00260E10">
        <w:tab/>
        <w:t>Would the project physically divide an established community?</w:t>
      </w:r>
    </w:p>
    <w:p w14:paraId="058B155E" w14:textId="33706C1D" w:rsidR="009731C0" w:rsidRPr="00260E10" w:rsidRDefault="009731C0" w:rsidP="009731C0">
      <w:pPr>
        <w:pStyle w:val="BodyText"/>
      </w:pPr>
      <w:r w:rsidRPr="00260E10">
        <w:t xml:space="preserve">The project would </w:t>
      </w:r>
      <w:r w:rsidR="003C4B2C" w:rsidRPr="00260E10">
        <w:t xml:space="preserve">involve </w:t>
      </w:r>
      <w:r w:rsidRPr="00260E10">
        <w:t>redevelop</w:t>
      </w:r>
      <w:r w:rsidR="003C4B2C" w:rsidRPr="00260E10">
        <w:t>ment of</w:t>
      </w:r>
      <w:r w:rsidRPr="00260E10">
        <w:t xml:space="preserve"> an existing site. No new roads, linear infrastructure, or other development features are proposed that would divide an established community or limit movement, travel, or social interaction between established land uses. Project construction would not physically divide an established community</w:t>
      </w:r>
      <w:r w:rsidR="003C4B2C" w:rsidRPr="00260E10">
        <w:t>;</w:t>
      </w:r>
      <w:r w:rsidRPr="00260E10">
        <w:t xml:space="preserve"> therefore, there would be no impact to established communities.</w:t>
      </w:r>
    </w:p>
    <w:p w14:paraId="33A24DB0" w14:textId="5958901B" w:rsidR="0005345E" w:rsidRPr="00AE4C32" w:rsidRDefault="00817BC5" w:rsidP="00AE4C32">
      <w:pPr>
        <w:spacing w:before="120"/>
        <w:rPr>
          <w:rStyle w:val="DropdownList"/>
          <w:rFonts w:asciiTheme="minorHAnsi" w:hAnsiTheme="minorHAnsi" w:cstheme="minorHAnsi"/>
          <w:szCs w:val="22"/>
        </w:rPr>
      </w:pPr>
      <w:sdt>
        <w:sdtPr>
          <w:rPr>
            <w:rStyle w:val="DropdownList"/>
            <w:rFonts w:asciiTheme="minorHAnsi" w:hAnsiTheme="minorHAnsi" w:cstheme="minorHAnsi"/>
            <w:szCs w:val="22"/>
            <w:highlight w:val="lightGray"/>
          </w:rPr>
          <w:alias w:val="1a"/>
          <w:tag w:val="dropdown"/>
          <w:id w:val="-1061637449"/>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highlight w:val="none"/>
          </w:rPr>
        </w:sdtEndPr>
        <w:sdtContent>
          <w:r w:rsidR="000E45CD" w:rsidRPr="00AE4C32">
            <w:rPr>
              <w:rStyle w:val="DropdownList"/>
              <w:rFonts w:asciiTheme="minorHAnsi" w:hAnsiTheme="minorHAnsi" w:cstheme="minorHAnsi"/>
              <w:szCs w:val="22"/>
            </w:rPr>
            <w:t>No Impact</w:t>
          </w:r>
        </w:sdtContent>
      </w:sdt>
    </w:p>
    <w:p w14:paraId="069F4BA5" w14:textId="1D45E414" w:rsidR="00AE4C32" w:rsidRPr="00AE4C32" w:rsidRDefault="00AE4C32" w:rsidP="005A7336">
      <w:pPr>
        <w:pStyle w:val="BulletListLettered"/>
        <w:numPr>
          <w:ilvl w:val="0"/>
          <w:numId w:val="93"/>
        </w:numPr>
        <w:spacing w:before="240"/>
        <w:rPr>
          <w:rFonts w:cstheme="minorHAnsi"/>
          <w:i/>
          <w:iCs/>
        </w:rPr>
      </w:pPr>
      <w:r w:rsidRPr="00AE4C32">
        <w:rPr>
          <w:rFonts w:cstheme="minorHAnsi"/>
          <w:i/>
          <w:iCs/>
        </w:rPr>
        <w:t>Would the project cause a significant environmental impact due to a conflict with any land use plan, policy, or regulation adopted for the purpose of avoiding or mitigating an environmental effect?</w:t>
      </w:r>
    </w:p>
    <w:p w14:paraId="1729DBD6" w14:textId="1E53F391" w:rsidR="0019104E" w:rsidRDefault="007C2DEB" w:rsidP="0019104E">
      <w:pPr>
        <w:pStyle w:val="Heading6"/>
      </w:pPr>
      <w:r>
        <w:t xml:space="preserve">Mountain View 2030 General Plan </w:t>
      </w:r>
    </w:p>
    <w:p w14:paraId="11402D2B" w14:textId="53A2A056" w:rsidR="00954056" w:rsidRDefault="00C561AB" w:rsidP="0019104E">
      <w:pPr>
        <w:pStyle w:val="BodyText"/>
      </w:pPr>
      <w:r>
        <w:t xml:space="preserve">The City’s General Plan contains several policies with the purpose of avoiding or mitigating an environmental effect. </w:t>
      </w:r>
      <w:r w:rsidR="00B76D38">
        <w:fldChar w:fldCharType="begin"/>
      </w:r>
      <w:r w:rsidR="00B76D38">
        <w:instrText xml:space="preserve"> REF _Ref94082391 \h </w:instrText>
      </w:r>
      <w:r w:rsidR="00B76D38">
        <w:fldChar w:fldCharType="separate"/>
      </w:r>
      <w:r w:rsidR="00FA55F1">
        <w:t xml:space="preserve">Table </w:t>
      </w:r>
      <w:r w:rsidR="00FA55F1">
        <w:rPr>
          <w:noProof/>
        </w:rPr>
        <w:t>22</w:t>
      </w:r>
      <w:r w:rsidR="00B76D38">
        <w:fldChar w:fldCharType="end"/>
      </w:r>
      <w:r w:rsidR="00B76D38">
        <w:t xml:space="preserve"> </w:t>
      </w:r>
      <w:r w:rsidR="00954056">
        <w:t xml:space="preserve">shows General Plan policies that aim to avoid or mitigate environmental effects and the project’s consistency with those policies. </w:t>
      </w:r>
    </w:p>
    <w:p w14:paraId="60ACBAE0" w14:textId="33843DB5" w:rsidR="002D1CCA" w:rsidRDefault="002D1CCA" w:rsidP="002D1CCA">
      <w:pPr>
        <w:pStyle w:val="TableCaption"/>
      </w:pPr>
      <w:bookmarkStart w:id="260" w:name="_Ref94082391"/>
      <w:bookmarkStart w:id="261" w:name="_Ref94082387"/>
      <w:bookmarkStart w:id="262" w:name="_Toc112942471"/>
      <w:r>
        <w:t xml:space="preserve">Table </w:t>
      </w:r>
      <w:fldSimple w:instr=" SEQ Table \* ARABIC ">
        <w:r w:rsidR="00FA55F1">
          <w:rPr>
            <w:noProof/>
          </w:rPr>
          <w:t>22</w:t>
        </w:r>
      </w:fldSimple>
      <w:bookmarkEnd w:id="260"/>
      <w:r w:rsidR="00104339">
        <w:tab/>
      </w:r>
      <w:r>
        <w:t>Project Consistency with Mountain View 2030 General Plan Land Use Policies</w:t>
      </w:r>
      <w:bookmarkEnd w:id="261"/>
      <w:bookmarkEnd w:id="262"/>
    </w:p>
    <w:tbl>
      <w:tblPr>
        <w:tblStyle w:val="ListTable31"/>
        <w:tblW w:w="9029" w:type="dxa"/>
        <w:tblInd w:w="0" w:type="dxa"/>
        <w:tblLook w:val="04A0" w:firstRow="1" w:lastRow="0" w:firstColumn="1" w:lastColumn="0" w:noHBand="0" w:noVBand="1"/>
      </w:tblPr>
      <w:tblGrid>
        <w:gridCol w:w="4135"/>
        <w:gridCol w:w="4894"/>
      </w:tblGrid>
      <w:tr w:rsidR="00B76D38" w14:paraId="535F8C94" w14:textId="77777777" w:rsidTr="00FE0EC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35" w:type="dxa"/>
          </w:tcPr>
          <w:p w14:paraId="24FAB30E" w14:textId="77777777" w:rsidR="00B76D38" w:rsidRDefault="00B76D38" w:rsidP="005A7336">
            <w:pPr>
              <w:pStyle w:val="EIRTableText"/>
              <w:spacing w:before="80" w:after="80"/>
            </w:pPr>
            <w:r>
              <w:t>General Plan Policy</w:t>
            </w:r>
          </w:p>
        </w:tc>
        <w:tc>
          <w:tcPr>
            <w:tcW w:w="4894" w:type="dxa"/>
            <w:tcBorders>
              <w:bottom w:val="nil"/>
            </w:tcBorders>
          </w:tcPr>
          <w:p w14:paraId="40B3F8E0" w14:textId="77777777" w:rsidR="00B76D38" w:rsidRDefault="00B76D38" w:rsidP="005A7336">
            <w:pPr>
              <w:pStyle w:val="EIRTableText"/>
              <w:spacing w:before="80" w:after="80"/>
              <w:cnfStyle w:val="100000000000" w:firstRow="1" w:lastRow="0" w:firstColumn="0" w:lastColumn="0" w:oddVBand="0" w:evenVBand="0" w:oddHBand="0" w:evenHBand="0" w:firstRowFirstColumn="0" w:firstRowLastColumn="0" w:lastRowFirstColumn="0" w:lastRowLastColumn="0"/>
            </w:pPr>
            <w:r>
              <w:t xml:space="preserve">Project Consistency </w:t>
            </w:r>
          </w:p>
        </w:tc>
      </w:tr>
      <w:tr w:rsidR="00B76D38" w14:paraId="6C25ED05" w14:textId="77777777" w:rsidTr="00FE0E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nil"/>
              <w:left w:val="nil"/>
              <w:bottom w:val="single" w:sz="4" w:space="0" w:color="BFBFBF" w:themeColor="background1" w:themeShade="BF"/>
            </w:tcBorders>
          </w:tcPr>
          <w:p w14:paraId="13A0F67D" w14:textId="77777777" w:rsidR="00B76D38" w:rsidRPr="00954056" w:rsidRDefault="00B76D38" w:rsidP="002E5E7A">
            <w:pPr>
              <w:pStyle w:val="EIRTableText"/>
            </w:pPr>
            <w:r>
              <w:t xml:space="preserve">Policy INC 5.5. </w:t>
            </w:r>
            <w:r>
              <w:rPr>
                <w:b w:val="0"/>
                <w:bCs/>
              </w:rPr>
              <w:t xml:space="preserve">Landscape efficiency. Promote water-efficient landscaping including drought-tolerate and native plants, along with efficient irrigation techniques. </w:t>
            </w:r>
          </w:p>
        </w:tc>
        <w:tc>
          <w:tcPr>
            <w:tcW w:w="4894" w:type="dxa"/>
            <w:tcBorders>
              <w:top w:val="nil"/>
              <w:left w:val="nil"/>
              <w:bottom w:val="single" w:sz="4" w:space="0" w:color="BFBFBF" w:themeColor="background1" w:themeShade="BF"/>
              <w:right w:val="nil"/>
            </w:tcBorders>
          </w:tcPr>
          <w:p w14:paraId="211CE264" w14:textId="5AE57302" w:rsidR="00B76D38" w:rsidRPr="008521E3" w:rsidRDefault="00B76D38" w:rsidP="002E5E7A">
            <w:pPr>
              <w:pStyle w:val="EIRTableText"/>
              <w:cnfStyle w:val="000000100000" w:firstRow="0" w:lastRow="0" w:firstColumn="0" w:lastColumn="0" w:oddVBand="0" w:evenVBand="0" w:oddHBand="1" w:evenHBand="0" w:firstRowFirstColumn="0" w:firstRowLastColumn="0" w:lastRowFirstColumn="0" w:lastRowLastColumn="0"/>
            </w:pPr>
            <w:r>
              <w:rPr>
                <w:b/>
                <w:bCs w:val="0"/>
              </w:rPr>
              <w:t xml:space="preserve">Consistent. </w:t>
            </w:r>
            <w:r>
              <w:t>The project would utilize a water-efficient drip irrigation system and would incorporate native plants into project site landscaping (</w:t>
            </w:r>
            <w:r w:rsidR="0053638B">
              <w:t>Appendix PPS</w:t>
            </w:r>
            <w:r>
              <w:t xml:space="preserve">). </w:t>
            </w:r>
          </w:p>
        </w:tc>
      </w:tr>
      <w:tr w:rsidR="00B76D38" w14:paraId="03785BEE" w14:textId="77777777" w:rsidTr="00FE0EC8">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BFBFBF" w:themeColor="background1" w:themeShade="BF"/>
              <w:left w:val="nil"/>
              <w:bottom w:val="single" w:sz="4" w:space="0" w:color="BFBFBF" w:themeColor="background1" w:themeShade="BF"/>
            </w:tcBorders>
          </w:tcPr>
          <w:p w14:paraId="0602B8BA" w14:textId="77777777" w:rsidR="00B76D38" w:rsidRPr="00954056" w:rsidRDefault="00B76D38" w:rsidP="002E5E7A">
            <w:pPr>
              <w:pStyle w:val="EIRTableText"/>
              <w:rPr>
                <w:b w:val="0"/>
                <w:bCs/>
              </w:rPr>
            </w:pPr>
            <w:r>
              <w:t xml:space="preserve">Policy INC 5.6. </w:t>
            </w:r>
            <w:r>
              <w:rPr>
                <w:b w:val="0"/>
                <w:bCs/>
              </w:rPr>
              <w:t xml:space="preserve">Indoor efficiency. Promote the use of water-efficient fixtures and appliances. </w:t>
            </w:r>
          </w:p>
        </w:tc>
        <w:tc>
          <w:tcPr>
            <w:tcW w:w="4894" w:type="dxa"/>
            <w:tcBorders>
              <w:top w:val="single" w:sz="4" w:space="0" w:color="BFBFBF" w:themeColor="background1" w:themeShade="BF"/>
              <w:left w:val="nil"/>
              <w:bottom w:val="single" w:sz="4" w:space="0" w:color="BFBFBF" w:themeColor="background1" w:themeShade="BF"/>
              <w:right w:val="nil"/>
            </w:tcBorders>
          </w:tcPr>
          <w:p w14:paraId="31757E3B" w14:textId="7CEC589A" w:rsidR="00B76D38" w:rsidRPr="002D1CCA" w:rsidRDefault="00B76D38" w:rsidP="002E5E7A">
            <w:pPr>
              <w:pStyle w:val="EIRTableText"/>
              <w:cnfStyle w:val="000000000000" w:firstRow="0" w:lastRow="0" w:firstColumn="0" w:lastColumn="0" w:oddVBand="0" w:evenVBand="0" w:oddHBand="0" w:evenHBand="0" w:firstRowFirstColumn="0" w:firstRowLastColumn="0" w:lastRowFirstColumn="0" w:lastRowLastColumn="0"/>
            </w:pPr>
            <w:r>
              <w:rPr>
                <w:b/>
                <w:bCs w:val="0"/>
              </w:rPr>
              <w:t xml:space="preserve">Consistent. </w:t>
            </w:r>
            <w:r>
              <w:t xml:space="preserve">As described in Section 6, </w:t>
            </w:r>
            <w:r>
              <w:rPr>
                <w:i/>
                <w:iCs/>
              </w:rPr>
              <w:t>Energy</w:t>
            </w:r>
            <w:r>
              <w:t xml:space="preserve">, the project </w:t>
            </w:r>
            <w:r w:rsidR="00C02589">
              <w:t xml:space="preserve">would include water efficient appliances such as low-flow toilets </w:t>
            </w:r>
            <w:r w:rsidR="00264D02">
              <w:t>and faucets. The project</w:t>
            </w:r>
            <w:r w:rsidR="00C02589">
              <w:t xml:space="preserve"> </w:t>
            </w:r>
            <w:r>
              <w:t xml:space="preserve">would be consistent with General Plan policies related to energy. </w:t>
            </w:r>
          </w:p>
        </w:tc>
      </w:tr>
      <w:tr w:rsidR="00B76D38" w14:paraId="6799E5F5" w14:textId="77777777" w:rsidTr="00FE0E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BFBFBF" w:themeColor="background1" w:themeShade="BF"/>
              <w:left w:val="nil"/>
              <w:bottom w:val="single" w:sz="4" w:space="0" w:color="BFBFBF" w:themeColor="background1" w:themeShade="BF"/>
            </w:tcBorders>
          </w:tcPr>
          <w:p w14:paraId="3B6B594E" w14:textId="77777777" w:rsidR="00B76D38" w:rsidRPr="00954056" w:rsidRDefault="00B76D38" w:rsidP="002E5E7A">
            <w:pPr>
              <w:pStyle w:val="EIRTableText"/>
              <w:rPr>
                <w:b w:val="0"/>
                <w:bCs/>
              </w:rPr>
            </w:pPr>
            <w:r>
              <w:t xml:space="preserve">Policy INC 8.5. </w:t>
            </w:r>
            <w:r>
              <w:rPr>
                <w:b w:val="0"/>
                <w:bCs/>
              </w:rPr>
              <w:t xml:space="preserve">Site-specific stormwater treatment. Require post-construction stormwater treatment controls consistent with NPDES requirements for both new development and redevelopment projects. </w:t>
            </w:r>
          </w:p>
        </w:tc>
        <w:tc>
          <w:tcPr>
            <w:tcW w:w="4894" w:type="dxa"/>
            <w:tcBorders>
              <w:top w:val="single" w:sz="4" w:space="0" w:color="BFBFBF" w:themeColor="background1" w:themeShade="BF"/>
              <w:left w:val="nil"/>
              <w:bottom w:val="single" w:sz="4" w:space="0" w:color="BFBFBF" w:themeColor="background1" w:themeShade="BF"/>
              <w:right w:val="nil"/>
            </w:tcBorders>
          </w:tcPr>
          <w:p w14:paraId="204DE6BF" w14:textId="474E9142" w:rsidR="00B76D38" w:rsidRPr="002D1CCA" w:rsidRDefault="00B76D38" w:rsidP="002E5E7A">
            <w:pPr>
              <w:pStyle w:val="EIRTableText"/>
              <w:cnfStyle w:val="000000100000" w:firstRow="0" w:lastRow="0" w:firstColumn="0" w:lastColumn="0" w:oddVBand="0" w:evenVBand="0" w:oddHBand="1" w:evenHBand="0" w:firstRowFirstColumn="0" w:firstRowLastColumn="0" w:lastRowFirstColumn="0" w:lastRowLastColumn="0"/>
            </w:pPr>
            <w:r>
              <w:rPr>
                <w:b/>
                <w:bCs w:val="0"/>
              </w:rPr>
              <w:t xml:space="preserve">Consistent. </w:t>
            </w:r>
            <w:r>
              <w:t xml:space="preserve">As described in Section 10, </w:t>
            </w:r>
            <w:r>
              <w:rPr>
                <w:i/>
                <w:iCs/>
              </w:rPr>
              <w:t xml:space="preserve">Hydrology and Water Quality, </w:t>
            </w:r>
            <w:r>
              <w:t>the project would be consistent with NPDES permit requirements</w:t>
            </w:r>
            <w:r w:rsidR="00264D02">
              <w:t>. The project would involve the installation of</w:t>
            </w:r>
            <w:r>
              <w:t xml:space="preserve"> </w:t>
            </w:r>
            <w:r w:rsidR="00264D02">
              <w:t xml:space="preserve">two bioretention areas that total 2,250 square feet to treat and direct stormwater flows. </w:t>
            </w:r>
          </w:p>
        </w:tc>
      </w:tr>
      <w:tr w:rsidR="00B76D38" w14:paraId="264795B5" w14:textId="77777777" w:rsidTr="00FE0EC8">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BFBFBF" w:themeColor="background1" w:themeShade="BF"/>
              <w:left w:val="nil"/>
              <w:bottom w:val="single" w:sz="4" w:space="0" w:color="BFBFBF" w:themeColor="background1" w:themeShade="BF"/>
            </w:tcBorders>
          </w:tcPr>
          <w:p w14:paraId="1617C72A" w14:textId="77777777" w:rsidR="00B76D38" w:rsidRPr="008521E3" w:rsidRDefault="00B76D38" w:rsidP="002E5E7A">
            <w:pPr>
              <w:pStyle w:val="EIRTableText"/>
              <w:rPr>
                <w:b w:val="0"/>
                <w:bCs/>
              </w:rPr>
            </w:pPr>
            <w:r>
              <w:t xml:space="preserve">Policy INC 15.3. </w:t>
            </w:r>
            <w:r>
              <w:rPr>
                <w:b w:val="0"/>
                <w:bCs/>
              </w:rPr>
              <w:t xml:space="preserve">Citywide green building. Support green building technologies and innovations throughout the city. </w:t>
            </w:r>
          </w:p>
        </w:tc>
        <w:tc>
          <w:tcPr>
            <w:tcW w:w="4894" w:type="dxa"/>
            <w:tcBorders>
              <w:top w:val="single" w:sz="4" w:space="0" w:color="BFBFBF" w:themeColor="background1" w:themeShade="BF"/>
              <w:left w:val="nil"/>
              <w:bottom w:val="single" w:sz="4" w:space="0" w:color="BFBFBF" w:themeColor="background1" w:themeShade="BF"/>
              <w:right w:val="nil"/>
            </w:tcBorders>
          </w:tcPr>
          <w:p w14:paraId="294063F6" w14:textId="448A291F" w:rsidR="00B76D38" w:rsidRPr="00B76D38" w:rsidRDefault="00B76D38" w:rsidP="002E5E7A">
            <w:pPr>
              <w:pStyle w:val="EIRTableText"/>
              <w:cnfStyle w:val="000000000000" w:firstRow="0" w:lastRow="0" w:firstColumn="0" w:lastColumn="0" w:oddVBand="0" w:evenVBand="0" w:oddHBand="0" w:evenHBand="0" w:firstRowFirstColumn="0" w:firstRowLastColumn="0" w:lastRowFirstColumn="0" w:lastRowLastColumn="0"/>
              <w:rPr>
                <w:iCs/>
              </w:rPr>
            </w:pPr>
            <w:r>
              <w:rPr>
                <w:b/>
                <w:bCs w:val="0"/>
              </w:rPr>
              <w:t xml:space="preserve">Consistent. </w:t>
            </w:r>
            <w:r>
              <w:t xml:space="preserve">As described in Section 6, </w:t>
            </w:r>
            <w:r>
              <w:rPr>
                <w:i/>
              </w:rPr>
              <w:t xml:space="preserve">Energy, </w:t>
            </w:r>
            <w:r>
              <w:rPr>
                <w:iCs/>
              </w:rPr>
              <w:t xml:space="preserve">the project would </w:t>
            </w:r>
            <w:r w:rsidR="00264D02">
              <w:rPr>
                <w:iCs/>
              </w:rPr>
              <w:t xml:space="preserve">install energy efficient lighting and interior climate systems and would generate renewable solar energy on site. The project </w:t>
            </w:r>
            <w:r>
              <w:rPr>
                <w:iCs/>
              </w:rPr>
              <w:t xml:space="preserve">would comply with the Mountain View Green Building Code. </w:t>
            </w:r>
          </w:p>
        </w:tc>
      </w:tr>
      <w:tr w:rsidR="00924339" w14:paraId="395F1BE9" w14:textId="77777777" w:rsidTr="00FE0E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BFBFBF" w:themeColor="background1" w:themeShade="BF"/>
              <w:left w:val="nil"/>
              <w:bottom w:val="single" w:sz="4" w:space="0" w:color="BFBFBF" w:themeColor="background1" w:themeShade="BF"/>
            </w:tcBorders>
          </w:tcPr>
          <w:p w14:paraId="6E8B9769" w14:textId="4E77BDA7" w:rsidR="00924339" w:rsidRPr="00924339" w:rsidRDefault="00924339" w:rsidP="002E5E7A">
            <w:pPr>
              <w:pStyle w:val="EIRTableText"/>
              <w:rPr>
                <w:b w:val="0"/>
                <w:bCs/>
              </w:rPr>
            </w:pPr>
            <w:r>
              <w:t xml:space="preserve">Policy INC 16.3. </w:t>
            </w:r>
            <w:r>
              <w:rPr>
                <w:b w:val="0"/>
                <w:bCs/>
              </w:rPr>
              <w:t xml:space="preserve">Habitat. Protect and enhance nesting, foraging, and other habitat for special-status species and other wildlife. </w:t>
            </w:r>
          </w:p>
        </w:tc>
        <w:tc>
          <w:tcPr>
            <w:tcW w:w="4894" w:type="dxa"/>
            <w:tcBorders>
              <w:top w:val="single" w:sz="4" w:space="0" w:color="BFBFBF" w:themeColor="background1" w:themeShade="BF"/>
              <w:left w:val="nil"/>
              <w:bottom w:val="single" w:sz="4" w:space="0" w:color="BFBFBF" w:themeColor="background1" w:themeShade="BF"/>
              <w:right w:val="nil"/>
            </w:tcBorders>
          </w:tcPr>
          <w:p w14:paraId="7C3C88F5" w14:textId="020AC285" w:rsidR="00924339" w:rsidRPr="00924339" w:rsidRDefault="00924339" w:rsidP="002E5E7A">
            <w:pPr>
              <w:pStyle w:val="EIRTableText"/>
              <w:cnfStyle w:val="000000100000" w:firstRow="0" w:lastRow="0" w:firstColumn="0" w:lastColumn="0" w:oddVBand="0" w:evenVBand="0" w:oddHBand="1" w:evenHBand="0" w:firstRowFirstColumn="0" w:firstRowLastColumn="0" w:lastRowFirstColumn="0" w:lastRowLastColumn="0"/>
            </w:pPr>
            <w:r>
              <w:rPr>
                <w:b/>
                <w:bCs w:val="0"/>
              </w:rPr>
              <w:t xml:space="preserve">Consistent. </w:t>
            </w:r>
            <w:r>
              <w:t xml:space="preserve">As described in Section 4, </w:t>
            </w:r>
            <w:r>
              <w:rPr>
                <w:i/>
                <w:iCs/>
              </w:rPr>
              <w:t xml:space="preserve">Biological Resources, </w:t>
            </w:r>
            <w:r>
              <w:t>the project</w:t>
            </w:r>
            <w:r w:rsidR="00264D02">
              <w:t xml:space="preserve"> site </w:t>
            </w:r>
            <w:r w:rsidR="00BD6040">
              <w:t>does not support</w:t>
            </w:r>
            <w:r w:rsidR="00264D02">
              <w:t xml:space="preserve"> critical habitat. With the implementation of standard condition of approval PL-194, the project</w:t>
            </w:r>
            <w:r>
              <w:t xml:space="preserve"> would not result in a significant impact to</w:t>
            </w:r>
            <w:r w:rsidR="00264D02">
              <w:t xml:space="preserve"> birds or other</w:t>
            </w:r>
            <w:r>
              <w:t xml:space="preserve"> special-status wildlife species. </w:t>
            </w:r>
          </w:p>
        </w:tc>
      </w:tr>
      <w:tr w:rsidR="00B76D38" w14:paraId="70E19854" w14:textId="77777777" w:rsidTr="00FE0EC8">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BFBFBF" w:themeColor="background1" w:themeShade="BF"/>
              <w:left w:val="nil"/>
              <w:bottom w:val="single" w:sz="4" w:space="0" w:color="auto"/>
            </w:tcBorders>
          </w:tcPr>
          <w:p w14:paraId="23470338" w14:textId="77777777" w:rsidR="00B76D38" w:rsidRPr="008521E3" w:rsidRDefault="00B76D38" w:rsidP="002E5E7A">
            <w:pPr>
              <w:pStyle w:val="EIRTableText"/>
              <w:rPr>
                <w:b w:val="0"/>
                <w:bCs/>
              </w:rPr>
            </w:pPr>
            <w:r>
              <w:t xml:space="preserve">Policy INC 20.1. </w:t>
            </w:r>
            <w:r>
              <w:rPr>
                <w:b w:val="0"/>
                <w:bCs/>
              </w:rPr>
              <w:t xml:space="preserve">Pollution prevention. Discourage mobile and stationary sources of air pollution. </w:t>
            </w:r>
          </w:p>
        </w:tc>
        <w:tc>
          <w:tcPr>
            <w:tcW w:w="4894" w:type="dxa"/>
            <w:tcBorders>
              <w:top w:val="single" w:sz="4" w:space="0" w:color="BFBFBF" w:themeColor="background1" w:themeShade="BF"/>
              <w:left w:val="nil"/>
              <w:bottom w:val="single" w:sz="4" w:space="0" w:color="auto"/>
              <w:right w:val="nil"/>
            </w:tcBorders>
          </w:tcPr>
          <w:p w14:paraId="7653333D" w14:textId="77777777" w:rsidR="00B76D38" w:rsidRPr="00B76D38" w:rsidRDefault="00B76D38" w:rsidP="002E5E7A">
            <w:pPr>
              <w:pStyle w:val="EIRTableText"/>
              <w:cnfStyle w:val="000000000000" w:firstRow="0" w:lastRow="0" w:firstColumn="0" w:lastColumn="0" w:oddVBand="0" w:evenVBand="0" w:oddHBand="0" w:evenHBand="0" w:firstRowFirstColumn="0" w:firstRowLastColumn="0" w:lastRowFirstColumn="0" w:lastRowLastColumn="0"/>
            </w:pPr>
            <w:r>
              <w:rPr>
                <w:b/>
                <w:bCs w:val="0"/>
              </w:rPr>
              <w:t>Consistent.</w:t>
            </w:r>
            <w:r>
              <w:t xml:space="preserve"> As described in Section 6, </w:t>
            </w:r>
            <w:r>
              <w:rPr>
                <w:i/>
                <w:iCs/>
              </w:rPr>
              <w:t xml:space="preserve">Energy, </w:t>
            </w:r>
            <w:r>
              <w:t xml:space="preserve">the project would obtain energy from SVCE, which sources energy from at least 50 percent renewable sources. The project would also include solar panels to power the building. </w:t>
            </w:r>
          </w:p>
        </w:tc>
      </w:tr>
      <w:tr w:rsidR="00FE0EC8" w14:paraId="1AAEF2AE" w14:textId="77777777" w:rsidTr="009627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9" w:type="dxa"/>
            <w:gridSpan w:val="2"/>
            <w:tcBorders>
              <w:top w:val="single" w:sz="4" w:space="0" w:color="auto"/>
              <w:left w:val="nil"/>
              <w:bottom w:val="single" w:sz="4" w:space="0" w:color="auto"/>
            </w:tcBorders>
          </w:tcPr>
          <w:p w14:paraId="5410919C" w14:textId="4D27DA4D" w:rsidR="00FE0EC8" w:rsidRPr="00FE0EC8" w:rsidRDefault="00FE0EC8" w:rsidP="00FE0EC8">
            <w:pPr>
              <w:pStyle w:val="EIRTableText"/>
              <w:spacing w:before="60" w:after="60"/>
              <w:rPr>
                <w:sz w:val="16"/>
                <w:szCs w:val="16"/>
              </w:rPr>
            </w:pPr>
            <w:r w:rsidRPr="00FE0EC8">
              <w:rPr>
                <w:b w:val="0"/>
                <w:bCs/>
                <w:sz w:val="16"/>
                <w:szCs w:val="16"/>
              </w:rPr>
              <w:t xml:space="preserve">Source: City of Mountain View 2012a </w:t>
            </w:r>
          </w:p>
        </w:tc>
      </w:tr>
    </w:tbl>
    <w:p w14:paraId="4CD76867" w14:textId="61B5D04A" w:rsidR="0019104E" w:rsidRDefault="00B76D38" w:rsidP="00FE0EC8">
      <w:pPr>
        <w:pStyle w:val="bodyafter"/>
      </w:pPr>
      <w:r>
        <w:t xml:space="preserve">As shown above, the </w:t>
      </w:r>
      <w:r w:rsidR="001E2872">
        <w:t>project would be consistent with the City’s General Plan</w:t>
      </w:r>
      <w:r>
        <w:t xml:space="preserve"> policies that aim to avoid or mitigate environmental effects</w:t>
      </w:r>
      <w:r w:rsidR="001E2872">
        <w:t xml:space="preserve">. </w:t>
      </w:r>
    </w:p>
    <w:p w14:paraId="3461258E" w14:textId="3F29384F" w:rsidR="0019104E" w:rsidRDefault="007C2DEB" w:rsidP="0019104E">
      <w:pPr>
        <w:pStyle w:val="Heading6"/>
      </w:pPr>
      <w:r>
        <w:t>Mountain View Municipal Code</w:t>
      </w:r>
    </w:p>
    <w:p w14:paraId="5C6E8E3C" w14:textId="40ABC8F2" w:rsidR="00512DCA" w:rsidRDefault="00512DCA" w:rsidP="00512DCA">
      <w:pPr>
        <w:pStyle w:val="BodyText"/>
      </w:pPr>
      <w:r>
        <w:t xml:space="preserve">MVMC contains several policies that intend to avoid or mitigate environmental effects in the City. </w:t>
      </w:r>
      <w:r>
        <w:fldChar w:fldCharType="begin"/>
      </w:r>
      <w:r>
        <w:instrText xml:space="preserve"> REF _Ref94084210 \h </w:instrText>
      </w:r>
      <w:r>
        <w:fldChar w:fldCharType="separate"/>
      </w:r>
      <w:r w:rsidR="00FA55F1">
        <w:t xml:space="preserve">Table </w:t>
      </w:r>
      <w:r w:rsidR="00FA55F1">
        <w:rPr>
          <w:noProof/>
        </w:rPr>
        <w:t>23</w:t>
      </w:r>
      <w:r>
        <w:fldChar w:fldCharType="end"/>
      </w:r>
      <w:r>
        <w:t xml:space="preserve"> shows policies that aim to avoid or mitigate environmental effects and the project’s consistency with those policies. </w:t>
      </w:r>
    </w:p>
    <w:p w14:paraId="185373B5" w14:textId="6A0E682B" w:rsidR="00512DCA" w:rsidRDefault="00512DCA" w:rsidP="00512DCA">
      <w:pPr>
        <w:pStyle w:val="TableCaption"/>
      </w:pPr>
      <w:bookmarkStart w:id="263" w:name="_Ref94084210"/>
      <w:bookmarkStart w:id="264" w:name="_Toc112942472"/>
      <w:r>
        <w:t xml:space="preserve">Table </w:t>
      </w:r>
      <w:fldSimple w:instr=" SEQ Table \* ARABIC ">
        <w:r w:rsidR="00FA55F1">
          <w:rPr>
            <w:noProof/>
          </w:rPr>
          <w:t>23</w:t>
        </w:r>
      </w:fldSimple>
      <w:bookmarkEnd w:id="263"/>
      <w:r>
        <w:tab/>
        <w:t>Project Consistency with Mountain View Municipal Code Policies</w:t>
      </w:r>
      <w:bookmarkEnd w:id="264"/>
      <w:r>
        <w:t xml:space="preserve"> </w:t>
      </w:r>
    </w:p>
    <w:tbl>
      <w:tblPr>
        <w:tblStyle w:val="ListTable31"/>
        <w:tblW w:w="0" w:type="auto"/>
        <w:tblInd w:w="0" w:type="dxa"/>
        <w:tblLook w:val="04A0" w:firstRow="1" w:lastRow="0" w:firstColumn="1" w:lastColumn="0" w:noHBand="0" w:noVBand="1"/>
      </w:tblPr>
      <w:tblGrid>
        <w:gridCol w:w="4488"/>
        <w:gridCol w:w="4488"/>
      </w:tblGrid>
      <w:tr w:rsidR="00512DCA" w14:paraId="09F41836" w14:textId="77777777" w:rsidTr="002E5E7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88" w:type="dxa"/>
          </w:tcPr>
          <w:p w14:paraId="548AAD69" w14:textId="77777777" w:rsidR="00512DCA" w:rsidRDefault="00512DCA" w:rsidP="005A7336">
            <w:pPr>
              <w:pStyle w:val="EIRTableText"/>
              <w:spacing w:before="80" w:after="80"/>
            </w:pPr>
            <w:r>
              <w:t>MVMC Code</w:t>
            </w:r>
          </w:p>
        </w:tc>
        <w:tc>
          <w:tcPr>
            <w:tcW w:w="4488" w:type="dxa"/>
            <w:tcBorders>
              <w:bottom w:val="nil"/>
            </w:tcBorders>
          </w:tcPr>
          <w:p w14:paraId="672B79FF" w14:textId="77777777" w:rsidR="00512DCA" w:rsidRDefault="00512DCA" w:rsidP="005A7336">
            <w:pPr>
              <w:pStyle w:val="EIRTableText"/>
              <w:spacing w:before="80" w:after="80"/>
              <w:cnfStyle w:val="100000000000" w:firstRow="1" w:lastRow="0" w:firstColumn="0" w:lastColumn="0" w:oddVBand="0" w:evenVBand="0" w:oddHBand="0" w:evenHBand="0" w:firstRowFirstColumn="0" w:firstRowLastColumn="0" w:lastRowFirstColumn="0" w:lastRowLastColumn="0"/>
            </w:pPr>
            <w:r>
              <w:t xml:space="preserve">Project Consistency </w:t>
            </w:r>
          </w:p>
        </w:tc>
      </w:tr>
      <w:tr w:rsidR="00512DCA" w14:paraId="204CF9C0" w14:textId="77777777" w:rsidTr="005A73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8" w:type="dxa"/>
            <w:tcBorders>
              <w:top w:val="nil"/>
              <w:left w:val="nil"/>
              <w:bottom w:val="single" w:sz="4" w:space="0" w:color="BFBFBF" w:themeColor="background1" w:themeShade="BF"/>
            </w:tcBorders>
          </w:tcPr>
          <w:p w14:paraId="74518AA8" w14:textId="0BF1E790" w:rsidR="00512DCA" w:rsidRPr="00C561AB" w:rsidRDefault="00512DCA" w:rsidP="002E5E7A">
            <w:pPr>
              <w:pStyle w:val="EIRTableText"/>
            </w:pPr>
            <w:r>
              <w:t xml:space="preserve">Section 8.20.1. </w:t>
            </w:r>
            <w:r w:rsidRPr="00C9272B">
              <w:rPr>
                <w:b w:val="0"/>
                <w:bCs/>
                <w:shd w:val="clear" w:color="auto" w:fill="FFFFFF"/>
              </w:rPr>
              <w:t>The California Green Building Standards Code, 2019 edition, which regulates the design and construction of buildings through the use of building concepts having a reduced negative impact or positive environmental impac</w:t>
            </w:r>
            <w:r w:rsidRPr="000B1E96">
              <w:rPr>
                <w:b w:val="0"/>
                <w:bCs/>
                <w:shd w:val="clear" w:color="auto" w:fill="FFFFFF"/>
              </w:rPr>
              <w:t>t and encouraging sustainable construction for all new construction.</w:t>
            </w:r>
            <w:r w:rsidR="00275B75">
              <w:rPr>
                <w:shd w:val="clear" w:color="auto" w:fill="FFFFFF"/>
              </w:rPr>
              <w:t xml:space="preserve"> </w:t>
            </w:r>
          </w:p>
        </w:tc>
        <w:tc>
          <w:tcPr>
            <w:tcW w:w="4488" w:type="dxa"/>
            <w:tcBorders>
              <w:top w:val="nil"/>
              <w:left w:val="nil"/>
              <w:bottom w:val="single" w:sz="4" w:space="0" w:color="BFBFBF" w:themeColor="background1" w:themeShade="BF"/>
              <w:right w:val="nil"/>
            </w:tcBorders>
          </w:tcPr>
          <w:p w14:paraId="77415453" w14:textId="1F2A0CAF" w:rsidR="00512DCA" w:rsidRPr="008521E3" w:rsidRDefault="00512DCA" w:rsidP="002E5E7A">
            <w:pPr>
              <w:pStyle w:val="EIRTableText"/>
              <w:cnfStyle w:val="000000100000" w:firstRow="0" w:lastRow="0" w:firstColumn="0" w:lastColumn="0" w:oddVBand="0" w:evenVBand="0" w:oddHBand="1" w:evenHBand="0" w:firstRowFirstColumn="0" w:firstRowLastColumn="0" w:lastRowFirstColumn="0" w:lastRowLastColumn="0"/>
            </w:pPr>
            <w:r>
              <w:rPr>
                <w:b/>
              </w:rPr>
              <w:t xml:space="preserve">Consistent. </w:t>
            </w:r>
            <w:r>
              <w:t xml:space="preserve">As described in Section 6, </w:t>
            </w:r>
            <w:r>
              <w:rPr>
                <w:i/>
                <w:iCs/>
              </w:rPr>
              <w:t xml:space="preserve">Energy, </w:t>
            </w:r>
            <w:r>
              <w:t>the project would be consistent with the California Green Building Standards Code and the amended Mountain View Green Building Code</w:t>
            </w:r>
            <w:r w:rsidR="00275B75">
              <w:t xml:space="preserve">. </w:t>
            </w:r>
          </w:p>
        </w:tc>
      </w:tr>
      <w:tr w:rsidR="00512DCA" w14:paraId="1D5311DF" w14:textId="77777777" w:rsidTr="005A7336">
        <w:tc>
          <w:tcPr>
            <w:cnfStyle w:val="001000000000" w:firstRow="0" w:lastRow="0" w:firstColumn="1" w:lastColumn="0" w:oddVBand="0" w:evenVBand="0" w:oddHBand="0" w:evenHBand="0" w:firstRowFirstColumn="0" w:firstRowLastColumn="0" w:lastRowFirstColumn="0" w:lastRowLastColumn="0"/>
            <w:tcW w:w="4488" w:type="dxa"/>
            <w:tcBorders>
              <w:top w:val="single" w:sz="4" w:space="0" w:color="BFBFBF" w:themeColor="background1" w:themeShade="BF"/>
              <w:left w:val="nil"/>
              <w:bottom w:val="single" w:sz="4" w:space="0" w:color="BFBFBF" w:themeColor="background1" w:themeShade="BF"/>
            </w:tcBorders>
          </w:tcPr>
          <w:p w14:paraId="44160F7E" w14:textId="77777777" w:rsidR="00512DCA" w:rsidRPr="00EF60C1" w:rsidRDefault="00512DCA" w:rsidP="002E5E7A">
            <w:pPr>
              <w:pStyle w:val="EIRTableText"/>
              <w:rPr>
                <w:b w:val="0"/>
                <w:bCs/>
              </w:rPr>
            </w:pPr>
            <w:r>
              <w:t xml:space="preserve">Section 32.25. </w:t>
            </w:r>
            <w:r>
              <w:rPr>
                <w:b w:val="0"/>
                <w:bCs/>
              </w:rPr>
              <w:t xml:space="preserve">Heritage tree preservation requirements. </w:t>
            </w:r>
          </w:p>
        </w:tc>
        <w:tc>
          <w:tcPr>
            <w:tcW w:w="4488" w:type="dxa"/>
            <w:tcBorders>
              <w:top w:val="single" w:sz="4" w:space="0" w:color="BFBFBF" w:themeColor="background1" w:themeShade="BF"/>
              <w:left w:val="nil"/>
              <w:bottom w:val="single" w:sz="4" w:space="0" w:color="BFBFBF" w:themeColor="background1" w:themeShade="BF"/>
              <w:right w:val="nil"/>
            </w:tcBorders>
          </w:tcPr>
          <w:p w14:paraId="1D5D3F53" w14:textId="086718EF" w:rsidR="00512DCA" w:rsidRPr="00EF60C1" w:rsidRDefault="00512DCA" w:rsidP="002E5E7A">
            <w:pPr>
              <w:pStyle w:val="EIRTableText"/>
              <w:cnfStyle w:val="000000000000" w:firstRow="0" w:lastRow="0" w:firstColumn="0" w:lastColumn="0" w:oddVBand="0" w:evenVBand="0" w:oddHBand="0" w:evenHBand="0" w:firstRowFirstColumn="0" w:firstRowLastColumn="0" w:lastRowFirstColumn="0" w:lastRowLastColumn="0"/>
              <w:rPr>
                <w:bCs w:val="0"/>
              </w:rPr>
            </w:pPr>
            <w:r>
              <w:rPr>
                <w:b/>
              </w:rPr>
              <w:t xml:space="preserve">Consistent. </w:t>
            </w:r>
            <w:r>
              <w:rPr>
                <w:bCs w:val="0"/>
              </w:rPr>
              <w:t xml:space="preserve">As described in Section 4, </w:t>
            </w:r>
            <w:r>
              <w:rPr>
                <w:bCs w:val="0"/>
                <w:i/>
                <w:iCs/>
              </w:rPr>
              <w:t xml:space="preserve">Biological Resources, </w:t>
            </w:r>
            <w:r>
              <w:rPr>
                <w:bCs w:val="0"/>
              </w:rPr>
              <w:t xml:space="preserve">the project would </w:t>
            </w:r>
            <w:r w:rsidR="00264D02">
              <w:rPr>
                <w:bCs w:val="0"/>
              </w:rPr>
              <w:t xml:space="preserve">involve the planting of </w:t>
            </w:r>
            <w:r w:rsidR="00D3492D">
              <w:rPr>
                <w:bCs w:val="0"/>
              </w:rPr>
              <w:t xml:space="preserve">approximately 70 </w:t>
            </w:r>
            <w:r w:rsidR="00264D02">
              <w:rPr>
                <w:bCs w:val="0"/>
              </w:rPr>
              <w:t xml:space="preserve">trees, which would </w:t>
            </w:r>
            <w:r>
              <w:rPr>
                <w:bCs w:val="0"/>
              </w:rPr>
              <w:t xml:space="preserve">adequately replace the three heritage trees that would be removed as a result of the project. </w:t>
            </w:r>
          </w:p>
        </w:tc>
      </w:tr>
      <w:tr w:rsidR="00512DCA" w14:paraId="37642329" w14:textId="77777777" w:rsidTr="005A73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8" w:type="dxa"/>
            <w:tcBorders>
              <w:top w:val="single" w:sz="4" w:space="0" w:color="BFBFBF" w:themeColor="background1" w:themeShade="BF"/>
              <w:left w:val="nil"/>
              <w:bottom w:val="single" w:sz="4" w:space="0" w:color="BFBFBF" w:themeColor="background1" w:themeShade="BF"/>
            </w:tcBorders>
          </w:tcPr>
          <w:p w14:paraId="16E14CC4" w14:textId="5F0C9C45" w:rsidR="00512DCA" w:rsidRPr="00253E8C" w:rsidRDefault="00512DCA" w:rsidP="002E5E7A">
            <w:pPr>
              <w:pStyle w:val="EIRTableText"/>
              <w:rPr>
                <w:b w:val="0"/>
                <w:bCs/>
              </w:rPr>
            </w:pPr>
            <w:r>
              <w:t xml:space="preserve">Section 35.34. </w:t>
            </w:r>
            <w:r>
              <w:rPr>
                <w:b w:val="0"/>
                <w:bCs/>
              </w:rPr>
              <w:t>Permanent stormwater pollution prevention measures required</w:t>
            </w:r>
            <w:r w:rsidRPr="00253E8C">
              <w:rPr>
                <w:b w:val="0"/>
                <w:bCs/>
              </w:rPr>
              <w:t xml:space="preserve">. The </w:t>
            </w:r>
            <w:r>
              <w:rPr>
                <w:b w:val="0"/>
                <w:bCs/>
              </w:rPr>
              <w:t>C</w:t>
            </w:r>
            <w:r w:rsidRPr="00253E8C">
              <w:rPr>
                <w:b w:val="0"/>
                <w:bCs/>
              </w:rPr>
              <w:t>ity requires permanent stormwater pollution prevention measures for development and redevelopment projects in order to reduce water quality impacts of stormwater runoff from the site for the life of the project.</w:t>
            </w:r>
            <w:r w:rsidR="00275B75">
              <w:rPr>
                <w:b w:val="0"/>
                <w:bCs/>
              </w:rPr>
              <w:t xml:space="preserve"> </w:t>
            </w:r>
          </w:p>
        </w:tc>
        <w:tc>
          <w:tcPr>
            <w:tcW w:w="4488" w:type="dxa"/>
            <w:tcBorders>
              <w:top w:val="single" w:sz="4" w:space="0" w:color="BFBFBF" w:themeColor="background1" w:themeShade="BF"/>
              <w:left w:val="nil"/>
              <w:bottom w:val="single" w:sz="4" w:space="0" w:color="BFBFBF" w:themeColor="background1" w:themeShade="BF"/>
              <w:right w:val="nil"/>
            </w:tcBorders>
          </w:tcPr>
          <w:p w14:paraId="5C4AA9E2" w14:textId="32ED571A" w:rsidR="00512DCA" w:rsidRPr="00253E8C" w:rsidRDefault="00512DCA" w:rsidP="002E5E7A">
            <w:pPr>
              <w:pStyle w:val="EIRTableText"/>
              <w:cnfStyle w:val="000000100000" w:firstRow="0" w:lastRow="0" w:firstColumn="0" w:lastColumn="0" w:oddVBand="0" w:evenVBand="0" w:oddHBand="1" w:evenHBand="0" w:firstRowFirstColumn="0" w:firstRowLastColumn="0" w:lastRowFirstColumn="0" w:lastRowLastColumn="0"/>
              <w:rPr>
                <w:bCs w:val="0"/>
              </w:rPr>
            </w:pPr>
            <w:r>
              <w:rPr>
                <w:b/>
              </w:rPr>
              <w:t xml:space="preserve">Consistent. </w:t>
            </w:r>
            <w:r>
              <w:rPr>
                <w:bCs w:val="0"/>
              </w:rPr>
              <w:t xml:space="preserve">As described in Section 10, </w:t>
            </w:r>
            <w:r>
              <w:rPr>
                <w:bCs w:val="0"/>
                <w:i/>
                <w:iCs/>
              </w:rPr>
              <w:t xml:space="preserve">Hydrology and Water Quality, </w:t>
            </w:r>
            <w:r>
              <w:rPr>
                <w:bCs w:val="0"/>
              </w:rPr>
              <w:t xml:space="preserve">the project would </w:t>
            </w:r>
            <w:r w:rsidR="00BD6040">
              <w:rPr>
                <w:bCs w:val="0"/>
              </w:rPr>
              <w:t xml:space="preserve">be required to </w:t>
            </w:r>
            <w:r>
              <w:rPr>
                <w:bCs w:val="0"/>
              </w:rPr>
              <w:t xml:space="preserve">comply with NPDES permit requirements and </w:t>
            </w:r>
            <w:r w:rsidR="00264D02">
              <w:t>would involve the installation of two bioretention areas that total 2,250 square feet to treat and direct stormwater flows</w:t>
            </w:r>
            <w:r w:rsidR="00275B75">
              <w:t xml:space="preserve">. </w:t>
            </w:r>
          </w:p>
        </w:tc>
      </w:tr>
      <w:tr w:rsidR="00512DCA" w14:paraId="5A1F1523" w14:textId="77777777" w:rsidTr="005A7336">
        <w:tc>
          <w:tcPr>
            <w:cnfStyle w:val="001000000000" w:firstRow="0" w:lastRow="0" w:firstColumn="1" w:lastColumn="0" w:oddVBand="0" w:evenVBand="0" w:oddHBand="0" w:evenHBand="0" w:firstRowFirstColumn="0" w:firstRowLastColumn="0" w:lastRowFirstColumn="0" w:lastRowLastColumn="0"/>
            <w:tcW w:w="4488" w:type="dxa"/>
            <w:tcBorders>
              <w:top w:val="single" w:sz="4" w:space="0" w:color="BFBFBF" w:themeColor="background1" w:themeShade="BF"/>
              <w:left w:val="nil"/>
              <w:bottom w:val="single" w:sz="4" w:space="0" w:color="auto"/>
            </w:tcBorders>
          </w:tcPr>
          <w:p w14:paraId="17A5B07E" w14:textId="77777777" w:rsidR="00512DCA" w:rsidRPr="0074318D" w:rsidRDefault="00512DCA" w:rsidP="002E5E7A">
            <w:pPr>
              <w:pStyle w:val="EIRTableText"/>
              <w:rPr>
                <w:b w:val="0"/>
                <w:bCs/>
              </w:rPr>
            </w:pPr>
            <w:r>
              <w:t xml:space="preserve">Section 36.34.30. </w:t>
            </w:r>
            <w:r>
              <w:rPr>
                <w:b w:val="0"/>
                <w:bCs/>
              </w:rPr>
              <w:t xml:space="preserve">Water conservation in landscaping regulations. </w:t>
            </w:r>
          </w:p>
        </w:tc>
        <w:tc>
          <w:tcPr>
            <w:tcW w:w="4488" w:type="dxa"/>
            <w:tcBorders>
              <w:top w:val="single" w:sz="4" w:space="0" w:color="BFBFBF" w:themeColor="background1" w:themeShade="BF"/>
              <w:left w:val="nil"/>
              <w:bottom w:val="single" w:sz="4" w:space="0" w:color="auto"/>
              <w:right w:val="nil"/>
            </w:tcBorders>
          </w:tcPr>
          <w:p w14:paraId="4A708805" w14:textId="77777777" w:rsidR="00512DCA" w:rsidRPr="0074318D" w:rsidRDefault="00512DCA" w:rsidP="002E5E7A">
            <w:pPr>
              <w:pStyle w:val="EIRTableText"/>
              <w:cnfStyle w:val="000000000000" w:firstRow="0" w:lastRow="0" w:firstColumn="0" w:lastColumn="0" w:oddVBand="0" w:evenVBand="0" w:oddHBand="0" w:evenHBand="0" w:firstRowFirstColumn="0" w:firstRowLastColumn="0" w:lastRowFirstColumn="0" w:lastRowLastColumn="0"/>
              <w:rPr>
                <w:bCs w:val="0"/>
              </w:rPr>
            </w:pPr>
            <w:r>
              <w:rPr>
                <w:b/>
              </w:rPr>
              <w:t xml:space="preserve">Consistent. </w:t>
            </w:r>
            <w:r>
              <w:rPr>
                <w:bCs w:val="0"/>
              </w:rPr>
              <w:t xml:space="preserve">As described in Section 6, </w:t>
            </w:r>
            <w:r>
              <w:rPr>
                <w:bCs w:val="0"/>
                <w:i/>
                <w:iCs/>
              </w:rPr>
              <w:t xml:space="preserve">Energy, </w:t>
            </w:r>
            <w:r>
              <w:rPr>
                <w:bCs w:val="0"/>
              </w:rPr>
              <w:t xml:space="preserve">and Section 8, </w:t>
            </w:r>
            <w:r>
              <w:rPr>
                <w:bCs w:val="0"/>
                <w:i/>
                <w:iCs/>
              </w:rPr>
              <w:t xml:space="preserve">Greenhouse Gas Emissions, </w:t>
            </w:r>
            <w:r>
              <w:rPr>
                <w:bCs w:val="0"/>
              </w:rPr>
              <w:t xml:space="preserve">the project would incorporate water efficient landscaping for plantings throughout the project site. </w:t>
            </w:r>
          </w:p>
        </w:tc>
      </w:tr>
      <w:tr w:rsidR="00FE0EC8" w:rsidRPr="005A7336" w14:paraId="690CF8AC" w14:textId="77777777" w:rsidTr="00135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6" w:type="dxa"/>
            <w:gridSpan w:val="2"/>
            <w:tcBorders>
              <w:top w:val="single" w:sz="4" w:space="0" w:color="auto"/>
              <w:left w:val="nil"/>
              <w:bottom w:val="single" w:sz="4" w:space="0" w:color="auto"/>
            </w:tcBorders>
          </w:tcPr>
          <w:p w14:paraId="00416D5B" w14:textId="68620ED1" w:rsidR="00FE0EC8" w:rsidRPr="005A7336" w:rsidRDefault="00FE0EC8" w:rsidP="005A7336">
            <w:pPr>
              <w:pStyle w:val="EIRTableText"/>
              <w:spacing w:before="60" w:after="60"/>
              <w:rPr>
                <w:b w:val="0"/>
                <w:sz w:val="16"/>
                <w:szCs w:val="16"/>
              </w:rPr>
            </w:pPr>
            <w:r w:rsidRPr="005A7336">
              <w:rPr>
                <w:b w:val="0"/>
                <w:bCs/>
                <w:sz w:val="16"/>
                <w:szCs w:val="16"/>
              </w:rPr>
              <w:t xml:space="preserve">Source: MVMC 2021 </w:t>
            </w:r>
          </w:p>
        </w:tc>
      </w:tr>
    </w:tbl>
    <w:p w14:paraId="34969615" w14:textId="465BF53E" w:rsidR="00C561AB" w:rsidRDefault="00512DCA" w:rsidP="005A7336">
      <w:pPr>
        <w:pStyle w:val="bodyafter"/>
      </w:pPr>
      <w:r>
        <w:t xml:space="preserve">As shown above, the project would be consistent with MVMC and applicable building code policies that intend to avoid or mitigate environmental effects. </w:t>
      </w:r>
    </w:p>
    <w:p w14:paraId="3AD10A25" w14:textId="1C49F0C7" w:rsidR="0019104E" w:rsidRPr="0019104E" w:rsidRDefault="00BF56DA" w:rsidP="0054419E">
      <w:pPr>
        <w:pStyle w:val="Heading6"/>
      </w:pPr>
      <w:r>
        <w:t>Consistency with Other Land Use Plans</w:t>
      </w:r>
    </w:p>
    <w:p w14:paraId="2825BABB" w14:textId="37715589" w:rsidR="00AE4C32" w:rsidRPr="00870F1A" w:rsidRDefault="007B40FA" w:rsidP="00FE0EC8">
      <w:pPr>
        <w:pStyle w:val="BodyText"/>
      </w:pPr>
      <w:r>
        <w:t>A</w:t>
      </w:r>
      <w:r w:rsidR="0054419E">
        <w:t xml:space="preserve">s </w:t>
      </w:r>
      <w:r w:rsidR="00AE4C32" w:rsidRPr="00AE4C32">
        <w:t>discussed under thresh</w:t>
      </w:r>
      <w:r>
        <w:t>old</w:t>
      </w:r>
      <w:r w:rsidR="00AE4C32" w:rsidRPr="00AE4C32">
        <w:t xml:space="preserve"> </w:t>
      </w:r>
      <w:r w:rsidR="00AE4C32">
        <w:t>(</w:t>
      </w:r>
      <w:r w:rsidR="00AE4C32" w:rsidRPr="00AE4C32">
        <w:t>e</w:t>
      </w:r>
      <w:r w:rsidR="00AE4C32">
        <w:t>)</w:t>
      </w:r>
      <w:r w:rsidR="00AE4C32" w:rsidRPr="00AE4C32">
        <w:t xml:space="preserve"> in </w:t>
      </w:r>
      <w:r w:rsidR="00AE4C32" w:rsidRPr="00870F1A">
        <w:rPr>
          <w:i/>
          <w:iCs/>
        </w:rPr>
        <w:t>Hazards and Hazardous Materials</w:t>
      </w:r>
      <w:r w:rsidR="00AE4C32" w:rsidRPr="00870F1A">
        <w:t xml:space="preserve">, the project would not conflict with the Moffett Federal Airfield Comprehensive Land Use Plan. The project would be consistent with applicable land use policies and regulations, and therefore, there would be no impact. </w:t>
      </w:r>
    </w:p>
    <w:p w14:paraId="4A795DD7" w14:textId="426F8A1E" w:rsidR="00AE4C32" w:rsidRPr="00870F1A" w:rsidRDefault="00817BC5" w:rsidP="00AE4C32">
      <w:pPr>
        <w:spacing w:before="120"/>
        <w:rPr>
          <w:rStyle w:val="DropdownList"/>
          <w:rFonts w:asciiTheme="minorHAnsi" w:hAnsiTheme="minorHAnsi" w:cstheme="minorHAnsi"/>
          <w:szCs w:val="22"/>
        </w:rPr>
      </w:pPr>
      <w:sdt>
        <w:sdtPr>
          <w:rPr>
            <w:rStyle w:val="DropdownList"/>
            <w:rFonts w:asciiTheme="minorHAnsi" w:hAnsiTheme="minorHAnsi" w:cstheme="minorHAnsi"/>
            <w:szCs w:val="22"/>
          </w:rPr>
          <w:alias w:val="1a"/>
          <w:tag w:val="dropdown"/>
          <w:id w:val="1905337431"/>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rPr>
        </w:sdtEndPr>
        <w:sdtContent>
          <w:r w:rsidR="00AE4C32" w:rsidRPr="00870F1A">
            <w:rPr>
              <w:rStyle w:val="DropdownList"/>
              <w:rFonts w:asciiTheme="minorHAnsi" w:hAnsiTheme="minorHAnsi" w:cstheme="minorHAnsi"/>
              <w:szCs w:val="22"/>
            </w:rPr>
            <w:t>No Impact</w:t>
          </w:r>
        </w:sdtContent>
      </w:sdt>
    </w:p>
    <w:p w14:paraId="359D410A" w14:textId="77777777" w:rsidR="00AE4C32" w:rsidRPr="00AE4C32" w:rsidRDefault="00AE4C32" w:rsidP="00AE4C32">
      <w:pPr>
        <w:spacing w:before="120"/>
        <w:rPr>
          <w:rFonts w:ascii="Calibri" w:hAnsi="Calibri"/>
          <w:b/>
          <w:caps/>
          <w:sz w:val="22"/>
          <w:highlight w:val="lightGray"/>
        </w:rPr>
      </w:pPr>
    </w:p>
    <w:p w14:paraId="4E80A7A6" w14:textId="77777777" w:rsidR="00C90D70" w:rsidRPr="00B43C58" w:rsidRDefault="00C90D70" w:rsidP="00275B75">
      <w:pPr>
        <w:pStyle w:val="Heading3CEQA"/>
      </w:pPr>
      <w:bookmarkStart w:id="265" w:name="_Toc453855773"/>
      <w:bookmarkStart w:id="266" w:name="_Toc475630720"/>
      <w:bookmarkStart w:id="267" w:name="_Toc112942437"/>
      <w:r>
        <w:t>Mineral Resources</w:t>
      </w:r>
      <w:bookmarkEnd w:id="265"/>
      <w:bookmarkEnd w:id="266"/>
      <w:bookmarkEnd w:id="267"/>
    </w:p>
    <w:tbl>
      <w:tblPr>
        <w:tblW w:w="9047" w:type="dxa"/>
        <w:tblLayout w:type="fixed"/>
        <w:tblLook w:val="04A0" w:firstRow="1" w:lastRow="0" w:firstColumn="1" w:lastColumn="0" w:noHBand="0" w:noVBand="1"/>
      </w:tblPr>
      <w:tblGrid>
        <w:gridCol w:w="10"/>
        <w:gridCol w:w="4335"/>
        <w:gridCol w:w="1188"/>
        <w:gridCol w:w="1220"/>
        <w:gridCol w:w="7"/>
        <w:gridCol w:w="1103"/>
        <w:gridCol w:w="14"/>
        <w:gridCol w:w="1148"/>
        <w:gridCol w:w="22"/>
      </w:tblGrid>
      <w:tr w:rsidR="00C90D70" w14:paraId="747180A6" w14:textId="77777777" w:rsidTr="00964C58">
        <w:trPr>
          <w:tblHeader/>
        </w:trPr>
        <w:tc>
          <w:tcPr>
            <w:tcW w:w="4345" w:type="dxa"/>
            <w:gridSpan w:val="2"/>
            <w:tcBorders>
              <w:bottom w:val="single" w:sz="4" w:space="0" w:color="auto"/>
            </w:tcBorders>
            <w:shd w:val="clear" w:color="auto" w:fill="D9D9D9"/>
            <w:tcMar>
              <w:top w:w="20" w:type="dxa"/>
              <w:left w:w="115" w:type="dxa"/>
              <w:bottom w:w="20" w:type="dxa"/>
              <w:right w:w="115" w:type="dxa"/>
            </w:tcMar>
            <w:vAlign w:val="bottom"/>
          </w:tcPr>
          <w:p w14:paraId="38AC78DA" w14:textId="77777777" w:rsidR="00C90D70" w:rsidRPr="00B22CD0" w:rsidRDefault="00C90D70" w:rsidP="00964C58">
            <w:pPr>
              <w:pStyle w:val="TableHeadings"/>
              <w:jc w:val="center"/>
            </w:pPr>
          </w:p>
        </w:tc>
        <w:tc>
          <w:tcPr>
            <w:tcW w:w="1188" w:type="dxa"/>
            <w:tcBorders>
              <w:bottom w:val="single" w:sz="4" w:space="0" w:color="auto"/>
            </w:tcBorders>
            <w:shd w:val="clear" w:color="auto" w:fill="D9D9D9"/>
            <w:tcMar>
              <w:top w:w="20" w:type="dxa"/>
              <w:left w:w="115" w:type="dxa"/>
              <w:bottom w:w="20" w:type="dxa"/>
              <w:right w:w="115" w:type="dxa"/>
            </w:tcMar>
            <w:vAlign w:val="bottom"/>
            <w:hideMark/>
          </w:tcPr>
          <w:p w14:paraId="4BA50C1A" w14:textId="77777777" w:rsidR="00C90D70" w:rsidRPr="006E30F9" w:rsidRDefault="00C90D70" w:rsidP="00964C58">
            <w:pPr>
              <w:pStyle w:val="TableHeadings"/>
              <w:jc w:val="center"/>
            </w:pPr>
            <w:r w:rsidRPr="006E30F9">
              <w:t>Potentially Significant Impact</w:t>
            </w:r>
          </w:p>
        </w:tc>
        <w:tc>
          <w:tcPr>
            <w:tcW w:w="1220" w:type="dxa"/>
            <w:tcBorders>
              <w:bottom w:val="single" w:sz="4" w:space="0" w:color="auto"/>
            </w:tcBorders>
            <w:shd w:val="clear" w:color="auto" w:fill="D9D9D9"/>
            <w:tcMar>
              <w:top w:w="20" w:type="dxa"/>
              <w:left w:w="115" w:type="dxa"/>
              <w:bottom w:w="20" w:type="dxa"/>
              <w:right w:w="115" w:type="dxa"/>
            </w:tcMar>
            <w:vAlign w:val="bottom"/>
            <w:hideMark/>
          </w:tcPr>
          <w:p w14:paraId="15CE112C" w14:textId="77777777" w:rsidR="00C90D70" w:rsidRPr="006E30F9" w:rsidRDefault="00C90D70" w:rsidP="00964C58">
            <w:pPr>
              <w:pStyle w:val="TableHeadings"/>
              <w:jc w:val="center"/>
            </w:pPr>
            <w:r w:rsidRPr="007E0747">
              <w:t>Less than Significant with Mitigation Incorporated</w:t>
            </w:r>
          </w:p>
        </w:tc>
        <w:tc>
          <w:tcPr>
            <w:tcW w:w="1110" w:type="dxa"/>
            <w:gridSpan w:val="2"/>
            <w:tcBorders>
              <w:bottom w:val="single" w:sz="4" w:space="0" w:color="auto"/>
            </w:tcBorders>
            <w:shd w:val="clear" w:color="auto" w:fill="D9D9D9"/>
            <w:tcMar>
              <w:top w:w="20" w:type="dxa"/>
              <w:left w:w="115" w:type="dxa"/>
              <w:bottom w:w="20" w:type="dxa"/>
              <w:right w:w="115" w:type="dxa"/>
            </w:tcMar>
            <w:vAlign w:val="bottom"/>
            <w:hideMark/>
          </w:tcPr>
          <w:p w14:paraId="1D7582A7" w14:textId="77777777" w:rsidR="00C90D70" w:rsidRPr="006E30F9" w:rsidRDefault="00C90D70" w:rsidP="00964C58">
            <w:pPr>
              <w:pStyle w:val="TableHeadings"/>
              <w:jc w:val="center"/>
            </w:pPr>
            <w:r w:rsidRPr="006E30F9">
              <w:t>Less than Significant Impact</w:t>
            </w:r>
          </w:p>
        </w:tc>
        <w:tc>
          <w:tcPr>
            <w:tcW w:w="1184" w:type="dxa"/>
            <w:gridSpan w:val="3"/>
            <w:tcBorders>
              <w:bottom w:val="single" w:sz="4" w:space="0" w:color="auto"/>
            </w:tcBorders>
            <w:shd w:val="clear" w:color="auto" w:fill="D9D9D9"/>
            <w:tcMar>
              <w:top w:w="20" w:type="dxa"/>
              <w:left w:w="115" w:type="dxa"/>
              <w:bottom w:w="20" w:type="dxa"/>
              <w:right w:w="115" w:type="dxa"/>
            </w:tcMar>
            <w:vAlign w:val="bottom"/>
            <w:hideMark/>
          </w:tcPr>
          <w:p w14:paraId="402206F3" w14:textId="77777777" w:rsidR="00C90D70" w:rsidRPr="006E30F9" w:rsidRDefault="00C90D70" w:rsidP="00964C58">
            <w:pPr>
              <w:pStyle w:val="TableHeadings"/>
              <w:jc w:val="center"/>
            </w:pPr>
            <w:r w:rsidRPr="006E30F9">
              <w:t>No Impact</w:t>
            </w:r>
          </w:p>
        </w:tc>
      </w:tr>
      <w:tr w:rsidR="00C90D70" w:rsidRPr="009317FB" w14:paraId="4FE58B37" w14:textId="77777777" w:rsidTr="00964C58">
        <w:trPr>
          <w:gridBefore w:val="1"/>
          <w:wBefore w:w="10" w:type="dxa"/>
        </w:trPr>
        <w:tc>
          <w:tcPr>
            <w:tcW w:w="9037" w:type="dxa"/>
            <w:gridSpan w:val="8"/>
            <w:tcMar>
              <w:top w:w="20" w:type="dxa"/>
              <w:left w:w="115" w:type="dxa"/>
              <w:bottom w:w="20" w:type="dxa"/>
              <w:right w:w="115" w:type="dxa"/>
            </w:tcMar>
            <w:vAlign w:val="bottom"/>
            <w:hideMark/>
          </w:tcPr>
          <w:p w14:paraId="4161617B" w14:textId="77777777" w:rsidR="00C90D70" w:rsidRPr="006E30F9" w:rsidRDefault="00C90D70" w:rsidP="00964C58">
            <w:pPr>
              <w:pStyle w:val="BodyText"/>
              <w:spacing w:before="60" w:after="60"/>
              <w:rPr>
                <w:b/>
              </w:rPr>
            </w:pPr>
            <w:r w:rsidRPr="006E30F9">
              <w:t>Would the project</w:t>
            </w:r>
            <w:r>
              <w:t>:</w:t>
            </w:r>
          </w:p>
        </w:tc>
      </w:tr>
      <w:tr w:rsidR="00C90D70" w14:paraId="2680FE12" w14:textId="77777777" w:rsidTr="00964C58">
        <w:trPr>
          <w:gridBefore w:val="1"/>
          <w:gridAfter w:val="1"/>
          <w:wBefore w:w="10" w:type="dxa"/>
          <w:wAfter w:w="22" w:type="dxa"/>
        </w:trPr>
        <w:tc>
          <w:tcPr>
            <w:tcW w:w="4335" w:type="dxa"/>
            <w:tcMar>
              <w:top w:w="20" w:type="dxa"/>
              <w:left w:w="115" w:type="dxa"/>
              <w:bottom w:w="20" w:type="dxa"/>
              <w:right w:w="115" w:type="dxa"/>
            </w:tcMar>
            <w:vAlign w:val="bottom"/>
            <w:hideMark/>
          </w:tcPr>
          <w:p w14:paraId="341AAD86" w14:textId="7DF6C7F0" w:rsidR="00C90D70" w:rsidRPr="006E30F9" w:rsidRDefault="00C90D70" w:rsidP="005A7336">
            <w:pPr>
              <w:pStyle w:val="BulletListLettered"/>
              <w:numPr>
                <w:ilvl w:val="0"/>
                <w:numId w:val="119"/>
              </w:numPr>
            </w:pPr>
            <w:r w:rsidRPr="006E30F9">
              <w:t xml:space="preserve">Result in the loss of availability of a known mineral resource that would be of value to the region and the residents of the </w:t>
            </w:r>
            <w:r w:rsidR="00A07DFA" w:rsidRPr="006E30F9">
              <w:t>S</w:t>
            </w:r>
            <w:r w:rsidRPr="006E30F9">
              <w:t>tate?</w:t>
            </w:r>
          </w:p>
        </w:tc>
        <w:tc>
          <w:tcPr>
            <w:tcW w:w="1188" w:type="dxa"/>
            <w:tcMar>
              <w:top w:w="20" w:type="dxa"/>
              <w:left w:w="115" w:type="dxa"/>
              <w:bottom w:w="20" w:type="dxa"/>
              <w:right w:w="115" w:type="dxa"/>
            </w:tcMar>
            <w:vAlign w:val="bottom"/>
          </w:tcPr>
          <w:p w14:paraId="7E7FC0C6" w14:textId="442AA1C5" w:rsidR="00C90D70" w:rsidRPr="008C6C1C" w:rsidRDefault="00C90D70" w:rsidP="00964C58">
            <w:pPr>
              <w:spacing w:before="60" w:after="60"/>
              <w:jc w:val="center"/>
              <w:rPr>
                <w:sz w:val="28"/>
                <w:szCs w:val="28"/>
              </w:rPr>
            </w:pPr>
            <w:r>
              <w:rPr>
                <w:rFonts w:ascii="Times New Roman" w:hAnsi="Times New Roman"/>
                <w:sz w:val="28"/>
                <w:szCs w:val="28"/>
              </w:rPr>
              <w:t>□</w:t>
            </w:r>
          </w:p>
        </w:tc>
        <w:tc>
          <w:tcPr>
            <w:tcW w:w="1227" w:type="dxa"/>
            <w:gridSpan w:val="2"/>
            <w:tcMar>
              <w:top w:w="20" w:type="dxa"/>
              <w:left w:w="115" w:type="dxa"/>
              <w:bottom w:w="20" w:type="dxa"/>
              <w:right w:w="115" w:type="dxa"/>
            </w:tcMar>
            <w:vAlign w:val="bottom"/>
          </w:tcPr>
          <w:p w14:paraId="061356A2" w14:textId="42D16117" w:rsidR="00C90D70" w:rsidRPr="008C6C1C" w:rsidRDefault="00C90D70" w:rsidP="00964C58">
            <w:pPr>
              <w:spacing w:before="60" w:after="60"/>
              <w:jc w:val="center"/>
              <w:rPr>
                <w:sz w:val="28"/>
                <w:szCs w:val="28"/>
              </w:rPr>
            </w:pPr>
            <w:r w:rsidRPr="008C6C1C">
              <w:rPr>
                <w:rFonts w:ascii="Times New Roman" w:hAnsi="Times New Roman"/>
                <w:sz w:val="28"/>
                <w:szCs w:val="28"/>
              </w:rPr>
              <w:t>□</w:t>
            </w:r>
          </w:p>
        </w:tc>
        <w:tc>
          <w:tcPr>
            <w:tcW w:w="1117" w:type="dxa"/>
            <w:gridSpan w:val="2"/>
            <w:tcMar>
              <w:top w:w="20" w:type="dxa"/>
              <w:left w:w="115" w:type="dxa"/>
              <w:bottom w:w="20" w:type="dxa"/>
              <w:right w:w="115" w:type="dxa"/>
            </w:tcMar>
            <w:vAlign w:val="bottom"/>
          </w:tcPr>
          <w:p w14:paraId="2EEF2B24" w14:textId="0AB8D8F0" w:rsidR="00C90D70" w:rsidRPr="008C6C1C" w:rsidRDefault="00C90D70" w:rsidP="00964C58">
            <w:pPr>
              <w:spacing w:before="60" w:after="60"/>
              <w:jc w:val="center"/>
              <w:rPr>
                <w:sz w:val="28"/>
                <w:szCs w:val="28"/>
              </w:rPr>
            </w:pPr>
            <w:r w:rsidRPr="008C6C1C">
              <w:rPr>
                <w:rFonts w:ascii="Times New Roman" w:hAnsi="Times New Roman"/>
                <w:sz w:val="28"/>
                <w:szCs w:val="28"/>
              </w:rPr>
              <w:t>□</w:t>
            </w:r>
          </w:p>
        </w:tc>
        <w:tc>
          <w:tcPr>
            <w:tcW w:w="1148" w:type="dxa"/>
            <w:tcMar>
              <w:top w:w="20" w:type="dxa"/>
              <w:left w:w="115" w:type="dxa"/>
              <w:bottom w:w="20" w:type="dxa"/>
              <w:right w:w="115" w:type="dxa"/>
            </w:tcMar>
            <w:vAlign w:val="bottom"/>
          </w:tcPr>
          <w:p w14:paraId="2856D6F3" w14:textId="6218B475" w:rsidR="00C90D70" w:rsidRPr="008C6C1C" w:rsidRDefault="00C90D70" w:rsidP="00964C58">
            <w:pPr>
              <w:spacing w:before="60" w:after="60"/>
              <w:jc w:val="center"/>
              <w:rPr>
                <w:sz w:val="28"/>
                <w:szCs w:val="28"/>
              </w:rPr>
            </w:pPr>
            <w:r>
              <w:rPr>
                <w:rFonts w:ascii="Times New Roman" w:hAnsi="Times New Roman"/>
                <w:sz w:val="28"/>
                <w:szCs w:val="28"/>
              </w:rPr>
              <w:t>■</w:t>
            </w:r>
          </w:p>
        </w:tc>
      </w:tr>
      <w:tr w:rsidR="00C90D70" w14:paraId="4B5A14D6" w14:textId="77777777" w:rsidTr="00AE4C32">
        <w:trPr>
          <w:gridBefore w:val="1"/>
          <w:gridAfter w:val="1"/>
          <w:wBefore w:w="10" w:type="dxa"/>
          <w:wAfter w:w="22" w:type="dxa"/>
          <w:trHeight w:val="1186"/>
        </w:trPr>
        <w:tc>
          <w:tcPr>
            <w:tcW w:w="4335" w:type="dxa"/>
            <w:tcBorders>
              <w:left w:val="nil"/>
              <w:bottom w:val="single" w:sz="4" w:space="0" w:color="auto"/>
            </w:tcBorders>
            <w:tcMar>
              <w:top w:w="20" w:type="dxa"/>
              <w:left w:w="115" w:type="dxa"/>
              <w:bottom w:w="20" w:type="dxa"/>
              <w:right w:w="115" w:type="dxa"/>
            </w:tcMar>
            <w:vAlign w:val="bottom"/>
            <w:hideMark/>
          </w:tcPr>
          <w:p w14:paraId="3D9FD18E" w14:textId="77777777" w:rsidR="00C90D70" w:rsidRPr="006E30F9" w:rsidRDefault="00C90D70" w:rsidP="00C90D70">
            <w:pPr>
              <w:pStyle w:val="BulletListLettered"/>
              <w:numPr>
                <w:ilvl w:val="0"/>
                <w:numId w:val="10"/>
              </w:numPr>
            </w:pPr>
            <w:r w:rsidRPr="006E30F9">
              <w:t>Result in the loss of availability of a locally important mineral resource recovery site delineated on a local general plan, specific plan, or other land use plan?</w:t>
            </w:r>
          </w:p>
        </w:tc>
        <w:tc>
          <w:tcPr>
            <w:tcW w:w="1188" w:type="dxa"/>
            <w:tcBorders>
              <w:bottom w:val="single" w:sz="4" w:space="0" w:color="auto"/>
            </w:tcBorders>
            <w:tcMar>
              <w:top w:w="20" w:type="dxa"/>
              <w:left w:w="115" w:type="dxa"/>
              <w:bottom w:w="20" w:type="dxa"/>
              <w:right w:w="115" w:type="dxa"/>
            </w:tcMar>
            <w:vAlign w:val="bottom"/>
          </w:tcPr>
          <w:p w14:paraId="37370655" w14:textId="099B7662" w:rsidR="00C90D70" w:rsidRPr="008C6C1C" w:rsidRDefault="00C90D70" w:rsidP="00964C58">
            <w:pPr>
              <w:spacing w:before="60" w:after="60"/>
              <w:jc w:val="center"/>
              <w:rPr>
                <w:sz w:val="28"/>
                <w:szCs w:val="28"/>
              </w:rPr>
            </w:pPr>
            <w:r>
              <w:rPr>
                <w:rFonts w:ascii="Times New Roman" w:hAnsi="Times New Roman"/>
                <w:sz w:val="28"/>
                <w:szCs w:val="28"/>
              </w:rPr>
              <w:t>□</w:t>
            </w:r>
          </w:p>
        </w:tc>
        <w:tc>
          <w:tcPr>
            <w:tcW w:w="1227" w:type="dxa"/>
            <w:gridSpan w:val="2"/>
            <w:tcBorders>
              <w:bottom w:val="single" w:sz="4" w:space="0" w:color="auto"/>
            </w:tcBorders>
            <w:tcMar>
              <w:top w:w="20" w:type="dxa"/>
              <w:left w:w="115" w:type="dxa"/>
              <w:bottom w:w="20" w:type="dxa"/>
              <w:right w:w="115" w:type="dxa"/>
            </w:tcMar>
            <w:vAlign w:val="bottom"/>
          </w:tcPr>
          <w:p w14:paraId="54FACB3C" w14:textId="5F43CC8C" w:rsidR="00C90D70" w:rsidRPr="008C6C1C" w:rsidRDefault="00C90D70" w:rsidP="00964C58">
            <w:pPr>
              <w:spacing w:before="60" w:after="60"/>
              <w:jc w:val="center"/>
              <w:rPr>
                <w:sz w:val="28"/>
                <w:szCs w:val="28"/>
              </w:rPr>
            </w:pPr>
            <w:r w:rsidRPr="008C6C1C">
              <w:rPr>
                <w:rFonts w:ascii="Times New Roman" w:hAnsi="Times New Roman"/>
                <w:sz w:val="28"/>
                <w:szCs w:val="28"/>
              </w:rPr>
              <w:t>□</w:t>
            </w:r>
          </w:p>
        </w:tc>
        <w:tc>
          <w:tcPr>
            <w:tcW w:w="1117" w:type="dxa"/>
            <w:gridSpan w:val="2"/>
            <w:tcBorders>
              <w:bottom w:val="single" w:sz="4" w:space="0" w:color="auto"/>
            </w:tcBorders>
            <w:tcMar>
              <w:top w:w="20" w:type="dxa"/>
              <w:left w:w="115" w:type="dxa"/>
              <w:bottom w:w="20" w:type="dxa"/>
              <w:right w:w="115" w:type="dxa"/>
            </w:tcMar>
            <w:vAlign w:val="bottom"/>
          </w:tcPr>
          <w:p w14:paraId="3453AD44" w14:textId="36F81FE2" w:rsidR="00C90D70" w:rsidRPr="008C6C1C" w:rsidRDefault="00C90D70" w:rsidP="00964C58">
            <w:pPr>
              <w:spacing w:before="60" w:after="60"/>
              <w:jc w:val="center"/>
              <w:rPr>
                <w:sz w:val="28"/>
                <w:szCs w:val="28"/>
              </w:rPr>
            </w:pPr>
            <w:r w:rsidRPr="008C6C1C">
              <w:rPr>
                <w:rFonts w:ascii="Times New Roman" w:hAnsi="Times New Roman"/>
                <w:sz w:val="28"/>
                <w:szCs w:val="28"/>
              </w:rPr>
              <w:t>□</w:t>
            </w:r>
          </w:p>
        </w:tc>
        <w:tc>
          <w:tcPr>
            <w:tcW w:w="1148" w:type="dxa"/>
            <w:tcBorders>
              <w:bottom w:val="single" w:sz="4" w:space="0" w:color="auto"/>
              <w:right w:val="nil"/>
            </w:tcBorders>
            <w:tcMar>
              <w:top w:w="20" w:type="dxa"/>
              <w:left w:w="115" w:type="dxa"/>
              <w:bottom w:w="20" w:type="dxa"/>
              <w:right w:w="115" w:type="dxa"/>
            </w:tcMar>
            <w:vAlign w:val="bottom"/>
          </w:tcPr>
          <w:p w14:paraId="092AD5D5" w14:textId="0B8ADCD0" w:rsidR="00C90D70" w:rsidRPr="008C6C1C" w:rsidRDefault="00C90D70" w:rsidP="00964C58">
            <w:pPr>
              <w:spacing w:before="60" w:after="60"/>
              <w:jc w:val="center"/>
              <w:rPr>
                <w:sz w:val="28"/>
                <w:szCs w:val="28"/>
              </w:rPr>
            </w:pPr>
            <w:r>
              <w:rPr>
                <w:rFonts w:ascii="Times New Roman" w:hAnsi="Times New Roman"/>
                <w:sz w:val="28"/>
                <w:szCs w:val="28"/>
              </w:rPr>
              <w:t>■</w:t>
            </w:r>
          </w:p>
        </w:tc>
      </w:tr>
    </w:tbl>
    <w:p w14:paraId="059B3102" w14:textId="77777777" w:rsidR="00C90D70" w:rsidRDefault="00C90D70" w:rsidP="00C90D70">
      <w:pPr>
        <w:pStyle w:val="Heading5"/>
      </w:pPr>
      <w:r>
        <w:t>Setting</w:t>
      </w:r>
    </w:p>
    <w:p w14:paraId="2DB3BD8B" w14:textId="5317A1E6" w:rsidR="00C90D70" w:rsidRDefault="0086429A" w:rsidP="00C90D70">
      <w:pPr>
        <w:pStyle w:val="BodyText"/>
      </w:pPr>
      <w:r>
        <w:t>According to</w:t>
      </w:r>
      <w:r w:rsidR="00C90D70" w:rsidRPr="002B2F1C">
        <w:t xml:space="preserve"> mapping</w:t>
      </w:r>
      <w:r>
        <w:t xml:space="preserve"> completed</w:t>
      </w:r>
      <w:r w:rsidR="00C90D70" w:rsidRPr="002B2F1C">
        <w:t xml:space="preserve"> by the State of California for suitability of use as construction materials, it was determined that no minerals or aggregate resources of statewide importance are located within Mountain View (California Department of Conservation 1996). In addition, there are no natural gas, oil, or geothermal resources identified in or adjacent to Mountain View. </w:t>
      </w:r>
    </w:p>
    <w:p w14:paraId="637B5097" w14:textId="77777777" w:rsidR="00C90D70" w:rsidRDefault="00C90D70" w:rsidP="00C90D70">
      <w:pPr>
        <w:pStyle w:val="Heading5"/>
      </w:pPr>
      <w:r>
        <w:t xml:space="preserve">Regulatory Setting </w:t>
      </w:r>
    </w:p>
    <w:p w14:paraId="0CCF9B8F" w14:textId="77777777" w:rsidR="00C90D70" w:rsidRDefault="00C90D70" w:rsidP="00C90D70">
      <w:pPr>
        <w:pStyle w:val="EIRHeading6"/>
      </w:pPr>
      <w:r>
        <w:t>Surface Mining and Reclamation Act of 1975</w:t>
      </w:r>
    </w:p>
    <w:p w14:paraId="138F633E" w14:textId="77777777" w:rsidR="00C90D70" w:rsidRPr="008829B9" w:rsidRDefault="00C90D70" w:rsidP="00C90D70">
      <w:pPr>
        <w:pStyle w:val="BodyText"/>
      </w:pPr>
      <w:r>
        <w:t>Pursuant to the mandate of the Surface Mining and Reclamation Act of 1975, the State Mining and Geology Board requires all cities to incorporate into their general plans mapped mineral resources designations approved by the State Mining and Geology Board.</w:t>
      </w:r>
    </w:p>
    <w:p w14:paraId="0DB0B607" w14:textId="77777777" w:rsidR="00C90D70" w:rsidRDefault="00C90D70" w:rsidP="00C90D70">
      <w:pPr>
        <w:pStyle w:val="Heading5"/>
      </w:pPr>
      <w:r>
        <w:t>Impact Analysis</w:t>
      </w:r>
    </w:p>
    <w:p w14:paraId="3BF07CDE" w14:textId="4F1C59E0" w:rsidR="00542725" w:rsidRPr="00C90D70" w:rsidRDefault="00542725" w:rsidP="00C90D70">
      <w:pPr>
        <w:pStyle w:val="BulletLtrManAFTER"/>
      </w:pPr>
      <w:r w:rsidRPr="00C90D70">
        <w:t>a</w:t>
      </w:r>
      <w:r w:rsidR="0007759E" w:rsidRPr="00C90D70">
        <w:t>.</w:t>
      </w:r>
      <w:r w:rsidRPr="00C90D70">
        <w:tab/>
        <w:t>Would the project result in the loss of availability of a known mineral resource that would be of value to the region and the residents of the state?</w:t>
      </w:r>
    </w:p>
    <w:p w14:paraId="7327D755" w14:textId="77777777" w:rsidR="003C7337" w:rsidRPr="00C90D70" w:rsidRDefault="003C7337" w:rsidP="00356535">
      <w:pPr>
        <w:pStyle w:val="BulletLtrManAFTER"/>
        <w:spacing w:before="120"/>
      </w:pPr>
      <w:r w:rsidRPr="00C90D70">
        <w:t>b.</w:t>
      </w:r>
      <w:r w:rsidRPr="00C90D70">
        <w:tab/>
        <w:t>Would the project result in the loss of availability of a locally important mineral resource recovery site delineated on a local general plan, specific plan, or other land use plan?</w:t>
      </w:r>
    </w:p>
    <w:p w14:paraId="6B83DB75" w14:textId="77777777" w:rsidR="00C90D70" w:rsidRDefault="00C90D70" w:rsidP="00C90D70">
      <w:pPr>
        <w:pStyle w:val="BodyText"/>
      </w:pPr>
      <w:r>
        <w:rPr>
          <w:rFonts w:cs="Book Antiqua,Bold"/>
          <w:bCs/>
        </w:rPr>
        <w:t>T</w:t>
      </w:r>
      <w:r>
        <w:t xml:space="preserve">he project site and surrounding properties are part of an urbanized area with no current oil or gas extraction. Mountain View’s General Plan does not identify mineral deposits of regional significance within the city (City of Mountain View 2012a). No mineral resource activities would be altered or displaced by the proposed project. There would be no impact. </w:t>
      </w:r>
    </w:p>
    <w:p w14:paraId="7BA75841" w14:textId="08E7251E" w:rsidR="00356535" w:rsidRDefault="00817BC5" w:rsidP="009C1D64">
      <w:pPr>
        <w:spacing w:before="120"/>
        <w:rPr>
          <w:rStyle w:val="DropdownList"/>
        </w:rPr>
      </w:pPr>
      <w:sdt>
        <w:sdtPr>
          <w:rPr>
            <w:rStyle w:val="DropdownList"/>
            <w:highlight w:val="lightGray"/>
          </w:rPr>
          <w:alias w:val="1a"/>
          <w:tag w:val="dropdown"/>
          <w:id w:val="-1069039182"/>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highlight w:val="none"/>
          </w:rPr>
        </w:sdtEndPr>
        <w:sdtContent>
          <w:r w:rsidR="000E45CD" w:rsidRPr="000E45CD">
            <w:rPr>
              <w:rStyle w:val="DropdownList"/>
            </w:rPr>
            <w:t>No Impact</w:t>
          </w:r>
        </w:sdtContent>
      </w:sdt>
    </w:p>
    <w:p w14:paraId="596C10BC" w14:textId="77777777" w:rsidR="005A7336" w:rsidRPr="00275351" w:rsidRDefault="005A7336" w:rsidP="00B95202">
      <w:pPr>
        <w:pStyle w:val="blank0"/>
      </w:pPr>
    </w:p>
    <w:p w14:paraId="21CADDA2" w14:textId="77777777" w:rsidR="005A7336" w:rsidRPr="00275351" w:rsidRDefault="005A7336" w:rsidP="00B95202">
      <w:pPr>
        <w:pStyle w:val="blank0"/>
      </w:pPr>
      <w:r w:rsidRPr="00275351">
        <w:t>This page intentionally left blank.</w:t>
      </w:r>
    </w:p>
    <w:p w14:paraId="2687B403" w14:textId="73DBFC54" w:rsidR="005A7336" w:rsidRDefault="005A7336" w:rsidP="009C1D64">
      <w:pPr>
        <w:spacing w:before="120"/>
        <w:rPr>
          <w:rStyle w:val="DropdownList"/>
        </w:rPr>
      </w:pPr>
    </w:p>
    <w:p w14:paraId="2148D666" w14:textId="77777777" w:rsidR="000E4B25" w:rsidRPr="00AE4C32" w:rsidRDefault="000E4B25" w:rsidP="00275B75">
      <w:pPr>
        <w:pStyle w:val="Heading3CEQA"/>
      </w:pPr>
      <w:bookmarkStart w:id="268" w:name="_Toc453855774"/>
      <w:bookmarkStart w:id="269" w:name="_Toc475630721"/>
      <w:bookmarkStart w:id="270" w:name="_Toc112942438"/>
      <w:bookmarkStart w:id="271" w:name="_Toc453855775"/>
      <w:bookmarkStart w:id="272" w:name="_Toc475630722"/>
      <w:r w:rsidRPr="00AE4C32">
        <w:t>Noise</w:t>
      </w:r>
      <w:bookmarkEnd w:id="268"/>
      <w:bookmarkEnd w:id="269"/>
      <w:bookmarkEnd w:id="270"/>
    </w:p>
    <w:tbl>
      <w:tblPr>
        <w:tblW w:w="9047" w:type="dxa"/>
        <w:tblLayout w:type="fixed"/>
        <w:tblLook w:val="04A0" w:firstRow="1" w:lastRow="0" w:firstColumn="1" w:lastColumn="0" w:noHBand="0" w:noVBand="1"/>
      </w:tblPr>
      <w:tblGrid>
        <w:gridCol w:w="10"/>
        <w:gridCol w:w="4332"/>
        <w:gridCol w:w="1188"/>
        <w:gridCol w:w="1220"/>
        <w:gridCol w:w="1109"/>
        <w:gridCol w:w="21"/>
        <w:gridCol w:w="1129"/>
        <w:gridCol w:w="38"/>
      </w:tblGrid>
      <w:tr w:rsidR="000E4B25" w:rsidRPr="00AE4C32" w14:paraId="2A8B69DD" w14:textId="77777777" w:rsidTr="008E4D99">
        <w:trPr>
          <w:tblHeader/>
        </w:trPr>
        <w:tc>
          <w:tcPr>
            <w:tcW w:w="4342" w:type="dxa"/>
            <w:gridSpan w:val="2"/>
            <w:tcBorders>
              <w:bottom w:val="single" w:sz="4" w:space="0" w:color="auto"/>
            </w:tcBorders>
            <w:shd w:val="clear" w:color="auto" w:fill="D9D9D9"/>
            <w:tcMar>
              <w:top w:w="20" w:type="dxa"/>
              <w:left w:w="115" w:type="dxa"/>
              <w:bottom w:w="20" w:type="dxa"/>
              <w:right w:w="115" w:type="dxa"/>
            </w:tcMar>
            <w:vAlign w:val="bottom"/>
          </w:tcPr>
          <w:p w14:paraId="0255C087" w14:textId="77777777" w:rsidR="000E4B25" w:rsidRPr="00AE4C32" w:rsidRDefault="000E4B25" w:rsidP="008E4D99">
            <w:pPr>
              <w:pStyle w:val="TableHeadings"/>
              <w:jc w:val="center"/>
            </w:pPr>
          </w:p>
        </w:tc>
        <w:tc>
          <w:tcPr>
            <w:tcW w:w="1188" w:type="dxa"/>
            <w:tcBorders>
              <w:bottom w:val="single" w:sz="4" w:space="0" w:color="auto"/>
            </w:tcBorders>
            <w:shd w:val="clear" w:color="auto" w:fill="D9D9D9"/>
            <w:tcMar>
              <w:top w:w="20" w:type="dxa"/>
              <w:left w:w="115" w:type="dxa"/>
              <w:bottom w:w="20" w:type="dxa"/>
              <w:right w:w="115" w:type="dxa"/>
            </w:tcMar>
            <w:vAlign w:val="bottom"/>
            <w:hideMark/>
          </w:tcPr>
          <w:p w14:paraId="2EC7BABC" w14:textId="77777777" w:rsidR="000E4B25" w:rsidRPr="00AE4C32" w:rsidRDefault="000E4B25" w:rsidP="008E4D99">
            <w:pPr>
              <w:pStyle w:val="TableHeadings"/>
              <w:jc w:val="center"/>
            </w:pPr>
            <w:r w:rsidRPr="00AE4C32">
              <w:t>Potentially Significant Impact</w:t>
            </w:r>
          </w:p>
        </w:tc>
        <w:tc>
          <w:tcPr>
            <w:tcW w:w="1220" w:type="dxa"/>
            <w:tcBorders>
              <w:bottom w:val="single" w:sz="4" w:space="0" w:color="auto"/>
            </w:tcBorders>
            <w:shd w:val="clear" w:color="auto" w:fill="D9D9D9"/>
            <w:tcMar>
              <w:top w:w="20" w:type="dxa"/>
              <w:left w:w="115" w:type="dxa"/>
              <w:bottom w:w="20" w:type="dxa"/>
              <w:right w:w="115" w:type="dxa"/>
            </w:tcMar>
            <w:vAlign w:val="bottom"/>
            <w:hideMark/>
          </w:tcPr>
          <w:p w14:paraId="3F5380E9" w14:textId="77777777" w:rsidR="000E4B25" w:rsidRPr="00AE4C32" w:rsidRDefault="000E4B25" w:rsidP="008E4D99">
            <w:pPr>
              <w:pStyle w:val="TableHeadings"/>
              <w:jc w:val="center"/>
            </w:pPr>
            <w:r w:rsidRPr="00AE4C32">
              <w:t>Less than Significant with Mitigation Incorporated</w:t>
            </w:r>
          </w:p>
        </w:tc>
        <w:tc>
          <w:tcPr>
            <w:tcW w:w="1109" w:type="dxa"/>
            <w:tcBorders>
              <w:bottom w:val="single" w:sz="4" w:space="0" w:color="auto"/>
            </w:tcBorders>
            <w:shd w:val="clear" w:color="auto" w:fill="D9D9D9"/>
            <w:tcMar>
              <w:top w:w="20" w:type="dxa"/>
              <w:left w:w="115" w:type="dxa"/>
              <w:bottom w:w="20" w:type="dxa"/>
              <w:right w:w="115" w:type="dxa"/>
            </w:tcMar>
            <w:vAlign w:val="bottom"/>
            <w:hideMark/>
          </w:tcPr>
          <w:p w14:paraId="0185477C" w14:textId="77777777" w:rsidR="000E4B25" w:rsidRPr="00AE4C32" w:rsidRDefault="000E4B25" w:rsidP="008E4D99">
            <w:pPr>
              <w:pStyle w:val="TableHeadings"/>
              <w:jc w:val="center"/>
            </w:pPr>
            <w:r w:rsidRPr="00AE4C32">
              <w:t>Less than Significant Impact</w:t>
            </w:r>
          </w:p>
        </w:tc>
        <w:tc>
          <w:tcPr>
            <w:tcW w:w="1188" w:type="dxa"/>
            <w:gridSpan w:val="3"/>
            <w:tcBorders>
              <w:bottom w:val="single" w:sz="4" w:space="0" w:color="auto"/>
            </w:tcBorders>
            <w:shd w:val="clear" w:color="auto" w:fill="D9D9D9"/>
            <w:tcMar>
              <w:top w:w="20" w:type="dxa"/>
              <w:left w:w="115" w:type="dxa"/>
              <w:bottom w:w="20" w:type="dxa"/>
              <w:right w:w="115" w:type="dxa"/>
            </w:tcMar>
            <w:vAlign w:val="bottom"/>
            <w:hideMark/>
          </w:tcPr>
          <w:p w14:paraId="7114158B" w14:textId="77777777" w:rsidR="000E4B25" w:rsidRPr="00AE4C32" w:rsidRDefault="000E4B25" w:rsidP="008E4D99">
            <w:pPr>
              <w:pStyle w:val="TableHeadings"/>
              <w:jc w:val="center"/>
            </w:pPr>
            <w:r w:rsidRPr="00AE4C32">
              <w:t>No Impact</w:t>
            </w:r>
          </w:p>
        </w:tc>
      </w:tr>
      <w:tr w:rsidR="000E4B25" w:rsidRPr="00AE4C32" w14:paraId="750E4EA5" w14:textId="77777777" w:rsidTr="008E4D99">
        <w:trPr>
          <w:gridBefore w:val="1"/>
          <w:wBefore w:w="10" w:type="dxa"/>
        </w:trPr>
        <w:tc>
          <w:tcPr>
            <w:tcW w:w="9037" w:type="dxa"/>
            <w:gridSpan w:val="7"/>
            <w:tcMar>
              <w:top w:w="20" w:type="dxa"/>
              <w:left w:w="115" w:type="dxa"/>
              <w:bottom w:w="20" w:type="dxa"/>
              <w:right w:w="115" w:type="dxa"/>
            </w:tcMar>
            <w:vAlign w:val="bottom"/>
            <w:hideMark/>
          </w:tcPr>
          <w:p w14:paraId="416905BF" w14:textId="77777777" w:rsidR="000E4B25" w:rsidRPr="00AE4C32" w:rsidRDefault="000E4B25" w:rsidP="008E4D99">
            <w:pPr>
              <w:pStyle w:val="BodyText"/>
              <w:spacing w:before="60" w:after="60"/>
              <w:rPr>
                <w:b/>
              </w:rPr>
            </w:pPr>
            <w:r w:rsidRPr="00AE4C32">
              <w:t>Would the project result in:</w:t>
            </w:r>
          </w:p>
        </w:tc>
      </w:tr>
      <w:tr w:rsidR="000E4B25" w:rsidRPr="00AE4C32" w14:paraId="63156843" w14:textId="77777777" w:rsidTr="008E4D99">
        <w:trPr>
          <w:gridBefore w:val="1"/>
          <w:gridAfter w:val="1"/>
          <w:wBefore w:w="10" w:type="dxa"/>
          <w:wAfter w:w="38" w:type="dxa"/>
        </w:trPr>
        <w:tc>
          <w:tcPr>
            <w:tcW w:w="4332" w:type="dxa"/>
            <w:tcMar>
              <w:top w:w="20" w:type="dxa"/>
              <w:left w:w="115" w:type="dxa"/>
              <w:bottom w:w="20" w:type="dxa"/>
              <w:right w:w="115" w:type="dxa"/>
            </w:tcMar>
            <w:vAlign w:val="bottom"/>
            <w:hideMark/>
          </w:tcPr>
          <w:p w14:paraId="40EBFD1D" w14:textId="77777777" w:rsidR="000E4B25" w:rsidRPr="00AE4C32" w:rsidRDefault="000E4B25" w:rsidP="005A7336">
            <w:pPr>
              <w:pStyle w:val="BulletListLettered"/>
              <w:numPr>
                <w:ilvl w:val="0"/>
                <w:numId w:val="120"/>
              </w:numPr>
            </w:pPr>
            <w:r w:rsidRPr="00AE4C32">
              <w:t>Generation of a substantial temporary or permanent increase in ambient noise levels in the vicinity of the project in excess of standards established in the local general plan or noise ordinance, or applicable standards of other agencies?</w:t>
            </w:r>
          </w:p>
        </w:tc>
        <w:tc>
          <w:tcPr>
            <w:tcW w:w="1188" w:type="dxa"/>
            <w:tcMar>
              <w:top w:w="20" w:type="dxa"/>
              <w:left w:w="115" w:type="dxa"/>
              <w:bottom w:w="20" w:type="dxa"/>
              <w:right w:w="115" w:type="dxa"/>
            </w:tcMar>
            <w:vAlign w:val="bottom"/>
          </w:tcPr>
          <w:p w14:paraId="385A0E0A" w14:textId="77777777" w:rsidR="000E4B25" w:rsidRPr="00AE4C32" w:rsidRDefault="000E4B25" w:rsidP="008E4D99">
            <w:pPr>
              <w:spacing w:before="60" w:after="60"/>
              <w:jc w:val="center"/>
              <w:rPr>
                <w:sz w:val="28"/>
                <w:szCs w:val="28"/>
              </w:rPr>
            </w:pPr>
            <w:r w:rsidRPr="00AE4C32">
              <w:rPr>
                <w:rFonts w:ascii="Times New Roman" w:hAnsi="Times New Roman"/>
              </w:rPr>
              <w:t>□</w:t>
            </w:r>
          </w:p>
        </w:tc>
        <w:tc>
          <w:tcPr>
            <w:tcW w:w="1220" w:type="dxa"/>
            <w:tcMar>
              <w:top w:w="20" w:type="dxa"/>
              <w:left w:w="115" w:type="dxa"/>
              <w:bottom w:w="20" w:type="dxa"/>
              <w:right w:w="115" w:type="dxa"/>
            </w:tcMar>
            <w:vAlign w:val="bottom"/>
          </w:tcPr>
          <w:p w14:paraId="71D95A90" w14:textId="77777777" w:rsidR="000E4B25" w:rsidRPr="00AE4C32" w:rsidRDefault="000E4B25" w:rsidP="008E4D99">
            <w:pPr>
              <w:spacing w:before="60" w:after="60"/>
              <w:jc w:val="center"/>
              <w:rPr>
                <w:sz w:val="28"/>
                <w:szCs w:val="28"/>
              </w:rPr>
            </w:pPr>
            <w:r w:rsidRPr="00AE4C32">
              <w:rPr>
                <w:rFonts w:ascii="Times New Roman" w:hAnsi="Times New Roman"/>
              </w:rPr>
              <w:t>□</w:t>
            </w:r>
          </w:p>
        </w:tc>
        <w:tc>
          <w:tcPr>
            <w:tcW w:w="1130" w:type="dxa"/>
            <w:gridSpan w:val="2"/>
            <w:tcMar>
              <w:top w:w="20" w:type="dxa"/>
              <w:left w:w="115" w:type="dxa"/>
              <w:bottom w:w="20" w:type="dxa"/>
              <w:right w:w="115" w:type="dxa"/>
            </w:tcMar>
            <w:vAlign w:val="bottom"/>
          </w:tcPr>
          <w:p w14:paraId="3A744AB6" w14:textId="77777777" w:rsidR="000E4B25" w:rsidRPr="00AE4C32" w:rsidRDefault="000E4B25" w:rsidP="008E4D99">
            <w:pPr>
              <w:spacing w:before="60" w:after="60"/>
              <w:jc w:val="center"/>
              <w:rPr>
                <w:sz w:val="28"/>
                <w:szCs w:val="28"/>
              </w:rPr>
            </w:pPr>
            <w:r w:rsidRPr="00AE4C32">
              <w:rPr>
                <w:rFonts w:ascii="Times New Roman" w:hAnsi="Times New Roman"/>
              </w:rPr>
              <w:t>■</w:t>
            </w:r>
          </w:p>
        </w:tc>
        <w:tc>
          <w:tcPr>
            <w:tcW w:w="1129" w:type="dxa"/>
            <w:tcMar>
              <w:top w:w="20" w:type="dxa"/>
              <w:left w:w="115" w:type="dxa"/>
              <w:bottom w:w="20" w:type="dxa"/>
              <w:right w:w="115" w:type="dxa"/>
            </w:tcMar>
            <w:vAlign w:val="bottom"/>
          </w:tcPr>
          <w:p w14:paraId="1A630076" w14:textId="77777777" w:rsidR="000E4B25" w:rsidRPr="00AE4C32" w:rsidRDefault="000E4B25" w:rsidP="008E4D99">
            <w:pPr>
              <w:spacing w:before="60" w:after="60"/>
              <w:jc w:val="center"/>
              <w:rPr>
                <w:sz w:val="28"/>
                <w:szCs w:val="28"/>
              </w:rPr>
            </w:pPr>
            <w:r w:rsidRPr="00AE4C32">
              <w:rPr>
                <w:rFonts w:ascii="Times New Roman" w:hAnsi="Times New Roman"/>
              </w:rPr>
              <w:t>□</w:t>
            </w:r>
          </w:p>
        </w:tc>
      </w:tr>
      <w:tr w:rsidR="000E4B25" w:rsidRPr="00AE4C32" w14:paraId="6BF06F0A" w14:textId="77777777" w:rsidTr="008E4D99">
        <w:trPr>
          <w:gridBefore w:val="1"/>
          <w:gridAfter w:val="1"/>
          <w:wBefore w:w="10" w:type="dxa"/>
          <w:wAfter w:w="38" w:type="dxa"/>
        </w:trPr>
        <w:tc>
          <w:tcPr>
            <w:tcW w:w="4332" w:type="dxa"/>
            <w:tcMar>
              <w:top w:w="20" w:type="dxa"/>
              <w:left w:w="115" w:type="dxa"/>
              <w:bottom w:w="20" w:type="dxa"/>
              <w:right w:w="115" w:type="dxa"/>
            </w:tcMar>
            <w:vAlign w:val="bottom"/>
            <w:hideMark/>
          </w:tcPr>
          <w:p w14:paraId="474DB16C" w14:textId="77777777" w:rsidR="000E4B25" w:rsidRPr="00AE4C32" w:rsidRDefault="000E4B25" w:rsidP="000E4B25">
            <w:pPr>
              <w:pStyle w:val="BulletListLettered"/>
              <w:numPr>
                <w:ilvl w:val="0"/>
                <w:numId w:val="10"/>
              </w:numPr>
            </w:pPr>
            <w:r w:rsidRPr="00AE4C32">
              <w:t>Generation of excessive groundborne vibration or groundborne noise levels?</w:t>
            </w:r>
          </w:p>
        </w:tc>
        <w:tc>
          <w:tcPr>
            <w:tcW w:w="1188" w:type="dxa"/>
            <w:tcMar>
              <w:top w:w="20" w:type="dxa"/>
              <w:left w:w="115" w:type="dxa"/>
              <w:bottom w:w="20" w:type="dxa"/>
              <w:right w:w="115" w:type="dxa"/>
            </w:tcMar>
            <w:vAlign w:val="bottom"/>
          </w:tcPr>
          <w:p w14:paraId="0A9C6955" w14:textId="77777777" w:rsidR="000E4B25" w:rsidRPr="00AE4C32" w:rsidRDefault="000E4B25" w:rsidP="008E4D99">
            <w:pPr>
              <w:spacing w:before="60" w:after="60"/>
              <w:jc w:val="center"/>
              <w:rPr>
                <w:sz w:val="28"/>
                <w:szCs w:val="28"/>
              </w:rPr>
            </w:pPr>
            <w:r w:rsidRPr="00AE4C32">
              <w:rPr>
                <w:rFonts w:ascii="Times New Roman" w:hAnsi="Times New Roman"/>
              </w:rPr>
              <w:t>□</w:t>
            </w:r>
          </w:p>
        </w:tc>
        <w:tc>
          <w:tcPr>
            <w:tcW w:w="1220" w:type="dxa"/>
            <w:tcMar>
              <w:top w:w="20" w:type="dxa"/>
              <w:left w:w="115" w:type="dxa"/>
              <w:bottom w:w="20" w:type="dxa"/>
              <w:right w:w="115" w:type="dxa"/>
            </w:tcMar>
            <w:vAlign w:val="bottom"/>
          </w:tcPr>
          <w:p w14:paraId="2D81A757" w14:textId="77777777" w:rsidR="000E4B25" w:rsidRPr="00AE4C32" w:rsidRDefault="000E4B25" w:rsidP="008E4D99">
            <w:pPr>
              <w:spacing w:before="60" w:after="60"/>
              <w:jc w:val="center"/>
              <w:rPr>
                <w:sz w:val="28"/>
                <w:szCs w:val="28"/>
              </w:rPr>
            </w:pPr>
            <w:r w:rsidRPr="00AE4C32">
              <w:rPr>
                <w:rFonts w:ascii="Times New Roman" w:hAnsi="Times New Roman"/>
              </w:rPr>
              <w:t>□</w:t>
            </w:r>
          </w:p>
        </w:tc>
        <w:tc>
          <w:tcPr>
            <w:tcW w:w="1130" w:type="dxa"/>
            <w:gridSpan w:val="2"/>
            <w:tcMar>
              <w:top w:w="20" w:type="dxa"/>
              <w:left w:w="115" w:type="dxa"/>
              <w:bottom w:w="20" w:type="dxa"/>
              <w:right w:w="115" w:type="dxa"/>
            </w:tcMar>
            <w:vAlign w:val="bottom"/>
          </w:tcPr>
          <w:p w14:paraId="61FD76B1" w14:textId="77777777" w:rsidR="000E4B25" w:rsidRPr="00AE4C32" w:rsidRDefault="000E4B25" w:rsidP="008E4D99">
            <w:pPr>
              <w:spacing w:before="60" w:after="60"/>
              <w:jc w:val="center"/>
              <w:rPr>
                <w:sz w:val="28"/>
                <w:szCs w:val="28"/>
              </w:rPr>
            </w:pPr>
            <w:r w:rsidRPr="00AE4C32">
              <w:rPr>
                <w:rFonts w:ascii="Times New Roman" w:hAnsi="Times New Roman"/>
              </w:rPr>
              <w:t>■</w:t>
            </w:r>
          </w:p>
        </w:tc>
        <w:tc>
          <w:tcPr>
            <w:tcW w:w="1129" w:type="dxa"/>
            <w:tcMar>
              <w:top w:w="20" w:type="dxa"/>
              <w:left w:w="115" w:type="dxa"/>
              <w:bottom w:w="20" w:type="dxa"/>
              <w:right w:w="115" w:type="dxa"/>
            </w:tcMar>
            <w:vAlign w:val="bottom"/>
          </w:tcPr>
          <w:p w14:paraId="53BF4615" w14:textId="77777777" w:rsidR="000E4B25" w:rsidRPr="00AE4C32" w:rsidRDefault="000E4B25" w:rsidP="008E4D99">
            <w:pPr>
              <w:spacing w:before="60" w:after="60"/>
              <w:jc w:val="center"/>
              <w:rPr>
                <w:sz w:val="28"/>
                <w:szCs w:val="28"/>
              </w:rPr>
            </w:pPr>
            <w:r w:rsidRPr="00AE4C32">
              <w:rPr>
                <w:rFonts w:ascii="Times New Roman" w:hAnsi="Times New Roman"/>
              </w:rPr>
              <w:t>□</w:t>
            </w:r>
          </w:p>
        </w:tc>
      </w:tr>
      <w:tr w:rsidR="000E4B25" w:rsidRPr="00E5753A" w14:paraId="6C5CD002" w14:textId="77777777" w:rsidTr="008E4D99">
        <w:trPr>
          <w:gridBefore w:val="1"/>
          <w:gridAfter w:val="1"/>
          <w:wBefore w:w="10" w:type="dxa"/>
          <w:wAfter w:w="38" w:type="dxa"/>
          <w:trHeight w:val="196"/>
        </w:trPr>
        <w:tc>
          <w:tcPr>
            <w:tcW w:w="4332" w:type="dxa"/>
            <w:tcBorders>
              <w:left w:val="nil"/>
              <w:bottom w:val="single" w:sz="4" w:space="0" w:color="auto"/>
            </w:tcBorders>
            <w:tcMar>
              <w:top w:w="20" w:type="dxa"/>
              <w:left w:w="115" w:type="dxa"/>
              <w:bottom w:w="20" w:type="dxa"/>
              <w:right w:w="115" w:type="dxa"/>
            </w:tcMar>
            <w:vAlign w:val="bottom"/>
            <w:hideMark/>
          </w:tcPr>
          <w:p w14:paraId="01E0C38E" w14:textId="77777777" w:rsidR="000E4B25" w:rsidRPr="00AE4C32" w:rsidRDefault="000E4B25" w:rsidP="000E4B25">
            <w:pPr>
              <w:pStyle w:val="BulletListLettered"/>
              <w:numPr>
                <w:ilvl w:val="0"/>
                <w:numId w:val="10"/>
              </w:numPr>
            </w:pPr>
            <w:r w:rsidRPr="00AE4C32">
              <w:t>For a project located within the vicinity of a private airstrip or an airport land use plan or, where such a plan has not been adopted, within two miles of a public airport or public use airport, would the project expose people residing or working in the project area to excessive noise levels?</w:t>
            </w:r>
          </w:p>
        </w:tc>
        <w:tc>
          <w:tcPr>
            <w:tcW w:w="1188" w:type="dxa"/>
            <w:tcBorders>
              <w:bottom w:val="single" w:sz="4" w:space="0" w:color="auto"/>
            </w:tcBorders>
            <w:tcMar>
              <w:top w:w="20" w:type="dxa"/>
              <w:left w:w="115" w:type="dxa"/>
              <w:bottom w:w="20" w:type="dxa"/>
              <w:right w:w="115" w:type="dxa"/>
            </w:tcMar>
            <w:vAlign w:val="bottom"/>
          </w:tcPr>
          <w:p w14:paraId="26BAC7E0" w14:textId="77777777" w:rsidR="000E4B25" w:rsidRPr="00AE4C32" w:rsidRDefault="000E4B25" w:rsidP="008E4D99">
            <w:pPr>
              <w:spacing w:before="60" w:after="60"/>
              <w:jc w:val="center"/>
              <w:rPr>
                <w:sz w:val="28"/>
                <w:szCs w:val="28"/>
              </w:rPr>
            </w:pPr>
            <w:r w:rsidRPr="00AE4C32">
              <w:rPr>
                <w:rFonts w:ascii="Times New Roman" w:hAnsi="Times New Roman"/>
              </w:rPr>
              <w:t>□</w:t>
            </w:r>
          </w:p>
        </w:tc>
        <w:tc>
          <w:tcPr>
            <w:tcW w:w="1220" w:type="dxa"/>
            <w:tcBorders>
              <w:bottom w:val="single" w:sz="4" w:space="0" w:color="auto"/>
            </w:tcBorders>
            <w:tcMar>
              <w:top w:w="20" w:type="dxa"/>
              <w:left w:w="115" w:type="dxa"/>
              <w:bottom w:w="20" w:type="dxa"/>
              <w:right w:w="115" w:type="dxa"/>
            </w:tcMar>
            <w:vAlign w:val="bottom"/>
          </w:tcPr>
          <w:p w14:paraId="66929313" w14:textId="77777777" w:rsidR="000E4B25" w:rsidRPr="00AE4C32" w:rsidRDefault="000E4B25" w:rsidP="008E4D99">
            <w:pPr>
              <w:spacing w:before="60" w:after="60"/>
              <w:jc w:val="center"/>
              <w:rPr>
                <w:sz w:val="28"/>
                <w:szCs w:val="28"/>
              </w:rPr>
            </w:pPr>
            <w:r w:rsidRPr="00AE4C32">
              <w:rPr>
                <w:rFonts w:ascii="Times New Roman" w:hAnsi="Times New Roman"/>
              </w:rPr>
              <w:t>□</w:t>
            </w:r>
          </w:p>
        </w:tc>
        <w:tc>
          <w:tcPr>
            <w:tcW w:w="1130" w:type="dxa"/>
            <w:gridSpan w:val="2"/>
            <w:tcBorders>
              <w:bottom w:val="single" w:sz="4" w:space="0" w:color="auto"/>
            </w:tcBorders>
            <w:tcMar>
              <w:top w:w="20" w:type="dxa"/>
              <w:left w:w="115" w:type="dxa"/>
              <w:bottom w:w="20" w:type="dxa"/>
              <w:right w:w="115" w:type="dxa"/>
            </w:tcMar>
            <w:vAlign w:val="bottom"/>
          </w:tcPr>
          <w:p w14:paraId="20212150" w14:textId="77777777" w:rsidR="000E4B25" w:rsidRPr="00AE4C32" w:rsidRDefault="000E4B25" w:rsidP="008E4D99">
            <w:pPr>
              <w:spacing w:before="60" w:after="60"/>
              <w:jc w:val="center"/>
              <w:rPr>
                <w:sz w:val="28"/>
                <w:szCs w:val="28"/>
              </w:rPr>
            </w:pPr>
            <w:r w:rsidRPr="00AE4C32">
              <w:rPr>
                <w:rFonts w:ascii="Times New Roman" w:hAnsi="Times New Roman"/>
              </w:rPr>
              <w:t>■</w:t>
            </w:r>
          </w:p>
        </w:tc>
        <w:tc>
          <w:tcPr>
            <w:tcW w:w="1129" w:type="dxa"/>
            <w:tcBorders>
              <w:bottom w:val="single" w:sz="4" w:space="0" w:color="auto"/>
              <w:right w:val="nil"/>
            </w:tcBorders>
            <w:tcMar>
              <w:top w:w="20" w:type="dxa"/>
              <w:left w:w="115" w:type="dxa"/>
              <w:bottom w:w="20" w:type="dxa"/>
              <w:right w:w="115" w:type="dxa"/>
            </w:tcMar>
            <w:vAlign w:val="bottom"/>
          </w:tcPr>
          <w:p w14:paraId="3207B2A2" w14:textId="77777777" w:rsidR="000E4B25" w:rsidRPr="00AE4C32" w:rsidRDefault="000E4B25" w:rsidP="008E4D99">
            <w:pPr>
              <w:spacing w:before="60" w:after="60"/>
              <w:jc w:val="center"/>
              <w:rPr>
                <w:sz w:val="28"/>
                <w:szCs w:val="28"/>
              </w:rPr>
            </w:pPr>
            <w:r w:rsidRPr="00AE4C32">
              <w:rPr>
                <w:rFonts w:ascii="Times New Roman" w:hAnsi="Times New Roman"/>
              </w:rPr>
              <w:t>□</w:t>
            </w:r>
          </w:p>
        </w:tc>
      </w:tr>
    </w:tbl>
    <w:p w14:paraId="3FA4D0CA" w14:textId="77777777" w:rsidR="000E4B25" w:rsidRPr="00CA6235" w:rsidRDefault="000E4B25" w:rsidP="000E4B25">
      <w:pPr>
        <w:pStyle w:val="EIRHeading5"/>
      </w:pPr>
      <w:r w:rsidRPr="00CA6235">
        <w:t>Noise Fundamentals</w:t>
      </w:r>
    </w:p>
    <w:p w14:paraId="30EABD29" w14:textId="77777777" w:rsidR="000E4B25" w:rsidRPr="00CA6235" w:rsidRDefault="000E4B25" w:rsidP="000E4B25">
      <w:pPr>
        <w:spacing w:before="120"/>
        <w:rPr>
          <w:rFonts w:ascii="Calibri" w:hAnsi="Calibri"/>
          <w:sz w:val="22"/>
          <w:szCs w:val="22"/>
        </w:rPr>
      </w:pPr>
      <w:r w:rsidRPr="00CA6235">
        <w:rPr>
          <w:rFonts w:ascii="Calibri" w:hAnsi="Calibri"/>
          <w:sz w:val="22"/>
          <w:szCs w:val="22"/>
        </w:rPr>
        <w:t>The unit of measurement used to describe a noise level is the decibel (dB). However, the human ear is not equally sensitive to all frequencies within the sound spectrum. Therefore, a method called “A-weighting” is used to filter noise frequencies that are not audible to the human ear. A-weighting approximates the frequency response of the average young ear when listening to most ordinary everyday sounds. When people make relative judgments of the loudness or annoyance of a sound, their judgments correlate well with the “A-weighted” levels of those sounds. Therefore, the A-weighted noise scale is used for measurements and standards involving the human perception of noise. In this analysis, all noise levels are A-weighted, and the abbreviation “dBA” is understood to identify the A weighted decibel.</w:t>
      </w:r>
    </w:p>
    <w:p w14:paraId="38679753" w14:textId="77777777" w:rsidR="000E4B25" w:rsidRPr="00CA6235" w:rsidRDefault="000E4B25" w:rsidP="000E4B25">
      <w:pPr>
        <w:spacing w:before="120"/>
        <w:rPr>
          <w:rFonts w:ascii="Calibri" w:hAnsi="Calibri"/>
          <w:sz w:val="22"/>
          <w:szCs w:val="22"/>
        </w:rPr>
      </w:pPr>
      <w:r w:rsidRPr="00CA6235">
        <w:rPr>
          <w:rFonts w:ascii="Calibri" w:hAnsi="Calibri"/>
          <w:sz w:val="22"/>
          <w:szCs w:val="22"/>
        </w:rPr>
        <w:t xml:space="preserve">Decibels are measured on a logarithmic scale that quantifies sound intensity in a manner similar to the Richter scale used for earthquake magnitudes. A 10 dB increase represents a 10-fold increase in sound intensity, a 20 dB increase is a 100-fold intensity increase, a 30 dB increase is a 1,000-fold intensity increase, etc. Similarly, a doubling of a noise source, such as doubling of traffic volume, would increase the noise level by 3 dB; a halving of the noise source would result in a 3 dB decrease. </w:t>
      </w:r>
    </w:p>
    <w:p w14:paraId="7925254A" w14:textId="77777777" w:rsidR="000E4B25" w:rsidRPr="00CA6235" w:rsidRDefault="000E4B25" w:rsidP="000E4B25">
      <w:pPr>
        <w:spacing w:before="120"/>
        <w:rPr>
          <w:rFonts w:ascii="Calibri" w:hAnsi="Calibri"/>
          <w:sz w:val="22"/>
          <w:szCs w:val="22"/>
        </w:rPr>
      </w:pPr>
      <w:r w:rsidRPr="00CA6235">
        <w:rPr>
          <w:rFonts w:ascii="Calibri" w:hAnsi="Calibri"/>
          <w:sz w:val="22"/>
          <w:szCs w:val="22"/>
        </w:rPr>
        <w:t>Human perception of noise has no simple correlation with acoustical energy. The perception of noise is not linear in terms of dBA or in terms of acoustical energy. Two equivalent noise sources combined do not sound twice as loud as one source. It is widely accepted that the average healthy ear can barely perceive changes of 3 dBA (increase or decrease); that a change of 5 dBA is readily perceptible; and that an increase or decrease of 10 dBA sounds twice (half) as loud (California Department of Transportation [Caltrans] 2013).</w:t>
      </w:r>
    </w:p>
    <w:p w14:paraId="2114756E" w14:textId="77777777" w:rsidR="000E4B25" w:rsidRPr="00CA6235" w:rsidRDefault="000E4B25" w:rsidP="000E4B25">
      <w:pPr>
        <w:pStyle w:val="Heading6"/>
      </w:pPr>
      <w:r w:rsidRPr="00CA6235">
        <w:t>Descriptors</w:t>
      </w:r>
    </w:p>
    <w:p w14:paraId="28E9C605" w14:textId="77777777" w:rsidR="000E4B25" w:rsidRPr="00CA6235" w:rsidRDefault="000E4B25" w:rsidP="000E4B25">
      <w:pPr>
        <w:spacing w:before="120"/>
        <w:rPr>
          <w:rFonts w:ascii="Calibri" w:hAnsi="Calibri"/>
          <w:sz w:val="22"/>
          <w:szCs w:val="22"/>
        </w:rPr>
      </w:pPr>
      <w:r w:rsidRPr="00CA6235">
        <w:rPr>
          <w:rFonts w:ascii="Calibri" w:hAnsi="Calibri"/>
          <w:sz w:val="22"/>
          <w:szCs w:val="22"/>
        </w:rPr>
        <w:t>The impact of noise is not a function of loudness alone. The time of day when noise occurs and the duration of the noise are also important. In addition, most noise that lasts for more than a few seconds is variable in its intensity. Consequently, a variety of noise descriptors has been developed. The noise descriptors used for this analysis are the one-hour equivalent noise level (L</w:t>
      </w:r>
      <w:r w:rsidRPr="00CA6235">
        <w:rPr>
          <w:rFonts w:ascii="Calibri" w:hAnsi="Calibri"/>
          <w:sz w:val="22"/>
          <w:szCs w:val="22"/>
          <w:vertAlign w:val="subscript"/>
        </w:rPr>
        <w:t>eq</w:t>
      </w:r>
      <w:r w:rsidRPr="00CA6235">
        <w:rPr>
          <w:rFonts w:ascii="Calibri" w:hAnsi="Calibri"/>
          <w:sz w:val="22"/>
          <w:szCs w:val="22"/>
        </w:rPr>
        <w:t xml:space="preserve">) and the community noise equivalent level (CNEL). </w:t>
      </w:r>
    </w:p>
    <w:p w14:paraId="2B5E651D" w14:textId="77777777" w:rsidR="000E4B25" w:rsidRPr="00CA6235" w:rsidRDefault="000E4B25" w:rsidP="000E4B25">
      <w:pPr>
        <w:spacing w:before="120"/>
        <w:rPr>
          <w:rFonts w:ascii="Calibri" w:hAnsi="Calibri"/>
          <w:sz w:val="22"/>
          <w:szCs w:val="22"/>
        </w:rPr>
      </w:pPr>
      <w:r w:rsidRPr="00CA6235">
        <w:rPr>
          <w:rFonts w:ascii="Calibri" w:hAnsi="Calibri"/>
          <w:sz w:val="22"/>
          <w:szCs w:val="22"/>
        </w:rPr>
        <w:t>The L</w:t>
      </w:r>
      <w:r w:rsidRPr="00CA6235">
        <w:rPr>
          <w:rFonts w:ascii="Calibri" w:hAnsi="Calibri"/>
          <w:sz w:val="22"/>
          <w:szCs w:val="22"/>
          <w:vertAlign w:val="subscript"/>
        </w:rPr>
        <w:t>eq</w:t>
      </w:r>
      <w:r w:rsidRPr="00CA6235">
        <w:rPr>
          <w:rFonts w:ascii="Calibri" w:hAnsi="Calibri"/>
          <w:sz w:val="22"/>
          <w:szCs w:val="22"/>
        </w:rPr>
        <w:t xml:space="preserve"> is the level of a steady sound that, in a specific time period and at a specific location, has the same A-weighted sound energy as the time-varying sound. For example, L</w:t>
      </w:r>
      <w:r w:rsidRPr="00CA6235">
        <w:rPr>
          <w:rFonts w:ascii="Calibri" w:hAnsi="Calibri"/>
          <w:sz w:val="22"/>
          <w:szCs w:val="22"/>
          <w:vertAlign w:val="subscript"/>
        </w:rPr>
        <w:t>eq(1h)</w:t>
      </w:r>
      <w:r w:rsidRPr="00CA6235">
        <w:rPr>
          <w:rFonts w:ascii="Calibri" w:hAnsi="Calibri"/>
          <w:sz w:val="22"/>
          <w:szCs w:val="22"/>
        </w:rPr>
        <w:t xml:space="preserve"> is the equivalent noise level over a 1-hour period and L</w:t>
      </w:r>
      <w:r w:rsidRPr="00CA6235">
        <w:rPr>
          <w:rFonts w:ascii="Calibri" w:hAnsi="Calibri"/>
          <w:sz w:val="22"/>
          <w:szCs w:val="22"/>
          <w:vertAlign w:val="subscript"/>
        </w:rPr>
        <w:t>eq(8h)</w:t>
      </w:r>
      <w:r w:rsidRPr="00CA6235">
        <w:rPr>
          <w:rFonts w:ascii="Calibri" w:hAnsi="Calibri"/>
          <w:sz w:val="22"/>
          <w:szCs w:val="22"/>
        </w:rPr>
        <w:t xml:space="preserve"> is the equivalent noise level over an 8-hour period. L</w:t>
      </w:r>
      <w:r w:rsidRPr="00CA6235">
        <w:rPr>
          <w:rFonts w:ascii="Calibri" w:hAnsi="Calibri"/>
          <w:sz w:val="22"/>
          <w:szCs w:val="22"/>
          <w:vertAlign w:val="subscript"/>
        </w:rPr>
        <w:t>eq(1h)</w:t>
      </w:r>
      <w:r w:rsidRPr="00CA6235">
        <w:rPr>
          <w:rFonts w:ascii="Calibri" w:hAnsi="Calibri"/>
          <w:sz w:val="22"/>
          <w:szCs w:val="22"/>
        </w:rPr>
        <w:t xml:space="preserve"> is a common metric for limiting nuisance noise, whereas L</w:t>
      </w:r>
      <w:r w:rsidRPr="00CA6235">
        <w:rPr>
          <w:rFonts w:ascii="Calibri" w:hAnsi="Calibri"/>
          <w:sz w:val="22"/>
          <w:szCs w:val="22"/>
          <w:vertAlign w:val="subscript"/>
        </w:rPr>
        <w:t>eq(8h)</w:t>
      </w:r>
      <w:r w:rsidRPr="00CA6235">
        <w:rPr>
          <w:rFonts w:ascii="Calibri" w:hAnsi="Calibri"/>
          <w:sz w:val="22"/>
          <w:szCs w:val="22"/>
        </w:rPr>
        <w:t xml:space="preserve"> is a common metric for evaluating construction noise.</w:t>
      </w:r>
    </w:p>
    <w:p w14:paraId="5F59E552" w14:textId="77777777" w:rsidR="000E4B25" w:rsidRPr="00CA6235" w:rsidRDefault="000E4B25" w:rsidP="000E4B25">
      <w:pPr>
        <w:pStyle w:val="BodyText"/>
      </w:pPr>
      <w:r w:rsidRPr="00CA6235">
        <w:t xml:space="preserve">The CNEL is a 24-hour equivalent sound level. The CNEL calculation applies an additional 5 dBA penalty to noise occurring during evening hours (between 7:00 p.m. and 10:00 p.m.) and an additional 10 dBA penalty to noise occurring during the night (between 10:00 p.m. and 7:00 a.m.). These increases for certain times are intended to account for the added sensitivity of humans to noise during the evening and night. </w:t>
      </w:r>
    </w:p>
    <w:p w14:paraId="16BF6830" w14:textId="77777777" w:rsidR="000E4B25" w:rsidRPr="00CA6235" w:rsidRDefault="000E4B25" w:rsidP="000E4B25">
      <w:pPr>
        <w:pStyle w:val="Heading6"/>
      </w:pPr>
      <w:r w:rsidRPr="00CA6235">
        <w:t>Propagation</w:t>
      </w:r>
    </w:p>
    <w:p w14:paraId="480CB468" w14:textId="77777777" w:rsidR="000E4B25" w:rsidRPr="00CA6235" w:rsidRDefault="000E4B25" w:rsidP="000E4B25">
      <w:pPr>
        <w:spacing w:before="120"/>
        <w:rPr>
          <w:rFonts w:ascii="Calibri" w:hAnsi="Calibri"/>
          <w:sz w:val="22"/>
          <w:szCs w:val="22"/>
        </w:rPr>
      </w:pPr>
      <w:r w:rsidRPr="00CA6235">
        <w:rPr>
          <w:rFonts w:ascii="Calibri" w:hAnsi="Calibri"/>
          <w:sz w:val="22"/>
          <w:szCs w:val="22"/>
        </w:rPr>
        <w:t xml:space="preserve">Sound from a small, localized source (approximating a “point” source) radiates uniformly outward as it travels away from the source in a spherical pattern, known as geometric spreading. The sound level decreases or drops off at a rate of 6 dBA for each doubling of distance. </w:t>
      </w:r>
    </w:p>
    <w:p w14:paraId="2A71D1C0" w14:textId="77777777" w:rsidR="000E4B25" w:rsidRPr="00CA6235" w:rsidRDefault="000E4B25" w:rsidP="000E4B25">
      <w:pPr>
        <w:pStyle w:val="BodyText"/>
      </w:pPr>
      <w:r w:rsidRPr="00CA6235">
        <w:rPr>
          <w:rFonts w:ascii="Calibri" w:hAnsi="Calibri"/>
        </w:rPr>
        <w:t>Traffic noise is not a single, stationary point source of sound. Over some time interval, the movement of vehicles makes the source of the sound appear to emanate from a line (line source) rather than a point. The drop-off rate for a line source is 3 dBA for each doubling of distance.</w:t>
      </w:r>
    </w:p>
    <w:p w14:paraId="6B886FAA" w14:textId="77777777" w:rsidR="000E4B25" w:rsidRPr="00CA6235" w:rsidRDefault="000E4B25" w:rsidP="000E4B25">
      <w:pPr>
        <w:pStyle w:val="EIRHeading5"/>
      </w:pPr>
      <w:r w:rsidRPr="00CA6235">
        <w:t>Vibration</w:t>
      </w:r>
    </w:p>
    <w:p w14:paraId="6C30C072" w14:textId="77777777" w:rsidR="000E4B25" w:rsidRPr="00CA6235" w:rsidRDefault="000E4B25" w:rsidP="000E4B25">
      <w:pPr>
        <w:pStyle w:val="BodyText"/>
        <w:rPr>
          <w:rFonts w:eastAsia="Calibri"/>
        </w:rPr>
      </w:pPr>
      <w:r w:rsidRPr="00CA6235">
        <w:rPr>
          <w:rFonts w:eastAsia="Calibri"/>
        </w:rPr>
        <w:t>Groundborne vibration of concern in environmental analysis consists of the oscillatory waves that move from a source through the ground to adjacent structures. The number of cycles per second of oscillation makes up the vibration frequency, described in terms of hertz (Hz). The frequency of a vibrating object describes how rapidly it oscillates. The normal frequency range of most groundborne vibration that can be felt by the human body is from a low of less than 1 Hz up to a high of about 200 Hz</w:t>
      </w:r>
      <w:r>
        <w:rPr>
          <w:rFonts w:eastAsia="Calibri"/>
        </w:rPr>
        <w:t xml:space="preserve">. </w:t>
      </w:r>
    </w:p>
    <w:p w14:paraId="2553C0A3" w14:textId="77777777" w:rsidR="000E4B25" w:rsidRPr="00A63E28" w:rsidRDefault="000E4B25" w:rsidP="000E4B25">
      <w:pPr>
        <w:spacing w:before="120"/>
        <w:rPr>
          <w:rFonts w:asciiTheme="minorHAnsi" w:eastAsia="Calibri" w:hAnsiTheme="minorHAnsi"/>
          <w:sz w:val="22"/>
          <w:szCs w:val="22"/>
        </w:rPr>
      </w:pPr>
      <w:r w:rsidRPr="00CA6235">
        <w:rPr>
          <w:rFonts w:asciiTheme="minorHAnsi" w:eastAsia="Calibri" w:hAnsiTheme="minorHAnsi"/>
          <w:sz w:val="22"/>
          <w:szCs w:val="22"/>
        </w:rPr>
        <w:t xml:space="preserve">While people have varying sensitivities to vibrations at different frequencies, in general they are most sensitive to low-frequency vibration. Vibration in buildings, such as from nearby construction activities, may cause windows, items on shelves, and pictures on walls to rattle. Vibration of building components can also take the form of an audible low-frequency rumbling noise, referred to as groundborne noise. Groundborne noise may result in adverse effects, such as building damage, when the originating vibration spectrum is dominated by frequencies in the upper end of the range (60 to 200 Hz). Vibration may also damage infrastructure when </w:t>
      </w:r>
      <w:r w:rsidRPr="00A63E28">
        <w:rPr>
          <w:rFonts w:asciiTheme="minorHAnsi" w:eastAsia="Calibri" w:hAnsiTheme="minorHAnsi"/>
          <w:sz w:val="22"/>
          <w:szCs w:val="22"/>
        </w:rPr>
        <w:t>foundations or utilities, such as sewer and water pipes, physically connect the structure and the vibration source (FTA 2018). Although groundborne vibration is sometimes noticeable in outdoor environments, it is almost never annoying to people who are outdoors. The primary concern from vibration is that it can be intrusive and annoying to building occupants and vibration-sensitive land uses.</w:t>
      </w:r>
    </w:p>
    <w:p w14:paraId="1912045C" w14:textId="77777777" w:rsidR="000E4B25" w:rsidRPr="00A63E28" w:rsidRDefault="000E4B25" w:rsidP="000E4B25">
      <w:pPr>
        <w:pStyle w:val="BodyText"/>
      </w:pPr>
      <w:r w:rsidRPr="00A63E28">
        <w:t>Vibration energy spreads out as it travels through the ground, causing the vibration level to diminish with distance away from the source. High-frequency vibrations diminish much more rapidly than low frequencies, so low frequencies tend to dominate the spectrum at large distances from the source. Discontinuities in the soil strata can also cause diffractions or channeling effects that affect the propagation of vibration over long distances (Caltrans 2013). When a building is impacted by vibration, a ground-to-foundation coupling loss will usually reduce the overall vibration level. However, under rare circumstances, the ground-to-foundation coupling may actually amplify the vibration level due to structural resonances of the floors and walls.</w:t>
      </w:r>
    </w:p>
    <w:p w14:paraId="633DFA69" w14:textId="0F0A474A" w:rsidR="000E4B25" w:rsidRPr="00CA6235" w:rsidRDefault="000E4B25" w:rsidP="000E4B25">
      <w:pPr>
        <w:pStyle w:val="BodyText"/>
      </w:pPr>
      <w:r w:rsidRPr="00A63E28">
        <w:t>Vibration amplitudes are usually expressed in peak particle velocity (ppv) or RMS vibration velocity. The ppv and RMS velocity are normally described in inches per second (in/sec). The ppv is defined as the maximum instantaneous positive or negative peak of a vibration signal (Caltrans 2013). Caltrans</w:t>
      </w:r>
      <w:r w:rsidRPr="00CA6235">
        <w:t xml:space="preserve"> developed a guidance manual for specifically assessing vibration impacts associated with construction and also compiled vibration research and recommended limits for vibration based on the source</w:t>
      </w:r>
      <w:r w:rsidRPr="00CA6235" w:rsidDel="001B6704">
        <w:t xml:space="preserve"> </w:t>
      </w:r>
      <w:r>
        <w:fldChar w:fldCharType="begin"/>
      </w:r>
      <w:r>
        <w:instrText xml:space="preserve"> REF _Ref88211845 \h </w:instrText>
      </w:r>
      <w:r>
        <w:fldChar w:fldCharType="separate"/>
      </w:r>
      <w:r w:rsidR="00FA55F1" w:rsidRPr="00CA6235">
        <w:t xml:space="preserve">Table </w:t>
      </w:r>
      <w:r w:rsidR="00FA55F1">
        <w:rPr>
          <w:noProof/>
        </w:rPr>
        <w:t>24</w:t>
      </w:r>
      <w:r>
        <w:fldChar w:fldCharType="end"/>
      </w:r>
      <w:r>
        <w:t xml:space="preserve"> </w:t>
      </w:r>
      <w:r w:rsidRPr="00CA6235">
        <w:t xml:space="preserve">summarizes the vibration limits recommended by the American Association of State Highway and Transportation Officials for structural damage to buildings. </w:t>
      </w:r>
    </w:p>
    <w:p w14:paraId="5BBC88CD" w14:textId="76A90B56" w:rsidR="000E4B25" w:rsidRPr="000E45CD" w:rsidRDefault="000E4B25" w:rsidP="000E4B25">
      <w:pPr>
        <w:pStyle w:val="TableCaption"/>
        <w:rPr>
          <w:highlight w:val="lightGray"/>
        </w:rPr>
      </w:pPr>
      <w:bookmarkStart w:id="273" w:name="_Ref88211845"/>
      <w:bookmarkStart w:id="274" w:name="_Toc26260339"/>
      <w:bookmarkStart w:id="275" w:name="_Toc30154311"/>
      <w:bookmarkStart w:id="276" w:name="_Toc112942473"/>
      <w:r w:rsidRPr="00CA6235">
        <w:t xml:space="preserve">Table </w:t>
      </w:r>
      <w:fldSimple w:instr=" SEQ Table \* ARABIC ">
        <w:r w:rsidR="00FA55F1">
          <w:rPr>
            <w:noProof/>
          </w:rPr>
          <w:t>24</w:t>
        </w:r>
      </w:fldSimple>
      <w:bookmarkEnd w:id="273"/>
      <w:r w:rsidRPr="00CA6235">
        <w:tab/>
        <w:t>Maximum Vibration Levels for Preventing Damage</w:t>
      </w:r>
      <w:bookmarkEnd w:id="274"/>
      <w:bookmarkEnd w:id="275"/>
      <w:bookmarkEnd w:id="276"/>
    </w:p>
    <w:tbl>
      <w:tblPr>
        <w:tblStyle w:val="TableGrid"/>
        <w:tblW w:w="9029" w:type="dxa"/>
        <w:tblLook w:val="04A0" w:firstRow="1" w:lastRow="0" w:firstColumn="1" w:lastColumn="0" w:noHBand="0" w:noVBand="1"/>
      </w:tblPr>
      <w:tblGrid>
        <w:gridCol w:w="5234"/>
        <w:gridCol w:w="3795"/>
      </w:tblGrid>
      <w:tr w:rsidR="000E4B25" w:rsidRPr="00E5753A" w14:paraId="7B5D5C68" w14:textId="77777777" w:rsidTr="008E4D99">
        <w:tc>
          <w:tcPr>
            <w:tcW w:w="5234" w:type="dxa"/>
            <w:tcBorders>
              <w:bottom w:val="single" w:sz="4" w:space="0" w:color="auto"/>
            </w:tcBorders>
            <w:shd w:val="clear" w:color="auto" w:fill="000000" w:themeFill="text1"/>
          </w:tcPr>
          <w:p w14:paraId="6AD90792" w14:textId="77777777" w:rsidR="000E4B25" w:rsidRPr="00395897" w:rsidRDefault="000E4B25" w:rsidP="005A7336">
            <w:pPr>
              <w:pStyle w:val="TableColumnHeadings-multirow"/>
              <w:spacing w:before="80" w:after="80"/>
            </w:pPr>
            <w:r w:rsidRPr="00395897">
              <w:t xml:space="preserve">Type of Situation </w:t>
            </w:r>
          </w:p>
        </w:tc>
        <w:tc>
          <w:tcPr>
            <w:tcW w:w="3795" w:type="dxa"/>
            <w:tcBorders>
              <w:bottom w:val="single" w:sz="4" w:space="0" w:color="auto"/>
            </w:tcBorders>
            <w:shd w:val="clear" w:color="auto" w:fill="000000" w:themeFill="text1"/>
          </w:tcPr>
          <w:p w14:paraId="230469D9" w14:textId="77777777" w:rsidR="000E4B25" w:rsidRPr="00395897" w:rsidRDefault="000E4B25" w:rsidP="005A7336">
            <w:pPr>
              <w:pStyle w:val="TableColumnHeadings-multirow"/>
              <w:spacing w:before="80" w:after="80"/>
            </w:pPr>
            <w:r w:rsidRPr="00395897">
              <w:t>In./sec. ppv</w:t>
            </w:r>
          </w:p>
        </w:tc>
      </w:tr>
      <w:tr w:rsidR="000E4B25" w:rsidRPr="00E5753A" w14:paraId="2474C374" w14:textId="77777777" w:rsidTr="008E4D99">
        <w:tc>
          <w:tcPr>
            <w:tcW w:w="5234" w:type="dxa"/>
            <w:tcBorders>
              <w:left w:val="nil"/>
              <w:bottom w:val="single" w:sz="4" w:space="0" w:color="BFBFBF" w:themeColor="background1" w:themeShade="BF"/>
              <w:right w:val="nil"/>
            </w:tcBorders>
          </w:tcPr>
          <w:p w14:paraId="47AEF2EC" w14:textId="77777777" w:rsidR="000E4B25" w:rsidRPr="00395897" w:rsidRDefault="000E4B25" w:rsidP="00FE0EC8">
            <w:pPr>
              <w:pStyle w:val="Tabletext0"/>
              <w:spacing w:before="40" w:after="40"/>
              <w:rPr>
                <w:rFonts w:asciiTheme="minorHAnsi" w:hAnsiTheme="minorHAnsi"/>
                <w:sz w:val="18"/>
              </w:rPr>
            </w:pPr>
            <w:r w:rsidRPr="00395897">
              <w:rPr>
                <w:rFonts w:asciiTheme="minorHAnsi" w:hAnsiTheme="minorHAnsi"/>
                <w:sz w:val="18"/>
              </w:rPr>
              <w:t xml:space="preserve">Historic sites or other critical locations </w:t>
            </w:r>
          </w:p>
        </w:tc>
        <w:tc>
          <w:tcPr>
            <w:tcW w:w="3795" w:type="dxa"/>
            <w:tcBorders>
              <w:left w:val="nil"/>
              <w:bottom w:val="single" w:sz="4" w:space="0" w:color="BFBFBF" w:themeColor="background1" w:themeShade="BF"/>
              <w:right w:val="nil"/>
            </w:tcBorders>
          </w:tcPr>
          <w:p w14:paraId="1DAA2C5E" w14:textId="77777777" w:rsidR="000E4B25" w:rsidRPr="00395897" w:rsidRDefault="000E4B25" w:rsidP="00FE0EC8">
            <w:pPr>
              <w:pStyle w:val="Tabletext0"/>
              <w:spacing w:before="40" w:after="40"/>
              <w:ind w:right="2749"/>
              <w:jc w:val="right"/>
              <w:rPr>
                <w:rFonts w:asciiTheme="minorHAnsi" w:hAnsiTheme="minorHAnsi"/>
                <w:sz w:val="18"/>
              </w:rPr>
            </w:pPr>
            <w:r w:rsidRPr="00395897">
              <w:rPr>
                <w:rFonts w:asciiTheme="minorHAnsi" w:hAnsiTheme="minorHAnsi"/>
                <w:sz w:val="18"/>
              </w:rPr>
              <w:t>0.1</w:t>
            </w:r>
          </w:p>
        </w:tc>
      </w:tr>
      <w:tr w:rsidR="000E4B25" w:rsidRPr="00E5753A" w14:paraId="4A1501D8" w14:textId="77777777" w:rsidTr="008E4D99">
        <w:tc>
          <w:tcPr>
            <w:tcW w:w="5234" w:type="dxa"/>
            <w:tcBorders>
              <w:top w:val="single" w:sz="4" w:space="0" w:color="BFBFBF" w:themeColor="background1" w:themeShade="BF"/>
              <w:left w:val="nil"/>
              <w:bottom w:val="single" w:sz="4" w:space="0" w:color="BFBFBF" w:themeColor="background1" w:themeShade="BF"/>
              <w:right w:val="nil"/>
            </w:tcBorders>
          </w:tcPr>
          <w:p w14:paraId="2E7B008C" w14:textId="77777777" w:rsidR="000E4B25" w:rsidRPr="00395897" w:rsidRDefault="000E4B25" w:rsidP="00FE0EC8">
            <w:pPr>
              <w:pStyle w:val="Tabletext0"/>
              <w:spacing w:before="40" w:after="40"/>
              <w:rPr>
                <w:rFonts w:asciiTheme="minorHAnsi" w:hAnsiTheme="minorHAnsi"/>
                <w:sz w:val="18"/>
              </w:rPr>
            </w:pPr>
            <w:r w:rsidRPr="00395897">
              <w:rPr>
                <w:rFonts w:asciiTheme="minorHAnsi" w:hAnsiTheme="minorHAnsi"/>
                <w:sz w:val="18"/>
              </w:rPr>
              <w:t xml:space="preserve">Residential buildings, plastered walls </w:t>
            </w:r>
          </w:p>
        </w:tc>
        <w:tc>
          <w:tcPr>
            <w:tcW w:w="3795" w:type="dxa"/>
            <w:tcBorders>
              <w:top w:val="single" w:sz="4" w:space="0" w:color="BFBFBF" w:themeColor="background1" w:themeShade="BF"/>
              <w:left w:val="nil"/>
              <w:bottom w:val="single" w:sz="4" w:space="0" w:color="BFBFBF" w:themeColor="background1" w:themeShade="BF"/>
              <w:right w:val="nil"/>
            </w:tcBorders>
          </w:tcPr>
          <w:p w14:paraId="3FD0D8AC" w14:textId="77777777" w:rsidR="000E4B25" w:rsidRPr="00395897" w:rsidRDefault="000E4B25" w:rsidP="00FE0EC8">
            <w:pPr>
              <w:pStyle w:val="Tabletext0"/>
              <w:spacing w:before="40" w:after="40"/>
              <w:ind w:right="2749"/>
              <w:jc w:val="right"/>
              <w:rPr>
                <w:rFonts w:asciiTheme="minorHAnsi" w:hAnsiTheme="minorHAnsi"/>
                <w:sz w:val="18"/>
              </w:rPr>
            </w:pPr>
            <w:r w:rsidRPr="00395897">
              <w:rPr>
                <w:rFonts w:asciiTheme="minorHAnsi" w:hAnsiTheme="minorHAnsi"/>
                <w:sz w:val="18"/>
              </w:rPr>
              <w:t xml:space="preserve">0.2–0.3 </w:t>
            </w:r>
          </w:p>
        </w:tc>
      </w:tr>
      <w:tr w:rsidR="000E4B25" w:rsidRPr="00E5753A" w14:paraId="56929064" w14:textId="77777777" w:rsidTr="008E4D99">
        <w:tc>
          <w:tcPr>
            <w:tcW w:w="5234" w:type="dxa"/>
            <w:tcBorders>
              <w:top w:val="single" w:sz="4" w:space="0" w:color="BFBFBF" w:themeColor="background1" w:themeShade="BF"/>
              <w:left w:val="nil"/>
              <w:bottom w:val="single" w:sz="4" w:space="0" w:color="BFBFBF" w:themeColor="background1" w:themeShade="BF"/>
              <w:right w:val="nil"/>
            </w:tcBorders>
          </w:tcPr>
          <w:p w14:paraId="22F4A0A0" w14:textId="77777777" w:rsidR="000E4B25" w:rsidRPr="00395897" w:rsidRDefault="000E4B25" w:rsidP="00FE0EC8">
            <w:pPr>
              <w:pStyle w:val="Tabletext0"/>
              <w:spacing w:before="40" w:after="40"/>
              <w:rPr>
                <w:rFonts w:asciiTheme="minorHAnsi" w:hAnsiTheme="minorHAnsi"/>
                <w:sz w:val="18"/>
              </w:rPr>
            </w:pPr>
            <w:r w:rsidRPr="00395897">
              <w:rPr>
                <w:rFonts w:asciiTheme="minorHAnsi" w:hAnsiTheme="minorHAnsi"/>
                <w:sz w:val="18"/>
              </w:rPr>
              <w:t xml:space="preserve">Residential buildings in good repair with gypsum board walls </w:t>
            </w:r>
          </w:p>
        </w:tc>
        <w:tc>
          <w:tcPr>
            <w:tcW w:w="3795" w:type="dxa"/>
            <w:tcBorders>
              <w:top w:val="single" w:sz="4" w:space="0" w:color="BFBFBF" w:themeColor="background1" w:themeShade="BF"/>
              <w:left w:val="nil"/>
              <w:bottom w:val="single" w:sz="4" w:space="0" w:color="BFBFBF" w:themeColor="background1" w:themeShade="BF"/>
              <w:right w:val="nil"/>
            </w:tcBorders>
          </w:tcPr>
          <w:p w14:paraId="1DC2D5D8" w14:textId="77777777" w:rsidR="000E4B25" w:rsidRPr="00395897" w:rsidRDefault="000E4B25" w:rsidP="00FE0EC8">
            <w:pPr>
              <w:pStyle w:val="Tabletext0"/>
              <w:spacing w:before="40" w:after="40"/>
              <w:ind w:right="2749"/>
              <w:jc w:val="right"/>
              <w:rPr>
                <w:rFonts w:asciiTheme="minorHAnsi" w:hAnsiTheme="minorHAnsi"/>
                <w:sz w:val="18"/>
              </w:rPr>
            </w:pPr>
            <w:r w:rsidRPr="00395897">
              <w:rPr>
                <w:rFonts w:asciiTheme="minorHAnsi" w:hAnsiTheme="minorHAnsi"/>
                <w:sz w:val="18"/>
              </w:rPr>
              <w:t xml:space="preserve">0.4–0.5 </w:t>
            </w:r>
          </w:p>
        </w:tc>
      </w:tr>
      <w:tr w:rsidR="000E4B25" w:rsidRPr="00E5753A" w14:paraId="1673AA04" w14:textId="77777777" w:rsidTr="008E4D99">
        <w:tc>
          <w:tcPr>
            <w:tcW w:w="5234" w:type="dxa"/>
            <w:tcBorders>
              <w:top w:val="single" w:sz="4" w:space="0" w:color="BFBFBF" w:themeColor="background1" w:themeShade="BF"/>
              <w:left w:val="nil"/>
              <w:bottom w:val="single" w:sz="4" w:space="0" w:color="auto"/>
              <w:right w:val="nil"/>
            </w:tcBorders>
          </w:tcPr>
          <w:p w14:paraId="4FBA2CC3" w14:textId="77777777" w:rsidR="000E4B25" w:rsidRPr="00395897" w:rsidRDefault="000E4B25" w:rsidP="00FE0EC8">
            <w:pPr>
              <w:pStyle w:val="Tabletext0"/>
              <w:spacing w:before="40" w:after="40"/>
              <w:rPr>
                <w:rFonts w:asciiTheme="minorHAnsi" w:hAnsiTheme="minorHAnsi"/>
                <w:sz w:val="18"/>
              </w:rPr>
            </w:pPr>
            <w:r w:rsidRPr="00395897">
              <w:rPr>
                <w:rFonts w:asciiTheme="minorHAnsi" w:hAnsiTheme="minorHAnsi"/>
                <w:sz w:val="18"/>
              </w:rPr>
              <w:t xml:space="preserve">Engineered structures, without plaster </w:t>
            </w:r>
          </w:p>
        </w:tc>
        <w:tc>
          <w:tcPr>
            <w:tcW w:w="3795" w:type="dxa"/>
            <w:tcBorders>
              <w:top w:val="single" w:sz="4" w:space="0" w:color="BFBFBF" w:themeColor="background1" w:themeShade="BF"/>
              <w:left w:val="nil"/>
              <w:bottom w:val="single" w:sz="4" w:space="0" w:color="auto"/>
              <w:right w:val="nil"/>
            </w:tcBorders>
          </w:tcPr>
          <w:p w14:paraId="345405EA" w14:textId="77777777" w:rsidR="000E4B25" w:rsidRPr="00395897" w:rsidRDefault="000E4B25" w:rsidP="00FE0EC8">
            <w:pPr>
              <w:pStyle w:val="Tabletext0"/>
              <w:spacing w:before="40" w:after="40"/>
              <w:ind w:right="2749"/>
              <w:jc w:val="right"/>
              <w:rPr>
                <w:rFonts w:asciiTheme="minorHAnsi" w:hAnsiTheme="minorHAnsi"/>
                <w:sz w:val="18"/>
              </w:rPr>
            </w:pPr>
            <w:r w:rsidRPr="00395897">
              <w:rPr>
                <w:rFonts w:asciiTheme="minorHAnsi" w:hAnsiTheme="minorHAnsi"/>
                <w:sz w:val="18"/>
              </w:rPr>
              <w:t xml:space="preserve">1.0–1.5 </w:t>
            </w:r>
          </w:p>
        </w:tc>
      </w:tr>
      <w:tr w:rsidR="000E4B25" w:rsidRPr="00E5753A" w14:paraId="46D2CD46" w14:textId="77777777" w:rsidTr="008E4D99">
        <w:tc>
          <w:tcPr>
            <w:tcW w:w="9029" w:type="dxa"/>
            <w:gridSpan w:val="2"/>
            <w:tcBorders>
              <w:top w:val="single" w:sz="4" w:space="0" w:color="auto"/>
              <w:left w:val="nil"/>
              <w:right w:val="nil"/>
            </w:tcBorders>
          </w:tcPr>
          <w:p w14:paraId="6E4E2448" w14:textId="77777777" w:rsidR="000E4B25" w:rsidRPr="000E45CD" w:rsidRDefault="000E4B25" w:rsidP="008E4D99">
            <w:pPr>
              <w:pStyle w:val="TableNotes"/>
              <w:rPr>
                <w:highlight w:val="lightGray"/>
              </w:rPr>
            </w:pPr>
            <w:r w:rsidRPr="00A63E28">
              <w:t>Source: Caltrans 2013</w:t>
            </w:r>
          </w:p>
        </w:tc>
      </w:tr>
    </w:tbl>
    <w:p w14:paraId="2019DEA8" w14:textId="77777777" w:rsidR="000E4B25" w:rsidRPr="00395897" w:rsidRDefault="000E4B25" w:rsidP="000E4B25">
      <w:pPr>
        <w:pStyle w:val="Heading5"/>
      </w:pPr>
      <w:r w:rsidRPr="00395897">
        <w:t>Regulatory Setting</w:t>
      </w:r>
    </w:p>
    <w:p w14:paraId="1B7F9FE9" w14:textId="77777777" w:rsidR="000E4B25" w:rsidRPr="00395897" w:rsidRDefault="000E4B25" w:rsidP="000E4B25">
      <w:pPr>
        <w:pStyle w:val="Heading6"/>
      </w:pPr>
      <w:r w:rsidRPr="00395897">
        <w:t>California Code of Regulations</w:t>
      </w:r>
    </w:p>
    <w:p w14:paraId="0A266F0F" w14:textId="77777777" w:rsidR="000E4B25" w:rsidRPr="00395897" w:rsidRDefault="000E4B25" w:rsidP="000E4B25">
      <w:pPr>
        <w:pStyle w:val="BodyText"/>
      </w:pPr>
      <w:r w:rsidRPr="00395897">
        <w:t xml:space="preserve">The CCR, Title 24, Section 1207.4 requires interior noise levels attributable to exterior sources to be at or below 45 dBA in any habitable room of a development based on the noise metric used in the noise element of the local general plan. All residential windows, exterior doors, and exterior wall assemblies would be required to have sound transmission class ratings that would ensure adequate attenuation of noise at a range of frequencies. The Noise Element of the City of </w:t>
      </w:r>
      <w:r>
        <w:t>Mountain View</w:t>
      </w:r>
      <w:r w:rsidRPr="00395897">
        <w:t xml:space="preserve"> General Plan uses a noise metric of CNEL, consistent with the reference level for State noise law. Therefore, interior noise levels of the project would need to be at or below 45 dBA CNEL to be compliant with CCR requirements. </w:t>
      </w:r>
    </w:p>
    <w:p w14:paraId="7F7F5BE0" w14:textId="77777777" w:rsidR="000E4B25" w:rsidRPr="00FC0FA6" w:rsidRDefault="000E4B25" w:rsidP="000E4B25">
      <w:pPr>
        <w:pStyle w:val="Heading6"/>
      </w:pPr>
      <w:r w:rsidRPr="00FC0FA6">
        <w:t>City of Mountain View 2030 General Plan</w:t>
      </w:r>
    </w:p>
    <w:p w14:paraId="53F4A0E0" w14:textId="15E7433C" w:rsidR="000E4B25" w:rsidRPr="00FC0FA6" w:rsidRDefault="000E4B25" w:rsidP="000E4B25">
      <w:pPr>
        <w:pStyle w:val="BodyText0"/>
      </w:pPr>
      <w:bookmarkStart w:id="277" w:name="_Ref5094045"/>
      <w:bookmarkStart w:id="278" w:name="_Toc5952741"/>
      <w:r w:rsidRPr="00FC0FA6">
        <w:t xml:space="preserve">The Noise Element of the General Plan provides goals, policies, and program to assure the appropriateness of new development with the noise environment of Mountain View. </w:t>
      </w:r>
      <w:r w:rsidRPr="00FC0FA6">
        <w:rPr>
          <w:rStyle w:val="BodyTextChar"/>
        </w:rPr>
        <w:fldChar w:fldCharType="begin"/>
      </w:r>
      <w:r w:rsidRPr="00FC0FA6">
        <w:instrText xml:space="preserve"> REF _Ref88212278 \h </w:instrText>
      </w:r>
      <w:r>
        <w:rPr>
          <w:rStyle w:val="BodyTextChar"/>
        </w:rPr>
        <w:instrText xml:space="preserve"> \* MERGEFORMAT </w:instrText>
      </w:r>
      <w:r w:rsidRPr="00FC0FA6">
        <w:rPr>
          <w:rStyle w:val="BodyTextChar"/>
        </w:rPr>
      </w:r>
      <w:r w:rsidRPr="00FC0FA6">
        <w:rPr>
          <w:rStyle w:val="BodyTextChar"/>
        </w:rPr>
        <w:fldChar w:fldCharType="separate"/>
      </w:r>
      <w:r w:rsidR="00FA55F1">
        <w:t xml:space="preserve">Table </w:t>
      </w:r>
      <w:r w:rsidR="00FA55F1">
        <w:rPr>
          <w:noProof/>
        </w:rPr>
        <w:t>25</w:t>
      </w:r>
      <w:r w:rsidRPr="00FC0FA6">
        <w:rPr>
          <w:rStyle w:val="BodyTextChar"/>
        </w:rPr>
        <w:fldChar w:fldCharType="end"/>
      </w:r>
      <w:r w:rsidRPr="00FC0FA6">
        <w:rPr>
          <w:rStyle w:val="BodyTextChar"/>
        </w:rPr>
        <w:t xml:space="preserve"> </w:t>
      </w:r>
      <w:r w:rsidRPr="00FC0FA6">
        <w:t>shows the General Plan’s land use compatibility chart. Applicable goals</w:t>
      </w:r>
      <w:r>
        <w:t xml:space="preserve"> and policies are as follows:</w:t>
      </w:r>
      <w:r w:rsidR="00275B75">
        <w:t xml:space="preserve"> </w:t>
      </w:r>
    </w:p>
    <w:p w14:paraId="6ACC9EFE" w14:textId="77777777" w:rsidR="000E4B25" w:rsidRPr="003E16C8" w:rsidRDefault="000E4B25" w:rsidP="005A7336">
      <w:pPr>
        <w:pStyle w:val="BodyText0"/>
        <w:pageBreakBefore/>
        <w:ind w:left="1296" w:hanging="1296"/>
      </w:pPr>
      <w:r w:rsidRPr="003E16C8">
        <w:rPr>
          <w:b/>
        </w:rPr>
        <w:t>Goal NOI-1</w:t>
      </w:r>
      <w:r w:rsidRPr="003E16C8">
        <w:tab/>
        <w:t xml:space="preserve">Noise levels that support a high quality of life in Mountain View. </w:t>
      </w:r>
    </w:p>
    <w:p w14:paraId="46FC6C83" w14:textId="7275D19B" w:rsidR="000E4B25" w:rsidRPr="003E39CD" w:rsidRDefault="000E4B25" w:rsidP="00FE0EC8">
      <w:pPr>
        <w:pStyle w:val="BodyText0"/>
        <w:spacing w:before="60" w:after="60"/>
        <w:ind w:left="1350" w:hanging="990"/>
        <w:rPr>
          <w:bCs/>
        </w:rPr>
      </w:pPr>
      <w:r w:rsidRPr="003E39CD">
        <w:rPr>
          <w:b/>
        </w:rPr>
        <w:t>NOI 1.1</w:t>
      </w:r>
      <w:r w:rsidRPr="003E39CD">
        <w:rPr>
          <w:b/>
        </w:rPr>
        <w:tab/>
      </w:r>
      <w:r w:rsidRPr="005A7336">
        <w:rPr>
          <w:b/>
        </w:rPr>
        <w:t xml:space="preserve">Land Use Compatibility. </w:t>
      </w:r>
      <w:r w:rsidRPr="003E39CD">
        <w:rPr>
          <w:bCs/>
        </w:rPr>
        <w:t xml:space="preserve">Use the Outdoor Noise Environment Guidelines as a guide for planning and development decisions </w:t>
      </w:r>
      <w:r w:rsidR="005A7336">
        <w:rPr>
          <w:bCs/>
        </w:rPr>
        <w:t>(</w:t>
      </w:r>
      <w:r>
        <w:rPr>
          <w:bCs/>
        </w:rPr>
        <w:fldChar w:fldCharType="begin"/>
      </w:r>
      <w:r>
        <w:rPr>
          <w:bCs/>
        </w:rPr>
        <w:instrText xml:space="preserve"> REF _Ref88212278 \h </w:instrText>
      </w:r>
      <w:r>
        <w:rPr>
          <w:bCs/>
        </w:rPr>
      </w:r>
      <w:r>
        <w:rPr>
          <w:bCs/>
        </w:rPr>
        <w:fldChar w:fldCharType="separate"/>
      </w:r>
      <w:r w:rsidR="00FA55F1">
        <w:t xml:space="preserve">Table </w:t>
      </w:r>
      <w:r w:rsidR="00FA55F1">
        <w:rPr>
          <w:noProof/>
        </w:rPr>
        <w:t>25</w:t>
      </w:r>
      <w:r>
        <w:rPr>
          <w:bCs/>
        </w:rPr>
        <w:fldChar w:fldCharType="end"/>
      </w:r>
      <w:r w:rsidR="005A7336">
        <w:rPr>
          <w:bCs/>
        </w:rPr>
        <w:t>)</w:t>
      </w:r>
      <w:r>
        <w:rPr>
          <w:bCs/>
        </w:rPr>
        <w:t xml:space="preserve">. </w:t>
      </w:r>
    </w:p>
    <w:p w14:paraId="5CDBA957" w14:textId="7306D083" w:rsidR="000E4B25" w:rsidRDefault="000E4B25" w:rsidP="00FE0EC8">
      <w:pPr>
        <w:pStyle w:val="BodyText0"/>
        <w:spacing w:before="60" w:after="60"/>
        <w:ind w:left="1350" w:hanging="990"/>
      </w:pPr>
      <w:r w:rsidRPr="003E39CD">
        <w:rPr>
          <w:b/>
        </w:rPr>
        <w:t>NOI 1.</w:t>
      </w:r>
      <w:r>
        <w:rPr>
          <w:b/>
        </w:rPr>
        <w:t>4</w:t>
      </w:r>
      <w:r w:rsidRPr="005A7336">
        <w:rPr>
          <w:b/>
          <w:bCs/>
        </w:rPr>
        <w:tab/>
        <w:t xml:space="preserve">Site </w:t>
      </w:r>
      <w:r w:rsidR="005A7336" w:rsidRPr="005A7336">
        <w:rPr>
          <w:b/>
          <w:bCs/>
        </w:rPr>
        <w:t>Planning</w:t>
      </w:r>
      <w:r w:rsidRPr="005A7336">
        <w:rPr>
          <w:b/>
          <w:bCs/>
        </w:rPr>
        <w:t>.</w:t>
      </w:r>
      <w:r>
        <w:rPr>
          <w:i/>
          <w:iCs/>
        </w:rPr>
        <w:t xml:space="preserve"> </w:t>
      </w:r>
      <w:r>
        <w:t>Use site planning and project design strategies to achieve the noise level standards in NOI 1.1 (land use compatibility) and NOI 1.2 (noise-sensitive land uses). The use of noise barriers shall be considered after all practical design-related noise measures have been integrated into the project design.</w:t>
      </w:r>
    </w:p>
    <w:p w14:paraId="71FC60F1" w14:textId="5BA93AA2" w:rsidR="000E4B25" w:rsidRDefault="000E4B25" w:rsidP="00FE0EC8">
      <w:pPr>
        <w:pStyle w:val="BodyText0"/>
        <w:spacing w:before="60" w:after="60"/>
        <w:ind w:left="1350" w:hanging="990"/>
        <w:rPr>
          <w:bCs/>
        </w:rPr>
      </w:pPr>
      <w:r w:rsidRPr="003E39CD">
        <w:rPr>
          <w:b/>
        </w:rPr>
        <w:t>NOI 1.</w:t>
      </w:r>
      <w:r>
        <w:rPr>
          <w:b/>
        </w:rPr>
        <w:t>6</w:t>
      </w:r>
      <w:r>
        <w:rPr>
          <w:b/>
        </w:rPr>
        <w:tab/>
      </w:r>
      <w:r w:rsidRPr="005A7336">
        <w:rPr>
          <w:b/>
        </w:rPr>
        <w:t xml:space="preserve">Sensitive </w:t>
      </w:r>
      <w:r w:rsidR="005A7336" w:rsidRPr="005A7336">
        <w:rPr>
          <w:b/>
        </w:rPr>
        <w:t>Uses</w:t>
      </w:r>
      <w:r w:rsidRPr="005A7336">
        <w:rPr>
          <w:b/>
        </w:rPr>
        <w:t>.</w:t>
      </w:r>
      <w:r w:rsidRPr="008E4D99">
        <w:rPr>
          <w:bCs/>
        </w:rPr>
        <w:t xml:space="preserve"> Minimize noise impacts</w:t>
      </w:r>
      <w:r>
        <w:rPr>
          <w:bCs/>
        </w:rPr>
        <w:t xml:space="preserve"> on noise-sensitive land uses, such as residential uses, schools, hospitals, and child-care facilities.</w:t>
      </w:r>
    </w:p>
    <w:p w14:paraId="7A2004CB" w14:textId="77777777" w:rsidR="000E4B25" w:rsidRPr="00DB34D1" w:rsidRDefault="000E4B25" w:rsidP="00FE0EC8">
      <w:pPr>
        <w:pStyle w:val="BodyText0"/>
        <w:spacing w:before="60" w:after="60"/>
        <w:ind w:left="1350" w:hanging="990"/>
        <w:rPr>
          <w:bCs/>
        </w:rPr>
      </w:pPr>
      <w:r w:rsidRPr="003E39CD">
        <w:rPr>
          <w:b/>
        </w:rPr>
        <w:t>NOI 1.</w:t>
      </w:r>
      <w:r>
        <w:rPr>
          <w:b/>
        </w:rPr>
        <w:t>7</w:t>
      </w:r>
      <w:r>
        <w:rPr>
          <w:bCs/>
        </w:rPr>
        <w:tab/>
      </w:r>
      <w:r w:rsidRPr="005A7336">
        <w:rPr>
          <w:b/>
        </w:rPr>
        <w:t xml:space="preserve">Stationary Sources. </w:t>
      </w:r>
      <w:r>
        <w:rPr>
          <w:bCs/>
        </w:rPr>
        <w:t>Restrict noise levels from stationary sources through enforcement of the Noise Ordinance.</w:t>
      </w:r>
    </w:p>
    <w:p w14:paraId="3964DAB4" w14:textId="77777777" w:rsidR="000E4B25" w:rsidRPr="004C0D65" w:rsidRDefault="000E4B25" w:rsidP="00FE0EC8">
      <w:pPr>
        <w:pStyle w:val="BodyText0"/>
        <w:spacing w:before="60" w:after="60"/>
        <w:ind w:left="1350" w:hanging="990"/>
        <w:rPr>
          <w:bCs/>
        </w:rPr>
      </w:pPr>
      <w:r w:rsidRPr="00FD3E4C">
        <w:rPr>
          <w:b/>
        </w:rPr>
        <w:t>NOI 1.8</w:t>
      </w:r>
      <w:r w:rsidRPr="00FD3E4C">
        <w:rPr>
          <w:b/>
        </w:rPr>
        <w:tab/>
      </w:r>
      <w:r w:rsidRPr="005A7336">
        <w:rPr>
          <w:b/>
        </w:rPr>
        <w:t>Moffett Federal Airfield.</w:t>
      </w:r>
      <w:r w:rsidRPr="00FD3E4C">
        <w:rPr>
          <w:bCs/>
          <w:i/>
          <w:iCs/>
        </w:rPr>
        <w:t xml:space="preserve"> </w:t>
      </w:r>
      <w:r w:rsidRPr="00FD3E4C">
        <w:rPr>
          <w:bCs/>
        </w:rPr>
        <w:t xml:space="preserve">Support efforts to minimize noise impacts from Moffett Federal Airfield in coordination with Santa Clara County’s Comprehensive Land Use Plan. </w:t>
      </w:r>
    </w:p>
    <w:p w14:paraId="6D270813" w14:textId="12E2AA0D" w:rsidR="000E4B25" w:rsidRPr="00FC0FA6" w:rsidRDefault="000E4B25" w:rsidP="000E4B25">
      <w:pPr>
        <w:pStyle w:val="TableCaption"/>
      </w:pPr>
      <w:bookmarkStart w:id="279" w:name="_Ref88212278"/>
      <w:bookmarkStart w:id="280" w:name="_Toc29457289"/>
      <w:bookmarkStart w:id="281" w:name="_Toc112942474"/>
      <w:bookmarkEnd w:id="277"/>
      <w:r>
        <w:t xml:space="preserve">Table </w:t>
      </w:r>
      <w:fldSimple w:instr=" SEQ Table \* ARABIC ">
        <w:r w:rsidR="00FA55F1">
          <w:rPr>
            <w:noProof/>
          </w:rPr>
          <w:t>25</w:t>
        </w:r>
      </w:fldSimple>
      <w:bookmarkEnd w:id="279"/>
      <w:r w:rsidRPr="00FC0FA6">
        <w:tab/>
        <w:t>City of Mountain View Noise and Land use Compatibility Guidelines</w:t>
      </w:r>
      <w:bookmarkEnd w:id="278"/>
      <w:bookmarkEnd w:id="280"/>
      <w:bookmarkEnd w:id="281"/>
    </w:p>
    <w:tbl>
      <w:tblPr>
        <w:tblStyle w:val="TableGrid"/>
        <w:tblW w:w="90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1407"/>
        <w:gridCol w:w="1489"/>
        <w:gridCol w:w="1513"/>
        <w:gridCol w:w="1259"/>
      </w:tblGrid>
      <w:tr w:rsidR="000E4B25" w:rsidRPr="005A7336" w14:paraId="04FB5576" w14:textId="77777777" w:rsidTr="008E4D99">
        <w:trPr>
          <w:tblHeader/>
        </w:trPr>
        <w:tc>
          <w:tcPr>
            <w:tcW w:w="3361" w:type="dxa"/>
            <w:shd w:val="clear" w:color="auto" w:fill="000000" w:themeFill="text1"/>
            <w:tcMar>
              <w:top w:w="58" w:type="dxa"/>
              <w:left w:w="115" w:type="dxa"/>
              <w:bottom w:w="58" w:type="dxa"/>
              <w:right w:w="115" w:type="dxa"/>
            </w:tcMar>
            <w:vAlign w:val="bottom"/>
          </w:tcPr>
          <w:p w14:paraId="0D6DB532" w14:textId="77777777" w:rsidR="000E4B25" w:rsidRPr="005A7336" w:rsidRDefault="000E4B25" w:rsidP="005A7336">
            <w:pPr>
              <w:pStyle w:val="ISTableColumnHeadings"/>
              <w:keepLines/>
              <w:spacing w:before="0" w:after="0"/>
              <w:rPr>
                <w:rFonts w:cstheme="minorHAnsi"/>
                <w:color w:val="auto"/>
                <w:szCs w:val="18"/>
              </w:rPr>
            </w:pPr>
          </w:p>
        </w:tc>
        <w:tc>
          <w:tcPr>
            <w:tcW w:w="5668" w:type="dxa"/>
            <w:gridSpan w:val="4"/>
            <w:tcBorders>
              <w:top w:val="nil"/>
              <w:left w:val="nil"/>
              <w:bottom w:val="single" w:sz="4" w:space="0" w:color="FFFFFF" w:themeColor="background1"/>
              <w:right w:val="nil"/>
            </w:tcBorders>
            <w:shd w:val="clear" w:color="auto" w:fill="000000" w:themeFill="text1"/>
            <w:vAlign w:val="bottom"/>
            <w:hideMark/>
          </w:tcPr>
          <w:p w14:paraId="44CCEF0B" w14:textId="77777777" w:rsidR="000E4B25" w:rsidRPr="005A7336" w:rsidRDefault="000E4B25" w:rsidP="005A7336">
            <w:pPr>
              <w:pStyle w:val="ISTableColumnHeadings"/>
              <w:keepLines/>
              <w:spacing w:before="0" w:after="0"/>
              <w:jc w:val="center"/>
              <w:rPr>
                <w:rFonts w:cstheme="minorHAnsi"/>
                <w:color w:val="auto"/>
                <w:szCs w:val="18"/>
              </w:rPr>
            </w:pPr>
            <w:r w:rsidRPr="005A7336">
              <w:rPr>
                <w:rFonts w:cstheme="minorHAnsi"/>
                <w:color w:val="auto"/>
                <w:szCs w:val="18"/>
              </w:rPr>
              <w:t>Community Noise Exposure (DNL or CNEL, dB)</w:t>
            </w:r>
          </w:p>
        </w:tc>
      </w:tr>
      <w:tr w:rsidR="000E4B25" w:rsidRPr="005A7336" w14:paraId="40B0448D" w14:textId="77777777" w:rsidTr="008E4D99">
        <w:trPr>
          <w:tblHeader/>
        </w:trPr>
        <w:tc>
          <w:tcPr>
            <w:tcW w:w="3361" w:type="dxa"/>
            <w:tcBorders>
              <w:top w:val="nil"/>
              <w:left w:val="nil"/>
              <w:bottom w:val="single" w:sz="6" w:space="0" w:color="auto"/>
            </w:tcBorders>
            <w:shd w:val="clear" w:color="auto" w:fill="000000" w:themeFill="text1"/>
            <w:tcMar>
              <w:top w:w="58" w:type="dxa"/>
              <w:left w:w="115" w:type="dxa"/>
              <w:bottom w:w="58" w:type="dxa"/>
              <w:right w:w="115" w:type="dxa"/>
            </w:tcMar>
            <w:vAlign w:val="bottom"/>
            <w:hideMark/>
          </w:tcPr>
          <w:p w14:paraId="390A48E3" w14:textId="77777777" w:rsidR="000E4B25" w:rsidRPr="005A7336" w:rsidRDefault="000E4B25" w:rsidP="005A7336">
            <w:pPr>
              <w:pStyle w:val="ISTableColumnHeadings"/>
              <w:keepLines/>
              <w:spacing w:before="0" w:after="0"/>
              <w:rPr>
                <w:rFonts w:cstheme="minorHAnsi"/>
                <w:color w:val="auto"/>
                <w:szCs w:val="18"/>
              </w:rPr>
            </w:pPr>
            <w:r w:rsidRPr="005A7336">
              <w:rPr>
                <w:rFonts w:cstheme="minorHAnsi"/>
                <w:color w:val="auto"/>
                <w:szCs w:val="18"/>
              </w:rPr>
              <w:t>Land Use Category</w:t>
            </w:r>
          </w:p>
        </w:tc>
        <w:tc>
          <w:tcPr>
            <w:tcW w:w="1407" w:type="dxa"/>
            <w:tcBorders>
              <w:top w:val="single" w:sz="4" w:space="0" w:color="FFFFFF" w:themeColor="background1"/>
              <w:bottom w:val="single" w:sz="4" w:space="0" w:color="auto"/>
            </w:tcBorders>
            <w:shd w:val="clear" w:color="auto" w:fill="000000" w:themeFill="text1"/>
            <w:vAlign w:val="bottom"/>
            <w:hideMark/>
          </w:tcPr>
          <w:p w14:paraId="5A9B0F12" w14:textId="77777777" w:rsidR="000E4B25" w:rsidRPr="005A7336" w:rsidRDefault="000E4B25" w:rsidP="005A7336">
            <w:pPr>
              <w:pStyle w:val="ISTableColumnHeadings"/>
              <w:keepLines/>
              <w:spacing w:before="0" w:after="0"/>
              <w:jc w:val="center"/>
              <w:rPr>
                <w:rFonts w:cstheme="minorHAnsi"/>
                <w:color w:val="auto"/>
                <w:szCs w:val="18"/>
              </w:rPr>
            </w:pPr>
            <w:r w:rsidRPr="005A7336">
              <w:rPr>
                <w:rFonts w:cstheme="minorHAnsi"/>
                <w:color w:val="auto"/>
                <w:szCs w:val="18"/>
              </w:rPr>
              <w:t>Normally Acceptable</w:t>
            </w:r>
          </w:p>
        </w:tc>
        <w:tc>
          <w:tcPr>
            <w:tcW w:w="1489" w:type="dxa"/>
            <w:tcBorders>
              <w:top w:val="single" w:sz="4" w:space="0" w:color="FFFFFF" w:themeColor="background1"/>
              <w:bottom w:val="single" w:sz="4" w:space="0" w:color="auto"/>
            </w:tcBorders>
            <w:shd w:val="clear" w:color="auto" w:fill="000000" w:themeFill="text1"/>
            <w:tcMar>
              <w:top w:w="58" w:type="dxa"/>
              <w:left w:w="115" w:type="dxa"/>
              <w:bottom w:w="58" w:type="dxa"/>
              <w:right w:w="115" w:type="dxa"/>
            </w:tcMar>
            <w:vAlign w:val="bottom"/>
            <w:hideMark/>
          </w:tcPr>
          <w:p w14:paraId="099E00E1" w14:textId="77777777" w:rsidR="000E4B25" w:rsidRPr="005A7336" w:rsidRDefault="000E4B25" w:rsidP="005A7336">
            <w:pPr>
              <w:pStyle w:val="ISTableColumnHeadings"/>
              <w:keepLines/>
              <w:spacing w:before="0" w:after="0"/>
              <w:jc w:val="center"/>
              <w:rPr>
                <w:rFonts w:cstheme="minorHAnsi"/>
                <w:color w:val="auto"/>
                <w:szCs w:val="18"/>
              </w:rPr>
            </w:pPr>
            <w:r w:rsidRPr="005A7336">
              <w:rPr>
                <w:rFonts w:cstheme="minorHAnsi"/>
                <w:color w:val="auto"/>
                <w:szCs w:val="18"/>
              </w:rPr>
              <w:t>Conditionally Acceptable</w:t>
            </w:r>
          </w:p>
        </w:tc>
        <w:tc>
          <w:tcPr>
            <w:tcW w:w="1513" w:type="dxa"/>
            <w:tcBorders>
              <w:top w:val="single" w:sz="4" w:space="0" w:color="FFFFFF" w:themeColor="background1"/>
              <w:bottom w:val="single" w:sz="4" w:space="0" w:color="auto"/>
            </w:tcBorders>
            <w:shd w:val="clear" w:color="auto" w:fill="000000" w:themeFill="text1"/>
            <w:vAlign w:val="bottom"/>
            <w:hideMark/>
          </w:tcPr>
          <w:p w14:paraId="0D947B54" w14:textId="77777777" w:rsidR="000E4B25" w:rsidRPr="005A7336" w:rsidRDefault="000E4B25" w:rsidP="005A7336">
            <w:pPr>
              <w:pStyle w:val="ISTableColumnHeadings"/>
              <w:keepLines/>
              <w:spacing w:before="0" w:after="0"/>
              <w:jc w:val="center"/>
              <w:rPr>
                <w:rFonts w:cstheme="minorHAnsi"/>
                <w:color w:val="auto"/>
                <w:szCs w:val="18"/>
              </w:rPr>
            </w:pPr>
            <w:r w:rsidRPr="005A7336">
              <w:rPr>
                <w:rFonts w:cstheme="minorHAnsi"/>
                <w:color w:val="auto"/>
                <w:szCs w:val="18"/>
              </w:rPr>
              <w:t>Normally Unacceptable</w:t>
            </w:r>
          </w:p>
        </w:tc>
        <w:tc>
          <w:tcPr>
            <w:tcW w:w="1259" w:type="dxa"/>
            <w:tcBorders>
              <w:top w:val="single" w:sz="4" w:space="0" w:color="FFFFFF" w:themeColor="background1"/>
              <w:bottom w:val="single" w:sz="4" w:space="0" w:color="auto"/>
            </w:tcBorders>
            <w:shd w:val="clear" w:color="auto" w:fill="000000" w:themeFill="text1"/>
          </w:tcPr>
          <w:p w14:paraId="144BF2DA" w14:textId="77777777" w:rsidR="000E4B25" w:rsidRPr="005A7336" w:rsidRDefault="000E4B25" w:rsidP="005A7336">
            <w:pPr>
              <w:pStyle w:val="ISTableColumnHeadings"/>
              <w:keepLines/>
              <w:spacing w:before="0" w:after="0"/>
              <w:jc w:val="center"/>
              <w:rPr>
                <w:rFonts w:cstheme="minorHAnsi"/>
                <w:color w:val="auto"/>
                <w:szCs w:val="18"/>
              </w:rPr>
            </w:pPr>
            <w:r w:rsidRPr="005A7336">
              <w:rPr>
                <w:rFonts w:cstheme="minorHAnsi"/>
                <w:color w:val="auto"/>
                <w:szCs w:val="18"/>
              </w:rPr>
              <w:t>Clearly Unacceptable</w:t>
            </w:r>
          </w:p>
        </w:tc>
      </w:tr>
      <w:tr w:rsidR="000E4B25" w:rsidRPr="005A7336" w14:paraId="17FC98A0" w14:textId="77777777" w:rsidTr="008E4D99">
        <w:tc>
          <w:tcPr>
            <w:tcW w:w="3361" w:type="dxa"/>
            <w:tcBorders>
              <w:top w:val="single" w:sz="6" w:space="0" w:color="auto"/>
              <w:left w:val="nil"/>
              <w:bottom w:val="single" w:sz="4" w:space="0" w:color="BFBFBF" w:themeColor="background1" w:themeShade="BF"/>
            </w:tcBorders>
            <w:tcMar>
              <w:top w:w="58" w:type="dxa"/>
              <w:left w:w="115" w:type="dxa"/>
              <w:bottom w:w="58" w:type="dxa"/>
              <w:right w:w="115" w:type="dxa"/>
            </w:tcMar>
            <w:hideMark/>
          </w:tcPr>
          <w:p w14:paraId="4542A745" w14:textId="77777777" w:rsidR="000E4B25" w:rsidRPr="005A7336" w:rsidRDefault="000E4B25" w:rsidP="008E4D99">
            <w:pPr>
              <w:pStyle w:val="ISTableText"/>
              <w:numPr>
                <w:ilvl w:val="0"/>
                <w:numId w:val="36"/>
              </w:numPr>
              <w:overflowPunct w:val="0"/>
              <w:autoSpaceDE w:val="0"/>
              <w:autoSpaceDN w:val="0"/>
              <w:adjustRightInd w:val="0"/>
              <w:spacing w:before="0" w:after="0"/>
              <w:ind w:left="360"/>
              <w:textAlignment w:val="baseline"/>
              <w:rPr>
                <w:rFonts w:asciiTheme="minorHAnsi" w:hAnsiTheme="minorHAnsi" w:cstheme="minorHAnsi"/>
              </w:rPr>
            </w:pPr>
            <w:r w:rsidRPr="005A7336">
              <w:rPr>
                <w:rFonts w:asciiTheme="minorHAnsi" w:hAnsiTheme="minorHAnsi" w:cstheme="minorHAnsi"/>
              </w:rPr>
              <w:t xml:space="preserve">Residential: Low Density, Single-family, Duplex, Mobile Homes </w:t>
            </w:r>
          </w:p>
        </w:tc>
        <w:tc>
          <w:tcPr>
            <w:tcW w:w="1407" w:type="dxa"/>
            <w:tcBorders>
              <w:top w:val="single" w:sz="4" w:space="0" w:color="auto"/>
              <w:bottom w:val="single" w:sz="4" w:space="0" w:color="BFBFBF" w:themeColor="background1" w:themeShade="BF"/>
            </w:tcBorders>
            <w:hideMark/>
          </w:tcPr>
          <w:p w14:paraId="2917D7F0" w14:textId="77777777" w:rsidR="000E4B25" w:rsidRPr="005A7336" w:rsidRDefault="000E4B25" w:rsidP="008E4D99">
            <w:pPr>
              <w:pStyle w:val="ISTableText"/>
              <w:spacing w:before="0" w:after="0"/>
              <w:jc w:val="center"/>
              <w:rPr>
                <w:rFonts w:asciiTheme="minorHAnsi" w:hAnsiTheme="minorHAnsi" w:cstheme="minorHAnsi"/>
              </w:rPr>
            </w:pPr>
            <w:r w:rsidRPr="005A7336">
              <w:rPr>
                <w:rFonts w:asciiTheme="minorHAnsi" w:hAnsiTheme="minorHAnsi" w:cstheme="minorHAnsi"/>
              </w:rPr>
              <w:t>&lt;55</w:t>
            </w:r>
          </w:p>
        </w:tc>
        <w:tc>
          <w:tcPr>
            <w:tcW w:w="1489" w:type="dxa"/>
            <w:tcBorders>
              <w:top w:val="single" w:sz="4" w:space="0" w:color="auto"/>
              <w:bottom w:val="single" w:sz="4" w:space="0" w:color="BFBFBF" w:themeColor="background1" w:themeShade="BF"/>
            </w:tcBorders>
            <w:tcMar>
              <w:top w:w="58" w:type="dxa"/>
              <w:left w:w="115" w:type="dxa"/>
              <w:bottom w:w="58" w:type="dxa"/>
              <w:right w:w="115" w:type="dxa"/>
            </w:tcMar>
            <w:hideMark/>
          </w:tcPr>
          <w:p w14:paraId="12C3CBCF" w14:textId="77777777" w:rsidR="000E4B25" w:rsidRPr="005A7336" w:rsidRDefault="000E4B25" w:rsidP="008E4D99">
            <w:pPr>
              <w:pStyle w:val="ISTableText"/>
              <w:spacing w:before="0" w:after="0"/>
              <w:jc w:val="center"/>
              <w:rPr>
                <w:rFonts w:asciiTheme="minorHAnsi" w:hAnsiTheme="minorHAnsi" w:cstheme="minorHAnsi"/>
              </w:rPr>
            </w:pPr>
            <w:r w:rsidRPr="005A7336">
              <w:rPr>
                <w:rFonts w:asciiTheme="minorHAnsi" w:hAnsiTheme="minorHAnsi" w:cstheme="minorHAnsi"/>
              </w:rPr>
              <w:t>55-70</w:t>
            </w:r>
          </w:p>
        </w:tc>
        <w:tc>
          <w:tcPr>
            <w:tcW w:w="1513" w:type="dxa"/>
            <w:tcBorders>
              <w:top w:val="single" w:sz="4" w:space="0" w:color="auto"/>
              <w:bottom w:val="single" w:sz="4" w:space="0" w:color="BFBFBF" w:themeColor="background1" w:themeShade="BF"/>
            </w:tcBorders>
            <w:hideMark/>
          </w:tcPr>
          <w:p w14:paraId="7C6E91D2" w14:textId="77777777" w:rsidR="000E4B25" w:rsidRPr="005A7336" w:rsidRDefault="000E4B25" w:rsidP="008E4D99">
            <w:pPr>
              <w:pStyle w:val="ISTableText"/>
              <w:spacing w:before="0" w:after="0"/>
              <w:jc w:val="center"/>
              <w:rPr>
                <w:rFonts w:asciiTheme="minorHAnsi" w:hAnsiTheme="minorHAnsi" w:cstheme="minorHAnsi"/>
              </w:rPr>
            </w:pPr>
            <w:r w:rsidRPr="005A7336">
              <w:rPr>
                <w:rFonts w:asciiTheme="minorHAnsi" w:hAnsiTheme="minorHAnsi" w:cstheme="minorHAnsi"/>
              </w:rPr>
              <w:t>70-75</w:t>
            </w:r>
          </w:p>
        </w:tc>
        <w:tc>
          <w:tcPr>
            <w:tcW w:w="1259" w:type="dxa"/>
            <w:tcBorders>
              <w:top w:val="single" w:sz="4" w:space="0" w:color="auto"/>
              <w:bottom w:val="single" w:sz="4" w:space="0" w:color="BFBFBF" w:themeColor="background1" w:themeShade="BF"/>
            </w:tcBorders>
          </w:tcPr>
          <w:p w14:paraId="38DD2C63" w14:textId="77777777" w:rsidR="000E4B25" w:rsidRPr="005A7336" w:rsidRDefault="000E4B25" w:rsidP="008E4D99">
            <w:pPr>
              <w:pStyle w:val="ISTableText"/>
              <w:spacing w:before="0" w:after="0"/>
              <w:jc w:val="center"/>
              <w:rPr>
                <w:rFonts w:asciiTheme="minorHAnsi" w:hAnsiTheme="minorHAnsi" w:cstheme="minorHAnsi"/>
              </w:rPr>
            </w:pPr>
            <w:r w:rsidRPr="005A7336">
              <w:rPr>
                <w:rFonts w:asciiTheme="minorHAnsi" w:hAnsiTheme="minorHAnsi" w:cstheme="minorHAnsi"/>
              </w:rPr>
              <w:t>75&lt;</w:t>
            </w:r>
          </w:p>
        </w:tc>
      </w:tr>
      <w:tr w:rsidR="000E4B25" w:rsidRPr="005A7336" w14:paraId="245D07F9" w14:textId="77777777" w:rsidTr="008E4D99">
        <w:tc>
          <w:tcPr>
            <w:tcW w:w="3361" w:type="dxa"/>
            <w:tcBorders>
              <w:top w:val="single" w:sz="4" w:space="0" w:color="BFBFBF" w:themeColor="background1" w:themeShade="BF"/>
              <w:bottom w:val="single" w:sz="4" w:space="0" w:color="BFBFBF" w:themeColor="background1" w:themeShade="BF"/>
            </w:tcBorders>
            <w:tcMar>
              <w:top w:w="58" w:type="dxa"/>
              <w:left w:w="115" w:type="dxa"/>
              <w:bottom w:w="58" w:type="dxa"/>
              <w:right w:w="115" w:type="dxa"/>
            </w:tcMar>
            <w:hideMark/>
          </w:tcPr>
          <w:p w14:paraId="5077F09D" w14:textId="77777777" w:rsidR="000E4B25" w:rsidRPr="005A7336" w:rsidRDefault="000E4B25" w:rsidP="008E4D99">
            <w:pPr>
              <w:pStyle w:val="ISTableText"/>
              <w:numPr>
                <w:ilvl w:val="0"/>
                <w:numId w:val="36"/>
              </w:numPr>
              <w:overflowPunct w:val="0"/>
              <w:autoSpaceDE w:val="0"/>
              <w:autoSpaceDN w:val="0"/>
              <w:adjustRightInd w:val="0"/>
              <w:spacing w:before="0" w:after="0"/>
              <w:ind w:left="360"/>
              <w:textAlignment w:val="baseline"/>
              <w:rPr>
                <w:rFonts w:asciiTheme="minorHAnsi" w:hAnsiTheme="minorHAnsi" w:cstheme="minorHAnsi"/>
              </w:rPr>
            </w:pPr>
            <w:r w:rsidRPr="005A7336">
              <w:rPr>
                <w:rFonts w:asciiTheme="minorHAnsi" w:hAnsiTheme="minorHAnsi" w:cstheme="minorHAnsi"/>
              </w:rPr>
              <w:t xml:space="preserve">Residential: Multi Family </w:t>
            </w:r>
          </w:p>
        </w:tc>
        <w:tc>
          <w:tcPr>
            <w:tcW w:w="1407" w:type="dxa"/>
            <w:tcBorders>
              <w:top w:val="single" w:sz="4" w:space="0" w:color="BFBFBF" w:themeColor="background1" w:themeShade="BF"/>
              <w:bottom w:val="single" w:sz="4" w:space="0" w:color="BFBFBF" w:themeColor="background1" w:themeShade="BF"/>
            </w:tcBorders>
            <w:hideMark/>
          </w:tcPr>
          <w:p w14:paraId="2456A39C" w14:textId="77777777" w:rsidR="000E4B25" w:rsidRPr="005A7336" w:rsidRDefault="000E4B25" w:rsidP="008E4D99">
            <w:pPr>
              <w:pStyle w:val="ISTableText"/>
              <w:spacing w:before="0" w:after="0"/>
              <w:jc w:val="center"/>
              <w:rPr>
                <w:rFonts w:asciiTheme="minorHAnsi" w:hAnsiTheme="minorHAnsi" w:cstheme="minorHAnsi"/>
              </w:rPr>
            </w:pPr>
            <w:r w:rsidRPr="005A7336">
              <w:rPr>
                <w:rFonts w:asciiTheme="minorHAnsi" w:hAnsiTheme="minorHAnsi" w:cstheme="minorHAnsi"/>
              </w:rPr>
              <w:t>&lt;60</w:t>
            </w:r>
          </w:p>
        </w:tc>
        <w:tc>
          <w:tcPr>
            <w:tcW w:w="1489" w:type="dxa"/>
            <w:tcBorders>
              <w:top w:val="single" w:sz="4" w:space="0" w:color="BFBFBF" w:themeColor="background1" w:themeShade="BF"/>
              <w:bottom w:val="single" w:sz="4" w:space="0" w:color="BFBFBF" w:themeColor="background1" w:themeShade="BF"/>
            </w:tcBorders>
            <w:tcMar>
              <w:top w:w="58" w:type="dxa"/>
              <w:left w:w="115" w:type="dxa"/>
              <w:bottom w:w="58" w:type="dxa"/>
              <w:right w:w="115" w:type="dxa"/>
            </w:tcMar>
            <w:hideMark/>
          </w:tcPr>
          <w:p w14:paraId="2ACF52B8" w14:textId="77777777" w:rsidR="000E4B25" w:rsidRPr="005A7336" w:rsidRDefault="000E4B25" w:rsidP="008E4D99">
            <w:pPr>
              <w:pStyle w:val="ISTableText"/>
              <w:spacing w:before="0" w:after="0"/>
              <w:jc w:val="center"/>
              <w:rPr>
                <w:rFonts w:asciiTheme="minorHAnsi" w:hAnsiTheme="minorHAnsi" w:cstheme="minorHAnsi"/>
              </w:rPr>
            </w:pPr>
            <w:r w:rsidRPr="005A7336">
              <w:rPr>
                <w:rFonts w:asciiTheme="minorHAnsi" w:hAnsiTheme="minorHAnsi" w:cstheme="minorHAnsi"/>
              </w:rPr>
              <w:t>60-70</w:t>
            </w:r>
          </w:p>
        </w:tc>
        <w:tc>
          <w:tcPr>
            <w:tcW w:w="1513" w:type="dxa"/>
            <w:tcBorders>
              <w:top w:val="single" w:sz="4" w:space="0" w:color="BFBFBF" w:themeColor="background1" w:themeShade="BF"/>
              <w:bottom w:val="single" w:sz="4" w:space="0" w:color="BFBFBF" w:themeColor="background1" w:themeShade="BF"/>
            </w:tcBorders>
            <w:hideMark/>
          </w:tcPr>
          <w:p w14:paraId="6EA51569" w14:textId="77777777" w:rsidR="000E4B25" w:rsidRPr="005A7336" w:rsidRDefault="000E4B25" w:rsidP="008E4D99">
            <w:pPr>
              <w:pStyle w:val="ISTableText"/>
              <w:spacing w:before="0" w:after="0"/>
              <w:jc w:val="center"/>
              <w:rPr>
                <w:rFonts w:asciiTheme="minorHAnsi" w:hAnsiTheme="minorHAnsi" w:cstheme="minorHAnsi"/>
              </w:rPr>
            </w:pPr>
            <w:r w:rsidRPr="005A7336">
              <w:rPr>
                <w:rFonts w:asciiTheme="minorHAnsi" w:hAnsiTheme="minorHAnsi" w:cstheme="minorHAnsi"/>
              </w:rPr>
              <w:t>70-75</w:t>
            </w:r>
          </w:p>
        </w:tc>
        <w:tc>
          <w:tcPr>
            <w:tcW w:w="1259" w:type="dxa"/>
            <w:tcBorders>
              <w:top w:val="single" w:sz="4" w:space="0" w:color="BFBFBF" w:themeColor="background1" w:themeShade="BF"/>
              <w:bottom w:val="single" w:sz="4" w:space="0" w:color="BFBFBF" w:themeColor="background1" w:themeShade="BF"/>
            </w:tcBorders>
          </w:tcPr>
          <w:p w14:paraId="4E3362AB" w14:textId="77777777" w:rsidR="000E4B25" w:rsidRPr="005A7336" w:rsidRDefault="000E4B25" w:rsidP="008E4D99">
            <w:pPr>
              <w:pStyle w:val="ISTableText"/>
              <w:spacing w:before="0" w:after="0"/>
              <w:jc w:val="center"/>
              <w:rPr>
                <w:rFonts w:asciiTheme="minorHAnsi" w:hAnsiTheme="minorHAnsi" w:cstheme="minorHAnsi"/>
              </w:rPr>
            </w:pPr>
            <w:r w:rsidRPr="005A7336">
              <w:rPr>
                <w:rFonts w:asciiTheme="minorHAnsi" w:hAnsiTheme="minorHAnsi" w:cstheme="minorHAnsi"/>
              </w:rPr>
              <w:t>75&lt;</w:t>
            </w:r>
          </w:p>
        </w:tc>
      </w:tr>
      <w:tr w:rsidR="000E4B25" w:rsidRPr="005A7336" w14:paraId="52F7C28E" w14:textId="77777777" w:rsidTr="008E4D99">
        <w:tc>
          <w:tcPr>
            <w:tcW w:w="3361" w:type="dxa"/>
            <w:tcBorders>
              <w:top w:val="single" w:sz="4" w:space="0" w:color="BFBFBF" w:themeColor="background1" w:themeShade="BF"/>
              <w:bottom w:val="single" w:sz="4" w:space="0" w:color="BFBFBF" w:themeColor="background1" w:themeShade="BF"/>
            </w:tcBorders>
            <w:tcMar>
              <w:top w:w="58" w:type="dxa"/>
              <w:left w:w="115" w:type="dxa"/>
              <w:bottom w:w="58" w:type="dxa"/>
              <w:right w:w="115" w:type="dxa"/>
            </w:tcMar>
            <w:hideMark/>
          </w:tcPr>
          <w:p w14:paraId="2007AABC" w14:textId="77777777" w:rsidR="000E4B25" w:rsidRPr="005A7336" w:rsidRDefault="000E4B25" w:rsidP="008E4D99">
            <w:pPr>
              <w:pStyle w:val="ISTableText"/>
              <w:numPr>
                <w:ilvl w:val="0"/>
                <w:numId w:val="36"/>
              </w:numPr>
              <w:overflowPunct w:val="0"/>
              <w:autoSpaceDE w:val="0"/>
              <w:autoSpaceDN w:val="0"/>
              <w:adjustRightInd w:val="0"/>
              <w:spacing w:before="0" w:after="0"/>
              <w:ind w:left="360"/>
              <w:textAlignment w:val="baseline"/>
              <w:rPr>
                <w:rFonts w:asciiTheme="minorHAnsi" w:hAnsiTheme="minorHAnsi" w:cstheme="minorHAnsi"/>
              </w:rPr>
            </w:pPr>
            <w:r w:rsidRPr="005A7336">
              <w:rPr>
                <w:rFonts w:asciiTheme="minorHAnsi" w:hAnsiTheme="minorHAnsi" w:cstheme="minorHAnsi"/>
              </w:rPr>
              <w:t>Transient lodging (hotels/motels)</w:t>
            </w:r>
          </w:p>
        </w:tc>
        <w:tc>
          <w:tcPr>
            <w:tcW w:w="1407" w:type="dxa"/>
            <w:tcBorders>
              <w:top w:val="single" w:sz="4" w:space="0" w:color="BFBFBF" w:themeColor="background1" w:themeShade="BF"/>
              <w:bottom w:val="single" w:sz="4" w:space="0" w:color="BFBFBF" w:themeColor="background1" w:themeShade="BF"/>
            </w:tcBorders>
            <w:hideMark/>
          </w:tcPr>
          <w:p w14:paraId="612DA884" w14:textId="77777777" w:rsidR="000E4B25" w:rsidRPr="005A7336" w:rsidRDefault="000E4B25" w:rsidP="008E4D99">
            <w:pPr>
              <w:pStyle w:val="ISTableText"/>
              <w:spacing w:before="0" w:after="0"/>
              <w:jc w:val="center"/>
              <w:rPr>
                <w:rFonts w:asciiTheme="minorHAnsi" w:hAnsiTheme="minorHAnsi" w:cstheme="minorHAnsi"/>
              </w:rPr>
            </w:pPr>
            <w:r w:rsidRPr="005A7336">
              <w:rPr>
                <w:rFonts w:asciiTheme="minorHAnsi" w:hAnsiTheme="minorHAnsi" w:cstheme="minorHAnsi"/>
              </w:rPr>
              <w:t>&lt;60</w:t>
            </w:r>
          </w:p>
        </w:tc>
        <w:tc>
          <w:tcPr>
            <w:tcW w:w="1489" w:type="dxa"/>
            <w:tcBorders>
              <w:top w:val="single" w:sz="4" w:space="0" w:color="BFBFBF" w:themeColor="background1" w:themeShade="BF"/>
              <w:bottom w:val="single" w:sz="4" w:space="0" w:color="BFBFBF" w:themeColor="background1" w:themeShade="BF"/>
            </w:tcBorders>
            <w:tcMar>
              <w:top w:w="58" w:type="dxa"/>
              <w:left w:w="115" w:type="dxa"/>
              <w:bottom w:w="58" w:type="dxa"/>
              <w:right w:w="115" w:type="dxa"/>
            </w:tcMar>
            <w:hideMark/>
          </w:tcPr>
          <w:p w14:paraId="2FA6AEF7" w14:textId="77777777" w:rsidR="000E4B25" w:rsidRPr="005A7336" w:rsidRDefault="000E4B25" w:rsidP="008E4D99">
            <w:pPr>
              <w:pStyle w:val="ISTableText"/>
              <w:spacing w:before="0" w:after="0"/>
              <w:jc w:val="center"/>
              <w:rPr>
                <w:rFonts w:asciiTheme="minorHAnsi" w:hAnsiTheme="minorHAnsi" w:cstheme="minorHAnsi"/>
              </w:rPr>
            </w:pPr>
            <w:r w:rsidRPr="005A7336">
              <w:rPr>
                <w:rFonts w:asciiTheme="minorHAnsi" w:hAnsiTheme="minorHAnsi" w:cstheme="minorHAnsi"/>
              </w:rPr>
              <w:t>60-70</w:t>
            </w:r>
          </w:p>
        </w:tc>
        <w:tc>
          <w:tcPr>
            <w:tcW w:w="1513" w:type="dxa"/>
            <w:tcBorders>
              <w:top w:val="single" w:sz="4" w:space="0" w:color="BFBFBF" w:themeColor="background1" w:themeShade="BF"/>
              <w:bottom w:val="single" w:sz="4" w:space="0" w:color="BFBFBF" w:themeColor="background1" w:themeShade="BF"/>
            </w:tcBorders>
            <w:hideMark/>
          </w:tcPr>
          <w:p w14:paraId="2892F97F" w14:textId="77777777" w:rsidR="000E4B25" w:rsidRPr="005A7336" w:rsidRDefault="000E4B25" w:rsidP="008E4D99">
            <w:pPr>
              <w:pStyle w:val="ISTableText"/>
              <w:spacing w:before="0" w:after="0"/>
              <w:jc w:val="center"/>
              <w:rPr>
                <w:rFonts w:asciiTheme="minorHAnsi" w:hAnsiTheme="minorHAnsi" w:cstheme="minorHAnsi"/>
              </w:rPr>
            </w:pPr>
            <w:r w:rsidRPr="005A7336">
              <w:rPr>
                <w:rFonts w:asciiTheme="minorHAnsi" w:hAnsiTheme="minorHAnsi" w:cstheme="minorHAnsi"/>
              </w:rPr>
              <w:t>70-75</w:t>
            </w:r>
          </w:p>
        </w:tc>
        <w:tc>
          <w:tcPr>
            <w:tcW w:w="1259" w:type="dxa"/>
            <w:tcBorders>
              <w:top w:val="single" w:sz="4" w:space="0" w:color="BFBFBF" w:themeColor="background1" w:themeShade="BF"/>
              <w:bottom w:val="single" w:sz="4" w:space="0" w:color="BFBFBF" w:themeColor="background1" w:themeShade="BF"/>
            </w:tcBorders>
          </w:tcPr>
          <w:p w14:paraId="297A46B8" w14:textId="77777777" w:rsidR="000E4B25" w:rsidRPr="005A7336" w:rsidRDefault="000E4B25" w:rsidP="008E4D99">
            <w:pPr>
              <w:pStyle w:val="ISTableText"/>
              <w:spacing w:before="0" w:after="0"/>
              <w:jc w:val="center"/>
              <w:rPr>
                <w:rFonts w:asciiTheme="minorHAnsi" w:hAnsiTheme="minorHAnsi" w:cstheme="minorHAnsi"/>
              </w:rPr>
            </w:pPr>
            <w:r w:rsidRPr="005A7336">
              <w:rPr>
                <w:rFonts w:asciiTheme="minorHAnsi" w:hAnsiTheme="minorHAnsi" w:cstheme="minorHAnsi"/>
              </w:rPr>
              <w:t>75&lt;</w:t>
            </w:r>
          </w:p>
        </w:tc>
      </w:tr>
      <w:tr w:rsidR="000E4B25" w:rsidRPr="005A7336" w14:paraId="6886E199" w14:textId="77777777" w:rsidTr="008E4D99">
        <w:tc>
          <w:tcPr>
            <w:tcW w:w="3361" w:type="dxa"/>
            <w:tcBorders>
              <w:top w:val="single" w:sz="4" w:space="0" w:color="BFBFBF" w:themeColor="background1" w:themeShade="BF"/>
              <w:bottom w:val="single" w:sz="4" w:space="0" w:color="BFBFBF" w:themeColor="background1" w:themeShade="BF"/>
            </w:tcBorders>
            <w:tcMar>
              <w:top w:w="58" w:type="dxa"/>
              <w:left w:w="115" w:type="dxa"/>
              <w:bottom w:w="58" w:type="dxa"/>
              <w:right w:w="115" w:type="dxa"/>
            </w:tcMar>
            <w:hideMark/>
          </w:tcPr>
          <w:p w14:paraId="05EFA6E5" w14:textId="77777777" w:rsidR="000E4B25" w:rsidRPr="005A7336" w:rsidRDefault="000E4B25" w:rsidP="008E4D99">
            <w:pPr>
              <w:pStyle w:val="ISTableText"/>
              <w:numPr>
                <w:ilvl w:val="0"/>
                <w:numId w:val="36"/>
              </w:numPr>
              <w:overflowPunct w:val="0"/>
              <w:autoSpaceDE w:val="0"/>
              <w:autoSpaceDN w:val="0"/>
              <w:adjustRightInd w:val="0"/>
              <w:spacing w:before="0" w:after="0"/>
              <w:ind w:left="360"/>
              <w:textAlignment w:val="baseline"/>
              <w:rPr>
                <w:rFonts w:asciiTheme="minorHAnsi" w:hAnsiTheme="minorHAnsi" w:cstheme="minorHAnsi"/>
              </w:rPr>
            </w:pPr>
            <w:r w:rsidRPr="005A7336">
              <w:rPr>
                <w:rFonts w:asciiTheme="minorHAnsi" w:hAnsiTheme="minorHAnsi" w:cstheme="minorHAnsi"/>
              </w:rPr>
              <w:t xml:space="preserve">Schools, Libraries, Churches, Hospitals, Nursing Homes </w:t>
            </w:r>
          </w:p>
        </w:tc>
        <w:tc>
          <w:tcPr>
            <w:tcW w:w="1407" w:type="dxa"/>
            <w:tcBorders>
              <w:top w:val="single" w:sz="4" w:space="0" w:color="BFBFBF" w:themeColor="background1" w:themeShade="BF"/>
              <w:bottom w:val="single" w:sz="4" w:space="0" w:color="BFBFBF" w:themeColor="background1" w:themeShade="BF"/>
            </w:tcBorders>
            <w:hideMark/>
          </w:tcPr>
          <w:p w14:paraId="55E2427B" w14:textId="77777777" w:rsidR="000E4B25" w:rsidRPr="005A7336" w:rsidRDefault="000E4B25" w:rsidP="008E4D99">
            <w:pPr>
              <w:pStyle w:val="ISTableText"/>
              <w:spacing w:before="0" w:after="0"/>
              <w:jc w:val="center"/>
              <w:rPr>
                <w:rFonts w:asciiTheme="minorHAnsi" w:hAnsiTheme="minorHAnsi" w:cstheme="minorHAnsi"/>
              </w:rPr>
            </w:pPr>
            <w:r w:rsidRPr="005A7336">
              <w:rPr>
                <w:rFonts w:asciiTheme="minorHAnsi" w:hAnsiTheme="minorHAnsi" w:cstheme="minorHAnsi"/>
              </w:rPr>
              <w:t>&lt;60</w:t>
            </w:r>
          </w:p>
        </w:tc>
        <w:tc>
          <w:tcPr>
            <w:tcW w:w="1489" w:type="dxa"/>
            <w:tcBorders>
              <w:top w:val="single" w:sz="4" w:space="0" w:color="BFBFBF" w:themeColor="background1" w:themeShade="BF"/>
              <w:bottom w:val="single" w:sz="4" w:space="0" w:color="BFBFBF" w:themeColor="background1" w:themeShade="BF"/>
            </w:tcBorders>
            <w:tcMar>
              <w:top w:w="58" w:type="dxa"/>
              <w:left w:w="115" w:type="dxa"/>
              <w:bottom w:w="58" w:type="dxa"/>
              <w:right w:w="115" w:type="dxa"/>
            </w:tcMar>
            <w:hideMark/>
          </w:tcPr>
          <w:p w14:paraId="641D57BA" w14:textId="77777777" w:rsidR="000E4B25" w:rsidRPr="005A7336" w:rsidRDefault="000E4B25" w:rsidP="008E4D99">
            <w:pPr>
              <w:pStyle w:val="ISTableText"/>
              <w:spacing w:before="0" w:after="0"/>
              <w:jc w:val="center"/>
              <w:rPr>
                <w:rFonts w:asciiTheme="minorHAnsi" w:hAnsiTheme="minorHAnsi" w:cstheme="minorHAnsi"/>
              </w:rPr>
            </w:pPr>
            <w:r w:rsidRPr="005A7336">
              <w:rPr>
                <w:rFonts w:asciiTheme="minorHAnsi" w:hAnsiTheme="minorHAnsi" w:cstheme="minorHAnsi"/>
              </w:rPr>
              <w:t>60-70</w:t>
            </w:r>
          </w:p>
        </w:tc>
        <w:tc>
          <w:tcPr>
            <w:tcW w:w="1513" w:type="dxa"/>
            <w:tcBorders>
              <w:top w:val="single" w:sz="4" w:space="0" w:color="BFBFBF" w:themeColor="background1" w:themeShade="BF"/>
              <w:bottom w:val="single" w:sz="4" w:space="0" w:color="BFBFBF" w:themeColor="background1" w:themeShade="BF"/>
            </w:tcBorders>
            <w:hideMark/>
          </w:tcPr>
          <w:p w14:paraId="54BB5BC0" w14:textId="77777777" w:rsidR="000E4B25" w:rsidRPr="005A7336" w:rsidRDefault="000E4B25" w:rsidP="008E4D99">
            <w:pPr>
              <w:pStyle w:val="ISTableText"/>
              <w:spacing w:before="0" w:after="0"/>
              <w:jc w:val="center"/>
              <w:rPr>
                <w:rFonts w:asciiTheme="minorHAnsi" w:hAnsiTheme="minorHAnsi" w:cstheme="minorHAnsi"/>
              </w:rPr>
            </w:pPr>
            <w:r w:rsidRPr="005A7336">
              <w:rPr>
                <w:rFonts w:asciiTheme="minorHAnsi" w:hAnsiTheme="minorHAnsi" w:cstheme="minorHAnsi"/>
              </w:rPr>
              <w:t>70-80</w:t>
            </w:r>
          </w:p>
        </w:tc>
        <w:tc>
          <w:tcPr>
            <w:tcW w:w="1259" w:type="dxa"/>
            <w:tcBorders>
              <w:top w:val="single" w:sz="4" w:space="0" w:color="BFBFBF" w:themeColor="background1" w:themeShade="BF"/>
              <w:bottom w:val="single" w:sz="4" w:space="0" w:color="BFBFBF" w:themeColor="background1" w:themeShade="BF"/>
            </w:tcBorders>
          </w:tcPr>
          <w:p w14:paraId="32BBC525" w14:textId="77777777" w:rsidR="000E4B25" w:rsidRPr="005A7336" w:rsidRDefault="000E4B25" w:rsidP="008E4D99">
            <w:pPr>
              <w:pStyle w:val="ISTableText"/>
              <w:spacing w:before="0" w:after="0"/>
              <w:jc w:val="center"/>
              <w:rPr>
                <w:rFonts w:asciiTheme="minorHAnsi" w:hAnsiTheme="minorHAnsi" w:cstheme="minorHAnsi"/>
              </w:rPr>
            </w:pPr>
            <w:r w:rsidRPr="005A7336">
              <w:rPr>
                <w:rFonts w:asciiTheme="minorHAnsi" w:hAnsiTheme="minorHAnsi" w:cstheme="minorHAnsi"/>
              </w:rPr>
              <w:t>80&lt;</w:t>
            </w:r>
          </w:p>
        </w:tc>
      </w:tr>
      <w:tr w:rsidR="000E4B25" w:rsidRPr="005A7336" w14:paraId="2A246AA6" w14:textId="77777777" w:rsidTr="008E4D99">
        <w:tc>
          <w:tcPr>
            <w:tcW w:w="3361" w:type="dxa"/>
            <w:tcBorders>
              <w:top w:val="single" w:sz="4" w:space="0" w:color="BFBFBF" w:themeColor="background1" w:themeShade="BF"/>
              <w:bottom w:val="single" w:sz="4" w:space="0" w:color="BFBFBF" w:themeColor="background1" w:themeShade="BF"/>
            </w:tcBorders>
            <w:tcMar>
              <w:top w:w="58" w:type="dxa"/>
              <w:left w:w="115" w:type="dxa"/>
              <w:bottom w:w="58" w:type="dxa"/>
              <w:right w:w="115" w:type="dxa"/>
            </w:tcMar>
            <w:hideMark/>
          </w:tcPr>
          <w:p w14:paraId="19899D86" w14:textId="77777777" w:rsidR="000E4B25" w:rsidRPr="005A7336" w:rsidRDefault="000E4B25" w:rsidP="008E4D99">
            <w:pPr>
              <w:pStyle w:val="ISTableText"/>
              <w:numPr>
                <w:ilvl w:val="0"/>
                <w:numId w:val="36"/>
              </w:numPr>
              <w:overflowPunct w:val="0"/>
              <w:autoSpaceDE w:val="0"/>
              <w:autoSpaceDN w:val="0"/>
              <w:adjustRightInd w:val="0"/>
              <w:spacing w:before="0" w:after="0"/>
              <w:ind w:left="360"/>
              <w:textAlignment w:val="baseline"/>
              <w:rPr>
                <w:rFonts w:asciiTheme="minorHAnsi" w:hAnsiTheme="minorHAnsi" w:cstheme="minorHAnsi"/>
              </w:rPr>
            </w:pPr>
            <w:r w:rsidRPr="005A7336">
              <w:rPr>
                <w:rFonts w:asciiTheme="minorHAnsi" w:hAnsiTheme="minorHAnsi" w:cstheme="minorHAnsi"/>
              </w:rPr>
              <w:t xml:space="preserve">Auditoriums, Concert Halls, Amphitheaters, Sports Arenas, Outdoor Spectator Sports </w:t>
            </w:r>
          </w:p>
        </w:tc>
        <w:tc>
          <w:tcPr>
            <w:tcW w:w="1407" w:type="dxa"/>
            <w:tcBorders>
              <w:top w:val="single" w:sz="4" w:space="0" w:color="BFBFBF" w:themeColor="background1" w:themeShade="BF"/>
              <w:bottom w:val="single" w:sz="4" w:space="0" w:color="BFBFBF" w:themeColor="background1" w:themeShade="BF"/>
            </w:tcBorders>
            <w:hideMark/>
          </w:tcPr>
          <w:p w14:paraId="4F6CE995" w14:textId="77777777" w:rsidR="000E4B25" w:rsidRPr="005A7336" w:rsidRDefault="000E4B25" w:rsidP="008E4D99">
            <w:pPr>
              <w:pStyle w:val="ISTableText"/>
              <w:spacing w:before="0" w:after="0"/>
              <w:jc w:val="center"/>
              <w:rPr>
                <w:rFonts w:asciiTheme="minorHAnsi" w:hAnsiTheme="minorHAnsi" w:cstheme="minorHAnsi"/>
              </w:rPr>
            </w:pPr>
            <w:r w:rsidRPr="005A7336">
              <w:rPr>
                <w:rFonts w:asciiTheme="minorHAnsi" w:hAnsiTheme="minorHAnsi" w:cstheme="minorHAnsi"/>
              </w:rPr>
              <w:t>NA</w:t>
            </w:r>
          </w:p>
        </w:tc>
        <w:tc>
          <w:tcPr>
            <w:tcW w:w="1489" w:type="dxa"/>
            <w:tcBorders>
              <w:top w:val="single" w:sz="4" w:space="0" w:color="BFBFBF" w:themeColor="background1" w:themeShade="BF"/>
              <w:bottom w:val="single" w:sz="4" w:space="0" w:color="BFBFBF" w:themeColor="background1" w:themeShade="BF"/>
            </w:tcBorders>
            <w:tcMar>
              <w:top w:w="58" w:type="dxa"/>
              <w:left w:w="115" w:type="dxa"/>
              <w:bottom w:w="58" w:type="dxa"/>
              <w:right w:w="115" w:type="dxa"/>
            </w:tcMar>
            <w:hideMark/>
          </w:tcPr>
          <w:p w14:paraId="2049D30C" w14:textId="77777777" w:rsidR="000E4B25" w:rsidRPr="005A7336" w:rsidRDefault="000E4B25" w:rsidP="008E4D99">
            <w:pPr>
              <w:pStyle w:val="ISTableText"/>
              <w:spacing w:before="0" w:after="0"/>
              <w:jc w:val="center"/>
              <w:rPr>
                <w:rFonts w:asciiTheme="minorHAnsi" w:hAnsiTheme="minorHAnsi" w:cstheme="minorHAnsi"/>
              </w:rPr>
            </w:pPr>
            <w:r w:rsidRPr="005A7336">
              <w:rPr>
                <w:rFonts w:asciiTheme="minorHAnsi" w:hAnsiTheme="minorHAnsi" w:cstheme="minorHAnsi"/>
              </w:rPr>
              <w:t>75&gt;</w:t>
            </w:r>
          </w:p>
        </w:tc>
        <w:tc>
          <w:tcPr>
            <w:tcW w:w="1513" w:type="dxa"/>
            <w:tcBorders>
              <w:top w:val="single" w:sz="4" w:space="0" w:color="BFBFBF" w:themeColor="background1" w:themeShade="BF"/>
              <w:bottom w:val="single" w:sz="4" w:space="0" w:color="BFBFBF" w:themeColor="background1" w:themeShade="BF"/>
            </w:tcBorders>
            <w:hideMark/>
          </w:tcPr>
          <w:p w14:paraId="4B3225A3" w14:textId="77777777" w:rsidR="000E4B25" w:rsidRPr="005A7336" w:rsidRDefault="000E4B25" w:rsidP="008E4D99">
            <w:pPr>
              <w:pStyle w:val="ISTableText"/>
              <w:spacing w:before="0" w:after="0"/>
              <w:jc w:val="center"/>
              <w:rPr>
                <w:rFonts w:asciiTheme="minorHAnsi" w:hAnsiTheme="minorHAnsi" w:cstheme="minorHAnsi"/>
              </w:rPr>
            </w:pPr>
            <w:r w:rsidRPr="005A7336">
              <w:rPr>
                <w:rFonts w:asciiTheme="minorHAnsi" w:hAnsiTheme="minorHAnsi" w:cstheme="minorHAnsi"/>
              </w:rPr>
              <w:t>NA</w:t>
            </w:r>
          </w:p>
        </w:tc>
        <w:tc>
          <w:tcPr>
            <w:tcW w:w="1259" w:type="dxa"/>
            <w:tcBorders>
              <w:top w:val="single" w:sz="4" w:space="0" w:color="BFBFBF" w:themeColor="background1" w:themeShade="BF"/>
              <w:bottom w:val="single" w:sz="4" w:space="0" w:color="BFBFBF" w:themeColor="background1" w:themeShade="BF"/>
            </w:tcBorders>
          </w:tcPr>
          <w:p w14:paraId="5DDAB37B" w14:textId="77777777" w:rsidR="000E4B25" w:rsidRPr="005A7336" w:rsidRDefault="000E4B25" w:rsidP="008E4D99">
            <w:pPr>
              <w:pStyle w:val="ISTableText"/>
              <w:spacing w:before="0" w:after="0"/>
              <w:jc w:val="center"/>
              <w:rPr>
                <w:rFonts w:asciiTheme="minorHAnsi" w:hAnsiTheme="minorHAnsi" w:cstheme="minorHAnsi"/>
              </w:rPr>
            </w:pPr>
            <w:r w:rsidRPr="005A7336">
              <w:rPr>
                <w:rFonts w:asciiTheme="minorHAnsi" w:hAnsiTheme="minorHAnsi" w:cstheme="minorHAnsi"/>
              </w:rPr>
              <w:t>75&lt;</w:t>
            </w:r>
          </w:p>
        </w:tc>
      </w:tr>
      <w:tr w:rsidR="000E4B25" w:rsidRPr="005A7336" w14:paraId="6DF1643E" w14:textId="77777777" w:rsidTr="008E4D99">
        <w:tc>
          <w:tcPr>
            <w:tcW w:w="3361" w:type="dxa"/>
            <w:tcBorders>
              <w:top w:val="single" w:sz="4" w:space="0" w:color="BFBFBF" w:themeColor="background1" w:themeShade="BF"/>
              <w:bottom w:val="single" w:sz="4" w:space="0" w:color="BFBFBF" w:themeColor="background1" w:themeShade="BF"/>
            </w:tcBorders>
            <w:tcMar>
              <w:top w:w="58" w:type="dxa"/>
              <w:left w:w="115" w:type="dxa"/>
              <w:bottom w:w="58" w:type="dxa"/>
              <w:right w:w="115" w:type="dxa"/>
            </w:tcMar>
          </w:tcPr>
          <w:p w14:paraId="521C2A89" w14:textId="77777777" w:rsidR="000E4B25" w:rsidRPr="005A7336" w:rsidRDefault="000E4B25" w:rsidP="008E4D99">
            <w:pPr>
              <w:pStyle w:val="ISTableText"/>
              <w:numPr>
                <w:ilvl w:val="0"/>
                <w:numId w:val="36"/>
              </w:numPr>
              <w:overflowPunct w:val="0"/>
              <w:autoSpaceDE w:val="0"/>
              <w:autoSpaceDN w:val="0"/>
              <w:adjustRightInd w:val="0"/>
              <w:spacing w:before="0" w:after="0"/>
              <w:ind w:left="360"/>
              <w:textAlignment w:val="baseline"/>
              <w:rPr>
                <w:rFonts w:asciiTheme="minorHAnsi" w:hAnsiTheme="minorHAnsi" w:cstheme="minorHAnsi"/>
              </w:rPr>
            </w:pPr>
            <w:r w:rsidRPr="005A7336">
              <w:rPr>
                <w:rFonts w:asciiTheme="minorHAnsi" w:hAnsiTheme="minorHAnsi" w:cstheme="minorHAnsi"/>
              </w:rPr>
              <w:t>Playgrounds, Neighborhood Parks</w:t>
            </w:r>
          </w:p>
        </w:tc>
        <w:tc>
          <w:tcPr>
            <w:tcW w:w="1407" w:type="dxa"/>
            <w:tcBorders>
              <w:top w:val="single" w:sz="4" w:space="0" w:color="BFBFBF" w:themeColor="background1" w:themeShade="BF"/>
              <w:bottom w:val="single" w:sz="4" w:space="0" w:color="BFBFBF" w:themeColor="background1" w:themeShade="BF"/>
            </w:tcBorders>
          </w:tcPr>
          <w:p w14:paraId="1D98A782" w14:textId="77777777" w:rsidR="000E4B25" w:rsidRPr="005A7336" w:rsidRDefault="000E4B25" w:rsidP="008E4D99">
            <w:pPr>
              <w:pStyle w:val="ISTableText"/>
              <w:spacing w:before="0" w:after="0"/>
              <w:jc w:val="center"/>
              <w:rPr>
                <w:rFonts w:asciiTheme="minorHAnsi" w:hAnsiTheme="minorHAnsi" w:cstheme="minorHAnsi"/>
              </w:rPr>
            </w:pPr>
            <w:r w:rsidRPr="005A7336">
              <w:rPr>
                <w:rFonts w:asciiTheme="minorHAnsi" w:hAnsiTheme="minorHAnsi" w:cstheme="minorHAnsi"/>
              </w:rPr>
              <w:t>&lt;67.5</w:t>
            </w:r>
          </w:p>
        </w:tc>
        <w:tc>
          <w:tcPr>
            <w:tcW w:w="1489" w:type="dxa"/>
            <w:tcBorders>
              <w:top w:val="single" w:sz="4" w:space="0" w:color="BFBFBF" w:themeColor="background1" w:themeShade="BF"/>
              <w:bottom w:val="single" w:sz="4" w:space="0" w:color="BFBFBF" w:themeColor="background1" w:themeShade="BF"/>
            </w:tcBorders>
            <w:tcMar>
              <w:top w:w="58" w:type="dxa"/>
              <w:left w:w="115" w:type="dxa"/>
              <w:bottom w:w="58" w:type="dxa"/>
              <w:right w:w="115" w:type="dxa"/>
            </w:tcMar>
          </w:tcPr>
          <w:p w14:paraId="045EE29F" w14:textId="77777777" w:rsidR="000E4B25" w:rsidRPr="005A7336" w:rsidRDefault="000E4B25" w:rsidP="008E4D99">
            <w:pPr>
              <w:pStyle w:val="ISTableText"/>
              <w:spacing w:before="0" w:after="0"/>
              <w:jc w:val="center"/>
              <w:rPr>
                <w:rFonts w:asciiTheme="minorHAnsi" w:hAnsiTheme="minorHAnsi" w:cstheme="minorHAnsi"/>
              </w:rPr>
            </w:pPr>
            <w:r w:rsidRPr="005A7336">
              <w:rPr>
                <w:rFonts w:asciiTheme="minorHAnsi" w:hAnsiTheme="minorHAnsi" w:cstheme="minorHAnsi"/>
              </w:rPr>
              <w:t>NA</w:t>
            </w:r>
          </w:p>
        </w:tc>
        <w:tc>
          <w:tcPr>
            <w:tcW w:w="1513" w:type="dxa"/>
            <w:tcBorders>
              <w:top w:val="single" w:sz="4" w:space="0" w:color="BFBFBF" w:themeColor="background1" w:themeShade="BF"/>
              <w:bottom w:val="single" w:sz="4" w:space="0" w:color="BFBFBF" w:themeColor="background1" w:themeShade="BF"/>
            </w:tcBorders>
          </w:tcPr>
          <w:p w14:paraId="4728B0AC" w14:textId="77777777" w:rsidR="000E4B25" w:rsidRPr="005A7336" w:rsidRDefault="000E4B25" w:rsidP="008E4D99">
            <w:pPr>
              <w:pStyle w:val="ISTableText"/>
              <w:spacing w:before="0" w:after="0"/>
              <w:jc w:val="center"/>
              <w:rPr>
                <w:rFonts w:asciiTheme="minorHAnsi" w:hAnsiTheme="minorHAnsi" w:cstheme="minorHAnsi"/>
              </w:rPr>
            </w:pPr>
            <w:r w:rsidRPr="005A7336">
              <w:rPr>
                <w:rFonts w:asciiTheme="minorHAnsi" w:hAnsiTheme="minorHAnsi" w:cstheme="minorHAnsi"/>
              </w:rPr>
              <w:t>67.5-75</w:t>
            </w:r>
          </w:p>
        </w:tc>
        <w:tc>
          <w:tcPr>
            <w:tcW w:w="1259" w:type="dxa"/>
            <w:tcBorders>
              <w:top w:val="single" w:sz="4" w:space="0" w:color="BFBFBF" w:themeColor="background1" w:themeShade="BF"/>
              <w:bottom w:val="single" w:sz="4" w:space="0" w:color="BFBFBF" w:themeColor="background1" w:themeShade="BF"/>
            </w:tcBorders>
          </w:tcPr>
          <w:p w14:paraId="7F0E9830" w14:textId="77777777" w:rsidR="000E4B25" w:rsidRPr="005A7336" w:rsidRDefault="000E4B25" w:rsidP="008E4D99">
            <w:pPr>
              <w:pStyle w:val="ISTableText"/>
              <w:spacing w:before="0" w:after="0"/>
              <w:jc w:val="center"/>
              <w:rPr>
                <w:rFonts w:asciiTheme="minorHAnsi" w:hAnsiTheme="minorHAnsi" w:cstheme="minorHAnsi"/>
              </w:rPr>
            </w:pPr>
            <w:r w:rsidRPr="005A7336">
              <w:rPr>
                <w:rFonts w:asciiTheme="minorHAnsi" w:hAnsiTheme="minorHAnsi" w:cstheme="minorHAnsi"/>
              </w:rPr>
              <w:t>75&lt;</w:t>
            </w:r>
          </w:p>
        </w:tc>
      </w:tr>
      <w:tr w:rsidR="000E4B25" w:rsidRPr="005A7336" w14:paraId="51A0A86A" w14:textId="77777777" w:rsidTr="008E4D99">
        <w:tc>
          <w:tcPr>
            <w:tcW w:w="3361" w:type="dxa"/>
            <w:tcBorders>
              <w:top w:val="single" w:sz="4" w:space="0" w:color="BFBFBF" w:themeColor="background1" w:themeShade="BF"/>
              <w:bottom w:val="single" w:sz="4" w:space="0" w:color="BFBFBF" w:themeColor="background1" w:themeShade="BF"/>
            </w:tcBorders>
            <w:tcMar>
              <w:top w:w="58" w:type="dxa"/>
              <w:left w:w="115" w:type="dxa"/>
              <w:bottom w:w="58" w:type="dxa"/>
              <w:right w:w="115" w:type="dxa"/>
            </w:tcMar>
          </w:tcPr>
          <w:p w14:paraId="609F93A2" w14:textId="77777777" w:rsidR="000E4B25" w:rsidRPr="005A7336" w:rsidRDefault="000E4B25" w:rsidP="008E4D99">
            <w:pPr>
              <w:pStyle w:val="ISTableText"/>
              <w:numPr>
                <w:ilvl w:val="0"/>
                <w:numId w:val="36"/>
              </w:numPr>
              <w:overflowPunct w:val="0"/>
              <w:autoSpaceDE w:val="0"/>
              <w:autoSpaceDN w:val="0"/>
              <w:adjustRightInd w:val="0"/>
              <w:spacing w:before="0" w:after="0"/>
              <w:ind w:left="360"/>
              <w:textAlignment w:val="baseline"/>
              <w:rPr>
                <w:rFonts w:asciiTheme="minorHAnsi" w:hAnsiTheme="minorHAnsi" w:cstheme="minorHAnsi"/>
              </w:rPr>
            </w:pPr>
            <w:r w:rsidRPr="005A7336">
              <w:rPr>
                <w:rFonts w:asciiTheme="minorHAnsi" w:hAnsiTheme="minorHAnsi" w:cstheme="minorHAnsi"/>
              </w:rPr>
              <w:t xml:space="preserve">Golf Courses, Riding Stables, Water Recreation, Cemeteries </w:t>
            </w:r>
          </w:p>
        </w:tc>
        <w:tc>
          <w:tcPr>
            <w:tcW w:w="1407" w:type="dxa"/>
            <w:tcBorders>
              <w:top w:val="single" w:sz="4" w:space="0" w:color="BFBFBF" w:themeColor="background1" w:themeShade="BF"/>
              <w:bottom w:val="single" w:sz="4" w:space="0" w:color="BFBFBF" w:themeColor="background1" w:themeShade="BF"/>
            </w:tcBorders>
          </w:tcPr>
          <w:p w14:paraId="64EFAA75" w14:textId="77777777" w:rsidR="000E4B25" w:rsidRPr="005A7336" w:rsidRDefault="000E4B25" w:rsidP="008E4D99">
            <w:pPr>
              <w:pStyle w:val="ISTableText"/>
              <w:spacing w:before="0" w:after="0"/>
              <w:jc w:val="center"/>
              <w:rPr>
                <w:rFonts w:asciiTheme="minorHAnsi" w:hAnsiTheme="minorHAnsi" w:cstheme="minorHAnsi"/>
              </w:rPr>
            </w:pPr>
            <w:r w:rsidRPr="005A7336">
              <w:rPr>
                <w:rFonts w:asciiTheme="minorHAnsi" w:hAnsiTheme="minorHAnsi" w:cstheme="minorHAnsi"/>
              </w:rPr>
              <w:t>&lt;70</w:t>
            </w:r>
          </w:p>
        </w:tc>
        <w:tc>
          <w:tcPr>
            <w:tcW w:w="1489" w:type="dxa"/>
            <w:tcBorders>
              <w:top w:val="single" w:sz="4" w:space="0" w:color="BFBFBF" w:themeColor="background1" w:themeShade="BF"/>
              <w:bottom w:val="single" w:sz="4" w:space="0" w:color="BFBFBF" w:themeColor="background1" w:themeShade="BF"/>
            </w:tcBorders>
            <w:tcMar>
              <w:top w:w="58" w:type="dxa"/>
              <w:left w:w="115" w:type="dxa"/>
              <w:bottom w:w="58" w:type="dxa"/>
              <w:right w:w="115" w:type="dxa"/>
            </w:tcMar>
          </w:tcPr>
          <w:p w14:paraId="596B26F7" w14:textId="77777777" w:rsidR="000E4B25" w:rsidRPr="005A7336" w:rsidRDefault="000E4B25" w:rsidP="008E4D99">
            <w:pPr>
              <w:pStyle w:val="ISTableText"/>
              <w:spacing w:before="0" w:after="0"/>
              <w:jc w:val="center"/>
              <w:rPr>
                <w:rFonts w:asciiTheme="minorHAnsi" w:hAnsiTheme="minorHAnsi" w:cstheme="minorHAnsi"/>
              </w:rPr>
            </w:pPr>
            <w:r w:rsidRPr="005A7336">
              <w:rPr>
                <w:rFonts w:asciiTheme="minorHAnsi" w:hAnsiTheme="minorHAnsi" w:cstheme="minorHAnsi"/>
              </w:rPr>
              <w:t>NA</w:t>
            </w:r>
          </w:p>
        </w:tc>
        <w:tc>
          <w:tcPr>
            <w:tcW w:w="1513" w:type="dxa"/>
            <w:tcBorders>
              <w:top w:val="single" w:sz="4" w:space="0" w:color="BFBFBF" w:themeColor="background1" w:themeShade="BF"/>
              <w:bottom w:val="single" w:sz="4" w:space="0" w:color="BFBFBF" w:themeColor="background1" w:themeShade="BF"/>
            </w:tcBorders>
          </w:tcPr>
          <w:p w14:paraId="7EC2B11C" w14:textId="77777777" w:rsidR="000E4B25" w:rsidRPr="005A7336" w:rsidRDefault="000E4B25" w:rsidP="008E4D99">
            <w:pPr>
              <w:pStyle w:val="ISTableText"/>
              <w:spacing w:before="0" w:after="0"/>
              <w:jc w:val="center"/>
              <w:rPr>
                <w:rFonts w:asciiTheme="minorHAnsi" w:hAnsiTheme="minorHAnsi" w:cstheme="minorHAnsi"/>
              </w:rPr>
            </w:pPr>
            <w:r w:rsidRPr="005A7336">
              <w:rPr>
                <w:rFonts w:asciiTheme="minorHAnsi" w:hAnsiTheme="minorHAnsi" w:cstheme="minorHAnsi"/>
              </w:rPr>
              <w:t>70-80</w:t>
            </w:r>
          </w:p>
        </w:tc>
        <w:tc>
          <w:tcPr>
            <w:tcW w:w="1259" w:type="dxa"/>
            <w:tcBorders>
              <w:top w:val="single" w:sz="4" w:space="0" w:color="BFBFBF" w:themeColor="background1" w:themeShade="BF"/>
              <w:bottom w:val="single" w:sz="4" w:space="0" w:color="BFBFBF" w:themeColor="background1" w:themeShade="BF"/>
            </w:tcBorders>
          </w:tcPr>
          <w:p w14:paraId="0E118825" w14:textId="77777777" w:rsidR="000E4B25" w:rsidRPr="005A7336" w:rsidRDefault="000E4B25" w:rsidP="008E4D99">
            <w:pPr>
              <w:pStyle w:val="ISTableText"/>
              <w:spacing w:before="0" w:after="0"/>
              <w:jc w:val="center"/>
              <w:rPr>
                <w:rFonts w:asciiTheme="minorHAnsi" w:hAnsiTheme="minorHAnsi" w:cstheme="minorHAnsi"/>
              </w:rPr>
            </w:pPr>
            <w:r w:rsidRPr="005A7336">
              <w:rPr>
                <w:rFonts w:asciiTheme="minorHAnsi" w:hAnsiTheme="minorHAnsi" w:cstheme="minorHAnsi"/>
              </w:rPr>
              <w:t>80&lt;</w:t>
            </w:r>
          </w:p>
        </w:tc>
      </w:tr>
      <w:tr w:rsidR="000E4B25" w:rsidRPr="005A7336" w14:paraId="45D84849" w14:textId="77777777" w:rsidTr="008E4D99">
        <w:tc>
          <w:tcPr>
            <w:tcW w:w="3361" w:type="dxa"/>
            <w:tcBorders>
              <w:top w:val="single" w:sz="4" w:space="0" w:color="BFBFBF" w:themeColor="background1" w:themeShade="BF"/>
              <w:bottom w:val="single" w:sz="4" w:space="0" w:color="BFBFBF" w:themeColor="background1" w:themeShade="BF"/>
            </w:tcBorders>
            <w:shd w:val="clear" w:color="auto" w:fill="auto"/>
            <w:tcMar>
              <w:top w:w="58" w:type="dxa"/>
              <w:left w:w="115" w:type="dxa"/>
              <w:bottom w:w="58" w:type="dxa"/>
              <w:right w:w="115" w:type="dxa"/>
            </w:tcMar>
          </w:tcPr>
          <w:p w14:paraId="1B69D475" w14:textId="77777777" w:rsidR="000E4B25" w:rsidRPr="005A7336" w:rsidRDefault="000E4B25" w:rsidP="008E4D99">
            <w:pPr>
              <w:pStyle w:val="ISTableText"/>
              <w:numPr>
                <w:ilvl w:val="0"/>
                <w:numId w:val="36"/>
              </w:numPr>
              <w:overflowPunct w:val="0"/>
              <w:autoSpaceDE w:val="0"/>
              <w:autoSpaceDN w:val="0"/>
              <w:adjustRightInd w:val="0"/>
              <w:spacing w:before="0" w:after="0"/>
              <w:ind w:left="360"/>
              <w:textAlignment w:val="baseline"/>
              <w:rPr>
                <w:rFonts w:asciiTheme="minorHAnsi" w:hAnsiTheme="minorHAnsi" w:cstheme="minorHAnsi"/>
              </w:rPr>
            </w:pPr>
            <w:r w:rsidRPr="005A7336">
              <w:rPr>
                <w:rFonts w:asciiTheme="minorHAnsi" w:hAnsiTheme="minorHAnsi" w:cstheme="minorHAnsi"/>
              </w:rPr>
              <w:t xml:space="preserve">Office Buildings, Business Commercial and Professional </w:t>
            </w:r>
          </w:p>
        </w:tc>
        <w:tc>
          <w:tcPr>
            <w:tcW w:w="1407" w:type="dxa"/>
            <w:tcBorders>
              <w:top w:val="single" w:sz="4" w:space="0" w:color="BFBFBF" w:themeColor="background1" w:themeShade="BF"/>
              <w:bottom w:val="single" w:sz="4" w:space="0" w:color="BFBFBF" w:themeColor="background1" w:themeShade="BF"/>
            </w:tcBorders>
            <w:shd w:val="clear" w:color="auto" w:fill="auto"/>
          </w:tcPr>
          <w:p w14:paraId="46086033" w14:textId="77777777" w:rsidR="000E4B25" w:rsidRPr="005A7336" w:rsidRDefault="000E4B25" w:rsidP="008E4D99">
            <w:pPr>
              <w:pStyle w:val="ISTableText"/>
              <w:spacing w:before="0" w:after="0"/>
              <w:jc w:val="center"/>
              <w:rPr>
                <w:rFonts w:asciiTheme="minorHAnsi" w:hAnsiTheme="minorHAnsi" w:cstheme="minorHAnsi"/>
              </w:rPr>
            </w:pPr>
            <w:r w:rsidRPr="005A7336">
              <w:rPr>
                <w:rFonts w:asciiTheme="minorHAnsi" w:hAnsiTheme="minorHAnsi" w:cstheme="minorHAnsi"/>
              </w:rPr>
              <w:t>&lt;67.5</w:t>
            </w:r>
          </w:p>
        </w:tc>
        <w:tc>
          <w:tcPr>
            <w:tcW w:w="1489" w:type="dxa"/>
            <w:tcBorders>
              <w:top w:val="single" w:sz="4" w:space="0" w:color="BFBFBF" w:themeColor="background1" w:themeShade="BF"/>
              <w:bottom w:val="single" w:sz="4" w:space="0" w:color="BFBFBF" w:themeColor="background1" w:themeShade="BF"/>
            </w:tcBorders>
            <w:shd w:val="clear" w:color="auto" w:fill="auto"/>
            <w:tcMar>
              <w:top w:w="58" w:type="dxa"/>
              <w:left w:w="115" w:type="dxa"/>
              <w:bottom w:w="58" w:type="dxa"/>
              <w:right w:w="115" w:type="dxa"/>
            </w:tcMar>
          </w:tcPr>
          <w:p w14:paraId="4A5F5A3F" w14:textId="77777777" w:rsidR="000E4B25" w:rsidRPr="005A7336" w:rsidRDefault="000E4B25" w:rsidP="008E4D99">
            <w:pPr>
              <w:pStyle w:val="ISTableText"/>
              <w:spacing w:before="0" w:after="0"/>
              <w:jc w:val="center"/>
              <w:rPr>
                <w:rFonts w:asciiTheme="minorHAnsi" w:hAnsiTheme="minorHAnsi" w:cstheme="minorHAnsi"/>
              </w:rPr>
            </w:pPr>
            <w:r w:rsidRPr="005A7336">
              <w:rPr>
                <w:rFonts w:asciiTheme="minorHAnsi" w:hAnsiTheme="minorHAnsi" w:cstheme="minorHAnsi"/>
              </w:rPr>
              <w:t>67.5-75</w:t>
            </w:r>
          </w:p>
        </w:tc>
        <w:tc>
          <w:tcPr>
            <w:tcW w:w="1513" w:type="dxa"/>
            <w:tcBorders>
              <w:top w:val="single" w:sz="4" w:space="0" w:color="BFBFBF" w:themeColor="background1" w:themeShade="BF"/>
              <w:bottom w:val="single" w:sz="4" w:space="0" w:color="BFBFBF" w:themeColor="background1" w:themeShade="BF"/>
            </w:tcBorders>
            <w:shd w:val="clear" w:color="auto" w:fill="auto"/>
          </w:tcPr>
          <w:p w14:paraId="4715F4EF" w14:textId="77777777" w:rsidR="000E4B25" w:rsidRPr="005A7336" w:rsidRDefault="000E4B25" w:rsidP="008E4D99">
            <w:pPr>
              <w:pStyle w:val="ISTableText"/>
              <w:spacing w:before="0" w:after="0"/>
              <w:jc w:val="center"/>
              <w:rPr>
                <w:rFonts w:asciiTheme="minorHAnsi" w:hAnsiTheme="minorHAnsi" w:cstheme="minorHAnsi"/>
              </w:rPr>
            </w:pPr>
            <w:r w:rsidRPr="005A7336">
              <w:rPr>
                <w:rFonts w:asciiTheme="minorHAnsi" w:hAnsiTheme="minorHAnsi" w:cstheme="minorHAnsi"/>
              </w:rPr>
              <w:t>75&lt;</w:t>
            </w:r>
          </w:p>
        </w:tc>
        <w:tc>
          <w:tcPr>
            <w:tcW w:w="1259" w:type="dxa"/>
            <w:tcBorders>
              <w:top w:val="single" w:sz="4" w:space="0" w:color="BFBFBF" w:themeColor="background1" w:themeShade="BF"/>
              <w:bottom w:val="single" w:sz="4" w:space="0" w:color="BFBFBF" w:themeColor="background1" w:themeShade="BF"/>
            </w:tcBorders>
            <w:shd w:val="clear" w:color="auto" w:fill="auto"/>
          </w:tcPr>
          <w:p w14:paraId="30624AB1" w14:textId="77777777" w:rsidR="000E4B25" w:rsidRPr="005A7336" w:rsidRDefault="000E4B25" w:rsidP="008E4D99">
            <w:pPr>
              <w:pStyle w:val="ISTableText"/>
              <w:spacing w:before="0" w:after="0"/>
              <w:jc w:val="center"/>
              <w:rPr>
                <w:rFonts w:asciiTheme="minorHAnsi" w:hAnsiTheme="minorHAnsi" w:cstheme="minorHAnsi"/>
              </w:rPr>
            </w:pPr>
            <w:r w:rsidRPr="005A7336">
              <w:rPr>
                <w:rFonts w:asciiTheme="minorHAnsi" w:hAnsiTheme="minorHAnsi" w:cstheme="minorHAnsi"/>
              </w:rPr>
              <w:t>NA</w:t>
            </w:r>
          </w:p>
        </w:tc>
      </w:tr>
      <w:tr w:rsidR="000E4B25" w:rsidRPr="005A7336" w14:paraId="2D084A6E" w14:textId="77777777" w:rsidTr="008E4D99">
        <w:tc>
          <w:tcPr>
            <w:tcW w:w="3361" w:type="dxa"/>
            <w:tcBorders>
              <w:top w:val="single" w:sz="4" w:space="0" w:color="BFBFBF" w:themeColor="background1" w:themeShade="BF"/>
              <w:bottom w:val="single" w:sz="6" w:space="0" w:color="000000" w:themeColor="text1"/>
            </w:tcBorders>
            <w:shd w:val="clear" w:color="auto" w:fill="auto"/>
            <w:tcMar>
              <w:top w:w="58" w:type="dxa"/>
              <w:left w:w="115" w:type="dxa"/>
              <w:bottom w:w="58" w:type="dxa"/>
              <w:right w:w="115" w:type="dxa"/>
            </w:tcMar>
          </w:tcPr>
          <w:p w14:paraId="1559E626" w14:textId="77777777" w:rsidR="000E4B25" w:rsidRPr="005A7336" w:rsidRDefault="000E4B25" w:rsidP="008E4D99">
            <w:pPr>
              <w:pStyle w:val="ISTableText"/>
              <w:numPr>
                <w:ilvl w:val="0"/>
                <w:numId w:val="36"/>
              </w:numPr>
              <w:overflowPunct w:val="0"/>
              <w:autoSpaceDE w:val="0"/>
              <w:autoSpaceDN w:val="0"/>
              <w:adjustRightInd w:val="0"/>
              <w:spacing w:before="0" w:after="0"/>
              <w:ind w:left="360"/>
              <w:textAlignment w:val="baseline"/>
              <w:rPr>
                <w:rFonts w:asciiTheme="minorHAnsi" w:hAnsiTheme="minorHAnsi" w:cstheme="minorHAnsi"/>
              </w:rPr>
            </w:pPr>
            <w:r w:rsidRPr="005A7336">
              <w:rPr>
                <w:rFonts w:asciiTheme="minorHAnsi" w:hAnsiTheme="minorHAnsi" w:cstheme="minorHAnsi"/>
              </w:rPr>
              <w:t xml:space="preserve">Industrial, Manufacturing, Utilities, Agriculture </w:t>
            </w:r>
          </w:p>
        </w:tc>
        <w:tc>
          <w:tcPr>
            <w:tcW w:w="1407" w:type="dxa"/>
            <w:tcBorders>
              <w:top w:val="single" w:sz="4" w:space="0" w:color="BFBFBF" w:themeColor="background1" w:themeShade="BF"/>
              <w:bottom w:val="single" w:sz="6" w:space="0" w:color="000000" w:themeColor="text1"/>
            </w:tcBorders>
            <w:shd w:val="clear" w:color="auto" w:fill="auto"/>
          </w:tcPr>
          <w:p w14:paraId="34DEFA2D" w14:textId="77777777" w:rsidR="000E4B25" w:rsidRPr="005A7336" w:rsidRDefault="000E4B25" w:rsidP="008E4D99">
            <w:pPr>
              <w:pStyle w:val="ISTableText"/>
              <w:spacing w:before="0" w:after="0"/>
              <w:jc w:val="center"/>
              <w:rPr>
                <w:rFonts w:asciiTheme="minorHAnsi" w:hAnsiTheme="minorHAnsi" w:cstheme="minorHAnsi"/>
              </w:rPr>
            </w:pPr>
            <w:r w:rsidRPr="005A7336">
              <w:rPr>
                <w:rFonts w:asciiTheme="minorHAnsi" w:hAnsiTheme="minorHAnsi" w:cstheme="minorHAnsi"/>
              </w:rPr>
              <w:t>&lt;70</w:t>
            </w:r>
          </w:p>
        </w:tc>
        <w:tc>
          <w:tcPr>
            <w:tcW w:w="1489" w:type="dxa"/>
            <w:tcBorders>
              <w:top w:val="single" w:sz="4" w:space="0" w:color="BFBFBF" w:themeColor="background1" w:themeShade="BF"/>
              <w:bottom w:val="single" w:sz="6" w:space="0" w:color="000000" w:themeColor="text1"/>
            </w:tcBorders>
            <w:shd w:val="clear" w:color="auto" w:fill="auto"/>
            <w:tcMar>
              <w:top w:w="58" w:type="dxa"/>
              <w:left w:w="115" w:type="dxa"/>
              <w:bottom w:w="58" w:type="dxa"/>
              <w:right w:w="115" w:type="dxa"/>
            </w:tcMar>
          </w:tcPr>
          <w:p w14:paraId="693056EE" w14:textId="77777777" w:rsidR="000E4B25" w:rsidRPr="005A7336" w:rsidRDefault="000E4B25" w:rsidP="008E4D99">
            <w:pPr>
              <w:pStyle w:val="ISTableText"/>
              <w:spacing w:before="0" w:after="0"/>
              <w:jc w:val="center"/>
              <w:rPr>
                <w:rFonts w:asciiTheme="minorHAnsi" w:hAnsiTheme="minorHAnsi" w:cstheme="minorHAnsi"/>
              </w:rPr>
            </w:pPr>
            <w:r w:rsidRPr="005A7336">
              <w:rPr>
                <w:rFonts w:asciiTheme="minorHAnsi" w:hAnsiTheme="minorHAnsi" w:cstheme="minorHAnsi"/>
              </w:rPr>
              <w:t>70-80</w:t>
            </w:r>
          </w:p>
        </w:tc>
        <w:tc>
          <w:tcPr>
            <w:tcW w:w="1513" w:type="dxa"/>
            <w:tcBorders>
              <w:top w:val="single" w:sz="4" w:space="0" w:color="BFBFBF" w:themeColor="background1" w:themeShade="BF"/>
              <w:bottom w:val="single" w:sz="6" w:space="0" w:color="000000" w:themeColor="text1"/>
            </w:tcBorders>
            <w:shd w:val="clear" w:color="auto" w:fill="auto"/>
          </w:tcPr>
          <w:p w14:paraId="7E83C658" w14:textId="77777777" w:rsidR="000E4B25" w:rsidRPr="005A7336" w:rsidRDefault="000E4B25" w:rsidP="008E4D99">
            <w:pPr>
              <w:pStyle w:val="ISTableText"/>
              <w:spacing w:before="0" w:after="0"/>
              <w:jc w:val="center"/>
              <w:rPr>
                <w:rFonts w:asciiTheme="minorHAnsi" w:hAnsiTheme="minorHAnsi" w:cstheme="minorHAnsi"/>
              </w:rPr>
            </w:pPr>
            <w:r w:rsidRPr="005A7336">
              <w:rPr>
                <w:rFonts w:asciiTheme="minorHAnsi" w:hAnsiTheme="minorHAnsi" w:cstheme="minorHAnsi"/>
              </w:rPr>
              <w:t>75&lt;</w:t>
            </w:r>
          </w:p>
        </w:tc>
        <w:tc>
          <w:tcPr>
            <w:tcW w:w="1259" w:type="dxa"/>
            <w:tcBorders>
              <w:top w:val="single" w:sz="4" w:space="0" w:color="BFBFBF" w:themeColor="background1" w:themeShade="BF"/>
              <w:bottom w:val="single" w:sz="6" w:space="0" w:color="000000" w:themeColor="text1"/>
            </w:tcBorders>
            <w:shd w:val="clear" w:color="auto" w:fill="auto"/>
          </w:tcPr>
          <w:p w14:paraId="205D0EAA" w14:textId="77777777" w:rsidR="000E4B25" w:rsidRPr="005A7336" w:rsidRDefault="000E4B25" w:rsidP="008E4D99">
            <w:pPr>
              <w:pStyle w:val="ISTableText"/>
              <w:spacing w:before="0" w:after="0"/>
              <w:jc w:val="center"/>
              <w:rPr>
                <w:rFonts w:asciiTheme="minorHAnsi" w:hAnsiTheme="minorHAnsi" w:cstheme="minorHAnsi"/>
              </w:rPr>
            </w:pPr>
            <w:r w:rsidRPr="005A7336">
              <w:rPr>
                <w:rFonts w:asciiTheme="minorHAnsi" w:hAnsiTheme="minorHAnsi" w:cstheme="minorHAnsi"/>
              </w:rPr>
              <w:t>NA</w:t>
            </w:r>
          </w:p>
        </w:tc>
      </w:tr>
      <w:tr w:rsidR="00FE0EC8" w:rsidRPr="005A7336" w14:paraId="34835A92" w14:textId="77777777" w:rsidTr="00904C44">
        <w:tc>
          <w:tcPr>
            <w:tcW w:w="9029" w:type="dxa"/>
            <w:gridSpan w:val="5"/>
            <w:tcBorders>
              <w:top w:val="single" w:sz="6" w:space="0" w:color="000000" w:themeColor="text1"/>
              <w:left w:val="nil"/>
              <w:bottom w:val="single" w:sz="6" w:space="0" w:color="000000" w:themeColor="text1"/>
              <w:right w:val="nil"/>
            </w:tcBorders>
            <w:tcMar>
              <w:top w:w="58" w:type="dxa"/>
              <w:left w:w="115" w:type="dxa"/>
              <w:bottom w:w="58" w:type="dxa"/>
              <w:right w:w="115" w:type="dxa"/>
            </w:tcMar>
            <w:vAlign w:val="center"/>
            <w:hideMark/>
          </w:tcPr>
          <w:p w14:paraId="2411B20F" w14:textId="77777777" w:rsidR="00FE0EC8" w:rsidRPr="005A7336" w:rsidRDefault="00FE0EC8" w:rsidP="00FE0EC8">
            <w:pPr>
              <w:pStyle w:val="ISTableNotes"/>
              <w:spacing w:before="20" w:after="20"/>
              <w:rPr>
                <w:rFonts w:asciiTheme="minorHAnsi" w:hAnsiTheme="minorHAnsi" w:cstheme="minorHAnsi"/>
              </w:rPr>
            </w:pPr>
            <w:r w:rsidRPr="005A7336">
              <w:rPr>
                <w:rFonts w:asciiTheme="minorHAnsi" w:hAnsiTheme="minorHAnsi" w:cstheme="minorHAnsi"/>
              </w:rPr>
              <w:t>dBA = A-weighted sound pressure level</w:t>
            </w:r>
          </w:p>
          <w:p w14:paraId="55E8AB76" w14:textId="77777777" w:rsidR="00FE0EC8" w:rsidRPr="005A7336" w:rsidRDefault="00FE0EC8" w:rsidP="00FE0EC8">
            <w:pPr>
              <w:pStyle w:val="ISTableNotes"/>
              <w:spacing w:before="20" w:after="20"/>
              <w:rPr>
                <w:rFonts w:asciiTheme="minorHAnsi" w:hAnsiTheme="minorHAnsi" w:cstheme="minorHAnsi"/>
              </w:rPr>
            </w:pPr>
            <w:r w:rsidRPr="005A7336">
              <w:rPr>
                <w:rFonts w:asciiTheme="minorHAnsi" w:hAnsiTheme="minorHAnsi" w:cstheme="minorHAnsi"/>
              </w:rPr>
              <w:t xml:space="preserve">DNL = Day-Night Average Level </w:t>
            </w:r>
          </w:p>
          <w:p w14:paraId="58F11A1B" w14:textId="5A06A8AE" w:rsidR="00FE0EC8" w:rsidRPr="005A7336" w:rsidRDefault="00FE0EC8" w:rsidP="00FE0EC8">
            <w:pPr>
              <w:pStyle w:val="ISTableNotes"/>
              <w:spacing w:before="20" w:after="20"/>
              <w:ind w:left="0" w:firstLine="0"/>
              <w:rPr>
                <w:rFonts w:asciiTheme="minorHAnsi" w:hAnsiTheme="minorHAnsi" w:cstheme="minorHAnsi"/>
              </w:rPr>
            </w:pPr>
            <w:r w:rsidRPr="005A7336">
              <w:rPr>
                <w:rFonts w:asciiTheme="minorHAnsi" w:hAnsiTheme="minorHAnsi" w:cstheme="minorHAnsi"/>
              </w:rPr>
              <w:t>Source: City of Mountain View 2012a</w:t>
            </w:r>
          </w:p>
        </w:tc>
      </w:tr>
    </w:tbl>
    <w:p w14:paraId="2E3667EF" w14:textId="18D9C367" w:rsidR="000E4B25" w:rsidRPr="005F5C62" w:rsidRDefault="000E4B25" w:rsidP="009A2A5D">
      <w:pPr>
        <w:pStyle w:val="Heading6"/>
        <w:pageBreakBefore/>
      </w:pPr>
      <w:bookmarkStart w:id="282" w:name="_Hlk18936499"/>
      <w:r w:rsidRPr="005F5C62">
        <w:t>City of Mountain View Municipal Code</w:t>
      </w:r>
      <w:r>
        <w:t xml:space="preserve"> </w:t>
      </w:r>
    </w:p>
    <w:bookmarkEnd w:id="282"/>
    <w:p w14:paraId="783E0DF1" w14:textId="77777777" w:rsidR="000E4B25" w:rsidRPr="005F5C62" w:rsidRDefault="000E4B25" w:rsidP="000E4B25">
      <w:pPr>
        <w:pStyle w:val="BodyText"/>
      </w:pPr>
      <w:r w:rsidRPr="005F5C62">
        <w:t>MVMC includes a construction noise ordinance and other policies that limit noise emissions. Applicable policies from MVMC are as follows:</w:t>
      </w:r>
    </w:p>
    <w:p w14:paraId="7FA9D9BF" w14:textId="77777777" w:rsidR="000E4B25" w:rsidRPr="00D44763" w:rsidRDefault="000E4B25" w:rsidP="005A7336">
      <w:pPr>
        <w:pStyle w:val="Heading7"/>
      </w:pPr>
      <w:r w:rsidRPr="00D44763">
        <w:t xml:space="preserve">Section 8.70 Construction Noise </w:t>
      </w:r>
    </w:p>
    <w:p w14:paraId="321376B0" w14:textId="5A774FE4" w:rsidR="000E4B25" w:rsidRDefault="000E4B25" w:rsidP="000E4B25">
      <w:pPr>
        <w:pStyle w:val="bullet1"/>
      </w:pPr>
      <w:r w:rsidRPr="005A7336">
        <w:rPr>
          <w:b/>
          <w:bCs/>
        </w:rPr>
        <w:t xml:space="preserve">Hours of </w:t>
      </w:r>
      <w:r w:rsidR="005A7336" w:rsidRPr="005A7336">
        <w:rPr>
          <w:b/>
          <w:bCs/>
        </w:rPr>
        <w:t>Construction</w:t>
      </w:r>
      <w:r w:rsidRPr="005A7336">
        <w:rPr>
          <w:b/>
          <w:bCs/>
        </w:rPr>
        <w:t>. </w:t>
      </w:r>
      <w:r w:rsidRPr="00D44763">
        <w:t>No construction activity shall commence prior to 7:00 a.m. nor continue later than 6:00 p.m., Monday through Friday, nor shall any work be permitted on Saturday or Sunday or holidays unless prior written approval is granted by the chief building official. Th</w:t>
      </w:r>
      <w:r w:rsidR="00073869">
        <w:t xml:space="preserve">e </w:t>
      </w:r>
      <w:r w:rsidRPr="00D44763">
        <w:t>term "construction a</w:t>
      </w:r>
      <w:r>
        <w:t>c</w:t>
      </w:r>
      <w:r w:rsidRPr="00D44763">
        <w:t>tivity" shall include any physical activity on the construction site or in the staging area, including the delivery of materials. In approving modified hours, the chief building official may specifically designate and/or limit the activities permitted during the modified hours.</w:t>
      </w:r>
    </w:p>
    <w:p w14:paraId="2FBD12FC" w14:textId="77777777" w:rsidR="000E4B25" w:rsidRDefault="000E4B25" w:rsidP="000E4B25">
      <w:pPr>
        <w:pStyle w:val="bullet1"/>
      </w:pPr>
      <w:r w:rsidRPr="005A7336">
        <w:rPr>
          <w:b/>
          <w:bCs/>
        </w:rPr>
        <w:t>Modification. </w:t>
      </w:r>
      <w:r w:rsidRPr="00D44763">
        <w:t>At any time before commencement of or during construction activity, the chief building official may modify the permitted hours of construction upon twenty-four (24) hours written notice to the contractor, applicant, developer or owner. The chief building official can reduce the hours of construction activity below the 7:00 a.m. to 6:00 p.m. time frame or increase the allowable hours.</w:t>
      </w:r>
    </w:p>
    <w:p w14:paraId="038E073F" w14:textId="615E7B86" w:rsidR="000E4B25" w:rsidRDefault="000E4B25" w:rsidP="000E4B25">
      <w:pPr>
        <w:pStyle w:val="bullet1"/>
      </w:pPr>
      <w:r w:rsidRPr="005A7336">
        <w:rPr>
          <w:b/>
          <w:bCs/>
        </w:rPr>
        <w:t xml:space="preserve">Sign </w:t>
      </w:r>
      <w:r w:rsidR="005A7336" w:rsidRPr="005A7336">
        <w:rPr>
          <w:b/>
          <w:bCs/>
        </w:rPr>
        <w:t>Required</w:t>
      </w:r>
      <w:r w:rsidRPr="005A7336">
        <w:rPr>
          <w:b/>
          <w:bCs/>
        </w:rPr>
        <w:t>. </w:t>
      </w:r>
      <w:r w:rsidRPr="00D44763">
        <w:t>The general contractor, applicant, developer or owner shall erect a sign at a prominent location on the construction site to advise subcontractors and material suppliers of the working hours. The sign shall include: address number (minimum twenty-four (24) inches by thirty-six (36) inches in contrasting colors), contact name and number, construction hours, contractor info (as stated on your job card). Any modification of standard hours will require additional signage. The contractor, owner or applicant shall immediately produce upon request any written order or permit from the chief building official pursuant to this section upon the request of any member of the public, the police or city staff.</w:t>
      </w:r>
    </w:p>
    <w:p w14:paraId="7AB8AA1D" w14:textId="77777777" w:rsidR="000E4B25" w:rsidRDefault="000E4B25" w:rsidP="000E4B25">
      <w:pPr>
        <w:pStyle w:val="bullet1"/>
      </w:pPr>
      <w:r w:rsidRPr="005A7336">
        <w:rPr>
          <w:b/>
          <w:bCs/>
        </w:rPr>
        <w:t>Violation. </w:t>
      </w:r>
      <w:r w:rsidRPr="00D44763">
        <w:t>Violation of the allowed hours of construction activity can result in a stop work notice and/or a reduction of regular construction hours for the duration of the project. Required signage shall be posted or the site shall be considered in violation of this section of the Code under the direction of the chief building o</w:t>
      </w:r>
      <w:r>
        <w:t>f</w:t>
      </w:r>
      <w:r w:rsidRPr="00D44763">
        <w:t>ficial's order.</w:t>
      </w:r>
    </w:p>
    <w:p w14:paraId="19631D83" w14:textId="77777777" w:rsidR="000E4B25" w:rsidRDefault="000E4B25" w:rsidP="005A7336">
      <w:pPr>
        <w:pStyle w:val="Heading7"/>
      </w:pPr>
      <w:r>
        <w:t xml:space="preserve">Section 21.26 Stationary Equipment Noise </w:t>
      </w:r>
    </w:p>
    <w:p w14:paraId="0A6FF18D" w14:textId="77777777" w:rsidR="000E4B25" w:rsidRDefault="000E4B25" w:rsidP="005A7336">
      <w:pPr>
        <w:pStyle w:val="BulletListLevel1"/>
      </w:pPr>
      <w:r w:rsidRPr="00D44763">
        <w:t>No person shall own or operate on any property any stationary equipment, such as, but not limited to, air compressors, equipment for swimming pools, spas, or air conditioners, which produces a sound level exceeding 55 dB(A) (50 dB(A) during the night, 10 p.m. to 7 a.m.) when measured at any location on any receiving residentially used property, said measurement to utilize a sound level meter equal to or better than an ANSI Standard S 1.4-1971 Type 2 noise level meter.</w:t>
      </w:r>
    </w:p>
    <w:p w14:paraId="0392623A" w14:textId="77777777" w:rsidR="000E4B25" w:rsidRDefault="000E4B25" w:rsidP="005A7336">
      <w:pPr>
        <w:pStyle w:val="BulletListLevel1"/>
      </w:pPr>
      <w:r w:rsidRPr="00D44763">
        <w:t>Any plans submitted for building, plumbing, electrical or mechanical/heating permit for any stationary equipment shall be accompanied by documentation of the equipment noise level when available and by noise mitigating devices or buffers appropriate to achieve the above noise limit. Initial granting of a permit for such equipment shall not affect the obligation of each person owning or operating such equipment for continued compliance with these noise level requirements.</w:t>
      </w:r>
    </w:p>
    <w:p w14:paraId="21CF00CC" w14:textId="77777777" w:rsidR="000E4B25" w:rsidRPr="00D44763" w:rsidRDefault="000E4B25" w:rsidP="005A7336">
      <w:pPr>
        <w:pStyle w:val="BulletListLevel1"/>
      </w:pPr>
      <w:r w:rsidRPr="00D44763">
        <w:t>Operation of any equipment, as specified in this section, above the 55 dB(A) limit (50 dB(A) nighttime), may occur only if the owner or operator has obtained a conditional use permit. A permit to operate equipment which exceeds the limit may be granted by the zoning administrator only if it has been demonstrated that such operation will not be detrimental to the health, safety, peace, morals, comfort or general welfare of residents subjected to such noise. The manner of obtaining said permit and the rules governing its issuance and revocation shall be as specified in Mountain View City Code Sec. 36.43 and following, all relating to the issuance of conditional use permits.</w:t>
      </w:r>
    </w:p>
    <w:p w14:paraId="1D5E4EA7" w14:textId="77777777" w:rsidR="000E4B25" w:rsidRDefault="000E4B25" w:rsidP="000E4B25">
      <w:pPr>
        <w:pStyle w:val="Heading5"/>
      </w:pPr>
      <w:r>
        <w:t>Project Noise Setting</w:t>
      </w:r>
    </w:p>
    <w:p w14:paraId="45FC2D84" w14:textId="77777777" w:rsidR="000E4B25" w:rsidRPr="006617DB" w:rsidRDefault="000E4B25" w:rsidP="000E4B25">
      <w:pPr>
        <w:pStyle w:val="Heading6"/>
      </w:pPr>
      <w:r w:rsidRPr="006617DB">
        <w:t>Sensitive Receivers</w:t>
      </w:r>
    </w:p>
    <w:p w14:paraId="766AFA6A" w14:textId="77777777" w:rsidR="000E4B25" w:rsidRPr="00A40353" w:rsidRDefault="000E4B25" w:rsidP="00AC1C51">
      <w:pPr>
        <w:pStyle w:val="body0"/>
      </w:pPr>
      <w:r w:rsidRPr="006617DB">
        <w:t xml:space="preserve">Noise exposure goals for various types of land uses reflect the varying noise sensitivities associated with those uses. The Mountain View General Plan Noise Element identifies noise-sensitive land uses as housing, schools, and hospitals (City of Mountain View 2012a). The nearest noise-sensitive receivers are single-family </w:t>
      </w:r>
      <w:r>
        <w:t>residences</w:t>
      </w:r>
      <w:r w:rsidRPr="006617DB">
        <w:t xml:space="preserve"> located approximately </w:t>
      </w:r>
      <w:r>
        <w:t>500</w:t>
      </w:r>
      <w:r w:rsidRPr="006617DB">
        <w:t xml:space="preserve"> feet south of the project site</w:t>
      </w:r>
      <w:r>
        <w:t xml:space="preserve">. </w:t>
      </w:r>
    </w:p>
    <w:p w14:paraId="0115B012" w14:textId="77777777" w:rsidR="000E4B25" w:rsidRPr="00AD56E2" w:rsidRDefault="000E4B25" w:rsidP="000E4B25">
      <w:pPr>
        <w:pStyle w:val="EIRHeading5"/>
      </w:pPr>
      <w:r w:rsidRPr="00AD56E2">
        <w:t>Impact A</w:t>
      </w:r>
      <w:r>
        <w:t>nalysi</w:t>
      </w:r>
      <w:r w:rsidRPr="00AD56E2">
        <w:t>s</w:t>
      </w:r>
    </w:p>
    <w:p w14:paraId="381043E2" w14:textId="77777777" w:rsidR="000E4B25" w:rsidRPr="00AD56E2" w:rsidRDefault="000E4B25" w:rsidP="000E4B25">
      <w:pPr>
        <w:pStyle w:val="BulletLtrManAFTER"/>
      </w:pPr>
      <w:r w:rsidRPr="00AD56E2">
        <w:t>a.</w:t>
      </w:r>
      <w:r w:rsidRPr="00AD56E2">
        <w:tab/>
        <w:t>Would the project result in generation of a substantial temporary or permanent increase in ambient noise levels in the vicinity of the project in excess of standards established in the local general plan or noise ordinance, or applicable standards of other agencies?</w:t>
      </w:r>
    </w:p>
    <w:p w14:paraId="6309086C" w14:textId="09C93AFB" w:rsidR="000E4B25" w:rsidRDefault="000E4B25" w:rsidP="000E4B25">
      <w:pPr>
        <w:pStyle w:val="Heading5"/>
      </w:pPr>
      <w:r w:rsidRPr="00AD56E2">
        <w:t>Construction Noise</w:t>
      </w:r>
    </w:p>
    <w:p w14:paraId="6CEF03B1" w14:textId="2F303379" w:rsidR="006A1FEC" w:rsidRDefault="006A1FEC" w:rsidP="006A1FEC">
      <w:pPr>
        <w:pStyle w:val="bodyafter"/>
      </w:pPr>
      <w:r>
        <w:t xml:space="preserve">In the absence of applicable local noise level limits, this analysis references guidance from the FTA’s </w:t>
      </w:r>
      <w:r>
        <w:rPr>
          <w:i/>
          <w:iCs/>
        </w:rPr>
        <w:t>Transit Noise and Vibration Impact Assessment Manual</w:t>
      </w:r>
      <w:r>
        <w:t xml:space="preserve"> to establish a quantified threshold against which to assess the impact of construction noise (FTA 2018). FTA recommends that reasonable noise criteria may include those shown in</w:t>
      </w:r>
      <w:r w:rsidR="005A7336">
        <w:t xml:space="preserve"> </w:t>
      </w:r>
      <w:r w:rsidR="005A7336">
        <w:fldChar w:fldCharType="begin"/>
      </w:r>
      <w:r w:rsidR="005A7336">
        <w:instrText xml:space="preserve"> REF _Ref95121858 \h </w:instrText>
      </w:r>
      <w:r w:rsidR="005A7336">
        <w:fldChar w:fldCharType="separate"/>
      </w:r>
      <w:r w:rsidR="00FA55F1">
        <w:t xml:space="preserve">Table </w:t>
      </w:r>
      <w:r w:rsidR="00FA55F1">
        <w:rPr>
          <w:noProof/>
        </w:rPr>
        <w:t>26</w:t>
      </w:r>
      <w:r w:rsidR="005A7336">
        <w:fldChar w:fldCharType="end"/>
      </w:r>
      <w:r>
        <w:t xml:space="preserve">. </w:t>
      </w:r>
      <w:r w:rsidRPr="00AD56E2">
        <w:t>The project would be subject to the restrictions of MVMC Section 8.70. Construction activities would be limited to the hours of 7:00 a.m. to 6:00 p.m.</w:t>
      </w:r>
      <w:r>
        <w:t xml:space="preserve"> Therefore, daytime noise criteria would be appropriate. </w:t>
      </w:r>
    </w:p>
    <w:p w14:paraId="286D8946" w14:textId="78F7D344" w:rsidR="006A1FEC" w:rsidRDefault="006A1FEC" w:rsidP="006A1FEC">
      <w:pPr>
        <w:pStyle w:val="TableCaption"/>
      </w:pPr>
      <w:bookmarkStart w:id="283" w:name="_Ref95121858"/>
      <w:bookmarkStart w:id="284" w:name="_Toc112942475"/>
      <w:r>
        <w:t xml:space="preserve">Table </w:t>
      </w:r>
      <w:r>
        <w:fldChar w:fldCharType="begin"/>
      </w:r>
      <w:r>
        <w:rPr>
          <w:noProof/>
        </w:rPr>
        <w:instrText xml:space="preserve"> SEQ Table \* ARABIC </w:instrText>
      </w:r>
      <w:r>
        <w:fldChar w:fldCharType="separate"/>
      </w:r>
      <w:r w:rsidR="00FA55F1">
        <w:rPr>
          <w:noProof/>
        </w:rPr>
        <w:t>26</w:t>
      </w:r>
      <w:r>
        <w:fldChar w:fldCharType="end"/>
      </w:r>
      <w:bookmarkEnd w:id="283"/>
      <w:r>
        <w:tab/>
        <w:t>Construction Noise Criteria</w:t>
      </w:r>
      <w:bookmarkEnd w:id="284"/>
    </w:p>
    <w:tbl>
      <w:tblPr>
        <w:tblW w:w="9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2007"/>
        <w:gridCol w:w="5605"/>
      </w:tblGrid>
      <w:tr w:rsidR="006A1FEC" w14:paraId="4A79F696" w14:textId="77777777" w:rsidTr="009A2A5D">
        <w:tc>
          <w:tcPr>
            <w:tcW w:w="1417" w:type="dxa"/>
            <w:tcBorders>
              <w:top w:val="nil"/>
              <w:left w:val="nil"/>
              <w:bottom w:val="nil"/>
              <w:right w:val="nil"/>
            </w:tcBorders>
            <w:shd w:val="clear" w:color="auto" w:fill="000000" w:themeFill="text1"/>
            <w:vAlign w:val="bottom"/>
            <w:hideMark/>
          </w:tcPr>
          <w:p w14:paraId="0D381288" w14:textId="77777777" w:rsidR="006A1FEC" w:rsidRDefault="006A1FEC" w:rsidP="00984994">
            <w:pPr>
              <w:keepNext/>
              <w:spacing w:before="40" w:after="40"/>
              <w:rPr>
                <w:rFonts w:asciiTheme="minorHAnsi" w:hAnsiTheme="minorHAnsi" w:cstheme="minorHAnsi"/>
                <w:b/>
                <w:sz w:val="18"/>
                <w:szCs w:val="18"/>
              </w:rPr>
            </w:pPr>
            <w:r>
              <w:rPr>
                <w:rFonts w:asciiTheme="minorHAnsi" w:hAnsiTheme="minorHAnsi" w:cstheme="minorHAnsi"/>
                <w:b/>
                <w:sz w:val="18"/>
                <w:szCs w:val="18"/>
              </w:rPr>
              <w:t>Land Use</w:t>
            </w:r>
          </w:p>
        </w:tc>
        <w:tc>
          <w:tcPr>
            <w:tcW w:w="2007" w:type="dxa"/>
            <w:tcBorders>
              <w:top w:val="nil"/>
              <w:left w:val="nil"/>
              <w:bottom w:val="nil"/>
              <w:right w:val="nil"/>
            </w:tcBorders>
            <w:shd w:val="clear" w:color="auto" w:fill="000000" w:themeFill="text1"/>
            <w:vAlign w:val="bottom"/>
            <w:hideMark/>
          </w:tcPr>
          <w:p w14:paraId="3B2BA58D" w14:textId="77777777" w:rsidR="006A1FEC" w:rsidRDefault="006A1FEC" w:rsidP="00984994">
            <w:pPr>
              <w:keepNext/>
              <w:spacing w:before="40" w:after="40"/>
              <w:jc w:val="center"/>
              <w:rPr>
                <w:rFonts w:asciiTheme="minorHAnsi" w:hAnsiTheme="minorHAnsi" w:cstheme="minorHAnsi"/>
                <w:b/>
                <w:sz w:val="18"/>
                <w:szCs w:val="18"/>
              </w:rPr>
            </w:pPr>
            <w:r>
              <w:rPr>
                <w:rFonts w:asciiTheme="minorHAnsi" w:hAnsiTheme="minorHAnsi" w:cstheme="minorHAnsi"/>
                <w:b/>
                <w:sz w:val="18"/>
                <w:szCs w:val="18"/>
              </w:rPr>
              <w:t>Daytime</w:t>
            </w:r>
            <w:r>
              <w:rPr>
                <w:rFonts w:asciiTheme="minorHAnsi" w:hAnsiTheme="minorHAnsi" w:cstheme="minorHAnsi"/>
                <w:b/>
                <w:sz w:val="18"/>
                <w:szCs w:val="18"/>
              </w:rPr>
              <w:br/>
              <w:t>L</w:t>
            </w:r>
            <w:r>
              <w:rPr>
                <w:rFonts w:asciiTheme="minorHAnsi" w:hAnsiTheme="minorHAnsi" w:cstheme="minorHAnsi"/>
                <w:b/>
                <w:sz w:val="18"/>
                <w:szCs w:val="18"/>
                <w:vertAlign w:val="subscript"/>
              </w:rPr>
              <w:t>eq</w:t>
            </w:r>
            <w:r>
              <w:rPr>
                <w:rFonts w:asciiTheme="minorHAnsi" w:hAnsiTheme="minorHAnsi" w:cstheme="minorHAnsi"/>
                <w:b/>
                <w:sz w:val="18"/>
                <w:szCs w:val="18"/>
              </w:rPr>
              <w:t xml:space="preserve"> (8-hour)</w:t>
            </w:r>
          </w:p>
        </w:tc>
        <w:tc>
          <w:tcPr>
            <w:tcW w:w="5605" w:type="dxa"/>
            <w:tcBorders>
              <w:top w:val="nil"/>
              <w:left w:val="nil"/>
              <w:bottom w:val="nil"/>
              <w:right w:val="nil"/>
            </w:tcBorders>
            <w:shd w:val="clear" w:color="auto" w:fill="000000" w:themeFill="text1"/>
            <w:vAlign w:val="bottom"/>
            <w:hideMark/>
          </w:tcPr>
          <w:p w14:paraId="147AEA44" w14:textId="77777777" w:rsidR="006A1FEC" w:rsidRDefault="006A1FEC" w:rsidP="00984994">
            <w:pPr>
              <w:keepNext/>
              <w:spacing w:before="40" w:after="40"/>
              <w:ind w:right="3831"/>
              <w:jc w:val="center"/>
              <w:rPr>
                <w:rFonts w:asciiTheme="minorHAnsi" w:hAnsiTheme="minorHAnsi" w:cstheme="minorHAnsi"/>
                <w:b/>
                <w:sz w:val="18"/>
                <w:szCs w:val="18"/>
              </w:rPr>
            </w:pPr>
            <w:r>
              <w:rPr>
                <w:rFonts w:asciiTheme="minorHAnsi" w:hAnsiTheme="minorHAnsi" w:cstheme="minorHAnsi"/>
                <w:b/>
                <w:sz w:val="18"/>
                <w:szCs w:val="18"/>
              </w:rPr>
              <w:t xml:space="preserve">Nighttime </w:t>
            </w:r>
            <w:r>
              <w:rPr>
                <w:rFonts w:asciiTheme="minorHAnsi" w:hAnsiTheme="minorHAnsi" w:cstheme="minorHAnsi"/>
                <w:b/>
                <w:sz w:val="18"/>
                <w:szCs w:val="18"/>
              </w:rPr>
              <w:br/>
              <w:t>L</w:t>
            </w:r>
            <w:r>
              <w:rPr>
                <w:rFonts w:asciiTheme="minorHAnsi" w:hAnsiTheme="minorHAnsi" w:cstheme="minorHAnsi"/>
                <w:b/>
                <w:sz w:val="18"/>
                <w:szCs w:val="18"/>
                <w:vertAlign w:val="subscript"/>
              </w:rPr>
              <w:t>eq</w:t>
            </w:r>
            <w:r>
              <w:rPr>
                <w:rFonts w:asciiTheme="minorHAnsi" w:hAnsiTheme="minorHAnsi" w:cstheme="minorHAnsi"/>
                <w:b/>
                <w:sz w:val="18"/>
                <w:szCs w:val="18"/>
              </w:rPr>
              <w:t xml:space="preserve"> (8-hour)</w:t>
            </w:r>
          </w:p>
        </w:tc>
      </w:tr>
      <w:tr w:rsidR="006A1FEC" w14:paraId="51CDFA10" w14:textId="77777777" w:rsidTr="005A7336">
        <w:tc>
          <w:tcPr>
            <w:tcW w:w="1417" w:type="dxa"/>
            <w:tcBorders>
              <w:top w:val="nil"/>
              <w:left w:val="nil"/>
              <w:bottom w:val="single" w:sz="4" w:space="0" w:color="BFBFBF" w:themeColor="background1" w:themeShade="BF"/>
              <w:right w:val="nil"/>
            </w:tcBorders>
            <w:noWrap/>
            <w:hideMark/>
          </w:tcPr>
          <w:p w14:paraId="43F5C80F" w14:textId="77777777" w:rsidR="006A1FEC" w:rsidRDefault="006A1FEC" w:rsidP="00984994">
            <w:pPr>
              <w:spacing w:before="40" w:after="40"/>
              <w:rPr>
                <w:rFonts w:asciiTheme="minorHAnsi" w:hAnsiTheme="minorHAnsi" w:cstheme="minorHAnsi"/>
                <w:sz w:val="18"/>
                <w:szCs w:val="18"/>
              </w:rPr>
            </w:pPr>
            <w:r>
              <w:rPr>
                <w:rFonts w:asciiTheme="minorHAnsi" w:hAnsiTheme="minorHAnsi" w:cstheme="minorHAnsi"/>
                <w:sz w:val="18"/>
                <w:szCs w:val="18"/>
              </w:rPr>
              <w:t>Residential</w:t>
            </w:r>
          </w:p>
        </w:tc>
        <w:tc>
          <w:tcPr>
            <w:tcW w:w="2007" w:type="dxa"/>
            <w:tcBorders>
              <w:top w:val="nil"/>
              <w:left w:val="nil"/>
              <w:bottom w:val="single" w:sz="4" w:space="0" w:color="BFBFBF" w:themeColor="background1" w:themeShade="BF"/>
              <w:right w:val="nil"/>
            </w:tcBorders>
            <w:hideMark/>
          </w:tcPr>
          <w:p w14:paraId="4708D30C" w14:textId="77777777" w:rsidR="006A1FEC" w:rsidRDefault="006A1FEC" w:rsidP="00984994">
            <w:pPr>
              <w:spacing w:before="40" w:after="40"/>
              <w:ind w:right="790"/>
              <w:jc w:val="right"/>
              <w:rPr>
                <w:rFonts w:asciiTheme="minorHAnsi" w:hAnsiTheme="minorHAnsi" w:cstheme="minorHAnsi"/>
                <w:sz w:val="18"/>
                <w:szCs w:val="18"/>
              </w:rPr>
            </w:pPr>
            <w:r>
              <w:rPr>
                <w:rFonts w:asciiTheme="minorHAnsi" w:hAnsiTheme="minorHAnsi" w:cstheme="minorHAnsi"/>
                <w:sz w:val="18"/>
                <w:szCs w:val="18"/>
              </w:rPr>
              <w:t>80</w:t>
            </w:r>
          </w:p>
        </w:tc>
        <w:tc>
          <w:tcPr>
            <w:tcW w:w="5605" w:type="dxa"/>
            <w:tcBorders>
              <w:top w:val="nil"/>
              <w:left w:val="nil"/>
              <w:bottom w:val="single" w:sz="4" w:space="0" w:color="BFBFBF" w:themeColor="background1" w:themeShade="BF"/>
              <w:right w:val="nil"/>
            </w:tcBorders>
            <w:hideMark/>
          </w:tcPr>
          <w:p w14:paraId="389546E8" w14:textId="77777777" w:rsidR="006A1FEC" w:rsidRDefault="006A1FEC" w:rsidP="00984994">
            <w:pPr>
              <w:spacing w:before="40" w:after="40"/>
              <w:ind w:right="4469"/>
              <w:jc w:val="right"/>
              <w:rPr>
                <w:rFonts w:asciiTheme="minorHAnsi" w:hAnsiTheme="minorHAnsi" w:cstheme="minorHAnsi"/>
                <w:sz w:val="18"/>
                <w:szCs w:val="18"/>
              </w:rPr>
            </w:pPr>
            <w:r>
              <w:rPr>
                <w:rFonts w:asciiTheme="minorHAnsi" w:hAnsiTheme="minorHAnsi" w:cstheme="minorHAnsi"/>
                <w:sz w:val="18"/>
                <w:szCs w:val="18"/>
              </w:rPr>
              <w:t>70</w:t>
            </w:r>
          </w:p>
        </w:tc>
      </w:tr>
      <w:tr w:rsidR="006A1FEC" w14:paraId="0E61ED15" w14:textId="77777777" w:rsidTr="005A7336">
        <w:tc>
          <w:tcPr>
            <w:tcW w:w="1417" w:type="dxa"/>
            <w:tcBorders>
              <w:top w:val="single" w:sz="4" w:space="0" w:color="BFBFBF" w:themeColor="background1" w:themeShade="BF"/>
              <w:left w:val="nil"/>
              <w:bottom w:val="single" w:sz="4" w:space="0" w:color="BFBFBF" w:themeColor="background1" w:themeShade="BF"/>
              <w:right w:val="nil"/>
            </w:tcBorders>
            <w:noWrap/>
            <w:hideMark/>
          </w:tcPr>
          <w:p w14:paraId="65FF1219" w14:textId="77777777" w:rsidR="006A1FEC" w:rsidRDefault="006A1FEC" w:rsidP="00984994">
            <w:pPr>
              <w:spacing w:before="40" w:after="40"/>
              <w:rPr>
                <w:rFonts w:asciiTheme="minorHAnsi" w:hAnsiTheme="minorHAnsi" w:cstheme="minorHAnsi"/>
                <w:sz w:val="18"/>
                <w:szCs w:val="18"/>
              </w:rPr>
            </w:pPr>
            <w:r>
              <w:rPr>
                <w:rFonts w:asciiTheme="minorHAnsi" w:hAnsiTheme="minorHAnsi" w:cstheme="minorHAnsi"/>
                <w:sz w:val="18"/>
                <w:szCs w:val="18"/>
              </w:rPr>
              <w:t>Commercial</w:t>
            </w:r>
          </w:p>
        </w:tc>
        <w:tc>
          <w:tcPr>
            <w:tcW w:w="2007" w:type="dxa"/>
            <w:tcBorders>
              <w:top w:val="single" w:sz="4" w:space="0" w:color="BFBFBF" w:themeColor="background1" w:themeShade="BF"/>
              <w:left w:val="nil"/>
              <w:bottom w:val="single" w:sz="4" w:space="0" w:color="BFBFBF" w:themeColor="background1" w:themeShade="BF"/>
              <w:right w:val="nil"/>
            </w:tcBorders>
            <w:hideMark/>
          </w:tcPr>
          <w:p w14:paraId="05664491" w14:textId="77777777" w:rsidR="006A1FEC" w:rsidRDefault="006A1FEC" w:rsidP="00984994">
            <w:pPr>
              <w:spacing w:before="40" w:after="40"/>
              <w:ind w:right="790"/>
              <w:jc w:val="right"/>
              <w:rPr>
                <w:rFonts w:asciiTheme="minorHAnsi" w:hAnsiTheme="minorHAnsi" w:cstheme="minorHAnsi"/>
                <w:sz w:val="18"/>
                <w:szCs w:val="18"/>
              </w:rPr>
            </w:pPr>
            <w:r>
              <w:rPr>
                <w:rFonts w:asciiTheme="minorHAnsi" w:hAnsiTheme="minorHAnsi" w:cstheme="minorHAnsi"/>
                <w:sz w:val="18"/>
                <w:szCs w:val="18"/>
              </w:rPr>
              <w:t>85</w:t>
            </w:r>
          </w:p>
        </w:tc>
        <w:tc>
          <w:tcPr>
            <w:tcW w:w="5605" w:type="dxa"/>
            <w:tcBorders>
              <w:top w:val="single" w:sz="4" w:space="0" w:color="BFBFBF" w:themeColor="background1" w:themeShade="BF"/>
              <w:left w:val="nil"/>
              <w:bottom w:val="single" w:sz="4" w:space="0" w:color="BFBFBF" w:themeColor="background1" w:themeShade="BF"/>
              <w:right w:val="nil"/>
            </w:tcBorders>
            <w:hideMark/>
          </w:tcPr>
          <w:p w14:paraId="3F612F57" w14:textId="77777777" w:rsidR="006A1FEC" w:rsidRDefault="006A1FEC" w:rsidP="00984994">
            <w:pPr>
              <w:spacing w:before="40" w:after="40"/>
              <w:ind w:right="4469"/>
              <w:jc w:val="right"/>
              <w:rPr>
                <w:rFonts w:asciiTheme="minorHAnsi" w:hAnsiTheme="minorHAnsi" w:cstheme="minorHAnsi"/>
                <w:sz w:val="18"/>
                <w:szCs w:val="18"/>
              </w:rPr>
            </w:pPr>
            <w:r>
              <w:rPr>
                <w:rFonts w:asciiTheme="minorHAnsi" w:hAnsiTheme="minorHAnsi" w:cstheme="minorHAnsi"/>
                <w:sz w:val="18"/>
                <w:szCs w:val="18"/>
              </w:rPr>
              <w:t>85</w:t>
            </w:r>
          </w:p>
        </w:tc>
      </w:tr>
      <w:tr w:rsidR="006A1FEC" w14:paraId="432D36A5" w14:textId="77777777" w:rsidTr="005A7336">
        <w:tc>
          <w:tcPr>
            <w:tcW w:w="1417" w:type="dxa"/>
            <w:tcBorders>
              <w:top w:val="single" w:sz="4" w:space="0" w:color="BFBFBF" w:themeColor="background1" w:themeShade="BF"/>
              <w:left w:val="nil"/>
              <w:bottom w:val="single" w:sz="4" w:space="0" w:color="auto"/>
              <w:right w:val="nil"/>
            </w:tcBorders>
            <w:noWrap/>
            <w:hideMark/>
          </w:tcPr>
          <w:p w14:paraId="5DD0F540" w14:textId="77777777" w:rsidR="006A1FEC" w:rsidRDefault="006A1FEC" w:rsidP="00984994">
            <w:pPr>
              <w:spacing w:before="40" w:after="40"/>
              <w:rPr>
                <w:rFonts w:asciiTheme="minorHAnsi" w:hAnsiTheme="minorHAnsi" w:cstheme="minorHAnsi"/>
                <w:sz w:val="18"/>
                <w:szCs w:val="18"/>
              </w:rPr>
            </w:pPr>
            <w:r>
              <w:rPr>
                <w:rFonts w:asciiTheme="minorHAnsi" w:hAnsiTheme="minorHAnsi" w:cstheme="minorHAnsi"/>
                <w:sz w:val="18"/>
                <w:szCs w:val="18"/>
              </w:rPr>
              <w:t>Industrial</w:t>
            </w:r>
          </w:p>
        </w:tc>
        <w:tc>
          <w:tcPr>
            <w:tcW w:w="2007" w:type="dxa"/>
            <w:tcBorders>
              <w:top w:val="single" w:sz="4" w:space="0" w:color="BFBFBF" w:themeColor="background1" w:themeShade="BF"/>
              <w:left w:val="nil"/>
              <w:bottom w:val="single" w:sz="4" w:space="0" w:color="auto"/>
              <w:right w:val="nil"/>
            </w:tcBorders>
            <w:hideMark/>
          </w:tcPr>
          <w:p w14:paraId="345D820D" w14:textId="77777777" w:rsidR="006A1FEC" w:rsidRDefault="006A1FEC" w:rsidP="00984994">
            <w:pPr>
              <w:spacing w:before="40" w:after="40"/>
              <w:ind w:right="790"/>
              <w:jc w:val="right"/>
              <w:rPr>
                <w:rFonts w:asciiTheme="minorHAnsi" w:hAnsiTheme="minorHAnsi" w:cstheme="minorHAnsi"/>
                <w:sz w:val="18"/>
                <w:szCs w:val="18"/>
              </w:rPr>
            </w:pPr>
            <w:r>
              <w:rPr>
                <w:rFonts w:asciiTheme="minorHAnsi" w:hAnsiTheme="minorHAnsi" w:cstheme="minorHAnsi"/>
                <w:sz w:val="18"/>
                <w:szCs w:val="18"/>
              </w:rPr>
              <w:t>90</w:t>
            </w:r>
          </w:p>
        </w:tc>
        <w:tc>
          <w:tcPr>
            <w:tcW w:w="5605" w:type="dxa"/>
            <w:tcBorders>
              <w:top w:val="single" w:sz="4" w:space="0" w:color="BFBFBF" w:themeColor="background1" w:themeShade="BF"/>
              <w:left w:val="nil"/>
              <w:bottom w:val="single" w:sz="4" w:space="0" w:color="auto"/>
              <w:right w:val="nil"/>
            </w:tcBorders>
            <w:hideMark/>
          </w:tcPr>
          <w:p w14:paraId="0252F27C" w14:textId="77777777" w:rsidR="006A1FEC" w:rsidRDefault="006A1FEC" w:rsidP="00984994">
            <w:pPr>
              <w:spacing w:before="40" w:after="40"/>
              <w:ind w:right="4469"/>
              <w:jc w:val="right"/>
              <w:rPr>
                <w:rFonts w:asciiTheme="minorHAnsi" w:hAnsiTheme="minorHAnsi" w:cstheme="minorHAnsi"/>
                <w:sz w:val="18"/>
                <w:szCs w:val="18"/>
              </w:rPr>
            </w:pPr>
            <w:r>
              <w:rPr>
                <w:rFonts w:asciiTheme="minorHAnsi" w:hAnsiTheme="minorHAnsi" w:cstheme="minorHAnsi"/>
                <w:sz w:val="18"/>
                <w:szCs w:val="18"/>
              </w:rPr>
              <w:t>90</w:t>
            </w:r>
          </w:p>
        </w:tc>
      </w:tr>
      <w:tr w:rsidR="006A1FEC" w14:paraId="73B8FD12" w14:textId="77777777" w:rsidTr="005A7336">
        <w:tc>
          <w:tcPr>
            <w:tcW w:w="9029" w:type="dxa"/>
            <w:gridSpan w:val="3"/>
            <w:tcBorders>
              <w:top w:val="single" w:sz="4" w:space="0" w:color="auto"/>
              <w:left w:val="nil"/>
              <w:bottom w:val="single" w:sz="4" w:space="0" w:color="auto"/>
              <w:right w:val="nil"/>
            </w:tcBorders>
            <w:noWrap/>
            <w:vAlign w:val="center"/>
            <w:hideMark/>
          </w:tcPr>
          <w:p w14:paraId="3896293E" w14:textId="77777777" w:rsidR="006A1FEC" w:rsidRDefault="006A1FEC" w:rsidP="00984994">
            <w:pPr>
              <w:spacing w:before="60" w:after="60"/>
              <w:rPr>
                <w:rFonts w:asciiTheme="minorHAnsi" w:hAnsiTheme="minorHAnsi" w:cstheme="minorHAnsi"/>
                <w:sz w:val="16"/>
                <w:szCs w:val="16"/>
              </w:rPr>
            </w:pPr>
            <w:r>
              <w:rPr>
                <w:rFonts w:asciiTheme="minorHAnsi" w:hAnsiTheme="minorHAnsi" w:cstheme="minorHAnsi"/>
                <w:sz w:val="16"/>
                <w:szCs w:val="16"/>
              </w:rPr>
              <w:t xml:space="preserve">Source: FTA 2018 </w:t>
            </w:r>
          </w:p>
        </w:tc>
      </w:tr>
    </w:tbl>
    <w:p w14:paraId="6C94FBF0" w14:textId="77777777" w:rsidR="000E4B25" w:rsidRPr="00A8612E" w:rsidRDefault="000E4B25" w:rsidP="005A7336">
      <w:pPr>
        <w:pStyle w:val="bodyafter"/>
      </w:pPr>
      <w:r w:rsidRPr="00AD56E2">
        <w:t xml:space="preserve">Temporary noise levels would be a function of the noise generated by construction equipment, the location and sensitivity of nearby land uses, and the timing and duration of noise-generating activities. Project construction would include grading, foundation work, and construction of the new structures. The noisiest phase of construction is generally during site grading which involves the use of excavators, bulldozers, graders, and compactors. Later construction phases generate lower noise levels when the construction activities occur largely indoors. </w:t>
      </w:r>
      <w:r w:rsidRPr="00983F64">
        <w:t>Construction phases are estimated to last approximately two years. Of the two years of construct</w:t>
      </w:r>
      <w:r>
        <w:t>ion, grading equipment would be on-site for approximately one month</w:t>
      </w:r>
      <w:r w:rsidRPr="00A8612E">
        <w:t xml:space="preserve">. Hammers, drills, and forklifts would be on-site for the entire duration of project construction. </w:t>
      </w:r>
    </w:p>
    <w:p w14:paraId="2A9204D3" w14:textId="00B9F224" w:rsidR="000E4B25" w:rsidRPr="0086035C" w:rsidRDefault="000E4B25" w:rsidP="000E4B25">
      <w:pPr>
        <w:pStyle w:val="BodyText"/>
      </w:pPr>
      <w:r w:rsidRPr="00A8612E">
        <w:t>Sensitive noise receptors in the pr</w:t>
      </w:r>
      <w:r w:rsidRPr="009C2B75">
        <w:t xml:space="preserve">oject vicinity </w:t>
      </w:r>
      <w:r w:rsidRPr="0086035C">
        <w:t xml:space="preserve">include the single-family and multi-family residences approximately 500 feet south of the project site. </w:t>
      </w:r>
      <w:r w:rsidRPr="0086035C">
        <w:fldChar w:fldCharType="begin"/>
      </w:r>
      <w:r w:rsidRPr="0086035C">
        <w:instrText xml:space="preserve"> REF _Ref88216763 \h  \* MERGEFORMAT </w:instrText>
      </w:r>
      <w:r w:rsidRPr="0086035C">
        <w:fldChar w:fldCharType="separate"/>
      </w:r>
      <w:r w:rsidR="00FA55F1" w:rsidRPr="0086035C">
        <w:t xml:space="preserve">Table </w:t>
      </w:r>
      <w:r w:rsidR="00FA55F1">
        <w:rPr>
          <w:noProof/>
        </w:rPr>
        <w:t>27</w:t>
      </w:r>
      <w:r w:rsidRPr="0086035C">
        <w:fldChar w:fldCharType="end"/>
      </w:r>
      <w:r w:rsidRPr="0086035C">
        <w:t xml:space="preserve"> shows typical construction equipment noise levels at a reference distance of 50 feet and at a distance of 500 feet.</w:t>
      </w:r>
    </w:p>
    <w:p w14:paraId="3ECFD603" w14:textId="2EBEB5B2" w:rsidR="000E4B25" w:rsidRDefault="000E4B25" w:rsidP="000E4B25">
      <w:pPr>
        <w:pStyle w:val="TableCaption"/>
      </w:pPr>
      <w:bookmarkStart w:id="285" w:name="_Ref88216763"/>
      <w:bookmarkStart w:id="286" w:name="_Toc29457291"/>
      <w:bookmarkStart w:id="287" w:name="_Toc112942476"/>
      <w:r w:rsidRPr="0086035C">
        <w:t xml:space="preserve">Table </w:t>
      </w:r>
      <w:fldSimple w:instr=" SEQ Table \* ARABIC ">
        <w:r w:rsidR="00FA55F1">
          <w:rPr>
            <w:noProof/>
          </w:rPr>
          <w:t>27</w:t>
        </w:r>
      </w:fldSimple>
      <w:bookmarkEnd w:id="285"/>
      <w:r w:rsidR="001D4BBB">
        <w:tab/>
      </w:r>
      <w:r w:rsidRPr="0086035C">
        <w:t>Typical Construction Equipment Noise Levels</w:t>
      </w:r>
      <w:bookmarkEnd w:id="286"/>
      <w:bookmarkEnd w:id="287"/>
      <w:r w:rsidRPr="0086035C">
        <w:t xml:space="preserve"> </w:t>
      </w:r>
    </w:p>
    <w:tbl>
      <w:tblPr>
        <w:tblStyle w:val="TableGrid"/>
        <w:tblW w:w="9028" w:type="dxa"/>
        <w:tblBorders>
          <w:left w:val="none" w:sz="0" w:space="0" w:color="auto"/>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2921"/>
        <w:gridCol w:w="3015"/>
        <w:gridCol w:w="3092"/>
      </w:tblGrid>
      <w:tr w:rsidR="000E4B25" w:rsidRPr="0086035C" w14:paraId="6A7EB0DD" w14:textId="77777777" w:rsidTr="009A2A5D">
        <w:trPr>
          <w:tblHeader/>
        </w:trPr>
        <w:tc>
          <w:tcPr>
            <w:tcW w:w="2921" w:type="dxa"/>
            <w:tcBorders>
              <w:top w:val="nil"/>
              <w:bottom w:val="nil"/>
            </w:tcBorders>
            <w:shd w:val="clear" w:color="auto" w:fill="000000" w:themeFill="text1"/>
            <w:vAlign w:val="bottom"/>
          </w:tcPr>
          <w:p w14:paraId="4652163E" w14:textId="77777777" w:rsidR="000E4B25" w:rsidRPr="0086035C" w:rsidRDefault="000E4B25" w:rsidP="005A7336">
            <w:pPr>
              <w:pStyle w:val="TableColumnHeadings-multirow"/>
              <w:keepNext w:val="0"/>
              <w:keepLines w:val="0"/>
              <w:spacing w:before="80" w:after="80"/>
            </w:pPr>
            <w:r w:rsidRPr="0086035C">
              <w:t>Equipment</w:t>
            </w:r>
          </w:p>
        </w:tc>
        <w:tc>
          <w:tcPr>
            <w:tcW w:w="3015" w:type="dxa"/>
            <w:tcBorders>
              <w:top w:val="nil"/>
              <w:bottom w:val="nil"/>
            </w:tcBorders>
            <w:shd w:val="clear" w:color="auto" w:fill="000000" w:themeFill="text1"/>
            <w:vAlign w:val="bottom"/>
          </w:tcPr>
          <w:p w14:paraId="562C2A9B" w14:textId="77777777" w:rsidR="000E4B25" w:rsidRPr="0086035C" w:rsidRDefault="000E4B25" w:rsidP="005A7336">
            <w:pPr>
              <w:pStyle w:val="TableColumnHeadings-multirow"/>
              <w:keepNext w:val="0"/>
              <w:keepLines w:val="0"/>
              <w:spacing w:before="80" w:after="80"/>
              <w:jc w:val="center"/>
            </w:pPr>
            <w:r w:rsidRPr="0086035C">
              <w:t>L</w:t>
            </w:r>
            <w:r w:rsidRPr="0086035C">
              <w:rPr>
                <w:vertAlign w:val="subscript"/>
              </w:rPr>
              <w:t>max</w:t>
            </w:r>
            <w:r w:rsidRPr="0086035C">
              <w:t xml:space="preserve"> (dBA) at 50 feet</w:t>
            </w:r>
          </w:p>
        </w:tc>
        <w:tc>
          <w:tcPr>
            <w:tcW w:w="3092" w:type="dxa"/>
            <w:tcBorders>
              <w:top w:val="nil"/>
              <w:bottom w:val="nil"/>
            </w:tcBorders>
            <w:shd w:val="clear" w:color="auto" w:fill="000000" w:themeFill="text1"/>
            <w:vAlign w:val="bottom"/>
          </w:tcPr>
          <w:p w14:paraId="776B4D3A" w14:textId="728321AE" w:rsidR="000E4B25" w:rsidRPr="0086035C" w:rsidRDefault="000E4B25" w:rsidP="005A7336">
            <w:pPr>
              <w:pStyle w:val="TableColumnHeadings-multirow"/>
              <w:keepNext w:val="0"/>
              <w:keepLines w:val="0"/>
              <w:spacing w:before="80" w:after="80"/>
              <w:jc w:val="center"/>
            </w:pPr>
            <w:r w:rsidRPr="0086035C">
              <w:t>L</w:t>
            </w:r>
            <w:r w:rsidRPr="0086035C">
              <w:rPr>
                <w:vertAlign w:val="subscript"/>
              </w:rPr>
              <w:t>max</w:t>
            </w:r>
            <w:r w:rsidRPr="0086035C">
              <w:t xml:space="preserve"> (dBA) at 50</w:t>
            </w:r>
            <w:r>
              <w:t>0</w:t>
            </w:r>
            <w:r w:rsidRPr="0086035C">
              <w:t xml:space="preserve"> feet</w:t>
            </w:r>
          </w:p>
        </w:tc>
      </w:tr>
      <w:tr w:rsidR="000E4B25" w:rsidRPr="009A2A5D" w14:paraId="4E95D485" w14:textId="77777777" w:rsidTr="008E4D99">
        <w:trPr>
          <w:tblHeader/>
        </w:trPr>
        <w:tc>
          <w:tcPr>
            <w:tcW w:w="2921" w:type="dxa"/>
            <w:tcBorders>
              <w:top w:val="nil"/>
            </w:tcBorders>
          </w:tcPr>
          <w:p w14:paraId="195405CC" w14:textId="77777777" w:rsidR="000E4B25" w:rsidRPr="009A2A5D" w:rsidRDefault="000E4B25" w:rsidP="008E4D99">
            <w:pPr>
              <w:pStyle w:val="Tabletext0"/>
              <w:spacing w:before="40" w:after="40"/>
              <w:rPr>
                <w:rFonts w:asciiTheme="minorHAnsi" w:hAnsiTheme="minorHAnsi" w:cstheme="minorHAnsi"/>
                <w:sz w:val="18"/>
              </w:rPr>
            </w:pPr>
            <w:r w:rsidRPr="009A2A5D">
              <w:rPr>
                <w:rFonts w:asciiTheme="minorHAnsi" w:hAnsiTheme="minorHAnsi" w:cstheme="minorHAnsi"/>
                <w:sz w:val="18"/>
              </w:rPr>
              <w:t>Air Compressor</w:t>
            </w:r>
          </w:p>
        </w:tc>
        <w:tc>
          <w:tcPr>
            <w:tcW w:w="3015" w:type="dxa"/>
            <w:tcBorders>
              <w:top w:val="nil"/>
            </w:tcBorders>
          </w:tcPr>
          <w:p w14:paraId="476F3215" w14:textId="77777777" w:rsidR="000E4B25" w:rsidRPr="009A2A5D" w:rsidRDefault="000E4B25" w:rsidP="008E4D99">
            <w:pPr>
              <w:pStyle w:val="Tabletext0"/>
              <w:spacing w:before="40" w:after="40"/>
              <w:ind w:right="1362"/>
              <w:jc w:val="right"/>
              <w:rPr>
                <w:rFonts w:asciiTheme="minorHAnsi" w:hAnsiTheme="minorHAnsi" w:cstheme="minorHAnsi"/>
                <w:sz w:val="18"/>
              </w:rPr>
            </w:pPr>
            <w:r w:rsidRPr="009A2A5D">
              <w:rPr>
                <w:rFonts w:asciiTheme="minorHAnsi" w:hAnsiTheme="minorHAnsi" w:cstheme="minorHAnsi"/>
                <w:sz w:val="18"/>
              </w:rPr>
              <w:t>80</w:t>
            </w:r>
          </w:p>
        </w:tc>
        <w:tc>
          <w:tcPr>
            <w:tcW w:w="3092" w:type="dxa"/>
            <w:tcBorders>
              <w:top w:val="nil"/>
            </w:tcBorders>
            <w:vAlign w:val="center"/>
          </w:tcPr>
          <w:p w14:paraId="0FE13AB4" w14:textId="77777777" w:rsidR="000E4B25" w:rsidRPr="009A2A5D" w:rsidRDefault="000E4B25" w:rsidP="008E4D99">
            <w:pPr>
              <w:pStyle w:val="Tabletext0"/>
              <w:spacing w:before="40" w:after="40"/>
              <w:ind w:right="1362"/>
              <w:jc w:val="right"/>
              <w:rPr>
                <w:rFonts w:asciiTheme="minorHAnsi" w:hAnsiTheme="minorHAnsi" w:cstheme="minorHAnsi"/>
                <w:sz w:val="18"/>
              </w:rPr>
            </w:pPr>
            <w:r w:rsidRPr="009A2A5D">
              <w:rPr>
                <w:rFonts w:asciiTheme="minorHAnsi" w:hAnsiTheme="minorHAnsi" w:cstheme="minorHAnsi"/>
                <w:sz w:val="18"/>
              </w:rPr>
              <w:t>60</w:t>
            </w:r>
          </w:p>
        </w:tc>
      </w:tr>
      <w:tr w:rsidR="000E4B25" w:rsidRPr="009A2A5D" w14:paraId="1EB39595" w14:textId="77777777" w:rsidTr="008E4D99">
        <w:trPr>
          <w:tblHeader/>
        </w:trPr>
        <w:tc>
          <w:tcPr>
            <w:tcW w:w="2921" w:type="dxa"/>
          </w:tcPr>
          <w:p w14:paraId="6506D6F1" w14:textId="77777777" w:rsidR="000E4B25" w:rsidRPr="009A2A5D" w:rsidRDefault="000E4B25" w:rsidP="008E4D99">
            <w:pPr>
              <w:pStyle w:val="Tabletext0"/>
              <w:spacing w:before="40" w:after="40"/>
              <w:rPr>
                <w:rFonts w:asciiTheme="minorHAnsi" w:hAnsiTheme="minorHAnsi" w:cstheme="minorHAnsi"/>
                <w:sz w:val="18"/>
              </w:rPr>
            </w:pPr>
            <w:r w:rsidRPr="009A2A5D">
              <w:rPr>
                <w:rFonts w:asciiTheme="minorHAnsi" w:hAnsiTheme="minorHAnsi" w:cstheme="minorHAnsi"/>
                <w:sz w:val="18"/>
              </w:rPr>
              <w:t>Backhoe</w:t>
            </w:r>
          </w:p>
        </w:tc>
        <w:tc>
          <w:tcPr>
            <w:tcW w:w="3015" w:type="dxa"/>
          </w:tcPr>
          <w:p w14:paraId="5270D994" w14:textId="77777777" w:rsidR="000E4B25" w:rsidRPr="009A2A5D" w:rsidRDefault="000E4B25" w:rsidP="008E4D99">
            <w:pPr>
              <w:pStyle w:val="Tabletext0"/>
              <w:spacing w:before="40" w:after="40"/>
              <w:ind w:right="1362"/>
              <w:jc w:val="right"/>
              <w:rPr>
                <w:rFonts w:asciiTheme="minorHAnsi" w:hAnsiTheme="minorHAnsi" w:cstheme="minorHAnsi"/>
                <w:sz w:val="18"/>
              </w:rPr>
            </w:pPr>
            <w:r w:rsidRPr="009A2A5D">
              <w:rPr>
                <w:rFonts w:asciiTheme="minorHAnsi" w:hAnsiTheme="minorHAnsi" w:cstheme="minorHAnsi"/>
                <w:sz w:val="18"/>
              </w:rPr>
              <w:t>80</w:t>
            </w:r>
          </w:p>
        </w:tc>
        <w:tc>
          <w:tcPr>
            <w:tcW w:w="3092" w:type="dxa"/>
            <w:vAlign w:val="center"/>
          </w:tcPr>
          <w:p w14:paraId="4E57F089" w14:textId="77777777" w:rsidR="000E4B25" w:rsidRPr="009A2A5D" w:rsidRDefault="000E4B25" w:rsidP="008E4D99">
            <w:pPr>
              <w:pStyle w:val="Tabletext0"/>
              <w:spacing w:before="40" w:after="40"/>
              <w:ind w:right="1362"/>
              <w:jc w:val="right"/>
              <w:rPr>
                <w:rFonts w:asciiTheme="minorHAnsi" w:hAnsiTheme="minorHAnsi" w:cstheme="minorHAnsi"/>
                <w:sz w:val="18"/>
              </w:rPr>
            </w:pPr>
            <w:r w:rsidRPr="009A2A5D">
              <w:rPr>
                <w:rFonts w:asciiTheme="minorHAnsi" w:hAnsiTheme="minorHAnsi" w:cstheme="minorHAnsi"/>
                <w:sz w:val="18"/>
              </w:rPr>
              <w:t>60</w:t>
            </w:r>
          </w:p>
        </w:tc>
      </w:tr>
      <w:tr w:rsidR="000E4B25" w:rsidRPr="009A2A5D" w14:paraId="7150899C" w14:textId="77777777" w:rsidTr="008E4D99">
        <w:trPr>
          <w:tblHeader/>
        </w:trPr>
        <w:tc>
          <w:tcPr>
            <w:tcW w:w="2921" w:type="dxa"/>
          </w:tcPr>
          <w:p w14:paraId="6A7E387D" w14:textId="77777777" w:rsidR="000E4B25" w:rsidRPr="009A2A5D" w:rsidRDefault="000E4B25" w:rsidP="008E4D99">
            <w:pPr>
              <w:pStyle w:val="Tabletext0"/>
              <w:spacing w:before="40" w:after="40"/>
              <w:rPr>
                <w:rFonts w:asciiTheme="minorHAnsi" w:hAnsiTheme="minorHAnsi" w:cstheme="minorHAnsi"/>
                <w:sz w:val="18"/>
              </w:rPr>
            </w:pPr>
            <w:r w:rsidRPr="009A2A5D">
              <w:rPr>
                <w:rFonts w:asciiTheme="minorHAnsi" w:hAnsiTheme="minorHAnsi" w:cstheme="minorHAnsi"/>
                <w:sz w:val="18"/>
              </w:rPr>
              <w:t xml:space="preserve">Compactor </w:t>
            </w:r>
          </w:p>
        </w:tc>
        <w:tc>
          <w:tcPr>
            <w:tcW w:w="3015" w:type="dxa"/>
          </w:tcPr>
          <w:p w14:paraId="0749F891" w14:textId="77777777" w:rsidR="000E4B25" w:rsidRPr="009A2A5D" w:rsidRDefault="000E4B25" w:rsidP="008E4D99">
            <w:pPr>
              <w:pStyle w:val="Tabletext0"/>
              <w:spacing w:before="40" w:after="40"/>
              <w:ind w:right="1362"/>
              <w:jc w:val="right"/>
              <w:rPr>
                <w:rFonts w:asciiTheme="minorHAnsi" w:hAnsiTheme="minorHAnsi" w:cstheme="minorHAnsi"/>
                <w:sz w:val="18"/>
              </w:rPr>
            </w:pPr>
            <w:r w:rsidRPr="009A2A5D">
              <w:rPr>
                <w:rFonts w:asciiTheme="minorHAnsi" w:hAnsiTheme="minorHAnsi" w:cstheme="minorHAnsi"/>
                <w:sz w:val="18"/>
              </w:rPr>
              <w:t>82</w:t>
            </w:r>
          </w:p>
        </w:tc>
        <w:tc>
          <w:tcPr>
            <w:tcW w:w="3092" w:type="dxa"/>
            <w:vAlign w:val="center"/>
          </w:tcPr>
          <w:p w14:paraId="3BD18E65" w14:textId="77777777" w:rsidR="000E4B25" w:rsidRPr="009A2A5D" w:rsidRDefault="000E4B25" w:rsidP="008E4D99">
            <w:pPr>
              <w:pStyle w:val="Tabletext0"/>
              <w:spacing w:before="40" w:after="40"/>
              <w:ind w:right="1362"/>
              <w:jc w:val="right"/>
              <w:rPr>
                <w:rFonts w:asciiTheme="minorHAnsi" w:hAnsiTheme="minorHAnsi" w:cstheme="minorHAnsi"/>
                <w:sz w:val="18"/>
              </w:rPr>
            </w:pPr>
            <w:r w:rsidRPr="009A2A5D">
              <w:rPr>
                <w:rFonts w:asciiTheme="minorHAnsi" w:hAnsiTheme="minorHAnsi" w:cstheme="minorHAnsi"/>
                <w:sz w:val="18"/>
              </w:rPr>
              <w:t>62</w:t>
            </w:r>
          </w:p>
        </w:tc>
      </w:tr>
      <w:tr w:rsidR="000E4B25" w:rsidRPr="009A2A5D" w14:paraId="3C92F4B6" w14:textId="77777777" w:rsidTr="008E4D99">
        <w:trPr>
          <w:tblHeader/>
        </w:trPr>
        <w:tc>
          <w:tcPr>
            <w:tcW w:w="2921" w:type="dxa"/>
          </w:tcPr>
          <w:p w14:paraId="39BC2C78" w14:textId="77777777" w:rsidR="000E4B25" w:rsidRPr="009A2A5D" w:rsidRDefault="000E4B25" w:rsidP="008E4D99">
            <w:pPr>
              <w:pStyle w:val="Tabletext0"/>
              <w:spacing w:before="40" w:after="40"/>
              <w:rPr>
                <w:rFonts w:asciiTheme="minorHAnsi" w:hAnsiTheme="minorHAnsi" w:cstheme="minorHAnsi"/>
                <w:sz w:val="18"/>
              </w:rPr>
            </w:pPr>
            <w:r w:rsidRPr="009A2A5D">
              <w:rPr>
                <w:rFonts w:asciiTheme="minorHAnsi" w:hAnsiTheme="minorHAnsi" w:cstheme="minorHAnsi"/>
                <w:sz w:val="18"/>
              </w:rPr>
              <w:t xml:space="preserve">Concrete Mixer </w:t>
            </w:r>
          </w:p>
        </w:tc>
        <w:tc>
          <w:tcPr>
            <w:tcW w:w="3015" w:type="dxa"/>
          </w:tcPr>
          <w:p w14:paraId="0302C8BF" w14:textId="77777777" w:rsidR="000E4B25" w:rsidRPr="009A2A5D" w:rsidRDefault="000E4B25" w:rsidP="008E4D99">
            <w:pPr>
              <w:pStyle w:val="Tabletext0"/>
              <w:spacing w:before="40" w:after="40"/>
              <w:ind w:right="1362"/>
              <w:jc w:val="right"/>
              <w:rPr>
                <w:rFonts w:asciiTheme="minorHAnsi" w:hAnsiTheme="minorHAnsi" w:cstheme="minorHAnsi"/>
                <w:sz w:val="18"/>
              </w:rPr>
            </w:pPr>
            <w:r w:rsidRPr="009A2A5D">
              <w:rPr>
                <w:rFonts w:asciiTheme="minorHAnsi" w:hAnsiTheme="minorHAnsi" w:cstheme="minorHAnsi"/>
                <w:sz w:val="18"/>
              </w:rPr>
              <w:t>85</w:t>
            </w:r>
          </w:p>
        </w:tc>
        <w:tc>
          <w:tcPr>
            <w:tcW w:w="3092" w:type="dxa"/>
            <w:vAlign w:val="center"/>
          </w:tcPr>
          <w:p w14:paraId="1CDBF000" w14:textId="77777777" w:rsidR="000E4B25" w:rsidRPr="009A2A5D" w:rsidRDefault="000E4B25" w:rsidP="008E4D99">
            <w:pPr>
              <w:pStyle w:val="Tabletext0"/>
              <w:spacing w:before="40" w:after="40"/>
              <w:ind w:right="1362"/>
              <w:jc w:val="right"/>
              <w:rPr>
                <w:rFonts w:asciiTheme="minorHAnsi" w:hAnsiTheme="minorHAnsi" w:cstheme="minorHAnsi"/>
                <w:sz w:val="18"/>
              </w:rPr>
            </w:pPr>
            <w:r w:rsidRPr="009A2A5D">
              <w:rPr>
                <w:rFonts w:asciiTheme="minorHAnsi" w:hAnsiTheme="minorHAnsi" w:cstheme="minorHAnsi"/>
                <w:sz w:val="18"/>
              </w:rPr>
              <w:t>65</w:t>
            </w:r>
          </w:p>
        </w:tc>
      </w:tr>
      <w:tr w:rsidR="000E4B25" w:rsidRPr="009A2A5D" w14:paraId="33118829" w14:textId="77777777" w:rsidTr="008E4D99">
        <w:trPr>
          <w:tblHeader/>
        </w:trPr>
        <w:tc>
          <w:tcPr>
            <w:tcW w:w="2921" w:type="dxa"/>
          </w:tcPr>
          <w:p w14:paraId="6CC2CA3F" w14:textId="77777777" w:rsidR="000E4B25" w:rsidRPr="009A2A5D" w:rsidRDefault="000E4B25" w:rsidP="008E4D99">
            <w:pPr>
              <w:pStyle w:val="Tabletext0"/>
              <w:spacing w:before="40" w:after="40"/>
              <w:rPr>
                <w:rFonts w:asciiTheme="minorHAnsi" w:hAnsiTheme="minorHAnsi" w:cstheme="minorHAnsi"/>
                <w:sz w:val="18"/>
              </w:rPr>
            </w:pPr>
            <w:r w:rsidRPr="009A2A5D">
              <w:rPr>
                <w:rFonts w:asciiTheme="minorHAnsi" w:hAnsiTheme="minorHAnsi" w:cstheme="minorHAnsi"/>
                <w:sz w:val="18"/>
              </w:rPr>
              <w:t>Concrete Pump</w:t>
            </w:r>
          </w:p>
        </w:tc>
        <w:tc>
          <w:tcPr>
            <w:tcW w:w="3015" w:type="dxa"/>
          </w:tcPr>
          <w:p w14:paraId="07D5D4D1" w14:textId="77777777" w:rsidR="000E4B25" w:rsidRPr="009A2A5D" w:rsidRDefault="000E4B25" w:rsidP="008E4D99">
            <w:pPr>
              <w:pStyle w:val="Tabletext0"/>
              <w:spacing w:before="40" w:after="40"/>
              <w:ind w:right="1362"/>
              <w:jc w:val="right"/>
              <w:rPr>
                <w:rFonts w:asciiTheme="minorHAnsi" w:hAnsiTheme="minorHAnsi" w:cstheme="minorHAnsi"/>
                <w:sz w:val="18"/>
              </w:rPr>
            </w:pPr>
            <w:r w:rsidRPr="009A2A5D">
              <w:rPr>
                <w:rFonts w:asciiTheme="minorHAnsi" w:hAnsiTheme="minorHAnsi" w:cstheme="minorHAnsi"/>
                <w:sz w:val="18"/>
              </w:rPr>
              <w:t>82</w:t>
            </w:r>
          </w:p>
        </w:tc>
        <w:tc>
          <w:tcPr>
            <w:tcW w:w="3092" w:type="dxa"/>
            <w:vAlign w:val="center"/>
          </w:tcPr>
          <w:p w14:paraId="31520834" w14:textId="77777777" w:rsidR="000E4B25" w:rsidRPr="009A2A5D" w:rsidRDefault="000E4B25" w:rsidP="008E4D99">
            <w:pPr>
              <w:pStyle w:val="Tabletext0"/>
              <w:spacing w:before="40" w:after="40"/>
              <w:ind w:right="1362"/>
              <w:jc w:val="right"/>
              <w:rPr>
                <w:rFonts w:asciiTheme="minorHAnsi" w:hAnsiTheme="minorHAnsi" w:cstheme="minorHAnsi"/>
                <w:sz w:val="18"/>
              </w:rPr>
            </w:pPr>
            <w:r w:rsidRPr="009A2A5D">
              <w:rPr>
                <w:rFonts w:asciiTheme="minorHAnsi" w:hAnsiTheme="minorHAnsi" w:cstheme="minorHAnsi"/>
                <w:sz w:val="18"/>
              </w:rPr>
              <w:t>62</w:t>
            </w:r>
          </w:p>
        </w:tc>
      </w:tr>
      <w:tr w:rsidR="000E4B25" w:rsidRPr="009A2A5D" w14:paraId="49D41EDB" w14:textId="77777777" w:rsidTr="008E4D99">
        <w:trPr>
          <w:tblHeader/>
        </w:trPr>
        <w:tc>
          <w:tcPr>
            <w:tcW w:w="2921" w:type="dxa"/>
          </w:tcPr>
          <w:p w14:paraId="42A15B7F" w14:textId="77777777" w:rsidR="000E4B25" w:rsidRPr="009A2A5D" w:rsidRDefault="000E4B25" w:rsidP="008E4D99">
            <w:pPr>
              <w:pStyle w:val="Tabletext0"/>
              <w:spacing w:before="40" w:after="40"/>
              <w:rPr>
                <w:rFonts w:asciiTheme="minorHAnsi" w:hAnsiTheme="minorHAnsi" w:cstheme="minorHAnsi"/>
                <w:sz w:val="18"/>
              </w:rPr>
            </w:pPr>
            <w:r w:rsidRPr="009A2A5D">
              <w:rPr>
                <w:rFonts w:asciiTheme="minorHAnsi" w:hAnsiTheme="minorHAnsi" w:cstheme="minorHAnsi"/>
                <w:sz w:val="18"/>
              </w:rPr>
              <w:t xml:space="preserve">Concrete Vibrator </w:t>
            </w:r>
          </w:p>
        </w:tc>
        <w:tc>
          <w:tcPr>
            <w:tcW w:w="3015" w:type="dxa"/>
          </w:tcPr>
          <w:p w14:paraId="433FDF5E" w14:textId="77777777" w:rsidR="000E4B25" w:rsidRPr="009A2A5D" w:rsidRDefault="000E4B25" w:rsidP="008E4D99">
            <w:pPr>
              <w:pStyle w:val="Tabletext0"/>
              <w:spacing w:before="40" w:after="40"/>
              <w:ind w:right="1362"/>
              <w:jc w:val="right"/>
              <w:rPr>
                <w:rFonts w:asciiTheme="minorHAnsi" w:hAnsiTheme="minorHAnsi" w:cstheme="minorHAnsi"/>
                <w:sz w:val="18"/>
              </w:rPr>
            </w:pPr>
            <w:r w:rsidRPr="009A2A5D">
              <w:rPr>
                <w:rFonts w:asciiTheme="minorHAnsi" w:hAnsiTheme="minorHAnsi" w:cstheme="minorHAnsi"/>
                <w:sz w:val="18"/>
              </w:rPr>
              <w:t>76</w:t>
            </w:r>
          </w:p>
        </w:tc>
        <w:tc>
          <w:tcPr>
            <w:tcW w:w="3092" w:type="dxa"/>
            <w:vAlign w:val="center"/>
          </w:tcPr>
          <w:p w14:paraId="0468F6E3" w14:textId="77777777" w:rsidR="000E4B25" w:rsidRPr="009A2A5D" w:rsidRDefault="000E4B25" w:rsidP="008E4D99">
            <w:pPr>
              <w:pStyle w:val="Tabletext0"/>
              <w:spacing w:before="40" w:after="40"/>
              <w:ind w:right="1362"/>
              <w:jc w:val="right"/>
              <w:rPr>
                <w:rFonts w:asciiTheme="minorHAnsi" w:hAnsiTheme="minorHAnsi" w:cstheme="minorHAnsi"/>
                <w:sz w:val="18"/>
              </w:rPr>
            </w:pPr>
            <w:r w:rsidRPr="009A2A5D">
              <w:rPr>
                <w:rFonts w:asciiTheme="minorHAnsi" w:hAnsiTheme="minorHAnsi" w:cstheme="minorHAnsi"/>
                <w:sz w:val="18"/>
              </w:rPr>
              <w:t>56</w:t>
            </w:r>
          </w:p>
        </w:tc>
      </w:tr>
      <w:tr w:rsidR="000E4B25" w:rsidRPr="009A2A5D" w14:paraId="1EB24C5D" w14:textId="77777777" w:rsidTr="008E4D99">
        <w:trPr>
          <w:tblHeader/>
        </w:trPr>
        <w:tc>
          <w:tcPr>
            <w:tcW w:w="2921" w:type="dxa"/>
          </w:tcPr>
          <w:p w14:paraId="69B0A0D5" w14:textId="77777777" w:rsidR="000E4B25" w:rsidRPr="009A2A5D" w:rsidRDefault="000E4B25" w:rsidP="008E4D99">
            <w:pPr>
              <w:pStyle w:val="Tabletext0"/>
              <w:spacing w:before="40" w:after="40"/>
              <w:rPr>
                <w:rFonts w:asciiTheme="minorHAnsi" w:hAnsiTheme="minorHAnsi" w:cstheme="minorHAnsi"/>
                <w:sz w:val="18"/>
              </w:rPr>
            </w:pPr>
            <w:r w:rsidRPr="009A2A5D">
              <w:rPr>
                <w:rFonts w:asciiTheme="minorHAnsi" w:hAnsiTheme="minorHAnsi" w:cstheme="minorHAnsi"/>
                <w:sz w:val="18"/>
              </w:rPr>
              <w:t>Crane, Derrick</w:t>
            </w:r>
          </w:p>
        </w:tc>
        <w:tc>
          <w:tcPr>
            <w:tcW w:w="3015" w:type="dxa"/>
          </w:tcPr>
          <w:p w14:paraId="3816ED16" w14:textId="77777777" w:rsidR="000E4B25" w:rsidRPr="009A2A5D" w:rsidRDefault="000E4B25" w:rsidP="008E4D99">
            <w:pPr>
              <w:pStyle w:val="Tabletext0"/>
              <w:spacing w:before="40" w:after="40"/>
              <w:ind w:right="1362"/>
              <w:jc w:val="right"/>
              <w:rPr>
                <w:rFonts w:asciiTheme="minorHAnsi" w:hAnsiTheme="minorHAnsi" w:cstheme="minorHAnsi"/>
                <w:sz w:val="18"/>
              </w:rPr>
            </w:pPr>
            <w:r w:rsidRPr="009A2A5D">
              <w:rPr>
                <w:rFonts w:asciiTheme="minorHAnsi" w:hAnsiTheme="minorHAnsi" w:cstheme="minorHAnsi"/>
                <w:sz w:val="18"/>
              </w:rPr>
              <w:t>88</w:t>
            </w:r>
          </w:p>
        </w:tc>
        <w:tc>
          <w:tcPr>
            <w:tcW w:w="3092" w:type="dxa"/>
            <w:vAlign w:val="center"/>
          </w:tcPr>
          <w:p w14:paraId="6292396F" w14:textId="77777777" w:rsidR="000E4B25" w:rsidRPr="009A2A5D" w:rsidRDefault="000E4B25" w:rsidP="008E4D99">
            <w:pPr>
              <w:pStyle w:val="Tabletext0"/>
              <w:spacing w:before="40" w:after="40"/>
              <w:ind w:right="1362"/>
              <w:jc w:val="right"/>
              <w:rPr>
                <w:rFonts w:asciiTheme="minorHAnsi" w:hAnsiTheme="minorHAnsi" w:cstheme="minorHAnsi"/>
                <w:sz w:val="18"/>
              </w:rPr>
            </w:pPr>
            <w:r w:rsidRPr="009A2A5D">
              <w:rPr>
                <w:rFonts w:asciiTheme="minorHAnsi" w:hAnsiTheme="minorHAnsi" w:cstheme="minorHAnsi"/>
                <w:sz w:val="18"/>
              </w:rPr>
              <w:t>68</w:t>
            </w:r>
          </w:p>
        </w:tc>
      </w:tr>
      <w:tr w:rsidR="000E4B25" w:rsidRPr="009A2A5D" w14:paraId="71E7BAEE" w14:textId="77777777" w:rsidTr="008E4D99">
        <w:trPr>
          <w:tblHeader/>
        </w:trPr>
        <w:tc>
          <w:tcPr>
            <w:tcW w:w="2921" w:type="dxa"/>
          </w:tcPr>
          <w:p w14:paraId="39285AFC" w14:textId="77777777" w:rsidR="000E4B25" w:rsidRPr="009A2A5D" w:rsidRDefault="000E4B25" w:rsidP="008E4D99">
            <w:pPr>
              <w:pStyle w:val="Tabletext0"/>
              <w:spacing w:before="40" w:after="40"/>
              <w:rPr>
                <w:rFonts w:asciiTheme="minorHAnsi" w:hAnsiTheme="minorHAnsi" w:cstheme="minorHAnsi"/>
                <w:sz w:val="18"/>
              </w:rPr>
            </w:pPr>
            <w:r w:rsidRPr="009A2A5D">
              <w:rPr>
                <w:rFonts w:asciiTheme="minorHAnsi" w:hAnsiTheme="minorHAnsi" w:cstheme="minorHAnsi"/>
                <w:sz w:val="18"/>
              </w:rPr>
              <w:t>Crane, mobile</w:t>
            </w:r>
          </w:p>
        </w:tc>
        <w:tc>
          <w:tcPr>
            <w:tcW w:w="3015" w:type="dxa"/>
          </w:tcPr>
          <w:p w14:paraId="5C374F29" w14:textId="77777777" w:rsidR="000E4B25" w:rsidRPr="009A2A5D" w:rsidRDefault="000E4B25" w:rsidP="008E4D99">
            <w:pPr>
              <w:pStyle w:val="Tabletext0"/>
              <w:spacing w:before="40" w:after="40"/>
              <w:ind w:right="1362"/>
              <w:jc w:val="right"/>
              <w:rPr>
                <w:rFonts w:asciiTheme="minorHAnsi" w:hAnsiTheme="minorHAnsi" w:cstheme="minorHAnsi"/>
                <w:sz w:val="18"/>
              </w:rPr>
            </w:pPr>
            <w:r w:rsidRPr="009A2A5D">
              <w:rPr>
                <w:rFonts w:asciiTheme="minorHAnsi" w:hAnsiTheme="minorHAnsi" w:cstheme="minorHAnsi"/>
                <w:sz w:val="18"/>
              </w:rPr>
              <w:t>83</w:t>
            </w:r>
          </w:p>
        </w:tc>
        <w:tc>
          <w:tcPr>
            <w:tcW w:w="3092" w:type="dxa"/>
            <w:vAlign w:val="center"/>
          </w:tcPr>
          <w:p w14:paraId="50E4BB06" w14:textId="77777777" w:rsidR="000E4B25" w:rsidRPr="009A2A5D" w:rsidRDefault="000E4B25" w:rsidP="008E4D99">
            <w:pPr>
              <w:pStyle w:val="Tabletext0"/>
              <w:spacing w:before="40" w:after="40"/>
              <w:ind w:right="1362"/>
              <w:jc w:val="right"/>
              <w:rPr>
                <w:rFonts w:asciiTheme="minorHAnsi" w:hAnsiTheme="minorHAnsi" w:cstheme="minorHAnsi"/>
                <w:sz w:val="18"/>
              </w:rPr>
            </w:pPr>
            <w:r w:rsidRPr="009A2A5D">
              <w:rPr>
                <w:rFonts w:asciiTheme="minorHAnsi" w:hAnsiTheme="minorHAnsi" w:cstheme="minorHAnsi"/>
                <w:sz w:val="18"/>
              </w:rPr>
              <w:t>63</w:t>
            </w:r>
          </w:p>
        </w:tc>
      </w:tr>
      <w:tr w:rsidR="000E4B25" w:rsidRPr="009A2A5D" w14:paraId="3D316257" w14:textId="77777777" w:rsidTr="008E4D99">
        <w:trPr>
          <w:tblHeader/>
        </w:trPr>
        <w:tc>
          <w:tcPr>
            <w:tcW w:w="2921" w:type="dxa"/>
          </w:tcPr>
          <w:p w14:paraId="61FB2FEC" w14:textId="77777777" w:rsidR="000E4B25" w:rsidRPr="009A2A5D" w:rsidRDefault="000E4B25" w:rsidP="008E4D99">
            <w:pPr>
              <w:pStyle w:val="Tabletext0"/>
              <w:spacing w:before="40" w:after="40"/>
              <w:rPr>
                <w:rFonts w:asciiTheme="minorHAnsi" w:hAnsiTheme="minorHAnsi" w:cstheme="minorHAnsi"/>
                <w:sz w:val="18"/>
              </w:rPr>
            </w:pPr>
            <w:r w:rsidRPr="009A2A5D">
              <w:rPr>
                <w:rFonts w:asciiTheme="minorHAnsi" w:hAnsiTheme="minorHAnsi" w:cstheme="minorHAnsi"/>
                <w:sz w:val="18"/>
              </w:rPr>
              <w:t>Dozer</w:t>
            </w:r>
          </w:p>
        </w:tc>
        <w:tc>
          <w:tcPr>
            <w:tcW w:w="3015" w:type="dxa"/>
          </w:tcPr>
          <w:p w14:paraId="7C6A6D7D" w14:textId="77777777" w:rsidR="000E4B25" w:rsidRPr="009A2A5D" w:rsidRDefault="000E4B25" w:rsidP="008E4D99">
            <w:pPr>
              <w:pStyle w:val="Tabletext0"/>
              <w:spacing w:before="40" w:after="40"/>
              <w:ind w:right="1362"/>
              <w:jc w:val="right"/>
              <w:rPr>
                <w:rFonts w:asciiTheme="minorHAnsi" w:hAnsiTheme="minorHAnsi" w:cstheme="minorHAnsi"/>
                <w:sz w:val="18"/>
              </w:rPr>
            </w:pPr>
            <w:r w:rsidRPr="009A2A5D">
              <w:rPr>
                <w:rFonts w:asciiTheme="minorHAnsi" w:hAnsiTheme="minorHAnsi" w:cstheme="minorHAnsi"/>
                <w:sz w:val="18"/>
              </w:rPr>
              <w:t>85</w:t>
            </w:r>
          </w:p>
        </w:tc>
        <w:tc>
          <w:tcPr>
            <w:tcW w:w="3092" w:type="dxa"/>
            <w:vAlign w:val="center"/>
          </w:tcPr>
          <w:p w14:paraId="19F73ED0" w14:textId="77777777" w:rsidR="000E4B25" w:rsidRPr="009A2A5D" w:rsidRDefault="000E4B25" w:rsidP="008E4D99">
            <w:pPr>
              <w:pStyle w:val="Tabletext0"/>
              <w:spacing w:before="40" w:after="40"/>
              <w:ind w:right="1362"/>
              <w:jc w:val="right"/>
              <w:rPr>
                <w:rFonts w:asciiTheme="minorHAnsi" w:hAnsiTheme="minorHAnsi" w:cstheme="minorHAnsi"/>
                <w:sz w:val="18"/>
              </w:rPr>
            </w:pPr>
            <w:r w:rsidRPr="009A2A5D">
              <w:rPr>
                <w:rFonts w:asciiTheme="minorHAnsi" w:hAnsiTheme="minorHAnsi" w:cstheme="minorHAnsi"/>
                <w:sz w:val="18"/>
              </w:rPr>
              <w:t>65</w:t>
            </w:r>
          </w:p>
        </w:tc>
      </w:tr>
      <w:tr w:rsidR="000E4B25" w:rsidRPr="009A2A5D" w14:paraId="1CF08895" w14:textId="77777777" w:rsidTr="008E4D99">
        <w:trPr>
          <w:tblHeader/>
        </w:trPr>
        <w:tc>
          <w:tcPr>
            <w:tcW w:w="2921" w:type="dxa"/>
          </w:tcPr>
          <w:p w14:paraId="2A9686F6" w14:textId="77777777" w:rsidR="000E4B25" w:rsidRPr="009A2A5D" w:rsidRDefault="000E4B25" w:rsidP="008E4D99">
            <w:pPr>
              <w:pStyle w:val="Tabletext0"/>
              <w:spacing w:before="40" w:after="40"/>
              <w:rPr>
                <w:rFonts w:asciiTheme="minorHAnsi" w:hAnsiTheme="minorHAnsi" w:cstheme="minorHAnsi"/>
                <w:sz w:val="18"/>
              </w:rPr>
            </w:pPr>
            <w:r w:rsidRPr="009A2A5D">
              <w:rPr>
                <w:rFonts w:asciiTheme="minorHAnsi" w:hAnsiTheme="minorHAnsi" w:cstheme="minorHAnsi"/>
                <w:sz w:val="18"/>
              </w:rPr>
              <w:t>Generator</w:t>
            </w:r>
          </w:p>
        </w:tc>
        <w:tc>
          <w:tcPr>
            <w:tcW w:w="3015" w:type="dxa"/>
          </w:tcPr>
          <w:p w14:paraId="6BC45FA9" w14:textId="77777777" w:rsidR="000E4B25" w:rsidRPr="009A2A5D" w:rsidRDefault="000E4B25" w:rsidP="008E4D99">
            <w:pPr>
              <w:pStyle w:val="Tabletext0"/>
              <w:spacing w:before="40" w:after="40"/>
              <w:ind w:right="1362"/>
              <w:jc w:val="right"/>
              <w:rPr>
                <w:rFonts w:asciiTheme="minorHAnsi" w:hAnsiTheme="minorHAnsi" w:cstheme="minorHAnsi"/>
                <w:sz w:val="18"/>
              </w:rPr>
            </w:pPr>
            <w:r w:rsidRPr="009A2A5D">
              <w:rPr>
                <w:rFonts w:asciiTheme="minorHAnsi" w:hAnsiTheme="minorHAnsi" w:cstheme="minorHAnsi"/>
                <w:sz w:val="18"/>
              </w:rPr>
              <w:t>82</w:t>
            </w:r>
          </w:p>
        </w:tc>
        <w:tc>
          <w:tcPr>
            <w:tcW w:w="3092" w:type="dxa"/>
            <w:vAlign w:val="center"/>
          </w:tcPr>
          <w:p w14:paraId="6796BD7E" w14:textId="77777777" w:rsidR="000E4B25" w:rsidRPr="009A2A5D" w:rsidRDefault="000E4B25" w:rsidP="008E4D99">
            <w:pPr>
              <w:pStyle w:val="Tabletext0"/>
              <w:spacing w:before="40" w:after="40"/>
              <w:ind w:right="1362"/>
              <w:jc w:val="right"/>
              <w:rPr>
                <w:rFonts w:asciiTheme="minorHAnsi" w:hAnsiTheme="minorHAnsi" w:cstheme="minorHAnsi"/>
                <w:sz w:val="18"/>
              </w:rPr>
            </w:pPr>
            <w:r w:rsidRPr="009A2A5D">
              <w:rPr>
                <w:rFonts w:asciiTheme="minorHAnsi" w:hAnsiTheme="minorHAnsi" w:cstheme="minorHAnsi"/>
                <w:sz w:val="18"/>
              </w:rPr>
              <w:t>62</w:t>
            </w:r>
          </w:p>
        </w:tc>
      </w:tr>
      <w:tr w:rsidR="000E4B25" w:rsidRPr="009A2A5D" w14:paraId="00C56EFF" w14:textId="77777777" w:rsidTr="008E4D99">
        <w:trPr>
          <w:tblHeader/>
        </w:trPr>
        <w:tc>
          <w:tcPr>
            <w:tcW w:w="2921" w:type="dxa"/>
          </w:tcPr>
          <w:p w14:paraId="52B46EA1" w14:textId="77777777" w:rsidR="000E4B25" w:rsidRPr="009A2A5D" w:rsidRDefault="000E4B25" w:rsidP="008E4D99">
            <w:pPr>
              <w:pStyle w:val="Tabletext0"/>
              <w:spacing w:before="40" w:after="40"/>
              <w:rPr>
                <w:rFonts w:asciiTheme="minorHAnsi" w:hAnsiTheme="minorHAnsi" w:cstheme="minorHAnsi"/>
                <w:sz w:val="18"/>
              </w:rPr>
            </w:pPr>
            <w:r w:rsidRPr="009A2A5D">
              <w:rPr>
                <w:rFonts w:asciiTheme="minorHAnsi" w:hAnsiTheme="minorHAnsi" w:cstheme="minorHAnsi"/>
                <w:sz w:val="18"/>
              </w:rPr>
              <w:t>Grader</w:t>
            </w:r>
          </w:p>
        </w:tc>
        <w:tc>
          <w:tcPr>
            <w:tcW w:w="3015" w:type="dxa"/>
          </w:tcPr>
          <w:p w14:paraId="6F0500A9" w14:textId="77777777" w:rsidR="000E4B25" w:rsidRPr="009A2A5D" w:rsidRDefault="000E4B25" w:rsidP="008E4D99">
            <w:pPr>
              <w:pStyle w:val="Tabletext0"/>
              <w:spacing w:before="40" w:after="40"/>
              <w:ind w:right="1362"/>
              <w:jc w:val="right"/>
              <w:rPr>
                <w:rFonts w:asciiTheme="minorHAnsi" w:hAnsiTheme="minorHAnsi" w:cstheme="minorHAnsi"/>
                <w:sz w:val="18"/>
              </w:rPr>
            </w:pPr>
            <w:r w:rsidRPr="009A2A5D">
              <w:rPr>
                <w:rFonts w:asciiTheme="minorHAnsi" w:hAnsiTheme="minorHAnsi" w:cstheme="minorHAnsi"/>
                <w:sz w:val="18"/>
              </w:rPr>
              <w:t>85</w:t>
            </w:r>
          </w:p>
        </w:tc>
        <w:tc>
          <w:tcPr>
            <w:tcW w:w="3092" w:type="dxa"/>
            <w:vAlign w:val="center"/>
          </w:tcPr>
          <w:p w14:paraId="2DF73BFF" w14:textId="77777777" w:rsidR="000E4B25" w:rsidRPr="009A2A5D" w:rsidRDefault="000E4B25" w:rsidP="008E4D99">
            <w:pPr>
              <w:pStyle w:val="Tabletext0"/>
              <w:spacing w:before="40" w:after="40"/>
              <w:ind w:right="1362"/>
              <w:jc w:val="right"/>
              <w:rPr>
                <w:rFonts w:asciiTheme="minorHAnsi" w:hAnsiTheme="minorHAnsi" w:cstheme="minorHAnsi"/>
                <w:sz w:val="18"/>
              </w:rPr>
            </w:pPr>
            <w:r w:rsidRPr="009A2A5D">
              <w:rPr>
                <w:rFonts w:asciiTheme="minorHAnsi" w:hAnsiTheme="minorHAnsi" w:cstheme="minorHAnsi"/>
                <w:sz w:val="18"/>
              </w:rPr>
              <w:t>65</w:t>
            </w:r>
          </w:p>
        </w:tc>
      </w:tr>
      <w:tr w:rsidR="000E4B25" w:rsidRPr="009A2A5D" w14:paraId="239B9E4F" w14:textId="77777777" w:rsidTr="008E4D99">
        <w:trPr>
          <w:tblHeader/>
        </w:trPr>
        <w:tc>
          <w:tcPr>
            <w:tcW w:w="2921" w:type="dxa"/>
          </w:tcPr>
          <w:p w14:paraId="313FD972" w14:textId="77777777" w:rsidR="000E4B25" w:rsidRPr="009A2A5D" w:rsidRDefault="000E4B25" w:rsidP="008E4D99">
            <w:pPr>
              <w:pStyle w:val="Tabletext0"/>
              <w:spacing w:before="40" w:after="40"/>
              <w:rPr>
                <w:rFonts w:asciiTheme="minorHAnsi" w:hAnsiTheme="minorHAnsi" w:cstheme="minorHAnsi"/>
                <w:sz w:val="18"/>
              </w:rPr>
            </w:pPr>
            <w:r w:rsidRPr="009A2A5D">
              <w:rPr>
                <w:rFonts w:asciiTheme="minorHAnsi" w:hAnsiTheme="minorHAnsi" w:cstheme="minorHAnsi"/>
                <w:sz w:val="18"/>
              </w:rPr>
              <w:t>Impact Wrench</w:t>
            </w:r>
          </w:p>
        </w:tc>
        <w:tc>
          <w:tcPr>
            <w:tcW w:w="3015" w:type="dxa"/>
          </w:tcPr>
          <w:p w14:paraId="7985B5B7" w14:textId="77777777" w:rsidR="000E4B25" w:rsidRPr="009A2A5D" w:rsidRDefault="000E4B25" w:rsidP="008E4D99">
            <w:pPr>
              <w:pStyle w:val="Tabletext0"/>
              <w:spacing w:before="40" w:after="40"/>
              <w:ind w:right="1362"/>
              <w:jc w:val="right"/>
              <w:rPr>
                <w:rFonts w:asciiTheme="minorHAnsi" w:hAnsiTheme="minorHAnsi" w:cstheme="minorHAnsi"/>
                <w:sz w:val="18"/>
              </w:rPr>
            </w:pPr>
            <w:r w:rsidRPr="009A2A5D">
              <w:rPr>
                <w:rFonts w:asciiTheme="minorHAnsi" w:hAnsiTheme="minorHAnsi" w:cstheme="minorHAnsi"/>
                <w:sz w:val="18"/>
              </w:rPr>
              <w:t>85</w:t>
            </w:r>
          </w:p>
        </w:tc>
        <w:tc>
          <w:tcPr>
            <w:tcW w:w="3092" w:type="dxa"/>
            <w:vAlign w:val="center"/>
          </w:tcPr>
          <w:p w14:paraId="199927E1" w14:textId="77777777" w:rsidR="000E4B25" w:rsidRPr="009A2A5D" w:rsidRDefault="000E4B25" w:rsidP="008E4D99">
            <w:pPr>
              <w:pStyle w:val="Tabletext0"/>
              <w:spacing w:before="40" w:after="40"/>
              <w:ind w:right="1362"/>
              <w:jc w:val="right"/>
              <w:rPr>
                <w:rFonts w:asciiTheme="minorHAnsi" w:hAnsiTheme="minorHAnsi" w:cstheme="minorHAnsi"/>
                <w:sz w:val="18"/>
              </w:rPr>
            </w:pPr>
            <w:r w:rsidRPr="009A2A5D">
              <w:rPr>
                <w:rFonts w:asciiTheme="minorHAnsi" w:hAnsiTheme="minorHAnsi" w:cstheme="minorHAnsi"/>
                <w:sz w:val="18"/>
              </w:rPr>
              <w:t>65</w:t>
            </w:r>
          </w:p>
        </w:tc>
      </w:tr>
      <w:tr w:rsidR="000E4B25" w:rsidRPr="009A2A5D" w14:paraId="2204EE74" w14:textId="77777777" w:rsidTr="008E4D99">
        <w:trPr>
          <w:tblHeader/>
        </w:trPr>
        <w:tc>
          <w:tcPr>
            <w:tcW w:w="2921" w:type="dxa"/>
          </w:tcPr>
          <w:p w14:paraId="2414FFB0" w14:textId="77777777" w:rsidR="000E4B25" w:rsidRPr="009A2A5D" w:rsidRDefault="000E4B25" w:rsidP="008E4D99">
            <w:pPr>
              <w:pStyle w:val="Tabletext0"/>
              <w:spacing w:before="40" w:after="40"/>
              <w:rPr>
                <w:rFonts w:asciiTheme="minorHAnsi" w:hAnsiTheme="minorHAnsi" w:cstheme="minorHAnsi"/>
                <w:sz w:val="18"/>
              </w:rPr>
            </w:pPr>
            <w:r w:rsidRPr="009A2A5D">
              <w:rPr>
                <w:rFonts w:asciiTheme="minorHAnsi" w:hAnsiTheme="minorHAnsi" w:cstheme="minorHAnsi"/>
                <w:sz w:val="18"/>
              </w:rPr>
              <w:t>Jack Hammer</w:t>
            </w:r>
          </w:p>
        </w:tc>
        <w:tc>
          <w:tcPr>
            <w:tcW w:w="3015" w:type="dxa"/>
          </w:tcPr>
          <w:p w14:paraId="54A1C540" w14:textId="77777777" w:rsidR="000E4B25" w:rsidRPr="009A2A5D" w:rsidRDefault="000E4B25" w:rsidP="008E4D99">
            <w:pPr>
              <w:pStyle w:val="Tabletext0"/>
              <w:spacing w:before="40" w:after="40"/>
              <w:ind w:right="1362"/>
              <w:jc w:val="right"/>
              <w:rPr>
                <w:rFonts w:asciiTheme="minorHAnsi" w:hAnsiTheme="minorHAnsi" w:cstheme="minorHAnsi"/>
                <w:sz w:val="18"/>
              </w:rPr>
            </w:pPr>
            <w:r w:rsidRPr="009A2A5D">
              <w:rPr>
                <w:rFonts w:asciiTheme="minorHAnsi" w:hAnsiTheme="minorHAnsi" w:cstheme="minorHAnsi"/>
                <w:sz w:val="18"/>
              </w:rPr>
              <w:t>88</w:t>
            </w:r>
          </w:p>
        </w:tc>
        <w:tc>
          <w:tcPr>
            <w:tcW w:w="3092" w:type="dxa"/>
            <w:vAlign w:val="center"/>
          </w:tcPr>
          <w:p w14:paraId="5D18F892" w14:textId="77777777" w:rsidR="000E4B25" w:rsidRPr="009A2A5D" w:rsidRDefault="000E4B25" w:rsidP="008E4D99">
            <w:pPr>
              <w:pStyle w:val="Tabletext0"/>
              <w:spacing w:before="40" w:after="40"/>
              <w:ind w:right="1362"/>
              <w:jc w:val="right"/>
              <w:rPr>
                <w:rFonts w:asciiTheme="minorHAnsi" w:hAnsiTheme="minorHAnsi" w:cstheme="minorHAnsi"/>
                <w:sz w:val="18"/>
              </w:rPr>
            </w:pPr>
            <w:r w:rsidRPr="009A2A5D">
              <w:rPr>
                <w:rFonts w:asciiTheme="minorHAnsi" w:hAnsiTheme="minorHAnsi" w:cstheme="minorHAnsi"/>
                <w:sz w:val="18"/>
              </w:rPr>
              <w:t>68</w:t>
            </w:r>
          </w:p>
        </w:tc>
      </w:tr>
      <w:tr w:rsidR="000E4B25" w:rsidRPr="009A2A5D" w14:paraId="42F2972E" w14:textId="77777777" w:rsidTr="008E4D99">
        <w:trPr>
          <w:tblHeader/>
        </w:trPr>
        <w:tc>
          <w:tcPr>
            <w:tcW w:w="2921" w:type="dxa"/>
          </w:tcPr>
          <w:p w14:paraId="323CA3D2" w14:textId="77777777" w:rsidR="000E4B25" w:rsidRPr="009A2A5D" w:rsidRDefault="000E4B25" w:rsidP="008E4D99">
            <w:pPr>
              <w:pStyle w:val="Tabletext0"/>
              <w:spacing w:before="40" w:after="40"/>
              <w:rPr>
                <w:rFonts w:asciiTheme="minorHAnsi" w:hAnsiTheme="minorHAnsi" w:cstheme="minorHAnsi"/>
                <w:sz w:val="18"/>
              </w:rPr>
            </w:pPr>
            <w:r w:rsidRPr="009A2A5D">
              <w:rPr>
                <w:rFonts w:asciiTheme="minorHAnsi" w:hAnsiTheme="minorHAnsi" w:cstheme="minorHAnsi"/>
                <w:sz w:val="18"/>
              </w:rPr>
              <w:t xml:space="preserve">Loader </w:t>
            </w:r>
          </w:p>
        </w:tc>
        <w:tc>
          <w:tcPr>
            <w:tcW w:w="3015" w:type="dxa"/>
          </w:tcPr>
          <w:p w14:paraId="5B65744C" w14:textId="77777777" w:rsidR="000E4B25" w:rsidRPr="009A2A5D" w:rsidRDefault="000E4B25" w:rsidP="008E4D99">
            <w:pPr>
              <w:pStyle w:val="Tabletext0"/>
              <w:spacing w:before="40" w:after="40"/>
              <w:ind w:right="1362"/>
              <w:jc w:val="right"/>
              <w:rPr>
                <w:rFonts w:asciiTheme="minorHAnsi" w:hAnsiTheme="minorHAnsi" w:cstheme="minorHAnsi"/>
                <w:sz w:val="18"/>
              </w:rPr>
            </w:pPr>
            <w:r w:rsidRPr="009A2A5D">
              <w:rPr>
                <w:rFonts w:asciiTheme="minorHAnsi" w:hAnsiTheme="minorHAnsi" w:cstheme="minorHAnsi"/>
                <w:sz w:val="18"/>
              </w:rPr>
              <w:t>80</w:t>
            </w:r>
          </w:p>
        </w:tc>
        <w:tc>
          <w:tcPr>
            <w:tcW w:w="3092" w:type="dxa"/>
            <w:vAlign w:val="center"/>
          </w:tcPr>
          <w:p w14:paraId="5E2B6C9C" w14:textId="77777777" w:rsidR="000E4B25" w:rsidRPr="009A2A5D" w:rsidRDefault="000E4B25" w:rsidP="008E4D99">
            <w:pPr>
              <w:pStyle w:val="Tabletext0"/>
              <w:spacing w:before="40" w:after="40"/>
              <w:ind w:right="1362"/>
              <w:jc w:val="right"/>
              <w:rPr>
                <w:rFonts w:asciiTheme="minorHAnsi" w:hAnsiTheme="minorHAnsi" w:cstheme="minorHAnsi"/>
                <w:sz w:val="18"/>
              </w:rPr>
            </w:pPr>
            <w:r w:rsidRPr="009A2A5D">
              <w:rPr>
                <w:rFonts w:asciiTheme="minorHAnsi" w:hAnsiTheme="minorHAnsi" w:cstheme="minorHAnsi"/>
                <w:sz w:val="18"/>
              </w:rPr>
              <w:t>60</w:t>
            </w:r>
          </w:p>
        </w:tc>
      </w:tr>
      <w:tr w:rsidR="000E4B25" w:rsidRPr="009A2A5D" w14:paraId="79C77166" w14:textId="77777777" w:rsidTr="008E4D99">
        <w:trPr>
          <w:tblHeader/>
        </w:trPr>
        <w:tc>
          <w:tcPr>
            <w:tcW w:w="2921" w:type="dxa"/>
          </w:tcPr>
          <w:p w14:paraId="6F9E98DF" w14:textId="77777777" w:rsidR="000E4B25" w:rsidRPr="009A2A5D" w:rsidRDefault="000E4B25" w:rsidP="008E4D99">
            <w:pPr>
              <w:pStyle w:val="Tabletext0"/>
              <w:spacing w:before="40" w:after="40"/>
              <w:rPr>
                <w:rFonts w:asciiTheme="minorHAnsi" w:hAnsiTheme="minorHAnsi" w:cstheme="minorHAnsi"/>
                <w:sz w:val="18"/>
              </w:rPr>
            </w:pPr>
            <w:r w:rsidRPr="009A2A5D">
              <w:rPr>
                <w:rFonts w:asciiTheme="minorHAnsi" w:hAnsiTheme="minorHAnsi" w:cstheme="minorHAnsi"/>
                <w:sz w:val="18"/>
              </w:rPr>
              <w:t>Paver</w:t>
            </w:r>
          </w:p>
        </w:tc>
        <w:tc>
          <w:tcPr>
            <w:tcW w:w="3015" w:type="dxa"/>
          </w:tcPr>
          <w:p w14:paraId="325BA90F" w14:textId="77777777" w:rsidR="000E4B25" w:rsidRPr="009A2A5D" w:rsidRDefault="000E4B25" w:rsidP="008E4D99">
            <w:pPr>
              <w:pStyle w:val="Tabletext0"/>
              <w:spacing w:before="40" w:after="40"/>
              <w:ind w:right="1362"/>
              <w:jc w:val="right"/>
              <w:rPr>
                <w:rFonts w:asciiTheme="minorHAnsi" w:hAnsiTheme="minorHAnsi" w:cstheme="minorHAnsi"/>
                <w:sz w:val="18"/>
              </w:rPr>
            </w:pPr>
            <w:r w:rsidRPr="009A2A5D">
              <w:rPr>
                <w:rFonts w:asciiTheme="minorHAnsi" w:hAnsiTheme="minorHAnsi" w:cstheme="minorHAnsi"/>
                <w:sz w:val="18"/>
              </w:rPr>
              <w:t>85</w:t>
            </w:r>
          </w:p>
        </w:tc>
        <w:tc>
          <w:tcPr>
            <w:tcW w:w="3092" w:type="dxa"/>
            <w:vAlign w:val="center"/>
          </w:tcPr>
          <w:p w14:paraId="01717CA5" w14:textId="77777777" w:rsidR="000E4B25" w:rsidRPr="009A2A5D" w:rsidRDefault="000E4B25" w:rsidP="008E4D99">
            <w:pPr>
              <w:pStyle w:val="Tabletext0"/>
              <w:spacing w:before="40" w:after="40"/>
              <w:ind w:right="1362"/>
              <w:jc w:val="right"/>
              <w:rPr>
                <w:rFonts w:asciiTheme="minorHAnsi" w:hAnsiTheme="minorHAnsi" w:cstheme="minorHAnsi"/>
                <w:sz w:val="18"/>
              </w:rPr>
            </w:pPr>
            <w:r w:rsidRPr="009A2A5D">
              <w:rPr>
                <w:rFonts w:asciiTheme="minorHAnsi" w:hAnsiTheme="minorHAnsi" w:cstheme="minorHAnsi"/>
                <w:sz w:val="18"/>
              </w:rPr>
              <w:t>65</w:t>
            </w:r>
          </w:p>
        </w:tc>
      </w:tr>
      <w:tr w:rsidR="000E4B25" w:rsidRPr="009A2A5D" w14:paraId="3853747F" w14:textId="77777777" w:rsidTr="008E4D99">
        <w:trPr>
          <w:tblHeader/>
        </w:trPr>
        <w:tc>
          <w:tcPr>
            <w:tcW w:w="2921" w:type="dxa"/>
          </w:tcPr>
          <w:p w14:paraId="73563D61" w14:textId="77777777" w:rsidR="000E4B25" w:rsidRPr="009A2A5D" w:rsidRDefault="000E4B25" w:rsidP="008E4D99">
            <w:pPr>
              <w:pStyle w:val="Tabletext0"/>
              <w:spacing w:before="40" w:after="40"/>
              <w:rPr>
                <w:rFonts w:asciiTheme="minorHAnsi" w:hAnsiTheme="minorHAnsi" w:cstheme="minorHAnsi"/>
                <w:sz w:val="18"/>
              </w:rPr>
            </w:pPr>
            <w:r w:rsidRPr="009A2A5D">
              <w:rPr>
                <w:rFonts w:asciiTheme="minorHAnsi" w:hAnsiTheme="minorHAnsi" w:cstheme="minorHAnsi"/>
                <w:sz w:val="18"/>
              </w:rPr>
              <w:t xml:space="preserve">Pneumatic Tool </w:t>
            </w:r>
          </w:p>
        </w:tc>
        <w:tc>
          <w:tcPr>
            <w:tcW w:w="3015" w:type="dxa"/>
          </w:tcPr>
          <w:p w14:paraId="4E7DAA33" w14:textId="77777777" w:rsidR="000E4B25" w:rsidRPr="009A2A5D" w:rsidRDefault="000E4B25" w:rsidP="008E4D99">
            <w:pPr>
              <w:pStyle w:val="Tabletext0"/>
              <w:spacing w:before="40" w:after="40"/>
              <w:ind w:right="1362"/>
              <w:jc w:val="right"/>
              <w:rPr>
                <w:rFonts w:asciiTheme="minorHAnsi" w:hAnsiTheme="minorHAnsi" w:cstheme="minorHAnsi"/>
                <w:sz w:val="18"/>
              </w:rPr>
            </w:pPr>
            <w:r w:rsidRPr="009A2A5D">
              <w:rPr>
                <w:rFonts w:asciiTheme="minorHAnsi" w:hAnsiTheme="minorHAnsi" w:cstheme="minorHAnsi"/>
                <w:sz w:val="18"/>
              </w:rPr>
              <w:t>85</w:t>
            </w:r>
          </w:p>
        </w:tc>
        <w:tc>
          <w:tcPr>
            <w:tcW w:w="3092" w:type="dxa"/>
            <w:vAlign w:val="center"/>
          </w:tcPr>
          <w:p w14:paraId="45F73906" w14:textId="77777777" w:rsidR="000E4B25" w:rsidRPr="009A2A5D" w:rsidRDefault="000E4B25" w:rsidP="008E4D99">
            <w:pPr>
              <w:pStyle w:val="Tabletext0"/>
              <w:spacing w:before="40" w:after="40"/>
              <w:ind w:right="1362"/>
              <w:jc w:val="right"/>
              <w:rPr>
                <w:rFonts w:asciiTheme="minorHAnsi" w:hAnsiTheme="minorHAnsi" w:cstheme="minorHAnsi"/>
                <w:sz w:val="18"/>
              </w:rPr>
            </w:pPr>
            <w:r w:rsidRPr="009A2A5D">
              <w:rPr>
                <w:rFonts w:asciiTheme="minorHAnsi" w:hAnsiTheme="minorHAnsi" w:cstheme="minorHAnsi"/>
                <w:sz w:val="18"/>
              </w:rPr>
              <w:t>65</w:t>
            </w:r>
          </w:p>
        </w:tc>
      </w:tr>
      <w:tr w:rsidR="000E4B25" w:rsidRPr="009A2A5D" w14:paraId="1D4BB6F1" w14:textId="77777777" w:rsidTr="008E4D99">
        <w:trPr>
          <w:tblHeader/>
        </w:trPr>
        <w:tc>
          <w:tcPr>
            <w:tcW w:w="2921" w:type="dxa"/>
          </w:tcPr>
          <w:p w14:paraId="74A8F364" w14:textId="77777777" w:rsidR="000E4B25" w:rsidRPr="009A2A5D" w:rsidRDefault="000E4B25" w:rsidP="008E4D99">
            <w:pPr>
              <w:pStyle w:val="Tabletext0"/>
              <w:spacing w:before="40" w:after="40"/>
              <w:rPr>
                <w:rFonts w:asciiTheme="minorHAnsi" w:hAnsiTheme="minorHAnsi" w:cstheme="minorHAnsi"/>
                <w:sz w:val="18"/>
              </w:rPr>
            </w:pPr>
            <w:r w:rsidRPr="009A2A5D">
              <w:rPr>
                <w:rFonts w:asciiTheme="minorHAnsi" w:hAnsiTheme="minorHAnsi" w:cstheme="minorHAnsi"/>
                <w:sz w:val="18"/>
              </w:rPr>
              <w:t>Pump</w:t>
            </w:r>
          </w:p>
        </w:tc>
        <w:tc>
          <w:tcPr>
            <w:tcW w:w="3015" w:type="dxa"/>
          </w:tcPr>
          <w:p w14:paraId="108E3991" w14:textId="77777777" w:rsidR="000E4B25" w:rsidRPr="009A2A5D" w:rsidRDefault="000E4B25" w:rsidP="008E4D99">
            <w:pPr>
              <w:pStyle w:val="Tabletext0"/>
              <w:spacing w:before="40" w:after="40"/>
              <w:ind w:right="1362"/>
              <w:jc w:val="right"/>
              <w:rPr>
                <w:rFonts w:asciiTheme="minorHAnsi" w:hAnsiTheme="minorHAnsi" w:cstheme="minorHAnsi"/>
                <w:sz w:val="18"/>
              </w:rPr>
            </w:pPr>
            <w:r w:rsidRPr="009A2A5D">
              <w:rPr>
                <w:rFonts w:asciiTheme="minorHAnsi" w:hAnsiTheme="minorHAnsi" w:cstheme="minorHAnsi"/>
                <w:sz w:val="18"/>
              </w:rPr>
              <w:t>77</w:t>
            </w:r>
          </w:p>
        </w:tc>
        <w:tc>
          <w:tcPr>
            <w:tcW w:w="3092" w:type="dxa"/>
            <w:vAlign w:val="center"/>
          </w:tcPr>
          <w:p w14:paraId="3B433B6E" w14:textId="77777777" w:rsidR="000E4B25" w:rsidRPr="009A2A5D" w:rsidRDefault="000E4B25" w:rsidP="008E4D99">
            <w:pPr>
              <w:pStyle w:val="Tabletext0"/>
              <w:spacing w:before="40" w:after="40"/>
              <w:ind w:right="1362"/>
              <w:jc w:val="right"/>
              <w:rPr>
                <w:rFonts w:asciiTheme="minorHAnsi" w:hAnsiTheme="minorHAnsi" w:cstheme="minorHAnsi"/>
                <w:sz w:val="18"/>
              </w:rPr>
            </w:pPr>
            <w:r w:rsidRPr="009A2A5D">
              <w:rPr>
                <w:rFonts w:asciiTheme="minorHAnsi" w:hAnsiTheme="minorHAnsi" w:cstheme="minorHAnsi"/>
                <w:sz w:val="18"/>
              </w:rPr>
              <w:t>57</w:t>
            </w:r>
          </w:p>
        </w:tc>
      </w:tr>
      <w:tr w:rsidR="000E4B25" w:rsidRPr="009A2A5D" w14:paraId="7542D1DE" w14:textId="77777777" w:rsidTr="008E4D99">
        <w:trPr>
          <w:tblHeader/>
        </w:trPr>
        <w:tc>
          <w:tcPr>
            <w:tcW w:w="2921" w:type="dxa"/>
          </w:tcPr>
          <w:p w14:paraId="7CB5F611" w14:textId="77777777" w:rsidR="000E4B25" w:rsidRPr="009A2A5D" w:rsidRDefault="000E4B25" w:rsidP="008E4D99">
            <w:pPr>
              <w:pStyle w:val="Tabletext0"/>
              <w:spacing w:before="40" w:after="40"/>
              <w:rPr>
                <w:rFonts w:asciiTheme="minorHAnsi" w:hAnsiTheme="minorHAnsi" w:cstheme="minorHAnsi"/>
                <w:sz w:val="18"/>
              </w:rPr>
            </w:pPr>
            <w:r w:rsidRPr="009A2A5D">
              <w:rPr>
                <w:rFonts w:asciiTheme="minorHAnsi" w:hAnsiTheme="minorHAnsi" w:cstheme="minorHAnsi"/>
                <w:sz w:val="18"/>
              </w:rPr>
              <w:t>Roller</w:t>
            </w:r>
          </w:p>
        </w:tc>
        <w:tc>
          <w:tcPr>
            <w:tcW w:w="3015" w:type="dxa"/>
          </w:tcPr>
          <w:p w14:paraId="6BADE50E" w14:textId="77777777" w:rsidR="000E4B25" w:rsidRPr="009A2A5D" w:rsidRDefault="000E4B25" w:rsidP="008E4D99">
            <w:pPr>
              <w:pStyle w:val="Tabletext0"/>
              <w:spacing w:before="40" w:after="40"/>
              <w:ind w:right="1362"/>
              <w:jc w:val="right"/>
              <w:rPr>
                <w:rFonts w:asciiTheme="minorHAnsi" w:hAnsiTheme="minorHAnsi" w:cstheme="minorHAnsi"/>
                <w:sz w:val="18"/>
              </w:rPr>
            </w:pPr>
            <w:r w:rsidRPr="009A2A5D">
              <w:rPr>
                <w:rFonts w:asciiTheme="minorHAnsi" w:hAnsiTheme="minorHAnsi" w:cstheme="minorHAnsi"/>
                <w:sz w:val="18"/>
              </w:rPr>
              <w:t>85</w:t>
            </w:r>
          </w:p>
        </w:tc>
        <w:tc>
          <w:tcPr>
            <w:tcW w:w="3092" w:type="dxa"/>
            <w:vAlign w:val="center"/>
          </w:tcPr>
          <w:p w14:paraId="09394619" w14:textId="77777777" w:rsidR="000E4B25" w:rsidRPr="009A2A5D" w:rsidRDefault="000E4B25" w:rsidP="008E4D99">
            <w:pPr>
              <w:pStyle w:val="Tabletext0"/>
              <w:spacing w:before="40" w:after="40"/>
              <w:ind w:right="1362"/>
              <w:jc w:val="right"/>
              <w:rPr>
                <w:rFonts w:asciiTheme="minorHAnsi" w:hAnsiTheme="minorHAnsi" w:cstheme="minorHAnsi"/>
                <w:sz w:val="18"/>
              </w:rPr>
            </w:pPr>
            <w:r w:rsidRPr="009A2A5D">
              <w:rPr>
                <w:rFonts w:asciiTheme="minorHAnsi" w:hAnsiTheme="minorHAnsi" w:cstheme="minorHAnsi"/>
                <w:sz w:val="18"/>
              </w:rPr>
              <w:t>65</w:t>
            </w:r>
          </w:p>
        </w:tc>
      </w:tr>
      <w:tr w:rsidR="000E4B25" w:rsidRPr="009A2A5D" w14:paraId="4F0F1BE7" w14:textId="77777777" w:rsidTr="008E4D99">
        <w:trPr>
          <w:tblHeader/>
        </w:trPr>
        <w:tc>
          <w:tcPr>
            <w:tcW w:w="2921" w:type="dxa"/>
          </w:tcPr>
          <w:p w14:paraId="1F7A38F9" w14:textId="77777777" w:rsidR="000E4B25" w:rsidRPr="009A2A5D" w:rsidRDefault="000E4B25" w:rsidP="008E4D99">
            <w:pPr>
              <w:pStyle w:val="Tabletext0"/>
              <w:spacing w:before="40" w:after="40"/>
              <w:rPr>
                <w:rFonts w:asciiTheme="minorHAnsi" w:hAnsiTheme="minorHAnsi" w:cstheme="minorHAnsi"/>
                <w:sz w:val="18"/>
              </w:rPr>
            </w:pPr>
            <w:r w:rsidRPr="009A2A5D">
              <w:rPr>
                <w:rFonts w:asciiTheme="minorHAnsi" w:hAnsiTheme="minorHAnsi" w:cstheme="minorHAnsi"/>
                <w:sz w:val="18"/>
              </w:rPr>
              <w:t>Saw</w:t>
            </w:r>
          </w:p>
        </w:tc>
        <w:tc>
          <w:tcPr>
            <w:tcW w:w="3015" w:type="dxa"/>
          </w:tcPr>
          <w:p w14:paraId="2EE85DBB" w14:textId="77777777" w:rsidR="000E4B25" w:rsidRPr="009A2A5D" w:rsidRDefault="000E4B25" w:rsidP="008E4D99">
            <w:pPr>
              <w:pStyle w:val="Tabletext0"/>
              <w:spacing w:before="40" w:after="40"/>
              <w:ind w:right="1362"/>
              <w:jc w:val="right"/>
              <w:rPr>
                <w:rFonts w:asciiTheme="minorHAnsi" w:hAnsiTheme="minorHAnsi" w:cstheme="minorHAnsi"/>
                <w:sz w:val="18"/>
              </w:rPr>
            </w:pPr>
            <w:r w:rsidRPr="009A2A5D">
              <w:rPr>
                <w:rFonts w:asciiTheme="minorHAnsi" w:hAnsiTheme="minorHAnsi" w:cstheme="minorHAnsi"/>
                <w:sz w:val="18"/>
              </w:rPr>
              <w:t>76</w:t>
            </w:r>
          </w:p>
        </w:tc>
        <w:tc>
          <w:tcPr>
            <w:tcW w:w="3092" w:type="dxa"/>
            <w:vAlign w:val="center"/>
          </w:tcPr>
          <w:p w14:paraId="2360AE65" w14:textId="77777777" w:rsidR="000E4B25" w:rsidRPr="009A2A5D" w:rsidRDefault="000E4B25" w:rsidP="008E4D99">
            <w:pPr>
              <w:pStyle w:val="Tabletext0"/>
              <w:spacing w:before="40" w:after="40"/>
              <w:ind w:right="1362"/>
              <w:jc w:val="right"/>
              <w:rPr>
                <w:rFonts w:asciiTheme="minorHAnsi" w:hAnsiTheme="minorHAnsi" w:cstheme="minorHAnsi"/>
                <w:sz w:val="18"/>
              </w:rPr>
            </w:pPr>
            <w:r w:rsidRPr="009A2A5D">
              <w:rPr>
                <w:rFonts w:asciiTheme="minorHAnsi" w:hAnsiTheme="minorHAnsi" w:cstheme="minorHAnsi"/>
                <w:sz w:val="18"/>
              </w:rPr>
              <w:t>56</w:t>
            </w:r>
          </w:p>
        </w:tc>
      </w:tr>
      <w:tr w:rsidR="000E4B25" w:rsidRPr="009A2A5D" w14:paraId="4C53364B" w14:textId="77777777" w:rsidTr="008E4D99">
        <w:trPr>
          <w:tblHeader/>
        </w:trPr>
        <w:tc>
          <w:tcPr>
            <w:tcW w:w="2921" w:type="dxa"/>
          </w:tcPr>
          <w:p w14:paraId="11AE4423" w14:textId="77777777" w:rsidR="000E4B25" w:rsidRPr="009A2A5D" w:rsidRDefault="000E4B25" w:rsidP="008E4D99">
            <w:pPr>
              <w:pStyle w:val="Tabletext0"/>
              <w:spacing w:before="40" w:after="40"/>
              <w:rPr>
                <w:rFonts w:asciiTheme="minorHAnsi" w:hAnsiTheme="minorHAnsi" w:cstheme="minorHAnsi"/>
                <w:sz w:val="18"/>
              </w:rPr>
            </w:pPr>
            <w:r w:rsidRPr="009A2A5D">
              <w:rPr>
                <w:rFonts w:asciiTheme="minorHAnsi" w:hAnsiTheme="minorHAnsi" w:cstheme="minorHAnsi"/>
                <w:sz w:val="18"/>
              </w:rPr>
              <w:t xml:space="preserve">Scraper </w:t>
            </w:r>
          </w:p>
        </w:tc>
        <w:tc>
          <w:tcPr>
            <w:tcW w:w="3015" w:type="dxa"/>
          </w:tcPr>
          <w:p w14:paraId="6578B6AC" w14:textId="77777777" w:rsidR="000E4B25" w:rsidRPr="009A2A5D" w:rsidRDefault="000E4B25" w:rsidP="008E4D99">
            <w:pPr>
              <w:pStyle w:val="Tabletext0"/>
              <w:spacing w:before="40" w:after="40"/>
              <w:ind w:right="1362"/>
              <w:jc w:val="right"/>
              <w:rPr>
                <w:rFonts w:asciiTheme="minorHAnsi" w:hAnsiTheme="minorHAnsi" w:cstheme="minorHAnsi"/>
                <w:sz w:val="18"/>
              </w:rPr>
            </w:pPr>
            <w:r w:rsidRPr="009A2A5D">
              <w:rPr>
                <w:rFonts w:asciiTheme="minorHAnsi" w:hAnsiTheme="minorHAnsi" w:cstheme="minorHAnsi"/>
                <w:sz w:val="18"/>
              </w:rPr>
              <w:t>85</w:t>
            </w:r>
          </w:p>
        </w:tc>
        <w:tc>
          <w:tcPr>
            <w:tcW w:w="3092" w:type="dxa"/>
            <w:vAlign w:val="center"/>
          </w:tcPr>
          <w:p w14:paraId="6304DB05" w14:textId="77777777" w:rsidR="000E4B25" w:rsidRPr="009A2A5D" w:rsidRDefault="000E4B25" w:rsidP="008E4D99">
            <w:pPr>
              <w:pStyle w:val="Tabletext0"/>
              <w:spacing w:before="40" w:after="40"/>
              <w:ind w:right="1362"/>
              <w:jc w:val="right"/>
              <w:rPr>
                <w:rFonts w:asciiTheme="minorHAnsi" w:hAnsiTheme="minorHAnsi" w:cstheme="minorHAnsi"/>
                <w:sz w:val="18"/>
              </w:rPr>
            </w:pPr>
            <w:r w:rsidRPr="009A2A5D">
              <w:rPr>
                <w:rFonts w:asciiTheme="minorHAnsi" w:hAnsiTheme="minorHAnsi" w:cstheme="minorHAnsi"/>
                <w:sz w:val="18"/>
              </w:rPr>
              <w:t>65</w:t>
            </w:r>
          </w:p>
        </w:tc>
      </w:tr>
      <w:tr w:rsidR="000E4B25" w:rsidRPr="009A2A5D" w14:paraId="44ED3503" w14:textId="77777777" w:rsidTr="008E4D99">
        <w:trPr>
          <w:tblHeader/>
        </w:trPr>
        <w:tc>
          <w:tcPr>
            <w:tcW w:w="2921" w:type="dxa"/>
          </w:tcPr>
          <w:p w14:paraId="2F56AF2B" w14:textId="77777777" w:rsidR="000E4B25" w:rsidRPr="009A2A5D" w:rsidRDefault="000E4B25" w:rsidP="008E4D99">
            <w:pPr>
              <w:pStyle w:val="Tabletext0"/>
              <w:spacing w:before="40" w:after="40"/>
              <w:rPr>
                <w:rFonts w:asciiTheme="minorHAnsi" w:hAnsiTheme="minorHAnsi" w:cstheme="minorHAnsi"/>
                <w:sz w:val="18"/>
              </w:rPr>
            </w:pPr>
            <w:r w:rsidRPr="009A2A5D">
              <w:rPr>
                <w:rFonts w:asciiTheme="minorHAnsi" w:hAnsiTheme="minorHAnsi" w:cstheme="minorHAnsi"/>
                <w:sz w:val="18"/>
              </w:rPr>
              <w:t>Truck</w:t>
            </w:r>
          </w:p>
        </w:tc>
        <w:tc>
          <w:tcPr>
            <w:tcW w:w="3015" w:type="dxa"/>
          </w:tcPr>
          <w:p w14:paraId="2B8AC8E2" w14:textId="77777777" w:rsidR="000E4B25" w:rsidRPr="009A2A5D" w:rsidRDefault="000E4B25" w:rsidP="008E4D99">
            <w:pPr>
              <w:pStyle w:val="Tabletext0"/>
              <w:spacing w:before="40" w:after="40"/>
              <w:ind w:right="1362"/>
              <w:jc w:val="right"/>
              <w:rPr>
                <w:rFonts w:asciiTheme="minorHAnsi" w:hAnsiTheme="minorHAnsi" w:cstheme="minorHAnsi"/>
                <w:sz w:val="18"/>
              </w:rPr>
            </w:pPr>
            <w:r w:rsidRPr="009A2A5D">
              <w:rPr>
                <w:rFonts w:asciiTheme="minorHAnsi" w:hAnsiTheme="minorHAnsi" w:cstheme="minorHAnsi"/>
                <w:sz w:val="18"/>
              </w:rPr>
              <w:t>84</w:t>
            </w:r>
          </w:p>
        </w:tc>
        <w:tc>
          <w:tcPr>
            <w:tcW w:w="3092" w:type="dxa"/>
            <w:vAlign w:val="center"/>
          </w:tcPr>
          <w:p w14:paraId="06494BCA" w14:textId="77777777" w:rsidR="000E4B25" w:rsidRPr="009A2A5D" w:rsidRDefault="000E4B25" w:rsidP="008E4D99">
            <w:pPr>
              <w:pStyle w:val="Tabletext0"/>
              <w:spacing w:before="40" w:after="40"/>
              <w:ind w:right="1362"/>
              <w:jc w:val="right"/>
              <w:rPr>
                <w:rFonts w:asciiTheme="minorHAnsi" w:hAnsiTheme="minorHAnsi" w:cstheme="minorHAnsi"/>
                <w:sz w:val="18"/>
              </w:rPr>
            </w:pPr>
            <w:r w:rsidRPr="009A2A5D">
              <w:rPr>
                <w:rFonts w:asciiTheme="minorHAnsi" w:hAnsiTheme="minorHAnsi" w:cstheme="minorHAnsi"/>
                <w:sz w:val="18"/>
              </w:rPr>
              <w:t>64</w:t>
            </w:r>
          </w:p>
        </w:tc>
      </w:tr>
      <w:tr w:rsidR="000E4B25" w:rsidRPr="009A2A5D" w14:paraId="65187549" w14:textId="77777777" w:rsidTr="008E4D99">
        <w:trPr>
          <w:tblHeader/>
        </w:trPr>
        <w:tc>
          <w:tcPr>
            <w:tcW w:w="2921" w:type="dxa"/>
            <w:tcBorders>
              <w:bottom w:val="single" w:sz="4" w:space="0" w:color="BFBFBF" w:themeColor="background1" w:themeShade="BF"/>
            </w:tcBorders>
          </w:tcPr>
          <w:p w14:paraId="5B178982" w14:textId="77777777" w:rsidR="000E4B25" w:rsidRPr="009A2A5D" w:rsidRDefault="000E4B25" w:rsidP="008E4D99">
            <w:pPr>
              <w:pStyle w:val="Tabletext0"/>
              <w:spacing w:before="40" w:after="40"/>
              <w:rPr>
                <w:rFonts w:asciiTheme="minorHAnsi" w:hAnsiTheme="minorHAnsi" w:cstheme="minorHAnsi"/>
                <w:sz w:val="18"/>
              </w:rPr>
            </w:pPr>
            <w:r w:rsidRPr="009A2A5D">
              <w:rPr>
                <w:rFonts w:asciiTheme="minorHAnsi" w:hAnsiTheme="minorHAnsi" w:cstheme="minorHAnsi"/>
                <w:sz w:val="18"/>
              </w:rPr>
              <w:t>Impact Hammer</w:t>
            </w:r>
          </w:p>
        </w:tc>
        <w:tc>
          <w:tcPr>
            <w:tcW w:w="3015" w:type="dxa"/>
            <w:tcBorders>
              <w:bottom w:val="single" w:sz="4" w:space="0" w:color="BFBFBF" w:themeColor="background1" w:themeShade="BF"/>
            </w:tcBorders>
          </w:tcPr>
          <w:p w14:paraId="31031CC4" w14:textId="77777777" w:rsidR="000E4B25" w:rsidRPr="009A2A5D" w:rsidRDefault="000E4B25" w:rsidP="008E4D99">
            <w:pPr>
              <w:pStyle w:val="Tabletext0"/>
              <w:spacing w:before="40" w:after="40"/>
              <w:ind w:right="1362"/>
              <w:jc w:val="right"/>
              <w:rPr>
                <w:rFonts w:asciiTheme="minorHAnsi" w:hAnsiTheme="minorHAnsi" w:cstheme="minorHAnsi"/>
                <w:sz w:val="18"/>
              </w:rPr>
            </w:pPr>
            <w:r w:rsidRPr="009A2A5D">
              <w:rPr>
                <w:rFonts w:asciiTheme="minorHAnsi" w:hAnsiTheme="minorHAnsi" w:cstheme="minorHAnsi"/>
                <w:sz w:val="18"/>
              </w:rPr>
              <w:t>60</w:t>
            </w:r>
          </w:p>
        </w:tc>
        <w:tc>
          <w:tcPr>
            <w:tcW w:w="3092" w:type="dxa"/>
            <w:tcBorders>
              <w:bottom w:val="single" w:sz="4" w:space="0" w:color="BFBFBF" w:themeColor="background1" w:themeShade="BF"/>
            </w:tcBorders>
            <w:vAlign w:val="center"/>
          </w:tcPr>
          <w:p w14:paraId="5F734B31" w14:textId="77777777" w:rsidR="000E4B25" w:rsidRPr="009A2A5D" w:rsidRDefault="000E4B25" w:rsidP="008E4D99">
            <w:pPr>
              <w:pStyle w:val="Tabletext0"/>
              <w:spacing w:before="40" w:after="40"/>
              <w:ind w:right="1362"/>
              <w:jc w:val="right"/>
              <w:rPr>
                <w:rFonts w:asciiTheme="minorHAnsi" w:hAnsiTheme="minorHAnsi" w:cstheme="minorHAnsi"/>
                <w:sz w:val="18"/>
              </w:rPr>
            </w:pPr>
            <w:r w:rsidRPr="009A2A5D">
              <w:rPr>
                <w:rFonts w:asciiTheme="minorHAnsi" w:hAnsiTheme="minorHAnsi" w:cstheme="minorHAnsi"/>
                <w:sz w:val="18"/>
              </w:rPr>
              <w:t>40</w:t>
            </w:r>
          </w:p>
        </w:tc>
      </w:tr>
      <w:tr w:rsidR="000E4B25" w:rsidRPr="009A2A5D" w14:paraId="60114956" w14:textId="77777777" w:rsidTr="008E4D99">
        <w:trPr>
          <w:tblHeader/>
        </w:trPr>
        <w:tc>
          <w:tcPr>
            <w:tcW w:w="2921" w:type="dxa"/>
            <w:tcBorders>
              <w:top w:val="single" w:sz="4" w:space="0" w:color="BFBFBF" w:themeColor="background1" w:themeShade="BF"/>
              <w:bottom w:val="single" w:sz="4" w:space="0" w:color="auto"/>
            </w:tcBorders>
          </w:tcPr>
          <w:p w14:paraId="76584D3B" w14:textId="77777777" w:rsidR="000E4B25" w:rsidRPr="009A2A5D" w:rsidRDefault="000E4B25" w:rsidP="008E4D99">
            <w:pPr>
              <w:pStyle w:val="Tabletext0"/>
              <w:spacing w:before="40" w:after="40"/>
              <w:rPr>
                <w:rFonts w:asciiTheme="minorHAnsi" w:hAnsiTheme="minorHAnsi" w:cstheme="minorHAnsi"/>
                <w:sz w:val="18"/>
              </w:rPr>
            </w:pPr>
            <w:r w:rsidRPr="009A2A5D">
              <w:rPr>
                <w:rFonts w:asciiTheme="minorHAnsi" w:hAnsiTheme="minorHAnsi" w:cstheme="minorHAnsi"/>
                <w:sz w:val="18"/>
              </w:rPr>
              <w:t>Excavator</w:t>
            </w:r>
          </w:p>
        </w:tc>
        <w:tc>
          <w:tcPr>
            <w:tcW w:w="3015" w:type="dxa"/>
            <w:tcBorders>
              <w:top w:val="single" w:sz="4" w:space="0" w:color="BFBFBF" w:themeColor="background1" w:themeShade="BF"/>
              <w:bottom w:val="single" w:sz="4" w:space="0" w:color="auto"/>
            </w:tcBorders>
          </w:tcPr>
          <w:p w14:paraId="3497B6DD" w14:textId="77777777" w:rsidR="000E4B25" w:rsidRPr="009A2A5D" w:rsidRDefault="000E4B25" w:rsidP="008E4D99">
            <w:pPr>
              <w:pStyle w:val="Tabletext0"/>
              <w:spacing w:before="40" w:after="40"/>
              <w:ind w:right="1362"/>
              <w:jc w:val="right"/>
              <w:rPr>
                <w:rFonts w:asciiTheme="minorHAnsi" w:hAnsiTheme="minorHAnsi" w:cstheme="minorHAnsi"/>
                <w:sz w:val="18"/>
              </w:rPr>
            </w:pPr>
            <w:r w:rsidRPr="009A2A5D">
              <w:rPr>
                <w:rFonts w:asciiTheme="minorHAnsi" w:hAnsiTheme="minorHAnsi" w:cstheme="minorHAnsi"/>
                <w:sz w:val="18"/>
              </w:rPr>
              <w:t>85</w:t>
            </w:r>
          </w:p>
        </w:tc>
        <w:tc>
          <w:tcPr>
            <w:tcW w:w="3092" w:type="dxa"/>
            <w:tcBorders>
              <w:top w:val="single" w:sz="4" w:space="0" w:color="BFBFBF" w:themeColor="background1" w:themeShade="BF"/>
              <w:bottom w:val="single" w:sz="4" w:space="0" w:color="auto"/>
            </w:tcBorders>
            <w:vAlign w:val="center"/>
          </w:tcPr>
          <w:p w14:paraId="3B4EFB73" w14:textId="77777777" w:rsidR="000E4B25" w:rsidRPr="009A2A5D" w:rsidRDefault="000E4B25" w:rsidP="008E4D99">
            <w:pPr>
              <w:pStyle w:val="Tabletext0"/>
              <w:spacing w:before="40" w:after="40"/>
              <w:ind w:right="1362"/>
              <w:jc w:val="right"/>
              <w:rPr>
                <w:rFonts w:asciiTheme="minorHAnsi" w:hAnsiTheme="minorHAnsi" w:cstheme="minorHAnsi"/>
                <w:sz w:val="18"/>
              </w:rPr>
            </w:pPr>
            <w:r w:rsidRPr="009A2A5D">
              <w:rPr>
                <w:rFonts w:asciiTheme="minorHAnsi" w:hAnsiTheme="minorHAnsi" w:cstheme="minorHAnsi"/>
                <w:sz w:val="18"/>
              </w:rPr>
              <w:t>65</w:t>
            </w:r>
          </w:p>
        </w:tc>
      </w:tr>
      <w:tr w:rsidR="000E4B25" w:rsidRPr="00DA4F04" w14:paraId="555DE603" w14:textId="77777777" w:rsidTr="008E4D99">
        <w:trPr>
          <w:tblHeader/>
        </w:trPr>
        <w:tc>
          <w:tcPr>
            <w:tcW w:w="9028" w:type="dxa"/>
            <w:gridSpan w:val="3"/>
            <w:tcBorders>
              <w:top w:val="single" w:sz="4" w:space="0" w:color="auto"/>
            </w:tcBorders>
          </w:tcPr>
          <w:p w14:paraId="7A20BF75" w14:textId="77A8BF4F" w:rsidR="005A7336" w:rsidRPr="005A7336" w:rsidRDefault="000E4B25" w:rsidP="00232F8C">
            <w:pPr>
              <w:pStyle w:val="ISTableNotes"/>
              <w:ind w:left="0" w:firstLine="0"/>
              <w:rPr>
                <w:rFonts w:asciiTheme="minorHAnsi" w:hAnsiTheme="minorHAnsi"/>
              </w:rPr>
            </w:pPr>
            <w:r w:rsidRPr="000E2876">
              <w:rPr>
                <w:rFonts w:asciiTheme="minorHAnsi" w:hAnsiTheme="minorHAnsi"/>
              </w:rPr>
              <w:t>Lmax: the highest root mean squared sound pressure level within the measurement period</w:t>
            </w:r>
            <w:r w:rsidR="00232F8C">
              <w:rPr>
                <w:rFonts w:asciiTheme="minorHAnsi" w:hAnsiTheme="minorHAnsi"/>
              </w:rPr>
              <w:br/>
            </w:r>
            <w:r w:rsidR="00232F8C" w:rsidRPr="00232F8C">
              <w:rPr>
                <w:rFonts w:asciiTheme="minorHAnsi" w:hAnsiTheme="minorHAnsi"/>
              </w:rPr>
              <w:t>dBA: A-weighted sound pressure level</w:t>
            </w:r>
            <w:r w:rsidR="00232F8C">
              <w:rPr>
                <w:rFonts w:asciiTheme="minorHAnsi" w:hAnsiTheme="minorHAnsi"/>
              </w:rPr>
              <w:br/>
            </w:r>
            <w:r w:rsidRPr="000E2876">
              <w:rPr>
                <w:rFonts w:asciiTheme="minorHAnsi" w:hAnsiTheme="minorHAnsi"/>
              </w:rPr>
              <w:t>Source: FTA 2018</w:t>
            </w:r>
            <w:r w:rsidR="005A7336" w:rsidRPr="000E2876">
              <w:rPr>
                <w:rFonts w:asciiTheme="minorHAnsi" w:hAnsiTheme="minorHAnsi"/>
              </w:rPr>
              <w:t xml:space="preserve"> </w:t>
            </w:r>
          </w:p>
        </w:tc>
      </w:tr>
    </w:tbl>
    <w:p w14:paraId="0E4DDA55" w14:textId="07979B13" w:rsidR="000E4B25" w:rsidRPr="00AA493C" w:rsidRDefault="00520E95" w:rsidP="000E4B25">
      <w:pPr>
        <w:pStyle w:val="bodyafter"/>
      </w:pPr>
      <w:r>
        <w:t>As shown above, typical construction noise levels that would be perceived at the residences would not exceed the daytime noise construction criterion established by the FTA</w:t>
      </w:r>
      <w:r w:rsidR="006A616F">
        <w:t xml:space="preserve"> as shown in </w:t>
      </w:r>
      <w:r w:rsidR="006A616F">
        <w:fldChar w:fldCharType="begin"/>
      </w:r>
      <w:r w:rsidR="006A616F">
        <w:instrText xml:space="preserve"> REF _Ref95121858 \h </w:instrText>
      </w:r>
      <w:r w:rsidR="006A616F">
        <w:fldChar w:fldCharType="separate"/>
      </w:r>
      <w:r w:rsidR="00FA55F1">
        <w:t xml:space="preserve">Table </w:t>
      </w:r>
      <w:r w:rsidR="00FA55F1">
        <w:rPr>
          <w:noProof/>
        </w:rPr>
        <w:t>26</w:t>
      </w:r>
      <w:r w:rsidR="006A616F">
        <w:fldChar w:fldCharType="end"/>
      </w:r>
      <w:r>
        <w:t xml:space="preserve">. </w:t>
      </w:r>
      <w:r w:rsidR="000E4B25" w:rsidRPr="009C2B75">
        <w:t xml:space="preserve">The types of equipment and construction techniques proposed are generally typical of </w:t>
      </w:r>
      <w:r w:rsidR="000E4B25">
        <w:t>urban</w:t>
      </w:r>
      <w:r w:rsidR="000E4B25" w:rsidRPr="009C2B75">
        <w:t xml:space="preserve"> construction projects. No unusually loud construction methods, such as pile driving, are proposed and so construction noise would be consistent with what can normally be expected in </w:t>
      </w:r>
      <w:r w:rsidR="000E4B25">
        <w:t>urban</w:t>
      </w:r>
      <w:r w:rsidR="000E4B25" w:rsidRPr="009C2B75">
        <w:t xml:space="preserve"> areas. Construction noise would be temporary and would </w:t>
      </w:r>
      <w:r w:rsidR="000E4B25">
        <w:t>terminate</w:t>
      </w:r>
      <w:r w:rsidR="000E4B25" w:rsidRPr="009C2B75">
        <w:t xml:space="preserve"> once construction is complete. Compliance with </w:t>
      </w:r>
      <w:r w:rsidR="000E4B25">
        <w:t>MV</w:t>
      </w:r>
      <w:r w:rsidR="000E4B25" w:rsidRPr="009C2B75">
        <w:t xml:space="preserve">MC Section </w:t>
      </w:r>
      <w:r w:rsidR="000E4B25">
        <w:t>8.70</w:t>
      </w:r>
      <w:r w:rsidR="000E4B25" w:rsidRPr="009C2B75">
        <w:t xml:space="preserve"> </w:t>
      </w:r>
      <w:r w:rsidR="00AE19FF">
        <w:t xml:space="preserve">, </w:t>
      </w:r>
      <w:r w:rsidR="000E4B25" w:rsidRPr="009C2B75">
        <w:t xml:space="preserve">would minimize disturbance to surrounding residences. </w:t>
      </w:r>
      <w:r w:rsidR="000E4B25">
        <w:t xml:space="preserve">Impacts would be less than significant. </w:t>
      </w:r>
    </w:p>
    <w:p w14:paraId="5BBDAF2B" w14:textId="77777777" w:rsidR="000E4B25" w:rsidRPr="009C2B75" w:rsidRDefault="000E4B25" w:rsidP="000E4B25">
      <w:pPr>
        <w:pStyle w:val="Heading5"/>
      </w:pPr>
      <w:r w:rsidRPr="009C2B75">
        <w:t>Operational Noise</w:t>
      </w:r>
    </w:p>
    <w:p w14:paraId="16F5D89E" w14:textId="77777777" w:rsidR="000E4B25" w:rsidRPr="009C2B75" w:rsidRDefault="000E4B25" w:rsidP="000E4B25">
      <w:pPr>
        <w:pStyle w:val="BodyText"/>
      </w:pPr>
      <w:r w:rsidRPr="009C2B75">
        <w:t xml:space="preserve">The project would include </w:t>
      </w:r>
      <w:r>
        <w:t xml:space="preserve">rooftop heating, ventilation, and air-conditioning (HVAC) units and </w:t>
      </w:r>
      <w:r w:rsidRPr="009C2B75">
        <w:t xml:space="preserve">one ingress/egress driveway off Terra Bella Avenue on the northern boundary of the site. Primary sources of operational noise from the office structure would be </w:t>
      </w:r>
      <w:r>
        <w:t xml:space="preserve">HVAC noise, </w:t>
      </w:r>
      <w:r w:rsidRPr="009C2B75">
        <w:t>vehicles exiting and entering the site</w:t>
      </w:r>
      <w:r>
        <w:t>,</w:t>
      </w:r>
      <w:r w:rsidRPr="009C2B75">
        <w:t xml:space="preserve"> and public conversation. </w:t>
      </w:r>
      <w:r>
        <w:t>Rooftop HVAC equipment would be shielded by proposed rooftop parapets. V</w:t>
      </w:r>
      <w:r w:rsidRPr="009C2B75">
        <w:t xml:space="preserve">ehicles exiting and entering the site and public conversation noise generating sources would be typical of the surrounding commercial developments and thus, would not result in a substantial increase in ambient noise levels. The project would have hours of operation similar to the working hours of commercial buildings in the project vicinity. </w:t>
      </w:r>
      <w:r>
        <w:t xml:space="preserve">Therefore, future office workers and nearby sensitive receptors would not be exposed to noise that is substantially different from ambient noise levels. Impacts would be less than significant. </w:t>
      </w:r>
    </w:p>
    <w:p w14:paraId="53A27AEC" w14:textId="77777777" w:rsidR="00D07CDD" w:rsidRDefault="00817BC5" w:rsidP="000E4B25">
      <w:pPr>
        <w:pStyle w:val="body0"/>
        <w:rPr>
          <w:rStyle w:val="DropdownList"/>
        </w:rPr>
      </w:pPr>
      <w:sdt>
        <w:sdtPr>
          <w:rPr>
            <w:rStyle w:val="DropdownList"/>
          </w:rPr>
          <w:alias w:val="1a"/>
          <w:tag w:val="dropdown"/>
          <w:id w:val="-1380770356"/>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rPr>
        </w:sdtEndPr>
        <w:sdtContent>
          <w:r w:rsidR="000E4B25" w:rsidRPr="00A8612E">
            <w:rPr>
              <w:rStyle w:val="DropdownList"/>
            </w:rPr>
            <w:t>Less Than Significant Impact</w:t>
          </w:r>
        </w:sdtContent>
      </w:sdt>
    </w:p>
    <w:p w14:paraId="7083F0A0" w14:textId="4B72C835" w:rsidR="000E4B25" w:rsidRPr="008E4D99" w:rsidRDefault="000E4B25" w:rsidP="005A7336">
      <w:pPr>
        <w:pStyle w:val="BulletLtrManAFTER"/>
      </w:pPr>
      <w:r w:rsidRPr="008E4D99">
        <w:t xml:space="preserve">b. </w:t>
      </w:r>
      <w:r w:rsidR="005A7336">
        <w:tab/>
      </w:r>
      <w:r w:rsidRPr="008E4D99">
        <w:t>Would the project result in generation of excessive groundborne vibration or groundborne noise levels?</w:t>
      </w:r>
    </w:p>
    <w:p w14:paraId="10B3120E" w14:textId="77777777" w:rsidR="000E4B25" w:rsidRDefault="000E4B25" w:rsidP="000E4B25">
      <w:pPr>
        <w:pStyle w:val="BodyText"/>
        <w:rPr>
          <w:rFonts w:ascii="Calibri" w:hAnsi="Calibri"/>
        </w:rPr>
      </w:pPr>
      <w:r w:rsidRPr="00A8612E">
        <w:rPr>
          <w:rFonts w:ascii="Calibri" w:hAnsi="Calibri"/>
        </w:rPr>
        <w:t>Project construction would create groundborne vibration from the use of heavy construction machinery such as rollers, dozers, and loaded trucks. Project operation would not generate significant groundborne vibration because</w:t>
      </w:r>
      <w:r>
        <w:rPr>
          <w:rFonts w:ascii="Calibri" w:hAnsi="Calibri"/>
        </w:rPr>
        <w:t xml:space="preserve"> commercial office structures </w:t>
      </w:r>
      <w:r w:rsidRPr="00A8612E">
        <w:rPr>
          <w:rFonts w:ascii="Calibri" w:hAnsi="Calibri"/>
        </w:rPr>
        <w:t xml:space="preserve">do not require the use of heavy industrial machinery. Therefore, this analysis considers vibration impacts only from project construction. It is assumed that pile drivers, which generate strong groundborne vibration, would not be used during construction. </w:t>
      </w:r>
    </w:p>
    <w:p w14:paraId="40C8542A" w14:textId="79599714" w:rsidR="000E4B25" w:rsidRPr="000414FF" w:rsidRDefault="000E4B25" w:rsidP="000E4B25">
      <w:pPr>
        <w:pStyle w:val="BodyText0"/>
        <w:rPr>
          <w:rFonts w:ascii="Calibri" w:hAnsi="Calibri"/>
        </w:rPr>
      </w:pPr>
      <w:r w:rsidRPr="00DA4F04">
        <w:t xml:space="preserve">Typically, ground-borne vibration generated by manmade activities attenuates rapidly as distance from the source of the vibration increases. Vibration amplitudes are usually expressed in peak particle velocity (PPV) or root mean squared (RMS) vibration velocity. The PPV and RMS velocity are normally described in inches per second (in/sec). PPV is defined as the maximum instantaneous positive or negative peak of a vibration signal. PPV is often used as it corresponds to the stresses that are experienced by </w:t>
      </w:r>
      <w:r w:rsidRPr="0093509F">
        <w:t>buildings (</w:t>
      </w:r>
      <w:bookmarkStart w:id="288" w:name="_Hlk83211406"/>
      <w:r w:rsidRPr="0093509F">
        <w:t>Caltrans 2020).</w:t>
      </w:r>
      <w:bookmarkEnd w:id="288"/>
      <w:r w:rsidRPr="0093509F">
        <w:t xml:space="preserve"> </w:t>
      </w:r>
      <w:r w:rsidRPr="000414FF">
        <w:rPr>
          <w:rFonts w:ascii="Calibri" w:eastAsia="Times New Roman" w:hAnsi="Calibri" w:cs="Times New Roman"/>
          <w:szCs w:val="20"/>
        </w:rPr>
        <w:t xml:space="preserve">Construction vibration estimates are based on vibration levels reported by Caltrans and the FTA (Caltrans 2020, FTA 2018). </w:t>
      </w:r>
      <w:r w:rsidRPr="000414FF">
        <w:rPr>
          <w:rFonts w:ascii="Calibri" w:eastAsia="Times New Roman" w:hAnsi="Calibri" w:cs="Times New Roman"/>
          <w:bCs/>
          <w:szCs w:val="20"/>
        </w:rPr>
        <w:fldChar w:fldCharType="begin"/>
      </w:r>
      <w:r w:rsidRPr="000414FF">
        <w:rPr>
          <w:rFonts w:ascii="Calibri" w:eastAsia="Times New Roman" w:hAnsi="Calibri" w:cs="Times New Roman"/>
        </w:rPr>
        <w:instrText xml:space="preserve"> REF _Ref536708556 \h </w:instrText>
      </w:r>
      <w:r w:rsidRPr="000414FF">
        <w:rPr>
          <w:rFonts w:ascii="Calibri" w:eastAsia="Times New Roman" w:hAnsi="Calibri" w:cs="Times New Roman"/>
          <w:bCs/>
          <w:szCs w:val="20"/>
        </w:rPr>
        <w:instrText xml:space="preserve"> \* MERGEFORMAT </w:instrText>
      </w:r>
      <w:r w:rsidRPr="000414FF">
        <w:rPr>
          <w:rFonts w:ascii="Calibri" w:eastAsia="Times New Roman" w:hAnsi="Calibri" w:cs="Times New Roman"/>
          <w:bCs/>
          <w:szCs w:val="20"/>
        </w:rPr>
      </w:r>
      <w:r w:rsidRPr="000414FF">
        <w:rPr>
          <w:rFonts w:ascii="Calibri" w:eastAsia="Times New Roman" w:hAnsi="Calibri" w:cs="Times New Roman"/>
          <w:bCs/>
          <w:szCs w:val="20"/>
        </w:rPr>
        <w:fldChar w:fldCharType="separate"/>
      </w:r>
      <w:r w:rsidR="00FA55F1" w:rsidRPr="00FA55F1">
        <w:rPr>
          <w:rFonts w:ascii="Calibri" w:eastAsia="Times New Roman" w:hAnsi="Calibri" w:cs="Times New Roman"/>
          <w:szCs w:val="20"/>
        </w:rPr>
        <w:t xml:space="preserve">Table </w:t>
      </w:r>
      <w:r w:rsidR="00FA55F1" w:rsidRPr="00FA55F1">
        <w:rPr>
          <w:rFonts w:ascii="Calibri" w:eastAsia="Times New Roman" w:hAnsi="Calibri" w:cs="Times New Roman"/>
          <w:noProof/>
          <w:szCs w:val="20"/>
        </w:rPr>
        <w:t>28</w:t>
      </w:r>
      <w:r w:rsidRPr="000414FF">
        <w:rPr>
          <w:rFonts w:ascii="Calibri" w:eastAsia="Times New Roman" w:hAnsi="Calibri" w:cs="Times New Roman"/>
          <w:bCs/>
          <w:szCs w:val="20"/>
        </w:rPr>
        <w:fldChar w:fldCharType="end"/>
      </w:r>
      <w:r w:rsidRPr="000414FF">
        <w:rPr>
          <w:rFonts w:ascii="Calibri" w:eastAsia="Times New Roman" w:hAnsi="Calibri" w:cs="Times New Roman"/>
          <w:bCs/>
          <w:szCs w:val="20"/>
        </w:rPr>
        <w:t xml:space="preserve"> </w:t>
      </w:r>
      <w:r w:rsidRPr="000414FF">
        <w:rPr>
          <w:rFonts w:ascii="Calibri" w:eastAsia="Times New Roman" w:hAnsi="Calibri" w:cs="Times New Roman"/>
          <w:szCs w:val="20"/>
        </w:rPr>
        <w:t>shows typical vibration levels for various pieces of construction equipment used in the assessment of construction vibration (FTA 2018).</w:t>
      </w:r>
    </w:p>
    <w:p w14:paraId="6051A81F" w14:textId="5FC17502" w:rsidR="000E4B25" w:rsidRPr="000414FF" w:rsidRDefault="000E4B25" w:rsidP="00E614CC">
      <w:pPr>
        <w:pStyle w:val="TableCaption"/>
      </w:pPr>
      <w:bookmarkStart w:id="289" w:name="_Ref536708556"/>
      <w:bookmarkStart w:id="290" w:name="_Toc65651300"/>
      <w:bookmarkStart w:id="291" w:name="_Toc65651574"/>
      <w:bookmarkStart w:id="292" w:name="_Toc68928261"/>
      <w:bookmarkStart w:id="293" w:name="_Toc164667895"/>
      <w:bookmarkStart w:id="294" w:name="_Toc177528376"/>
      <w:bookmarkStart w:id="295" w:name="_Toc6819038"/>
      <w:bookmarkStart w:id="296" w:name="_Toc93590162"/>
      <w:bookmarkStart w:id="297" w:name="_Toc112942477"/>
      <w:r w:rsidRPr="000414FF">
        <w:t xml:space="preserve">Table </w:t>
      </w:r>
      <w:r w:rsidRPr="000414FF">
        <w:rPr>
          <w:noProof/>
        </w:rPr>
        <w:fldChar w:fldCharType="begin"/>
      </w:r>
      <w:r w:rsidRPr="000414FF">
        <w:rPr>
          <w:noProof/>
        </w:rPr>
        <w:instrText xml:space="preserve"> SEQ Table \* ARABIC </w:instrText>
      </w:r>
      <w:r w:rsidRPr="000414FF">
        <w:rPr>
          <w:noProof/>
        </w:rPr>
        <w:fldChar w:fldCharType="separate"/>
      </w:r>
      <w:r w:rsidR="00FA55F1">
        <w:rPr>
          <w:noProof/>
        </w:rPr>
        <w:t>28</w:t>
      </w:r>
      <w:r w:rsidRPr="000414FF">
        <w:rPr>
          <w:noProof/>
        </w:rPr>
        <w:fldChar w:fldCharType="end"/>
      </w:r>
      <w:bookmarkEnd w:id="289"/>
      <w:r w:rsidRPr="000414FF">
        <w:tab/>
        <w:t>Vibration Levels Measured during Construction Activities</w:t>
      </w:r>
      <w:bookmarkEnd w:id="290"/>
      <w:bookmarkEnd w:id="291"/>
      <w:bookmarkEnd w:id="292"/>
      <w:bookmarkEnd w:id="293"/>
      <w:bookmarkEnd w:id="294"/>
      <w:bookmarkEnd w:id="295"/>
      <w:bookmarkEnd w:id="296"/>
      <w:bookmarkEnd w:id="297"/>
    </w:p>
    <w:tbl>
      <w:tblPr>
        <w:tblW w:w="9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94"/>
        <w:gridCol w:w="6834"/>
      </w:tblGrid>
      <w:tr w:rsidR="000E4B25" w:rsidRPr="000414FF" w14:paraId="649BFE73" w14:textId="77777777" w:rsidTr="008E4D99">
        <w:tc>
          <w:tcPr>
            <w:tcW w:w="2194" w:type="dxa"/>
            <w:tcBorders>
              <w:top w:val="nil"/>
              <w:left w:val="nil"/>
              <w:bottom w:val="nil"/>
              <w:right w:val="nil"/>
            </w:tcBorders>
            <w:shd w:val="clear" w:color="auto" w:fill="000000"/>
            <w:vAlign w:val="bottom"/>
          </w:tcPr>
          <w:p w14:paraId="37AB9770" w14:textId="77777777" w:rsidR="000E4B25" w:rsidRPr="000414FF" w:rsidRDefault="000E4B25" w:rsidP="008E4D99">
            <w:pPr>
              <w:keepNext/>
              <w:spacing w:before="80" w:after="80"/>
              <w:rPr>
                <w:rFonts w:ascii="Calibri" w:hAnsi="Calibri"/>
                <w:b/>
                <w:bCs/>
                <w:sz w:val="18"/>
                <w:szCs w:val="18"/>
              </w:rPr>
            </w:pPr>
            <w:r w:rsidRPr="000414FF">
              <w:rPr>
                <w:rFonts w:ascii="Calibri" w:hAnsi="Calibri"/>
                <w:b/>
                <w:bCs/>
                <w:sz w:val="18"/>
                <w:szCs w:val="18"/>
              </w:rPr>
              <w:t>Equipment</w:t>
            </w:r>
          </w:p>
        </w:tc>
        <w:tc>
          <w:tcPr>
            <w:tcW w:w="6834" w:type="dxa"/>
            <w:tcBorders>
              <w:top w:val="nil"/>
              <w:left w:val="nil"/>
              <w:bottom w:val="nil"/>
              <w:right w:val="nil"/>
            </w:tcBorders>
            <w:shd w:val="clear" w:color="auto" w:fill="000000"/>
          </w:tcPr>
          <w:p w14:paraId="4CDD65EC" w14:textId="77777777" w:rsidR="000E4B25" w:rsidRPr="000414FF" w:rsidRDefault="000E4B25" w:rsidP="008E4D99">
            <w:pPr>
              <w:keepNext/>
              <w:spacing w:before="80" w:after="80"/>
              <w:ind w:left="121"/>
              <w:rPr>
                <w:rFonts w:ascii="Calibri" w:hAnsi="Calibri"/>
                <w:b/>
                <w:bCs/>
                <w:sz w:val="18"/>
                <w:szCs w:val="18"/>
              </w:rPr>
            </w:pPr>
            <w:r w:rsidRPr="000414FF">
              <w:rPr>
                <w:rFonts w:ascii="Calibri" w:hAnsi="Calibri"/>
                <w:b/>
                <w:bCs/>
                <w:sz w:val="18"/>
                <w:szCs w:val="18"/>
              </w:rPr>
              <w:t>PPV at 25 ft. (in/sec)</w:t>
            </w:r>
          </w:p>
        </w:tc>
      </w:tr>
      <w:tr w:rsidR="000E4B25" w:rsidRPr="000414FF" w14:paraId="732019AD" w14:textId="77777777" w:rsidTr="008E4D99">
        <w:tc>
          <w:tcPr>
            <w:tcW w:w="2194" w:type="dxa"/>
            <w:tcBorders>
              <w:top w:val="nil"/>
              <w:left w:val="nil"/>
              <w:bottom w:val="single" w:sz="4" w:space="0" w:color="BFBFBF"/>
              <w:right w:val="nil"/>
            </w:tcBorders>
            <w:shd w:val="clear" w:color="auto" w:fill="auto"/>
          </w:tcPr>
          <w:p w14:paraId="4F7D7B4F" w14:textId="77777777" w:rsidR="000E4B25" w:rsidRPr="000414FF" w:rsidRDefault="000E4B25" w:rsidP="008E4D99">
            <w:pPr>
              <w:spacing w:before="40" w:after="40"/>
              <w:rPr>
                <w:rFonts w:ascii="Calibri" w:hAnsi="Calibri"/>
                <w:sz w:val="18"/>
                <w:szCs w:val="18"/>
              </w:rPr>
            </w:pPr>
            <w:r w:rsidRPr="000414FF">
              <w:rPr>
                <w:rFonts w:ascii="Calibri" w:hAnsi="Calibri"/>
                <w:sz w:val="18"/>
                <w:szCs w:val="18"/>
              </w:rPr>
              <w:t>Large Vibratory Roller</w:t>
            </w:r>
          </w:p>
        </w:tc>
        <w:tc>
          <w:tcPr>
            <w:tcW w:w="6834" w:type="dxa"/>
            <w:tcBorders>
              <w:top w:val="nil"/>
              <w:left w:val="nil"/>
              <w:bottom w:val="single" w:sz="4" w:space="0" w:color="BFBFBF"/>
              <w:right w:val="nil"/>
            </w:tcBorders>
            <w:shd w:val="clear" w:color="auto" w:fill="auto"/>
          </w:tcPr>
          <w:p w14:paraId="1BF0775E" w14:textId="77777777" w:rsidR="000E4B25" w:rsidRPr="000414FF" w:rsidRDefault="000E4B25" w:rsidP="008E4D99">
            <w:pPr>
              <w:spacing w:before="40" w:after="40"/>
              <w:ind w:right="4773"/>
              <w:jc w:val="center"/>
              <w:rPr>
                <w:rFonts w:ascii="Calibri" w:hAnsi="Calibri"/>
                <w:sz w:val="18"/>
                <w:szCs w:val="18"/>
              </w:rPr>
            </w:pPr>
            <w:r w:rsidRPr="000414FF">
              <w:rPr>
                <w:rFonts w:ascii="Calibri" w:hAnsi="Calibri"/>
                <w:sz w:val="18"/>
                <w:szCs w:val="18"/>
              </w:rPr>
              <w:t>0.211</w:t>
            </w:r>
          </w:p>
        </w:tc>
      </w:tr>
      <w:tr w:rsidR="000E4B25" w:rsidRPr="000414FF" w14:paraId="08113B94" w14:textId="77777777" w:rsidTr="008E4D99">
        <w:tc>
          <w:tcPr>
            <w:tcW w:w="2194" w:type="dxa"/>
            <w:tcBorders>
              <w:top w:val="single" w:sz="4" w:space="0" w:color="BFBFBF"/>
              <w:left w:val="nil"/>
              <w:bottom w:val="single" w:sz="4" w:space="0" w:color="BFBFBF"/>
              <w:right w:val="nil"/>
            </w:tcBorders>
            <w:shd w:val="clear" w:color="auto" w:fill="auto"/>
          </w:tcPr>
          <w:p w14:paraId="3185FB75" w14:textId="77777777" w:rsidR="000E4B25" w:rsidRPr="000414FF" w:rsidRDefault="000E4B25" w:rsidP="008E4D99">
            <w:pPr>
              <w:spacing w:before="40" w:after="40"/>
              <w:rPr>
                <w:rFonts w:ascii="Calibri" w:hAnsi="Calibri"/>
                <w:sz w:val="18"/>
                <w:szCs w:val="18"/>
              </w:rPr>
            </w:pPr>
            <w:r w:rsidRPr="000414FF">
              <w:rPr>
                <w:rFonts w:ascii="Calibri" w:hAnsi="Calibri"/>
                <w:sz w:val="18"/>
                <w:szCs w:val="18"/>
              </w:rPr>
              <w:t>Small Vibratory Roller</w:t>
            </w:r>
          </w:p>
        </w:tc>
        <w:tc>
          <w:tcPr>
            <w:tcW w:w="6834" w:type="dxa"/>
            <w:tcBorders>
              <w:top w:val="single" w:sz="4" w:space="0" w:color="BFBFBF"/>
              <w:left w:val="nil"/>
              <w:bottom w:val="single" w:sz="4" w:space="0" w:color="BFBFBF"/>
              <w:right w:val="nil"/>
            </w:tcBorders>
            <w:shd w:val="clear" w:color="auto" w:fill="auto"/>
          </w:tcPr>
          <w:p w14:paraId="7C0C89D9" w14:textId="77777777" w:rsidR="000E4B25" w:rsidRPr="000414FF" w:rsidRDefault="000E4B25" w:rsidP="008E4D99">
            <w:pPr>
              <w:spacing w:before="40" w:after="40"/>
              <w:ind w:right="4773"/>
              <w:jc w:val="center"/>
              <w:rPr>
                <w:rFonts w:ascii="Calibri" w:hAnsi="Calibri"/>
                <w:sz w:val="18"/>
                <w:szCs w:val="18"/>
              </w:rPr>
            </w:pPr>
            <w:r w:rsidRPr="000414FF">
              <w:rPr>
                <w:rFonts w:ascii="Calibri" w:hAnsi="Calibri"/>
                <w:sz w:val="18"/>
                <w:szCs w:val="18"/>
              </w:rPr>
              <w:t>0.101</w:t>
            </w:r>
          </w:p>
        </w:tc>
      </w:tr>
      <w:tr w:rsidR="000E4B25" w:rsidRPr="000414FF" w14:paraId="51CA126C" w14:textId="77777777" w:rsidTr="008E4D99">
        <w:tc>
          <w:tcPr>
            <w:tcW w:w="2194" w:type="dxa"/>
            <w:tcBorders>
              <w:top w:val="single" w:sz="4" w:space="0" w:color="BFBFBF"/>
              <w:left w:val="nil"/>
              <w:bottom w:val="single" w:sz="4" w:space="0" w:color="BFBFBF"/>
              <w:right w:val="nil"/>
            </w:tcBorders>
            <w:shd w:val="clear" w:color="auto" w:fill="auto"/>
          </w:tcPr>
          <w:p w14:paraId="1827460E" w14:textId="77777777" w:rsidR="000E4B25" w:rsidRPr="000414FF" w:rsidRDefault="000E4B25" w:rsidP="008E4D99">
            <w:pPr>
              <w:spacing w:before="40" w:after="40"/>
              <w:rPr>
                <w:rFonts w:ascii="Calibri" w:hAnsi="Calibri"/>
                <w:sz w:val="18"/>
                <w:szCs w:val="18"/>
              </w:rPr>
            </w:pPr>
            <w:r w:rsidRPr="000414FF">
              <w:rPr>
                <w:rFonts w:ascii="Calibri" w:hAnsi="Calibri"/>
                <w:sz w:val="18"/>
                <w:szCs w:val="18"/>
              </w:rPr>
              <w:t>Large Bulldozer</w:t>
            </w:r>
          </w:p>
        </w:tc>
        <w:tc>
          <w:tcPr>
            <w:tcW w:w="6834" w:type="dxa"/>
            <w:tcBorders>
              <w:top w:val="single" w:sz="4" w:space="0" w:color="BFBFBF"/>
              <w:left w:val="nil"/>
              <w:bottom w:val="single" w:sz="4" w:space="0" w:color="BFBFBF"/>
              <w:right w:val="nil"/>
            </w:tcBorders>
            <w:shd w:val="clear" w:color="auto" w:fill="auto"/>
          </w:tcPr>
          <w:p w14:paraId="35B73DC9" w14:textId="77777777" w:rsidR="000E4B25" w:rsidRPr="000414FF" w:rsidRDefault="000E4B25" w:rsidP="008E4D99">
            <w:pPr>
              <w:spacing w:before="40" w:after="40"/>
              <w:ind w:right="4773"/>
              <w:jc w:val="center"/>
              <w:rPr>
                <w:rFonts w:ascii="Calibri" w:hAnsi="Calibri"/>
                <w:sz w:val="18"/>
                <w:szCs w:val="18"/>
              </w:rPr>
            </w:pPr>
            <w:r w:rsidRPr="000414FF">
              <w:rPr>
                <w:rFonts w:ascii="Calibri" w:hAnsi="Calibri"/>
                <w:sz w:val="18"/>
                <w:szCs w:val="18"/>
              </w:rPr>
              <w:t>0.089</w:t>
            </w:r>
          </w:p>
        </w:tc>
      </w:tr>
      <w:tr w:rsidR="000E4B25" w:rsidRPr="000414FF" w14:paraId="6A7F3B20" w14:textId="77777777" w:rsidTr="008E4D99">
        <w:tc>
          <w:tcPr>
            <w:tcW w:w="2194" w:type="dxa"/>
            <w:tcBorders>
              <w:top w:val="single" w:sz="4" w:space="0" w:color="BFBFBF"/>
              <w:left w:val="nil"/>
              <w:bottom w:val="single" w:sz="4" w:space="0" w:color="BFBFBF"/>
              <w:right w:val="nil"/>
            </w:tcBorders>
            <w:shd w:val="clear" w:color="auto" w:fill="auto"/>
          </w:tcPr>
          <w:p w14:paraId="5031A13C" w14:textId="77777777" w:rsidR="000E4B25" w:rsidRPr="000414FF" w:rsidRDefault="000E4B25" w:rsidP="008E4D99">
            <w:pPr>
              <w:spacing w:before="40" w:after="40"/>
              <w:rPr>
                <w:rFonts w:ascii="Calibri" w:hAnsi="Calibri"/>
                <w:sz w:val="18"/>
                <w:szCs w:val="18"/>
              </w:rPr>
            </w:pPr>
            <w:r w:rsidRPr="000414FF">
              <w:rPr>
                <w:rFonts w:ascii="Calibri" w:hAnsi="Calibri"/>
                <w:sz w:val="18"/>
                <w:szCs w:val="18"/>
              </w:rPr>
              <w:t>Loaded Trucks</w:t>
            </w:r>
          </w:p>
        </w:tc>
        <w:tc>
          <w:tcPr>
            <w:tcW w:w="6834" w:type="dxa"/>
            <w:tcBorders>
              <w:top w:val="single" w:sz="4" w:space="0" w:color="BFBFBF"/>
              <w:left w:val="nil"/>
              <w:bottom w:val="single" w:sz="4" w:space="0" w:color="BFBFBF"/>
              <w:right w:val="nil"/>
            </w:tcBorders>
            <w:shd w:val="clear" w:color="auto" w:fill="auto"/>
          </w:tcPr>
          <w:p w14:paraId="1B035922" w14:textId="77777777" w:rsidR="000E4B25" w:rsidRPr="000414FF" w:rsidRDefault="000E4B25" w:rsidP="008E4D99">
            <w:pPr>
              <w:spacing w:before="40" w:after="40"/>
              <w:ind w:right="4773"/>
              <w:jc w:val="center"/>
              <w:rPr>
                <w:rFonts w:ascii="Calibri" w:hAnsi="Calibri"/>
                <w:sz w:val="18"/>
                <w:szCs w:val="18"/>
              </w:rPr>
            </w:pPr>
            <w:r w:rsidRPr="000414FF">
              <w:rPr>
                <w:rFonts w:ascii="Calibri" w:hAnsi="Calibri"/>
                <w:sz w:val="18"/>
                <w:szCs w:val="18"/>
              </w:rPr>
              <w:t>0.076</w:t>
            </w:r>
          </w:p>
        </w:tc>
      </w:tr>
      <w:tr w:rsidR="000E4B25" w:rsidRPr="000414FF" w14:paraId="40AC76E9" w14:textId="77777777" w:rsidTr="008E4D99">
        <w:tc>
          <w:tcPr>
            <w:tcW w:w="2194" w:type="dxa"/>
            <w:tcBorders>
              <w:top w:val="single" w:sz="4" w:space="0" w:color="BFBFBF"/>
              <w:left w:val="nil"/>
              <w:bottom w:val="nil"/>
              <w:right w:val="nil"/>
            </w:tcBorders>
            <w:shd w:val="clear" w:color="auto" w:fill="auto"/>
          </w:tcPr>
          <w:p w14:paraId="2E0C294C" w14:textId="77777777" w:rsidR="000E4B25" w:rsidRPr="000414FF" w:rsidRDefault="000E4B25" w:rsidP="008E4D99">
            <w:pPr>
              <w:spacing w:before="40" w:after="40"/>
              <w:rPr>
                <w:rFonts w:ascii="Calibri" w:hAnsi="Calibri"/>
                <w:sz w:val="18"/>
                <w:szCs w:val="18"/>
              </w:rPr>
            </w:pPr>
            <w:r w:rsidRPr="000414FF">
              <w:rPr>
                <w:rFonts w:ascii="Calibri" w:hAnsi="Calibri"/>
                <w:sz w:val="18"/>
                <w:szCs w:val="18"/>
              </w:rPr>
              <w:t>Small Bulldozer</w:t>
            </w:r>
          </w:p>
        </w:tc>
        <w:tc>
          <w:tcPr>
            <w:tcW w:w="6834" w:type="dxa"/>
            <w:tcBorders>
              <w:top w:val="single" w:sz="4" w:space="0" w:color="BFBFBF"/>
              <w:left w:val="nil"/>
              <w:bottom w:val="nil"/>
              <w:right w:val="nil"/>
            </w:tcBorders>
            <w:shd w:val="clear" w:color="auto" w:fill="auto"/>
          </w:tcPr>
          <w:p w14:paraId="239906F4" w14:textId="77777777" w:rsidR="000E4B25" w:rsidRPr="000414FF" w:rsidRDefault="000E4B25" w:rsidP="008E4D99">
            <w:pPr>
              <w:spacing w:before="40" w:after="40"/>
              <w:ind w:right="4773"/>
              <w:jc w:val="center"/>
              <w:rPr>
                <w:rFonts w:ascii="Calibri" w:hAnsi="Calibri"/>
                <w:sz w:val="18"/>
                <w:szCs w:val="18"/>
              </w:rPr>
            </w:pPr>
            <w:r w:rsidRPr="000414FF">
              <w:rPr>
                <w:rFonts w:ascii="Calibri" w:hAnsi="Calibri"/>
                <w:sz w:val="18"/>
                <w:szCs w:val="18"/>
              </w:rPr>
              <w:t>0.003</w:t>
            </w:r>
          </w:p>
        </w:tc>
      </w:tr>
      <w:tr w:rsidR="000E4B25" w:rsidRPr="000414FF" w14:paraId="3976C56F" w14:textId="77777777" w:rsidTr="008E4D99">
        <w:tc>
          <w:tcPr>
            <w:tcW w:w="9028" w:type="dxa"/>
            <w:gridSpan w:val="2"/>
            <w:tcBorders>
              <w:left w:val="nil"/>
              <w:bottom w:val="single" w:sz="4" w:space="0" w:color="auto"/>
              <w:right w:val="nil"/>
            </w:tcBorders>
            <w:vAlign w:val="center"/>
          </w:tcPr>
          <w:p w14:paraId="335AB24B" w14:textId="77777777" w:rsidR="000E4B25" w:rsidRPr="000414FF" w:rsidRDefault="000E4B25" w:rsidP="008E4D99">
            <w:pPr>
              <w:spacing w:before="60" w:after="60"/>
              <w:rPr>
                <w:rFonts w:ascii="Calibri" w:hAnsi="Calibri" w:cs="Calibri"/>
                <w:sz w:val="16"/>
              </w:rPr>
            </w:pPr>
            <w:r w:rsidRPr="000414FF">
              <w:rPr>
                <w:rFonts w:ascii="Calibri" w:hAnsi="Calibri" w:cs="Calibri"/>
                <w:sz w:val="16"/>
              </w:rPr>
              <w:t>Source: FTA 2018</w:t>
            </w:r>
          </w:p>
        </w:tc>
      </w:tr>
    </w:tbl>
    <w:p w14:paraId="1C80F32A" w14:textId="0679A94E" w:rsidR="000E4B25" w:rsidRPr="008E4D99" w:rsidRDefault="000E4B25" w:rsidP="009A2A5D">
      <w:pPr>
        <w:pStyle w:val="bodyafter"/>
      </w:pPr>
      <w:r w:rsidRPr="008E4D99">
        <w:t xml:space="preserve">Vibration limits used in this analysis to determine a potential impact to local land uses from construction activities, such as </w:t>
      </w:r>
      <w:r>
        <w:t>rollers</w:t>
      </w:r>
      <w:r w:rsidRPr="008E4D99">
        <w:t xml:space="preserve">, </w:t>
      </w:r>
      <w:r>
        <w:t>bulldozers</w:t>
      </w:r>
      <w:r w:rsidRPr="008E4D99">
        <w:t xml:space="preserve">, vibratory compaction, or excavation, are based on information contained in Caltrans’ </w:t>
      </w:r>
      <w:r w:rsidRPr="008E4D99">
        <w:rPr>
          <w:i/>
          <w:iCs/>
        </w:rPr>
        <w:t>Transportation and Construction Vibration Guidance Manual</w:t>
      </w:r>
      <w:r w:rsidRPr="008E4D99">
        <w:t xml:space="preserve"> and the Federal Transit Administration and the FTA </w:t>
      </w:r>
      <w:r w:rsidRPr="008E4D99">
        <w:rPr>
          <w:i/>
          <w:iCs/>
        </w:rPr>
        <w:t>Transit Noise and Vibration Impact Assessment Manual</w:t>
      </w:r>
      <w:r w:rsidRPr="008E4D99">
        <w:t xml:space="preserve"> (Caltrans 2020; FTA 2018). Maximum recommended vibration limits by the American Association of State Highway and Transportation Officials (AASHTO) are identified in </w:t>
      </w:r>
      <w:r w:rsidRPr="008E4D99">
        <w:fldChar w:fldCharType="begin"/>
      </w:r>
      <w:r w:rsidRPr="008E4D99">
        <w:instrText xml:space="preserve"> REF _Ref6583459 \h  \* MERGEFORMAT </w:instrText>
      </w:r>
      <w:r w:rsidRPr="008E4D99">
        <w:fldChar w:fldCharType="separate"/>
      </w:r>
      <w:r w:rsidR="00FA55F1" w:rsidRPr="000414FF">
        <w:t xml:space="preserve">Table </w:t>
      </w:r>
      <w:r w:rsidR="00FA55F1">
        <w:rPr>
          <w:noProof/>
        </w:rPr>
        <w:t>29</w:t>
      </w:r>
      <w:r w:rsidRPr="008E4D99">
        <w:fldChar w:fldCharType="end"/>
      </w:r>
      <w:r w:rsidRPr="008E4D99">
        <w:t xml:space="preserve">. </w:t>
      </w:r>
    </w:p>
    <w:p w14:paraId="19FD62CF" w14:textId="372EDAEE" w:rsidR="000E4B25" w:rsidRPr="000414FF" w:rsidRDefault="000E4B25" w:rsidP="00E614CC">
      <w:pPr>
        <w:pStyle w:val="TableCaption"/>
      </w:pPr>
      <w:bookmarkStart w:id="298" w:name="_Ref6583459"/>
      <w:bookmarkStart w:id="299" w:name="_Toc65775585"/>
      <w:bookmarkStart w:id="300" w:name="_Toc93590163"/>
      <w:bookmarkStart w:id="301" w:name="_Toc112942478"/>
      <w:r w:rsidRPr="000414FF">
        <w:t xml:space="preserve">Table </w:t>
      </w:r>
      <w:r w:rsidRPr="000414FF">
        <w:rPr>
          <w:noProof/>
        </w:rPr>
        <w:fldChar w:fldCharType="begin"/>
      </w:r>
      <w:r w:rsidRPr="000414FF">
        <w:rPr>
          <w:noProof/>
        </w:rPr>
        <w:instrText xml:space="preserve"> SEQ Table \* ARABIC </w:instrText>
      </w:r>
      <w:r w:rsidRPr="000414FF">
        <w:rPr>
          <w:noProof/>
        </w:rPr>
        <w:fldChar w:fldCharType="separate"/>
      </w:r>
      <w:r w:rsidR="00FA55F1">
        <w:rPr>
          <w:noProof/>
        </w:rPr>
        <w:t>29</w:t>
      </w:r>
      <w:r w:rsidRPr="000414FF">
        <w:rPr>
          <w:noProof/>
        </w:rPr>
        <w:fldChar w:fldCharType="end"/>
      </w:r>
      <w:bookmarkEnd w:id="298"/>
      <w:r w:rsidRPr="000414FF">
        <w:tab/>
        <w:t>AASHTO Maximum Vibration Levels for Preventing Damage</w:t>
      </w:r>
      <w:bookmarkEnd w:id="299"/>
      <w:bookmarkEnd w:id="300"/>
      <w:bookmarkEnd w:id="301"/>
    </w:p>
    <w:tbl>
      <w:tblPr>
        <w:tblStyle w:val="TableGrid"/>
        <w:tblW w:w="9028" w:type="dxa"/>
        <w:tblLook w:val="04A0" w:firstRow="1" w:lastRow="0" w:firstColumn="1" w:lastColumn="0" w:noHBand="0" w:noVBand="1"/>
      </w:tblPr>
      <w:tblGrid>
        <w:gridCol w:w="5209"/>
        <w:gridCol w:w="3819"/>
      </w:tblGrid>
      <w:tr w:rsidR="000E4B25" w:rsidRPr="000414FF" w14:paraId="003806F3" w14:textId="77777777" w:rsidTr="008E4D99">
        <w:tc>
          <w:tcPr>
            <w:tcW w:w="5209" w:type="dxa"/>
            <w:tcBorders>
              <w:top w:val="nil"/>
              <w:left w:val="nil"/>
              <w:bottom w:val="nil"/>
              <w:right w:val="nil"/>
            </w:tcBorders>
            <w:shd w:val="clear" w:color="auto" w:fill="000000"/>
            <w:vAlign w:val="bottom"/>
          </w:tcPr>
          <w:p w14:paraId="28C45CCB" w14:textId="77777777" w:rsidR="000E4B25" w:rsidRPr="000414FF" w:rsidRDefault="000E4B25" w:rsidP="008E4D99">
            <w:pPr>
              <w:keepNext/>
              <w:overflowPunct w:val="0"/>
              <w:autoSpaceDE w:val="0"/>
              <w:autoSpaceDN w:val="0"/>
              <w:adjustRightInd w:val="0"/>
              <w:spacing w:before="80" w:after="80"/>
              <w:textAlignment w:val="baseline"/>
              <w:rPr>
                <w:rFonts w:ascii="Calibri" w:hAnsi="Calibri"/>
                <w:b/>
                <w:bCs/>
                <w:sz w:val="18"/>
                <w:szCs w:val="18"/>
              </w:rPr>
            </w:pPr>
            <w:r w:rsidRPr="000414FF">
              <w:rPr>
                <w:rFonts w:ascii="Calibri" w:hAnsi="Calibri"/>
                <w:b/>
                <w:bCs/>
                <w:sz w:val="18"/>
                <w:szCs w:val="18"/>
              </w:rPr>
              <w:t>Type of Situation</w:t>
            </w:r>
          </w:p>
        </w:tc>
        <w:tc>
          <w:tcPr>
            <w:tcW w:w="3819" w:type="dxa"/>
            <w:tcBorders>
              <w:top w:val="nil"/>
              <w:left w:val="nil"/>
              <w:bottom w:val="nil"/>
              <w:right w:val="nil"/>
            </w:tcBorders>
            <w:shd w:val="clear" w:color="auto" w:fill="000000"/>
            <w:vAlign w:val="bottom"/>
          </w:tcPr>
          <w:p w14:paraId="10289710" w14:textId="77777777" w:rsidR="000E4B25" w:rsidRPr="000414FF" w:rsidRDefault="000E4B25" w:rsidP="008E4D99">
            <w:pPr>
              <w:keepNext/>
              <w:overflowPunct w:val="0"/>
              <w:autoSpaceDE w:val="0"/>
              <w:autoSpaceDN w:val="0"/>
              <w:adjustRightInd w:val="0"/>
              <w:spacing w:before="80" w:after="80"/>
              <w:textAlignment w:val="baseline"/>
              <w:rPr>
                <w:rFonts w:ascii="Calibri" w:hAnsi="Calibri"/>
                <w:b/>
                <w:bCs/>
                <w:sz w:val="18"/>
                <w:szCs w:val="18"/>
              </w:rPr>
            </w:pPr>
            <w:r w:rsidRPr="000414FF">
              <w:rPr>
                <w:rFonts w:ascii="Calibri" w:hAnsi="Calibri"/>
                <w:b/>
                <w:bCs/>
                <w:sz w:val="18"/>
                <w:szCs w:val="18"/>
              </w:rPr>
              <w:t>Limiting Velocity (in/sec)</w:t>
            </w:r>
          </w:p>
        </w:tc>
      </w:tr>
      <w:tr w:rsidR="000E4B25" w:rsidRPr="000414FF" w14:paraId="1456E1E9" w14:textId="77777777" w:rsidTr="008E4D99">
        <w:tc>
          <w:tcPr>
            <w:tcW w:w="5209" w:type="dxa"/>
            <w:tcBorders>
              <w:top w:val="nil"/>
              <w:left w:val="nil"/>
              <w:bottom w:val="single" w:sz="4" w:space="0" w:color="BFBFBF"/>
              <w:right w:val="nil"/>
            </w:tcBorders>
            <w:vAlign w:val="bottom"/>
          </w:tcPr>
          <w:p w14:paraId="006F4C5B" w14:textId="77777777" w:rsidR="000E4B25" w:rsidRPr="000414FF" w:rsidRDefault="000E4B25" w:rsidP="008E4D99">
            <w:pPr>
              <w:overflowPunct w:val="0"/>
              <w:autoSpaceDE w:val="0"/>
              <w:autoSpaceDN w:val="0"/>
              <w:adjustRightInd w:val="0"/>
              <w:spacing w:before="40" w:after="40"/>
              <w:textAlignment w:val="baseline"/>
              <w:rPr>
                <w:rFonts w:ascii="Calibri" w:hAnsi="Calibri" w:cs="Calibri"/>
                <w:sz w:val="18"/>
              </w:rPr>
            </w:pPr>
            <w:r w:rsidRPr="000414FF">
              <w:rPr>
                <w:rFonts w:ascii="Calibri" w:hAnsi="Calibri" w:cs="Calibri"/>
                <w:sz w:val="18"/>
              </w:rPr>
              <w:t xml:space="preserve">Historic sites or other critical locations </w:t>
            </w:r>
          </w:p>
        </w:tc>
        <w:tc>
          <w:tcPr>
            <w:tcW w:w="3819" w:type="dxa"/>
            <w:tcBorders>
              <w:top w:val="nil"/>
              <w:left w:val="nil"/>
              <w:bottom w:val="single" w:sz="4" w:space="0" w:color="BFBFBF"/>
              <w:right w:val="nil"/>
            </w:tcBorders>
            <w:vAlign w:val="center"/>
          </w:tcPr>
          <w:p w14:paraId="48D0FBC0" w14:textId="77777777" w:rsidR="000E4B25" w:rsidRPr="000414FF" w:rsidRDefault="000E4B25" w:rsidP="008E4D99">
            <w:pPr>
              <w:overflowPunct w:val="0"/>
              <w:autoSpaceDE w:val="0"/>
              <w:autoSpaceDN w:val="0"/>
              <w:adjustRightInd w:val="0"/>
              <w:spacing w:before="40" w:after="40"/>
              <w:ind w:right="2381"/>
              <w:jc w:val="right"/>
              <w:textAlignment w:val="baseline"/>
              <w:rPr>
                <w:rFonts w:ascii="Calibri" w:hAnsi="Calibri" w:cs="Calibri"/>
                <w:sz w:val="18"/>
              </w:rPr>
            </w:pPr>
            <w:r w:rsidRPr="000414FF">
              <w:rPr>
                <w:rFonts w:ascii="Calibri" w:hAnsi="Calibri" w:cs="Calibri"/>
                <w:sz w:val="18"/>
              </w:rPr>
              <w:t>0.1</w:t>
            </w:r>
          </w:p>
        </w:tc>
      </w:tr>
      <w:tr w:rsidR="000E4B25" w:rsidRPr="000414FF" w14:paraId="1A58D96D" w14:textId="77777777" w:rsidTr="008E4D99">
        <w:tc>
          <w:tcPr>
            <w:tcW w:w="5209" w:type="dxa"/>
            <w:tcBorders>
              <w:top w:val="single" w:sz="4" w:space="0" w:color="BFBFBF"/>
              <w:left w:val="nil"/>
              <w:bottom w:val="single" w:sz="4" w:space="0" w:color="BFBFBF"/>
              <w:right w:val="nil"/>
            </w:tcBorders>
            <w:vAlign w:val="bottom"/>
          </w:tcPr>
          <w:p w14:paraId="642568AE" w14:textId="77777777" w:rsidR="000E4B25" w:rsidRPr="000414FF" w:rsidRDefault="000E4B25" w:rsidP="008E4D99">
            <w:pPr>
              <w:overflowPunct w:val="0"/>
              <w:autoSpaceDE w:val="0"/>
              <w:autoSpaceDN w:val="0"/>
              <w:adjustRightInd w:val="0"/>
              <w:spacing w:before="40" w:after="40"/>
              <w:textAlignment w:val="baseline"/>
              <w:rPr>
                <w:rFonts w:ascii="Calibri" w:hAnsi="Calibri" w:cs="Calibri"/>
                <w:sz w:val="18"/>
              </w:rPr>
            </w:pPr>
            <w:r w:rsidRPr="000414FF">
              <w:rPr>
                <w:rFonts w:ascii="Calibri" w:hAnsi="Calibri" w:cs="Calibri"/>
                <w:sz w:val="18"/>
              </w:rPr>
              <w:t xml:space="preserve">Residential buildings, plastered walls </w:t>
            </w:r>
          </w:p>
        </w:tc>
        <w:tc>
          <w:tcPr>
            <w:tcW w:w="3819" w:type="dxa"/>
            <w:tcBorders>
              <w:top w:val="single" w:sz="4" w:space="0" w:color="BFBFBF"/>
              <w:left w:val="nil"/>
              <w:bottom w:val="single" w:sz="4" w:space="0" w:color="BFBFBF"/>
              <w:right w:val="nil"/>
            </w:tcBorders>
            <w:vAlign w:val="center"/>
          </w:tcPr>
          <w:p w14:paraId="0A2DCE87" w14:textId="77777777" w:rsidR="000E4B25" w:rsidRPr="000414FF" w:rsidRDefault="000E4B25" w:rsidP="008E4D99">
            <w:pPr>
              <w:overflowPunct w:val="0"/>
              <w:autoSpaceDE w:val="0"/>
              <w:autoSpaceDN w:val="0"/>
              <w:adjustRightInd w:val="0"/>
              <w:spacing w:before="40" w:after="40"/>
              <w:ind w:right="2381"/>
              <w:jc w:val="right"/>
              <w:textAlignment w:val="baseline"/>
              <w:rPr>
                <w:rFonts w:ascii="Calibri" w:hAnsi="Calibri" w:cs="Calibri"/>
                <w:sz w:val="18"/>
              </w:rPr>
            </w:pPr>
            <w:r w:rsidRPr="000414FF">
              <w:rPr>
                <w:rFonts w:ascii="Calibri" w:hAnsi="Calibri" w:cs="Calibri"/>
                <w:sz w:val="18"/>
              </w:rPr>
              <w:t>0.2–0.3</w:t>
            </w:r>
          </w:p>
        </w:tc>
      </w:tr>
      <w:tr w:rsidR="000E4B25" w:rsidRPr="000414FF" w14:paraId="013B62C6" w14:textId="77777777" w:rsidTr="008E4D99">
        <w:tc>
          <w:tcPr>
            <w:tcW w:w="5209" w:type="dxa"/>
            <w:tcBorders>
              <w:top w:val="single" w:sz="4" w:space="0" w:color="BFBFBF"/>
              <w:left w:val="nil"/>
              <w:bottom w:val="single" w:sz="4" w:space="0" w:color="BFBFBF"/>
              <w:right w:val="nil"/>
            </w:tcBorders>
            <w:vAlign w:val="bottom"/>
          </w:tcPr>
          <w:p w14:paraId="5D99EFE8" w14:textId="77777777" w:rsidR="000E4B25" w:rsidRPr="000414FF" w:rsidRDefault="000E4B25" w:rsidP="008E4D99">
            <w:pPr>
              <w:overflowPunct w:val="0"/>
              <w:autoSpaceDE w:val="0"/>
              <w:autoSpaceDN w:val="0"/>
              <w:adjustRightInd w:val="0"/>
              <w:spacing w:before="40" w:after="40"/>
              <w:textAlignment w:val="baseline"/>
              <w:rPr>
                <w:rFonts w:ascii="Calibri" w:hAnsi="Calibri" w:cs="Calibri"/>
                <w:sz w:val="18"/>
              </w:rPr>
            </w:pPr>
            <w:r w:rsidRPr="000414FF">
              <w:rPr>
                <w:rFonts w:ascii="Calibri" w:hAnsi="Calibri" w:cs="Calibri"/>
                <w:sz w:val="18"/>
              </w:rPr>
              <w:t xml:space="preserve">Residential buildings in good repair with gypsum board walls </w:t>
            </w:r>
          </w:p>
        </w:tc>
        <w:tc>
          <w:tcPr>
            <w:tcW w:w="3819" w:type="dxa"/>
            <w:tcBorders>
              <w:top w:val="single" w:sz="4" w:space="0" w:color="BFBFBF"/>
              <w:left w:val="nil"/>
              <w:bottom w:val="single" w:sz="4" w:space="0" w:color="BFBFBF"/>
              <w:right w:val="nil"/>
            </w:tcBorders>
            <w:vAlign w:val="center"/>
          </w:tcPr>
          <w:p w14:paraId="759571CB" w14:textId="77777777" w:rsidR="000E4B25" w:rsidRPr="000414FF" w:rsidRDefault="000E4B25" w:rsidP="008E4D99">
            <w:pPr>
              <w:overflowPunct w:val="0"/>
              <w:autoSpaceDE w:val="0"/>
              <w:autoSpaceDN w:val="0"/>
              <w:adjustRightInd w:val="0"/>
              <w:spacing w:before="40" w:after="40"/>
              <w:ind w:right="2381"/>
              <w:jc w:val="right"/>
              <w:textAlignment w:val="baseline"/>
              <w:rPr>
                <w:rFonts w:ascii="Calibri" w:hAnsi="Calibri" w:cs="Calibri"/>
                <w:sz w:val="18"/>
              </w:rPr>
            </w:pPr>
            <w:r w:rsidRPr="000414FF">
              <w:rPr>
                <w:rFonts w:ascii="Calibri" w:hAnsi="Calibri" w:cs="Calibri"/>
                <w:sz w:val="18"/>
              </w:rPr>
              <w:t>0.4–0.5</w:t>
            </w:r>
          </w:p>
        </w:tc>
      </w:tr>
      <w:tr w:rsidR="000E4B25" w:rsidRPr="000414FF" w14:paraId="052729B0" w14:textId="77777777" w:rsidTr="008E4D99">
        <w:tc>
          <w:tcPr>
            <w:tcW w:w="5209" w:type="dxa"/>
            <w:tcBorders>
              <w:top w:val="single" w:sz="4" w:space="0" w:color="BFBFBF"/>
              <w:left w:val="nil"/>
              <w:bottom w:val="single" w:sz="4" w:space="0" w:color="auto"/>
              <w:right w:val="nil"/>
            </w:tcBorders>
            <w:vAlign w:val="bottom"/>
          </w:tcPr>
          <w:p w14:paraId="5E48FA4E" w14:textId="77777777" w:rsidR="000E4B25" w:rsidRPr="000414FF" w:rsidRDefault="000E4B25" w:rsidP="008E4D99">
            <w:pPr>
              <w:overflowPunct w:val="0"/>
              <w:autoSpaceDE w:val="0"/>
              <w:autoSpaceDN w:val="0"/>
              <w:adjustRightInd w:val="0"/>
              <w:spacing w:before="40" w:after="40"/>
              <w:textAlignment w:val="baseline"/>
              <w:rPr>
                <w:rFonts w:ascii="Calibri" w:hAnsi="Calibri" w:cs="Calibri"/>
                <w:sz w:val="18"/>
              </w:rPr>
            </w:pPr>
            <w:r w:rsidRPr="000414FF">
              <w:rPr>
                <w:rFonts w:ascii="Calibri" w:hAnsi="Calibri" w:cs="Calibri"/>
                <w:sz w:val="18"/>
              </w:rPr>
              <w:t xml:space="preserve">Engineered structures, without plaster </w:t>
            </w:r>
          </w:p>
        </w:tc>
        <w:tc>
          <w:tcPr>
            <w:tcW w:w="3819" w:type="dxa"/>
            <w:tcBorders>
              <w:top w:val="single" w:sz="4" w:space="0" w:color="BFBFBF"/>
              <w:left w:val="nil"/>
              <w:bottom w:val="single" w:sz="4" w:space="0" w:color="auto"/>
              <w:right w:val="nil"/>
            </w:tcBorders>
            <w:vAlign w:val="center"/>
          </w:tcPr>
          <w:p w14:paraId="30B75AE7" w14:textId="77777777" w:rsidR="000E4B25" w:rsidRPr="000414FF" w:rsidRDefault="000E4B25" w:rsidP="008E4D99">
            <w:pPr>
              <w:overflowPunct w:val="0"/>
              <w:autoSpaceDE w:val="0"/>
              <w:autoSpaceDN w:val="0"/>
              <w:adjustRightInd w:val="0"/>
              <w:spacing w:before="40" w:after="40"/>
              <w:ind w:right="2381"/>
              <w:jc w:val="right"/>
              <w:textAlignment w:val="baseline"/>
              <w:rPr>
                <w:rFonts w:ascii="Calibri" w:hAnsi="Calibri" w:cs="Calibri"/>
                <w:sz w:val="18"/>
              </w:rPr>
            </w:pPr>
            <w:r w:rsidRPr="000414FF">
              <w:rPr>
                <w:rFonts w:ascii="Calibri" w:hAnsi="Calibri" w:cs="Calibri"/>
                <w:sz w:val="18"/>
              </w:rPr>
              <w:t>1.0–1.5</w:t>
            </w:r>
          </w:p>
        </w:tc>
      </w:tr>
      <w:tr w:rsidR="000E4B25" w:rsidRPr="000414FF" w14:paraId="4EE0264E" w14:textId="77777777" w:rsidTr="008E4D99">
        <w:tc>
          <w:tcPr>
            <w:tcW w:w="9028" w:type="dxa"/>
            <w:gridSpan w:val="2"/>
            <w:tcBorders>
              <w:top w:val="single" w:sz="4" w:space="0" w:color="auto"/>
              <w:left w:val="nil"/>
              <w:bottom w:val="single" w:sz="4" w:space="0" w:color="auto"/>
              <w:right w:val="nil"/>
            </w:tcBorders>
            <w:vAlign w:val="bottom"/>
          </w:tcPr>
          <w:p w14:paraId="4A76E947" w14:textId="77777777" w:rsidR="000E4B25" w:rsidRPr="000414FF" w:rsidRDefault="000E4B25" w:rsidP="008E4D99">
            <w:pPr>
              <w:overflowPunct w:val="0"/>
              <w:autoSpaceDE w:val="0"/>
              <w:autoSpaceDN w:val="0"/>
              <w:adjustRightInd w:val="0"/>
              <w:spacing w:before="60" w:after="60"/>
              <w:textAlignment w:val="baseline"/>
              <w:rPr>
                <w:rFonts w:ascii="Calibri" w:hAnsi="Calibri" w:cs="Calibri"/>
                <w:sz w:val="16"/>
              </w:rPr>
            </w:pPr>
            <w:r w:rsidRPr="000414FF">
              <w:rPr>
                <w:rFonts w:ascii="Calibri" w:hAnsi="Calibri" w:cs="Calibri"/>
                <w:sz w:val="16"/>
              </w:rPr>
              <w:t>Source: Caltrans 2020</w:t>
            </w:r>
          </w:p>
        </w:tc>
      </w:tr>
    </w:tbl>
    <w:p w14:paraId="082A4C31" w14:textId="77777777" w:rsidR="000E4B25" w:rsidRDefault="000E4B25" w:rsidP="00F649B5">
      <w:pPr>
        <w:pStyle w:val="bodyafter"/>
      </w:pPr>
      <w:r w:rsidRPr="000414FF">
        <w:t xml:space="preserve">Based on AASHTO recommendations, limiting vibration levels to below </w:t>
      </w:r>
      <w:r>
        <w:t>1.0</w:t>
      </w:r>
      <w:r w:rsidRPr="000414FF">
        <w:t xml:space="preserve"> in/sec PPV at </w:t>
      </w:r>
      <w:r>
        <w:t>engineered</w:t>
      </w:r>
      <w:r w:rsidRPr="000414FF">
        <w:t xml:space="preserve"> structures would prevent structural damage. These limits are applicable regardless of the frequency of the source.</w:t>
      </w:r>
      <w:r>
        <w:t xml:space="preserve"> </w:t>
      </w:r>
      <w:r w:rsidRPr="000414FF">
        <w:t xml:space="preserve">However, </w:t>
      </w:r>
      <w:r>
        <w:t>the</w:t>
      </w:r>
      <w:r w:rsidRPr="000414FF">
        <w:t xml:space="preserve"> potential </w:t>
      </w:r>
      <w:r>
        <w:t xml:space="preserve">for </w:t>
      </w:r>
      <w:r w:rsidRPr="000414FF">
        <w:t>human annoyance associated with vibration is usually different if it is generated by a steady state or a transient vibration source.</w:t>
      </w:r>
    </w:p>
    <w:p w14:paraId="59B99CB6" w14:textId="517E8A6F" w:rsidR="000E4B25" w:rsidRPr="00DA4F04" w:rsidRDefault="000E4B25" w:rsidP="000E4B25">
      <w:pPr>
        <w:pStyle w:val="BodyText"/>
      </w:pPr>
      <w:r w:rsidRPr="0093509F">
        <w:t>Numerous</w:t>
      </w:r>
      <w:r w:rsidRPr="00DA4F04">
        <w:t xml:space="preserve"> studies have been conducted to characterize the human response to vibration. The vibration annoyance potential criteria recommended for use by Caltrans, which are based on the</w:t>
      </w:r>
      <w:r>
        <w:t xml:space="preserve"> </w:t>
      </w:r>
      <w:r w:rsidRPr="00DA4F04">
        <w:t xml:space="preserve">general human response to different levels of groundborne vibration velocity levels, are described in </w:t>
      </w:r>
      <w:bookmarkStart w:id="302" w:name="_Ref26007542"/>
      <w:r w:rsidRPr="00DA4F04">
        <w:fldChar w:fldCharType="begin"/>
      </w:r>
      <w:r w:rsidRPr="00DA4F04">
        <w:instrText xml:space="preserve"> REF _Ref83193975 \h  \* MERGEFORMAT </w:instrText>
      </w:r>
      <w:r w:rsidRPr="00DA4F04">
        <w:fldChar w:fldCharType="separate"/>
      </w:r>
      <w:r w:rsidR="00FA55F1" w:rsidRPr="00DA4F04">
        <w:t xml:space="preserve">Table </w:t>
      </w:r>
      <w:r w:rsidR="00FA55F1">
        <w:rPr>
          <w:noProof/>
        </w:rPr>
        <w:t>30</w:t>
      </w:r>
      <w:r w:rsidRPr="00DA4F04">
        <w:fldChar w:fldCharType="end"/>
      </w:r>
      <w:r w:rsidRPr="00DA4F04">
        <w:t>.</w:t>
      </w:r>
    </w:p>
    <w:p w14:paraId="40BDD2B3" w14:textId="7C9BEAE3" w:rsidR="000E4B25" w:rsidRPr="00DA4F04" w:rsidRDefault="000E4B25" w:rsidP="000E4B25">
      <w:pPr>
        <w:pStyle w:val="TableCaption"/>
        <w:rPr>
          <w:szCs w:val="22"/>
        </w:rPr>
      </w:pPr>
      <w:bookmarkStart w:id="303" w:name="_Ref83193975"/>
      <w:bookmarkStart w:id="304" w:name="_Toc26260341"/>
      <w:bookmarkStart w:id="305" w:name="_Toc30145495"/>
      <w:bookmarkStart w:id="306" w:name="_Toc51308778"/>
      <w:bookmarkStart w:id="307" w:name="_Toc89082827"/>
      <w:bookmarkStart w:id="308" w:name="_Toc89363380"/>
      <w:bookmarkStart w:id="309" w:name="_Toc112942479"/>
      <w:bookmarkEnd w:id="302"/>
      <w:r w:rsidRPr="00DA4F04">
        <w:t xml:space="preserve">Table </w:t>
      </w:r>
      <w:fldSimple w:instr=" SEQ Table \* ARABIC ">
        <w:r w:rsidR="00FA55F1">
          <w:rPr>
            <w:noProof/>
          </w:rPr>
          <w:t>30</w:t>
        </w:r>
      </w:fldSimple>
      <w:bookmarkEnd w:id="303"/>
      <w:r w:rsidRPr="00DA4F04">
        <w:tab/>
      </w:r>
      <w:bookmarkEnd w:id="304"/>
      <w:bookmarkEnd w:id="305"/>
      <w:r w:rsidRPr="00DA4F04">
        <w:t>Vibration Annoyance Potential Criteria</w:t>
      </w:r>
      <w:bookmarkEnd w:id="306"/>
      <w:bookmarkEnd w:id="307"/>
      <w:bookmarkEnd w:id="308"/>
      <w:bookmarkEnd w:id="309"/>
    </w:p>
    <w:tbl>
      <w:tblPr>
        <w:tblStyle w:val="TableGrid"/>
        <w:tblW w:w="9028" w:type="dxa"/>
        <w:tblBorders>
          <w:left w:val="none" w:sz="0" w:space="0" w:color="auto"/>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2703"/>
        <w:gridCol w:w="3132"/>
        <w:gridCol w:w="3193"/>
      </w:tblGrid>
      <w:tr w:rsidR="000E4B25" w:rsidRPr="00DA4F04" w14:paraId="20FCD1A3" w14:textId="77777777" w:rsidTr="008E4D99">
        <w:tc>
          <w:tcPr>
            <w:tcW w:w="2922" w:type="dxa"/>
            <w:vMerge w:val="restart"/>
            <w:tcBorders>
              <w:top w:val="nil"/>
            </w:tcBorders>
            <w:shd w:val="clear" w:color="auto" w:fill="000000" w:themeFill="text1"/>
            <w:vAlign w:val="bottom"/>
          </w:tcPr>
          <w:p w14:paraId="4D48FC09" w14:textId="77777777" w:rsidR="000E4B25" w:rsidRPr="00DA4F04" w:rsidRDefault="000E4B25" w:rsidP="008E4D99">
            <w:pPr>
              <w:pStyle w:val="TableColumnHeadings-multirow"/>
              <w:keepNext w:val="0"/>
              <w:keepLines w:val="0"/>
            </w:pPr>
            <w:r w:rsidRPr="00DA4F04">
              <w:t>Human Response</w:t>
            </w:r>
          </w:p>
        </w:tc>
        <w:tc>
          <w:tcPr>
            <w:tcW w:w="6107" w:type="dxa"/>
            <w:gridSpan w:val="2"/>
            <w:tcBorders>
              <w:top w:val="nil"/>
              <w:bottom w:val="single" w:sz="4" w:space="0" w:color="FFFFFF" w:themeColor="background1"/>
            </w:tcBorders>
            <w:shd w:val="clear" w:color="auto" w:fill="000000" w:themeFill="text1"/>
            <w:vAlign w:val="center"/>
          </w:tcPr>
          <w:p w14:paraId="03F9CB67" w14:textId="77777777" w:rsidR="000E4B25" w:rsidRPr="00DA4F04" w:rsidRDefault="000E4B25" w:rsidP="008E4D99">
            <w:pPr>
              <w:pStyle w:val="TableColumnHeadings-multirow"/>
              <w:keepNext w:val="0"/>
              <w:keepLines w:val="0"/>
              <w:jc w:val="center"/>
            </w:pPr>
            <w:r w:rsidRPr="00DA4F04">
              <w:t>Vibration Level (in/sec PPV)</w:t>
            </w:r>
          </w:p>
        </w:tc>
      </w:tr>
      <w:tr w:rsidR="000E4B25" w:rsidRPr="00DA4F04" w14:paraId="56754EA8" w14:textId="77777777" w:rsidTr="008E4D99">
        <w:tc>
          <w:tcPr>
            <w:tcW w:w="2922" w:type="dxa"/>
            <w:vMerge/>
            <w:tcBorders>
              <w:bottom w:val="nil"/>
            </w:tcBorders>
            <w:shd w:val="clear" w:color="auto" w:fill="000000" w:themeFill="text1"/>
          </w:tcPr>
          <w:p w14:paraId="1E031BEE" w14:textId="77777777" w:rsidR="000E4B25" w:rsidRPr="00DA4F04" w:rsidRDefault="000E4B25" w:rsidP="008E4D99">
            <w:pPr>
              <w:pStyle w:val="TableColumnHeadings-multirow"/>
              <w:keepNext w:val="0"/>
              <w:keepLines w:val="0"/>
            </w:pPr>
          </w:p>
        </w:tc>
        <w:tc>
          <w:tcPr>
            <w:tcW w:w="3015" w:type="dxa"/>
            <w:tcBorders>
              <w:top w:val="single" w:sz="4" w:space="0" w:color="FFFFFF" w:themeColor="background1"/>
              <w:bottom w:val="nil"/>
            </w:tcBorders>
            <w:shd w:val="clear" w:color="auto" w:fill="000000" w:themeFill="text1"/>
            <w:vAlign w:val="bottom"/>
          </w:tcPr>
          <w:p w14:paraId="78533866" w14:textId="77777777" w:rsidR="000E4B25" w:rsidRPr="00DA4F04" w:rsidRDefault="000E4B25" w:rsidP="008E4D99">
            <w:pPr>
              <w:pStyle w:val="TableColumnHeadings-multirow"/>
              <w:keepNext w:val="0"/>
              <w:keepLines w:val="0"/>
              <w:jc w:val="center"/>
            </w:pPr>
            <w:r w:rsidRPr="00DA4F04">
              <w:t>Transient Sources</w:t>
            </w:r>
          </w:p>
        </w:tc>
        <w:tc>
          <w:tcPr>
            <w:tcW w:w="3092" w:type="dxa"/>
            <w:tcBorders>
              <w:top w:val="single" w:sz="4" w:space="0" w:color="FFFFFF" w:themeColor="background1"/>
              <w:bottom w:val="nil"/>
            </w:tcBorders>
            <w:shd w:val="clear" w:color="auto" w:fill="000000" w:themeFill="text1"/>
            <w:vAlign w:val="center"/>
          </w:tcPr>
          <w:p w14:paraId="2BA79113" w14:textId="77777777" w:rsidR="000E4B25" w:rsidRPr="00DA4F04" w:rsidRDefault="000E4B25" w:rsidP="008E4D99">
            <w:pPr>
              <w:pStyle w:val="TableColumnHeadings-multirow"/>
              <w:keepNext w:val="0"/>
              <w:keepLines w:val="0"/>
              <w:jc w:val="center"/>
            </w:pPr>
            <w:r w:rsidRPr="00DA4F04">
              <w:t>Continuous/</w:t>
            </w:r>
            <w:r>
              <w:br/>
            </w:r>
            <w:r w:rsidRPr="00DA4F04">
              <w:t>Frequent Intermittent Sources</w:t>
            </w:r>
            <w:r w:rsidRPr="00DA4F04">
              <w:rPr>
                <w:vertAlign w:val="superscript"/>
              </w:rPr>
              <w:t>1</w:t>
            </w:r>
          </w:p>
        </w:tc>
      </w:tr>
      <w:tr w:rsidR="000E4B25" w:rsidRPr="00DA4F04" w14:paraId="2F2FFA8E" w14:textId="77777777" w:rsidTr="008E4D99">
        <w:tc>
          <w:tcPr>
            <w:tcW w:w="2922" w:type="dxa"/>
            <w:tcBorders>
              <w:top w:val="nil"/>
            </w:tcBorders>
          </w:tcPr>
          <w:p w14:paraId="6D576B2E" w14:textId="77777777" w:rsidR="000E4B25" w:rsidRPr="00DA4F04" w:rsidRDefault="000E4B25" w:rsidP="008E4D99">
            <w:pPr>
              <w:pStyle w:val="Tabletext0"/>
              <w:spacing w:before="40" w:after="40"/>
              <w:rPr>
                <w:rFonts w:asciiTheme="minorHAnsi" w:hAnsiTheme="minorHAnsi"/>
                <w:sz w:val="18"/>
              </w:rPr>
            </w:pPr>
            <w:r w:rsidRPr="00DA4F04">
              <w:rPr>
                <w:rFonts w:asciiTheme="minorHAnsi" w:hAnsiTheme="minorHAnsi"/>
                <w:sz w:val="18"/>
              </w:rPr>
              <w:t>Severe</w:t>
            </w:r>
          </w:p>
        </w:tc>
        <w:tc>
          <w:tcPr>
            <w:tcW w:w="3015" w:type="dxa"/>
            <w:tcBorders>
              <w:top w:val="nil"/>
            </w:tcBorders>
            <w:vAlign w:val="center"/>
          </w:tcPr>
          <w:p w14:paraId="4DB7AFFB" w14:textId="77777777" w:rsidR="000E4B25" w:rsidRPr="00DA4F04" w:rsidRDefault="000E4B25" w:rsidP="008E4D99">
            <w:pPr>
              <w:pStyle w:val="Tabletext0"/>
              <w:spacing w:before="40" w:after="40"/>
              <w:ind w:right="1362"/>
              <w:jc w:val="right"/>
              <w:rPr>
                <w:rFonts w:asciiTheme="minorHAnsi" w:hAnsiTheme="minorHAnsi"/>
                <w:sz w:val="18"/>
              </w:rPr>
            </w:pPr>
            <w:r w:rsidRPr="00DA4F04">
              <w:rPr>
                <w:rFonts w:asciiTheme="minorHAnsi" w:hAnsiTheme="minorHAnsi"/>
                <w:sz w:val="18"/>
              </w:rPr>
              <w:t>2.0</w:t>
            </w:r>
          </w:p>
        </w:tc>
        <w:tc>
          <w:tcPr>
            <w:tcW w:w="3092" w:type="dxa"/>
            <w:tcBorders>
              <w:top w:val="nil"/>
            </w:tcBorders>
            <w:vAlign w:val="center"/>
          </w:tcPr>
          <w:p w14:paraId="1AE71C28" w14:textId="77777777" w:rsidR="000E4B25" w:rsidRPr="00DA4F04" w:rsidRDefault="000E4B25" w:rsidP="008E4D99">
            <w:pPr>
              <w:pStyle w:val="Tabletext0"/>
              <w:spacing w:before="40" w:after="40"/>
              <w:ind w:right="1362"/>
              <w:jc w:val="right"/>
              <w:rPr>
                <w:rFonts w:asciiTheme="minorHAnsi" w:hAnsiTheme="minorHAnsi"/>
                <w:sz w:val="18"/>
              </w:rPr>
            </w:pPr>
            <w:r w:rsidRPr="00DA4F04">
              <w:rPr>
                <w:rFonts w:asciiTheme="minorHAnsi" w:hAnsiTheme="minorHAnsi"/>
                <w:sz w:val="18"/>
              </w:rPr>
              <w:t>0.4</w:t>
            </w:r>
          </w:p>
        </w:tc>
      </w:tr>
      <w:tr w:rsidR="000E4B25" w:rsidRPr="00DA4F04" w14:paraId="375BE3EB" w14:textId="77777777" w:rsidTr="008E4D99">
        <w:tc>
          <w:tcPr>
            <w:tcW w:w="2922" w:type="dxa"/>
          </w:tcPr>
          <w:p w14:paraId="5EABF320" w14:textId="77777777" w:rsidR="000E4B25" w:rsidRPr="00DA4F04" w:rsidRDefault="000E4B25" w:rsidP="008E4D99">
            <w:pPr>
              <w:pStyle w:val="Tabletext0"/>
              <w:spacing w:before="40" w:after="40"/>
              <w:rPr>
                <w:rFonts w:asciiTheme="minorHAnsi" w:hAnsiTheme="minorHAnsi"/>
                <w:sz w:val="18"/>
              </w:rPr>
            </w:pPr>
            <w:r w:rsidRPr="00DA4F04">
              <w:rPr>
                <w:rFonts w:asciiTheme="minorHAnsi" w:hAnsiTheme="minorHAnsi"/>
                <w:sz w:val="18"/>
              </w:rPr>
              <w:t>Strongly perceptible</w:t>
            </w:r>
          </w:p>
        </w:tc>
        <w:tc>
          <w:tcPr>
            <w:tcW w:w="3015" w:type="dxa"/>
            <w:vAlign w:val="center"/>
          </w:tcPr>
          <w:p w14:paraId="059AEECA" w14:textId="77777777" w:rsidR="000E4B25" w:rsidRPr="00DA4F04" w:rsidRDefault="000E4B25" w:rsidP="008E4D99">
            <w:pPr>
              <w:pStyle w:val="Tabletext0"/>
              <w:spacing w:before="40" w:after="40"/>
              <w:ind w:right="1362"/>
              <w:jc w:val="right"/>
              <w:rPr>
                <w:rFonts w:asciiTheme="minorHAnsi" w:hAnsiTheme="minorHAnsi"/>
                <w:sz w:val="18"/>
              </w:rPr>
            </w:pPr>
            <w:r w:rsidRPr="00DA4F04">
              <w:rPr>
                <w:rFonts w:asciiTheme="minorHAnsi" w:hAnsiTheme="minorHAnsi"/>
                <w:sz w:val="18"/>
              </w:rPr>
              <w:t>0.9</w:t>
            </w:r>
          </w:p>
        </w:tc>
        <w:tc>
          <w:tcPr>
            <w:tcW w:w="3092" w:type="dxa"/>
            <w:vAlign w:val="center"/>
          </w:tcPr>
          <w:p w14:paraId="23C77EE5" w14:textId="77777777" w:rsidR="000E4B25" w:rsidRPr="00DA4F04" w:rsidRDefault="000E4B25" w:rsidP="008E4D99">
            <w:pPr>
              <w:pStyle w:val="Tabletext0"/>
              <w:spacing w:before="40" w:after="40"/>
              <w:ind w:right="1362"/>
              <w:jc w:val="right"/>
              <w:rPr>
                <w:rFonts w:asciiTheme="minorHAnsi" w:hAnsiTheme="minorHAnsi"/>
                <w:sz w:val="18"/>
              </w:rPr>
            </w:pPr>
            <w:r w:rsidRPr="00DA4F04">
              <w:rPr>
                <w:rFonts w:asciiTheme="minorHAnsi" w:hAnsiTheme="minorHAnsi"/>
                <w:sz w:val="18"/>
              </w:rPr>
              <w:t>0.10</w:t>
            </w:r>
          </w:p>
        </w:tc>
      </w:tr>
      <w:tr w:rsidR="000E4B25" w:rsidRPr="00DA4F04" w14:paraId="2D6B14A8" w14:textId="77777777" w:rsidTr="008E4D99">
        <w:tc>
          <w:tcPr>
            <w:tcW w:w="2922" w:type="dxa"/>
          </w:tcPr>
          <w:p w14:paraId="5B438835" w14:textId="77777777" w:rsidR="000E4B25" w:rsidRPr="00DA4F04" w:rsidRDefault="000E4B25" w:rsidP="008E4D99">
            <w:pPr>
              <w:pStyle w:val="Tabletext0"/>
              <w:spacing w:before="40" w:after="40"/>
              <w:rPr>
                <w:rFonts w:asciiTheme="minorHAnsi" w:hAnsiTheme="minorHAnsi"/>
                <w:sz w:val="18"/>
              </w:rPr>
            </w:pPr>
            <w:r w:rsidRPr="00DA4F04">
              <w:rPr>
                <w:rFonts w:asciiTheme="minorHAnsi" w:hAnsiTheme="minorHAnsi"/>
                <w:sz w:val="18"/>
              </w:rPr>
              <w:t>Distinctly perceptible</w:t>
            </w:r>
          </w:p>
        </w:tc>
        <w:tc>
          <w:tcPr>
            <w:tcW w:w="3015" w:type="dxa"/>
            <w:vAlign w:val="center"/>
          </w:tcPr>
          <w:p w14:paraId="48CD514A" w14:textId="77777777" w:rsidR="000E4B25" w:rsidRPr="00DA4F04" w:rsidRDefault="000E4B25" w:rsidP="008E4D99">
            <w:pPr>
              <w:pStyle w:val="Tabletext0"/>
              <w:spacing w:before="40" w:after="40"/>
              <w:ind w:right="1362"/>
              <w:jc w:val="right"/>
              <w:rPr>
                <w:rFonts w:asciiTheme="minorHAnsi" w:hAnsiTheme="minorHAnsi"/>
                <w:sz w:val="18"/>
              </w:rPr>
            </w:pPr>
            <w:r w:rsidRPr="00DA4F04">
              <w:rPr>
                <w:rFonts w:asciiTheme="minorHAnsi" w:hAnsiTheme="minorHAnsi"/>
                <w:sz w:val="18"/>
              </w:rPr>
              <w:t>0.25</w:t>
            </w:r>
          </w:p>
        </w:tc>
        <w:tc>
          <w:tcPr>
            <w:tcW w:w="3092" w:type="dxa"/>
            <w:vAlign w:val="center"/>
          </w:tcPr>
          <w:p w14:paraId="07B45D47" w14:textId="77777777" w:rsidR="000E4B25" w:rsidRPr="00DA4F04" w:rsidRDefault="000E4B25" w:rsidP="008E4D99">
            <w:pPr>
              <w:pStyle w:val="Tabletext0"/>
              <w:spacing w:before="40" w:after="40"/>
              <w:ind w:right="1362"/>
              <w:jc w:val="right"/>
              <w:rPr>
                <w:rFonts w:asciiTheme="minorHAnsi" w:hAnsiTheme="minorHAnsi"/>
                <w:sz w:val="18"/>
              </w:rPr>
            </w:pPr>
            <w:r w:rsidRPr="00DA4F04">
              <w:rPr>
                <w:rFonts w:asciiTheme="minorHAnsi" w:hAnsiTheme="minorHAnsi"/>
                <w:sz w:val="18"/>
              </w:rPr>
              <w:t>0.04</w:t>
            </w:r>
          </w:p>
        </w:tc>
      </w:tr>
      <w:tr w:rsidR="000E4B25" w:rsidRPr="00DA4F04" w14:paraId="6E8311B2" w14:textId="77777777" w:rsidTr="008E4D99">
        <w:tc>
          <w:tcPr>
            <w:tcW w:w="2922" w:type="dxa"/>
            <w:tcBorders>
              <w:bottom w:val="single" w:sz="4" w:space="0" w:color="auto"/>
            </w:tcBorders>
          </w:tcPr>
          <w:p w14:paraId="00043CCA" w14:textId="77777777" w:rsidR="000E4B25" w:rsidRPr="00DA4F04" w:rsidRDefault="000E4B25" w:rsidP="008E4D99">
            <w:pPr>
              <w:pStyle w:val="Tabletext0"/>
              <w:spacing w:before="40" w:after="40"/>
              <w:rPr>
                <w:rFonts w:asciiTheme="minorHAnsi" w:hAnsiTheme="minorHAnsi"/>
                <w:sz w:val="18"/>
              </w:rPr>
            </w:pPr>
            <w:r w:rsidRPr="00DA4F04">
              <w:rPr>
                <w:rFonts w:asciiTheme="minorHAnsi" w:hAnsiTheme="minorHAnsi"/>
                <w:sz w:val="18"/>
              </w:rPr>
              <w:t>Barely perceptible</w:t>
            </w:r>
          </w:p>
        </w:tc>
        <w:tc>
          <w:tcPr>
            <w:tcW w:w="3015" w:type="dxa"/>
            <w:tcBorders>
              <w:bottom w:val="single" w:sz="4" w:space="0" w:color="auto"/>
            </w:tcBorders>
            <w:vAlign w:val="center"/>
          </w:tcPr>
          <w:p w14:paraId="3D9CB6FF" w14:textId="77777777" w:rsidR="000E4B25" w:rsidRPr="00DA4F04" w:rsidRDefault="000E4B25" w:rsidP="008E4D99">
            <w:pPr>
              <w:pStyle w:val="Tabletext0"/>
              <w:spacing w:before="40" w:after="40"/>
              <w:ind w:right="1362"/>
              <w:jc w:val="right"/>
              <w:rPr>
                <w:rFonts w:asciiTheme="minorHAnsi" w:hAnsiTheme="minorHAnsi"/>
                <w:sz w:val="18"/>
              </w:rPr>
            </w:pPr>
            <w:r w:rsidRPr="00DA4F04">
              <w:rPr>
                <w:rFonts w:asciiTheme="minorHAnsi" w:hAnsiTheme="minorHAnsi"/>
                <w:sz w:val="18"/>
              </w:rPr>
              <w:t>0.04</w:t>
            </w:r>
          </w:p>
        </w:tc>
        <w:tc>
          <w:tcPr>
            <w:tcW w:w="3092" w:type="dxa"/>
            <w:tcBorders>
              <w:bottom w:val="single" w:sz="4" w:space="0" w:color="auto"/>
            </w:tcBorders>
            <w:vAlign w:val="center"/>
          </w:tcPr>
          <w:p w14:paraId="40253585" w14:textId="77777777" w:rsidR="000E4B25" w:rsidRPr="00DA4F04" w:rsidRDefault="000E4B25" w:rsidP="008E4D99">
            <w:pPr>
              <w:pStyle w:val="Tabletext0"/>
              <w:spacing w:before="40" w:after="40"/>
              <w:ind w:right="1362"/>
              <w:jc w:val="right"/>
              <w:rPr>
                <w:rFonts w:asciiTheme="minorHAnsi" w:hAnsiTheme="minorHAnsi"/>
                <w:sz w:val="18"/>
              </w:rPr>
            </w:pPr>
            <w:r w:rsidRPr="00DA4F04">
              <w:rPr>
                <w:rFonts w:asciiTheme="minorHAnsi" w:hAnsiTheme="minorHAnsi"/>
                <w:sz w:val="18"/>
              </w:rPr>
              <w:t>0.01</w:t>
            </w:r>
          </w:p>
        </w:tc>
      </w:tr>
      <w:tr w:rsidR="000E4B25" w:rsidRPr="00DA4F04" w14:paraId="7E9DC86B" w14:textId="77777777" w:rsidTr="008E4D99">
        <w:tc>
          <w:tcPr>
            <w:tcW w:w="0" w:type="auto"/>
            <w:gridSpan w:val="3"/>
            <w:tcBorders>
              <w:top w:val="single" w:sz="4" w:space="0" w:color="auto"/>
              <w:bottom w:val="single" w:sz="4" w:space="0" w:color="auto"/>
            </w:tcBorders>
          </w:tcPr>
          <w:p w14:paraId="354AC676" w14:textId="77777777" w:rsidR="000E4B25" w:rsidRPr="00DA4F04" w:rsidRDefault="000E4B25" w:rsidP="008E4D99">
            <w:pPr>
              <w:pStyle w:val="TableNotes"/>
            </w:pPr>
            <w:r w:rsidRPr="00DA4F04">
              <w:t>in/sec = inches per second; PPV = peak particle velocity</w:t>
            </w:r>
          </w:p>
          <w:p w14:paraId="37D76EA1" w14:textId="77777777" w:rsidR="000E4B25" w:rsidRDefault="000E4B25" w:rsidP="008E4D99">
            <w:pPr>
              <w:pStyle w:val="TableNotes"/>
            </w:pPr>
            <w:r w:rsidRPr="00DA4F04">
              <w:rPr>
                <w:vertAlign w:val="superscript"/>
              </w:rPr>
              <w:t>1</w:t>
            </w:r>
            <w:r w:rsidRPr="00DA4F04">
              <w:t xml:space="preserve"> Continuous/frequent intermittent sources include impact pile drivers, pogo-stick compactors, crack-and-seat equipment, vibratory pile drivers, and vibratory compaction equipment. </w:t>
            </w:r>
          </w:p>
          <w:p w14:paraId="41D7607F" w14:textId="184EF7BC" w:rsidR="00F649B5" w:rsidRPr="00DA4F04" w:rsidRDefault="00F649B5" w:rsidP="008E4D99">
            <w:pPr>
              <w:pStyle w:val="TableNotes"/>
            </w:pPr>
            <w:r w:rsidRPr="00DA4F04">
              <w:t>Source: Caltrans 2020</w:t>
            </w:r>
          </w:p>
        </w:tc>
      </w:tr>
    </w:tbl>
    <w:p w14:paraId="061E9A60" w14:textId="727E6830" w:rsidR="000E4B25" w:rsidRPr="00F0751E" w:rsidRDefault="000E4B25" w:rsidP="00F649B5">
      <w:pPr>
        <w:pStyle w:val="bodyafter"/>
      </w:pPr>
      <w:r>
        <w:t xml:space="preserve">Project construction would involve the use of rollers, bulldozers, and loaded trucks, which are known to cause groundborne vibration. </w:t>
      </w:r>
      <w:r w:rsidRPr="00B23570">
        <w:t xml:space="preserve">The greatest anticipated source of vibration during general project construction activities would be from a </w:t>
      </w:r>
      <w:r>
        <w:t>large vibratory roller</w:t>
      </w:r>
      <w:r w:rsidRPr="00B23570">
        <w:t xml:space="preserve">, which may be used within </w:t>
      </w:r>
      <w:r>
        <w:t>10</w:t>
      </w:r>
      <w:r w:rsidRPr="00B23570">
        <w:t xml:space="preserve"> feet of the nearest</w:t>
      </w:r>
      <w:r>
        <w:t xml:space="preserve"> adjacent property line</w:t>
      </w:r>
      <w:r w:rsidRPr="00B23570">
        <w:t xml:space="preserve">. </w:t>
      </w:r>
      <w:r w:rsidRPr="00A04193">
        <w:t xml:space="preserve">A </w:t>
      </w:r>
      <w:r>
        <w:t>vibratory roller</w:t>
      </w:r>
      <w:r w:rsidRPr="00A04193">
        <w:t xml:space="preserve"> creates approximately 0.</w:t>
      </w:r>
      <w:r>
        <w:t>211</w:t>
      </w:r>
      <w:r w:rsidRPr="00A04193">
        <w:t xml:space="preserve"> in./sec. PPV at a distance of 25 feet (Caltrans 20</w:t>
      </w:r>
      <w:r>
        <w:t>20</w:t>
      </w:r>
      <w:r w:rsidRPr="00A04193">
        <w:t>). This would equal a vibration level of 0.</w:t>
      </w:r>
      <w:r>
        <w:t>575</w:t>
      </w:r>
      <w:r w:rsidRPr="00A04193">
        <w:t xml:space="preserve"> in./sec. PPV at </w:t>
      </w:r>
      <w:r>
        <w:t>10</w:t>
      </w:r>
      <w:r w:rsidRPr="00A04193">
        <w:t xml:space="preserve"> feet. </w:t>
      </w:r>
      <w:r w:rsidRPr="00F0751E">
        <w:t xml:space="preserve">At this distance, the vibration </w:t>
      </w:r>
      <w:r>
        <w:t xml:space="preserve">caused by rollers, bulldozers, and loaded trucks would be below </w:t>
      </w:r>
      <w:r>
        <w:rPr>
          <w:rFonts w:ascii="Calibri" w:hAnsi="Calibri"/>
          <w:iCs/>
        </w:rPr>
        <w:t>1.0</w:t>
      </w:r>
      <w:r w:rsidRPr="000414FF">
        <w:rPr>
          <w:rFonts w:ascii="Calibri" w:eastAsia="Times New Roman" w:hAnsi="Calibri"/>
          <w:iCs/>
        </w:rPr>
        <w:t xml:space="preserve"> in/sec PPV</w:t>
      </w:r>
      <w:r>
        <w:rPr>
          <w:rFonts w:ascii="Calibri" w:eastAsia="Times New Roman" w:hAnsi="Calibri"/>
          <w:iCs/>
        </w:rPr>
        <w:t>,</w:t>
      </w:r>
      <w:r w:rsidRPr="000414FF">
        <w:rPr>
          <w:rFonts w:ascii="Calibri" w:eastAsia="Times New Roman" w:hAnsi="Calibri"/>
          <w:iCs/>
        </w:rPr>
        <w:t xml:space="preserve"> </w:t>
      </w:r>
      <w:r>
        <w:rPr>
          <w:rFonts w:ascii="Calibri" w:eastAsia="Times New Roman" w:hAnsi="Calibri"/>
          <w:iCs/>
        </w:rPr>
        <w:t xml:space="preserve">threshold to prevent damage to </w:t>
      </w:r>
      <w:r>
        <w:rPr>
          <w:rFonts w:ascii="Calibri" w:hAnsi="Calibri"/>
          <w:iCs/>
        </w:rPr>
        <w:t>engineered</w:t>
      </w:r>
      <w:r w:rsidRPr="000414FF">
        <w:rPr>
          <w:rFonts w:ascii="Calibri" w:eastAsia="Times New Roman" w:hAnsi="Calibri"/>
          <w:iCs/>
        </w:rPr>
        <w:t xml:space="preserve"> structures </w:t>
      </w:r>
      <w:r>
        <w:t xml:space="preserve">and below 0.9 PPV in/sec, which is below the “strongly perceptible” threshold described in </w:t>
      </w:r>
      <w:r w:rsidRPr="00DA4F04">
        <w:fldChar w:fldCharType="begin"/>
      </w:r>
      <w:r w:rsidRPr="00DA4F04">
        <w:instrText xml:space="preserve"> REF _Ref83193975 \h  \* MERGEFORMAT </w:instrText>
      </w:r>
      <w:r w:rsidRPr="00DA4F04">
        <w:fldChar w:fldCharType="separate"/>
      </w:r>
      <w:r w:rsidR="00FA55F1" w:rsidRPr="00DA4F04">
        <w:t xml:space="preserve">Table </w:t>
      </w:r>
      <w:r w:rsidR="00FA55F1">
        <w:rPr>
          <w:noProof/>
        </w:rPr>
        <w:t>30</w:t>
      </w:r>
      <w:r w:rsidRPr="00DA4F04">
        <w:fldChar w:fldCharType="end"/>
      </w:r>
      <w:r>
        <w:t xml:space="preserve"> (Appendix NOI)</w:t>
      </w:r>
      <w:r w:rsidRPr="00DA4F04">
        <w:t>.</w:t>
      </w:r>
      <w:r>
        <w:t xml:space="preserve"> Therefore, the project would not result in excessive groundborne vibration or groundborne noise levels, and impacts would be less than significant. </w:t>
      </w:r>
    </w:p>
    <w:p w14:paraId="437E46EC" w14:textId="77777777" w:rsidR="000E4B25" w:rsidRPr="000E45CD" w:rsidRDefault="00817BC5" w:rsidP="00F649B5">
      <w:pPr>
        <w:spacing w:before="120"/>
        <w:rPr>
          <w:rStyle w:val="DropdownList"/>
          <w:highlight w:val="lightGray"/>
        </w:rPr>
      </w:pPr>
      <w:sdt>
        <w:sdtPr>
          <w:rPr>
            <w:rStyle w:val="DropdownList"/>
            <w:highlight w:val="lightGray"/>
          </w:rPr>
          <w:alias w:val="1a"/>
          <w:tag w:val="dropdown"/>
          <w:id w:val="-1129392585"/>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highlight w:val="none"/>
          </w:rPr>
        </w:sdtEndPr>
        <w:sdtContent>
          <w:r w:rsidR="000E4B25" w:rsidRPr="000E45CD">
            <w:rPr>
              <w:rStyle w:val="DropdownList"/>
            </w:rPr>
            <w:t>Less Than Significant Impact</w:t>
          </w:r>
        </w:sdtContent>
      </w:sdt>
    </w:p>
    <w:p w14:paraId="5E739B88" w14:textId="77777777" w:rsidR="000E4B25" w:rsidRDefault="000E4B25" w:rsidP="000E4B25">
      <w:pPr>
        <w:pStyle w:val="BulletLtrManAFTER"/>
      </w:pPr>
      <w:r w:rsidRPr="00D45A60">
        <w:t>c.</w:t>
      </w:r>
      <w:r w:rsidRPr="00D45A60">
        <w:tab/>
        <w:t>For a project located within the vicinity of a private airstrip or an airport land use plan or, where such a plan has not been adopted, within two miles of a public airport or public use airport, would the project expose people residing or working in the project area to excessive noise levels?</w:t>
      </w:r>
    </w:p>
    <w:p w14:paraId="14229B68" w14:textId="77777777" w:rsidR="000E4B25" w:rsidRPr="00754204" w:rsidRDefault="000E4B25" w:rsidP="000E4B25">
      <w:pPr>
        <w:pStyle w:val="body0"/>
      </w:pPr>
      <w:r>
        <w:t>The project site is approximately 1 mile southwest of Moffett Federal Airfield and is within the airport influence area. The Moffett Federal Airfield Comprehensive Land Use Plan (MFACLUP) sets noise compatibility zones and development intensities for each zone identified in the plan (Santa Clara County 2012). While the project site is within the airport influence area, it is outside of the 65 dBA CNEL airport noise contour. Pursuant to Section 4.3.2 of the MFACLUP, office buildings are generally acceptable in areas that experience less than 65 dBA CNEL (Santa Clara County 2012). Therefore, the project would meet MFACLUP requirements and would not expose workers in the project area to excessive noise levels. Impacts would be less than significant.</w:t>
      </w:r>
    </w:p>
    <w:p w14:paraId="0EB0A6F2" w14:textId="77777777" w:rsidR="000E4B25" w:rsidRPr="000E45CD" w:rsidRDefault="00817BC5" w:rsidP="000E4B25">
      <w:pPr>
        <w:pStyle w:val="BodyText"/>
        <w:rPr>
          <w:rStyle w:val="DropdownList"/>
          <w:highlight w:val="lightGray"/>
        </w:rPr>
      </w:pPr>
      <w:sdt>
        <w:sdtPr>
          <w:rPr>
            <w:rStyle w:val="DropdownList"/>
            <w:highlight w:val="lightGray"/>
          </w:rPr>
          <w:alias w:val="1a"/>
          <w:tag w:val="dropdown"/>
          <w:id w:val="561459409"/>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highlight w:val="none"/>
          </w:rPr>
        </w:sdtEndPr>
        <w:sdtContent>
          <w:r w:rsidR="000E4B25" w:rsidRPr="000E45CD">
            <w:rPr>
              <w:rStyle w:val="DropdownList"/>
            </w:rPr>
            <w:t>Less Than Significant Impact</w:t>
          </w:r>
        </w:sdtContent>
      </w:sdt>
    </w:p>
    <w:p w14:paraId="70F96CE1" w14:textId="77777777" w:rsidR="00542725" w:rsidRPr="004F3901" w:rsidRDefault="00542725" w:rsidP="00275B75">
      <w:pPr>
        <w:pStyle w:val="Heading3CEQA"/>
      </w:pPr>
      <w:bookmarkStart w:id="310" w:name="_Toc112942439"/>
      <w:r w:rsidRPr="004F3901">
        <w:t>Population and Housing</w:t>
      </w:r>
      <w:bookmarkEnd w:id="271"/>
      <w:bookmarkEnd w:id="272"/>
      <w:bookmarkEnd w:id="310"/>
    </w:p>
    <w:tbl>
      <w:tblPr>
        <w:tblW w:w="9047" w:type="dxa"/>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
        <w:gridCol w:w="4332"/>
        <w:gridCol w:w="1188"/>
        <w:gridCol w:w="1220"/>
        <w:gridCol w:w="1109"/>
        <w:gridCol w:w="21"/>
        <w:gridCol w:w="1129"/>
        <w:gridCol w:w="38"/>
      </w:tblGrid>
      <w:tr w:rsidR="00542725" w:rsidRPr="004F3901" w14:paraId="61A84A33" w14:textId="77777777" w:rsidTr="009D2425">
        <w:trPr>
          <w:tblHeader/>
        </w:trPr>
        <w:tc>
          <w:tcPr>
            <w:tcW w:w="4342" w:type="dxa"/>
            <w:gridSpan w:val="2"/>
            <w:tcBorders>
              <w:top w:val="nil"/>
              <w:right w:val="nil"/>
            </w:tcBorders>
            <w:shd w:val="clear" w:color="auto" w:fill="D9D9D9"/>
            <w:tcMar>
              <w:top w:w="20" w:type="dxa"/>
              <w:left w:w="115" w:type="dxa"/>
              <w:bottom w:w="20" w:type="dxa"/>
              <w:right w:w="115" w:type="dxa"/>
            </w:tcMar>
            <w:vAlign w:val="bottom"/>
          </w:tcPr>
          <w:p w14:paraId="2BD2F477" w14:textId="77777777" w:rsidR="00542725" w:rsidRPr="004F3901" w:rsidRDefault="00542725" w:rsidP="00105F44">
            <w:pPr>
              <w:pStyle w:val="TableHeadings"/>
            </w:pPr>
          </w:p>
        </w:tc>
        <w:tc>
          <w:tcPr>
            <w:tcW w:w="1188" w:type="dxa"/>
            <w:tcBorders>
              <w:top w:val="nil"/>
              <w:left w:val="nil"/>
              <w:right w:val="nil"/>
            </w:tcBorders>
            <w:shd w:val="clear" w:color="auto" w:fill="D9D9D9"/>
            <w:tcMar>
              <w:top w:w="20" w:type="dxa"/>
              <w:left w:w="115" w:type="dxa"/>
              <w:bottom w:w="20" w:type="dxa"/>
              <w:right w:w="115" w:type="dxa"/>
            </w:tcMar>
            <w:vAlign w:val="bottom"/>
            <w:hideMark/>
          </w:tcPr>
          <w:p w14:paraId="56F95577" w14:textId="77777777" w:rsidR="00542725" w:rsidRPr="004F3901" w:rsidRDefault="00542725" w:rsidP="00105F44">
            <w:pPr>
              <w:pStyle w:val="TableHeadings"/>
              <w:jc w:val="center"/>
            </w:pPr>
            <w:r w:rsidRPr="004F3901">
              <w:t>Potentially Significant Impact</w:t>
            </w:r>
          </w:p>
        </w:tc>
        <w:tc>
          <w:tcPr>
            <w:tcW w:w="1220" w:type="dxa"/>
            <w:tcBorders>
              <w:top w:val="nil"/>
              <w:left w:val="nil"/>
              <w:right w:val="nil"/>
            </w:tcBorders>
            <w:shd w:val="clear" w:color="auto" w:fill="D9D9D9"/>
            <w:tcMar>
              <w:top w:w="20" w:type="dxa"/>
              <w:left w:w="115" w:type="dxa"/>
              <w:bottom w:w="20" w:type="dxa"/>
              <w:right w:w="115" w:type="dxa"/>
            </w:tcMar>
            <w:vAlign w:val="bottom"/>
            <w:hideMark/>
          </w:tcPr>
          <w:p w14:paraId="3650A713" w14:textId="77777777" w:rsidR="00542725" w:rsidRPr="004F3901" w:rsidRDefault="00542725" w:rsidP="00105F44">
            <w:pPr>
              <w:pStyle w:val="TableHeadings"/>
              <w:jc w:val="center"/>
            </w:pPr>
            <w:r w:rsidRPr="004F3901">
              <w:t>Less than Significant with Mitigation Incorporated</w:t>
            </w:r>
          </w:p>
        </w:tc>
        <w:tc>
          <w:tcPr>
            <w:tcW w:w="1109" w:type="dxa"/>
            <w:tcBorders>
              <w:top w:val="nil"/>
              <w:left w:val="nil"/>
              <w:right w:val="nil"/>
            </w:tcBorders>
            <w:shd w:val="clear" w:color="auto" w:fill="D9D9D9"/>
            <w:tcMar>
              <w:top w:w="20" w:type="dxa"/>
              <w:left w:w="115" w:type="dxa"/>
              <w:bottom w:w="20" w:type="dxa"/>
              <w:right w:w="115" w:type="dxa"/>
            </w:tcMar>
            <w:vAlign w:val="bottom"/>
            <w:hideMark/>
          </w:tcPr>
          <w:p w14:paraId="4F264C82" w14:textId="77777777" w:rsidR="00542725" w:rsidRPr="004F3901" w:rsidRDefault="00542725" w:rsidP="00105F44">
            <w:pPr>
              <w:pStyle w:val="TableHeadings"/>
              <w:jc w:val="center"/>
            </w:pPr>
            <w:r w:rsidRPr="004F3901">
              <w:t>Less than Significant Impact</w:t>
            </w:r>
          </w:p>
        </w:tc>
        <w:tc>
          <w:tcPr>
            <w:tcW w:w="1188" w:type="dxa"/>
            <w:gridSpan w:val="3"/>
            <w:tcBorders>
              <w:top w:val="nil"/>
              <w:left w:val="nil"/>
            </w:tcBorders>
            <w:shd w:val="clear" w:color="auto" w:fill="D9D9D9"/>
            <w:tcMar>
              <w:top w:w="20" w:type="dxa"/>
              <w:left w:w="115" w:type="dxa"/>
              <w:bottom w:w="20" w:type="dxa"/>
              <w:right w:w="115" w:type="dxa"/>
            </w:tcMar>
            <w:vAlign w:val="bottom"/>
            <w:hideMark/>
          </w:tcPr>
          <w:p w14:paraId="0B51F172" w14:textId="77777777" w:rsidR="00542725" w:rsidRPr="004F3901" w:rsidRDefault="00542725" w:rsidP="00105F44">
            <w:pPr>
              <w:pStyle w:val="TableHeadings"/>
              <w:jc w:val="center"/>
            </w:pPr>
            <w:r w:rsidRPr="004F3901">
              <w:t>No Impact</w:t>
            </w:r>
          </w:p>
        </w:tc>
      </w:tr>
      <w:tr w:rsidR="00542725" w:rsidRPr="004F3901" w14:paraId="209CC9F3" w14:textId="77777777" w:rsidTr="009D2425">
        <w:trPr>
          <w:gridBefore w:val="1"/>
          <w:wBefore w:w="10" w:type="dxa"/>
        </w:trPr>
        <w:tc>
          <w:tcPr>
            <w:tcW w:w="9037" w:type="dxa"/>
            <w:gridSpan w:val="7"/>
            <w:tcBorders>
              <w:top w:val="single" w:sz="4" w:space="0" w:color="auto"/>
              <w:bottom w:val="nil"/>
            </w:tcBorders>
            <w:tcMar>
              <w:top w:w="20" w:type="dxa"/>
              <w:left w:w="115" w:type="dxa"/>
              <w:bottom w:w="20" w:type="dxa"/>
              <w:right w:w="115" w:type="dxa"/>
            </w:tcMar>
            <w:vAlign w:val="bottom"/>
            <w:hideMark/>
          </w:tcPr>
          <w:p w14:paraId="103371AE" w14:textId="77777777" w:rsidR="00542725" w:rsidRPr="004F3901" w:rsidRDefault="00542725" w:rsidP="00584777">
            <w:pPr>
              <w:pStyle w:val="BodyText"/>
              <w:spacing w:before="60" w:after="60"/>
              <w:rPr>
                <w:b/>
              </w:rPr>
            </w:pPr>
            <w:r w:rsidRPr="004F3901">
              <w:t>Would the project:</w:t>
            </w:r>
          </w:p>
        </w:tc>
      </w:tr>
      <w:tr w:rsidR="00542725" w:rsidRPr="004F3901" w14:paraId="0109205C" w14:textId="77777777" w:rsidTr="009D2425">
        <w:trPr>
          <w:gridBefore w:val="1"/>
          <w:gridAfter w:val="1"/>
          <w:wBefore w:w="10" w:type="dxa"/>
          <w:wAfter w:w="38" w:type="dxa"/>
        </w:trPr>
        <w:tc>
          <w:tcPr>
            <w:tcW w:w="4332" w:type="dxa"/>
            <w:tcBorders>
              <w:top w:val="nil"/>
              <w:bottom w:val="nil"/>
              <w:right w:val="nil"/>
            </w:tcBorders>
            <w:tcMar>
              <w:top w:w="20" w:type="dxa"/>
              <w:left w:w="115" w:type="dxa"/>
              <w:bottom w:w="20" w:type="dxa"/>
              <w:right w:w="115" w:type="dxa"/>
            </w:tcMar>
            <w:vAlign w:val="bottom"/>
            <w:hideMark/>
          </w:tcPr>
          <w:p w14:paraId="39FC296C" w14:textId="77777777" w:rsidR="00542725" w:rsidRPr="004F3901" w:rsidRDefault="00542725" w:rsidP="00F6307A">
            <w:pPr>
              <w:pStyle w:val="BulletListLettered"/>
              <w:numPr>
                <w:ilvl w:val="0"/>
                <w:numId w:val="21"/>
              </w:numPr>
            </w:pPr>
            <w:r w:rsidRPr="004F3901">
              <w:t xml:space="preserve">Induce substantial </w:t>
            </w:r>
            <w:r w:rsidR="00F3748A" w:rsidRPr="004F3901">
              <w:t xml:space="preserve">unplanned </w:t>
            </w:r>
            <w:r w:rsidRPr="004F3901">
              <w:t>population growth in an area, either directly (e.g., by proposing new homes and businesses) or indirectly (e.g., through extension of roads or other infrastructure)?</w:t>
            </w:r>
          </w:p>
        </w:tc>
        <w:tc>
          <w:tcPr>
            <w:tcW w:w="1188" w:type="dxa"/>
            <w:tcBorders>
              <w:top w:val="nil"/>
              <w:left w:val="nil"/>
              <w:bottom w:val="nil"/>
              <w:right w:val="nil"/>
            </w:tcBorders>
            <w:tcMar>
              <w:top w:w="20" w:type="dxa"/>
              <w:left w:w="115" w:type="dxa"/>
              <w:bottom w:w="20" w:type="dxa"/>
              <w:right w:w="115" w:type="dxa"/>
            </w:tcMar>
            <w:vAlign w:val="bottom"/>
          </w:tcPr>
          <w:p w14:paraId="19CDEC47" w14:textId="008D4E55" w:rsidR="00542725" w:rsidRPr="004F3901" w:rsidRDefault="007F7C03" w:rsidP="00584777">
            <w:pPr>
              <w:spacing w:before="60" w:after="60"/>
              <w:jc w:val="center"/>
              <w:rPr>
                <w:sz w:val="28"/>
                <w:szCs w:val="28"/>
              </w:rPr>
            </w:pPr>
            <w:r w:rsidRPr="004F3901">
              <w:rPr>
                <w:rFonts w:ascii="Times New Roman" w:hAnsi="Times New Roman"/>
              </w:rPr>
              <w:t>□</w:t>
            </w:r>
          </w:p>
        </w:tc>
        <w:tc>
          <w:tcPr>
            <w:tcW w:w="1220" w:type="dxa"/>
            <w:tcBorders>
              <w:top w:val="nil"/>
              <w:left w:val="nil"/>
              <w:bottom w:val="nil"/>
              <w:right w:val="nil"/>
            </w:tcBorders>
            <w:tcMar>
              <w:top w:w="20" w:type="dxa"/>
              <w:left w:w="115" w:type="dxa"/>
              <w:bottom w:w="20" w:type="dxa"/>
              <w:right w:w="115" w:type="dxa"/>
            </w:tcMar>
            <w:vAlign w:val="bottom"/>
          </w:tcPr>
          <w:p w14:paraId="0BEE23AE" w14:textId="20471335" w:rsidR="00542725" w:rsidRPr="004F3901" w:rsidRDefault="00222FEB" w:rsidP="00584777">
            <w:pPr>
              <w:spacing w:before="60" w:after="60"/>
              <w:jc w:val="center"/>
              <w:rPr>
                <w:sz w:val="28"/>
                <w:szCs w:val="28"/>
              </w:rPr>
            </w:pPr>
            <w:r w:rsidRPr="004F3901">
              <w:rPr>
                <w:rFonts w:ascii="Times New Roman" w:hAnsi="Times New Roman"/>
              </w:rPr>
              <w:t>□</w:t>
            </w:r>
          </w:p>
        </w:tc>
        <w:tc>
          <w:tcPr>
            <w:tcW w:w="1130" w:type="dxa"/>
            <w:gridSpan w:val="2"/>
            <w:tcBorders>
              <w:top w:val="nil"/>
              <w:left w:val="nil"/>
              <w:bottom w:val="nil"/>
              <w:right w:val="nil"/>
            </w:tcBorders>
            <w:tcMar>
              <w:top w:w="20" w:type="dxa"/>
              <w:left w:w="115" w:type="dxa"/>
              <w:bottom w:w="20" w:type="dxa"/>
              <w:right w:w="115" w:type="dxa"/>
            </w:tcMar>
            <w:vAlign w:val="bottom"/>
          </w:tcPr>
          <w:p w14:paraId="49DB936A" w14:textId="4FDD4190" w:rsidR="00542725" w:rsidRPr="004F3901" w:rsidRDefault="00222FEB" w:rsidP="00584777">
            <w:pPr>
              <w:spacing w:before="60" w:after="60"/>
              <w:jc w:val="center"/>
              <w:rPr>
                <w:sz w:val="28"/>
                <w:szCs w:val="28"/>
              </w:rPr>
            </w:pPr>
            <w:r w:rsidRPr="004F3901">
              <w:rPr>
                <w:rFonts w:ascii="Times New Roman" w:hAnsi="Times New Roman"/>
              </w:rPr>
              <w:t>■</w:t>
            </w:r>
          </w:p>
        </w:tc>
        <w:tc>
          <w:tcPr>
            <w:tcW w:w="1129" w:type="dxa"/>
            <w:tcBorders>
              <w:top w:val="nil"/>
              <w:left w:val="nil"/>
              <w:bottom w:val="nil"/>
            </w:tcBorders>
            <w:tcMar>
              <w:top w:w="20" w:type="dxa"/>
              <w:left w:w="115" w:type="dxa"/>
              <w:bottom w:w="20" w:type="dxa"/>
              <w:right w:w="115" w:type="dxa"/>
            </w:tcMar>
            <w:vAlign w:val="bottom"/>
          </w:tcPr>
          <w:p w14:paraId="07B3351C" w14:textId="0265433D" w:rsidR="00542725" w:rsidRPr="004F3901" w:rsidRDefault="00541C69" w:rsidP="00584777">
            <w:pPr>
              <w:spacing w:before="60" w:after="60"/>
              <w:jc w:val="center"/>
              <w:rPr>
                <w:sz w:val="28"/>
                <w:szCs w:val="28"/>
              </w:rPr>
            </w:pPr>
            <w:r w:rsidRPr="004F3901">
              <w:rPr>
                <w:rFonts w:ascii="Times New Roman" w:hAnsi="Times New Roman"/>
              </w:rPr>
              <w:t>□</w:t>
            </w:r>
          </w:p>
        </w:tc>
      </w:tr>
      <w:tr w:rsidR="00542725" w:rsidRPr="00E5753A" w14:paraId="27299082" w14:textId="77777777" w:rsidTr="009D2425">
        <w:trPr>
          <w:gridBefore w:val="1"/>
          <w:gridAfter w:val="1"/>
          <w:wBefore w:w="10" w:type="dxa"/>
          <w:wAfter w:w="38" w:type="dxa"/>
        </w:trPr>
        <w:tc>
          <w:tcPr>
            <w:tcW w:w="4332" w:type="dxa"/>
            <w:tcBorders>
              <w:top w:val="nil"/>
              <w:right w:val="nil"/>
            </w:tcBorders>
            <w:tcMar>
              <w:top w:w="20" w:type="dxa"/>
              <w:left w:w="115" w:type="dxa"/>
              <w:bottom w:w="20" w:type="dxa"/>
              <w:right w:w="115" w:type="dxa"/>
            </w:tcMar>
            <w:vAlign w:val="bottom"/>
            <w:hideMark/>
          </w:tcPr>
          <w:p w14:paraId="562B0AD7" w14:textId="77777777" w:rsidR="00542725" w:rsidRPr="004F3901" w:rsidRDefault="00F3748A" w:rsidP="00F649B5">
            <w:pPr>
              <w:pStyle w:val="BulletListLettered"/>
              <w:numPr>
                <w:ilvl w:val="0"/>
                <w:numId w:val="21"/>
              </w:numPr>
            </w:pPr>
            <w:r w:rsidRPr="004F3901">
              <w:t xml:space="preserve">Displace substantial </w:t>
            </w:r>
            <w:r w:rsidR="00D536C8" w:rsidRPr="004F3901">
              <w:t>numbers</w:t>
            </w:r>
            <w:r w:rsidRPr="004F3901">
              <w:t xml:space="preserve"> of existing people or housing, necessitating the construction of replacement housing elsewhere?</w:t>
            </w:r>
          </w:p>
        </w:tc>
        <w:tc>
          <w:tcPr>
            <w:tcW w:w="1188" w:type="dxa"/>
            <w:tcBorders>
              <w:top w:val="nil"/>
              <w:left w:val="nil"/>
              <w:right w:val="nil"/>
            </w:tcBorders>
            <w:tcMar>
              <w:top w:w="20" w:type="dxa"/>
              <w:left w:w="115" w:type="dxa"/>
              <w:bottom w:w="20" w:type="dxa"/>
              <w:right w:w="115" w:type="dxa"/>
            </w:tcMar>
            <w:vAlign w:val="bottom"/>
          </w:tcPr>
          <w:p w14:paraId="4C4BB465" w14:textId="57A1F359" w:rsidR="00542725" w:rsidRPr="004F3901" w:rsidRDefault="007F7C03" w:rsidP="00584777">
            <w:pPr>
              <w:spacing w:before="60" w:after="60"/>
              <w:jc w:val="center"/>
              <w:rPr>
                <w:sz w:val="28"/>
                <w:szCs w:val="28"/>
              </w:rPr>
            </w:pPr>
            <w:r w:rsidRPr="004F3901">
              <w:rPr>
                <w:rFonts w:ascii="Times New Roman" w:hAnsi="Times New Roman"/>
              </w:rPr>
              <w:t>□</w:t>
            </w:r>
          </w:p>
        </w:tc>
        <w:tc>
          <w:tcPr>
            <w:tcW w:w="1220" w:type="dxa"/>
            <w:tcBorders>
              <w:top w:val="nil"/>
              <w:left w:val="nil"/>
              <w:right w:val="nil"/>
            </w:tcBorders>
            <w:tcMar>
              <w:top w:w="20" w:type="dxa"/>
              <w:left w:w="115" w:type="dxa"/>
              <w:bottom w:w="20" w:type="dxa"/>
              <w:right w:w="115" w:type="dxa"/>
            </w:tcMar>
            <w:vAlign w:val="bottom"/>
          </w:tcPr>
          <w:p w14:paraId="0F546747" w14:textId="7C64B5DB" w:rsidR="00542725" w:rsidRPr="004F3901" w:rsidRDefault="00542725" w:rsidP="00584777">
            <w:pPr>
              <w:spacing w:before="60" w:after="60"/>
              <w:jc w:val="center"/>
              <w:rPr>
                <w:sz w:val="28"/>
                <w:szCs w:val="28"/>
              </w:rPr>
            </w:pPr>
            <w:r w:rsidRPr="004F3901">
              <w:rPr>
                <w:rFonts w:ascii="Times New Roman" w:hAnsi="Times New Roman"/>
              </w:rPr>
              <w:t>□</w:t>
            </w:r>
          </w:p>
        </w:tc>
        <w:tc>
          <w:tcPr>
            <w:tcW w:w="1130" w:type="dxa"/>
            <w:gridSpan w:val="2"/>
            <w:tcBorders>
              <w:top w:val="nil"/>
              <w:left w:val="nil"/>
              <w:right w:val="nil"/>
            </w:tcBorders>
            <w:tcMar>
              <w:top w:w="20" w:type="dxa"/>
              <w:left w:w="115" w:type="dxa"/>
              <w:bottom w:w="20" w:type="dxa"/>
              <w:right w:w="115" w:type="dxa"/>
            </w:tcMar>
            <w:vAlign w:val="bottom"/>
          </w:tcPr>
          <w:p w14:paraId="340AC771" w14:textId="4D4A4EDA" w:rsidR="00542725" w:rsidRPr="004F3901" w:rsidRDefault="00542725" w:rsidP="00584777">
            <w:pPr>
              <w:spacing w:before="60" w:after="60"/>
              <w:jc w:val="center"/>
              <w:rPr>
                <w:sz w:val="28"/>
                <w:szCs w:val="28"/>
              </w:rPr>
            </w:pPr>
            <w:r w:rsidRPr="004F3901">
              <w:rPr>
                <w:rFonts w:ascii="Times New Roman" w:hAnsi="Times New Roman"/>
              </w:rPr>
              <w:t>□</w:t>
            </w:r>
          </w:p>
        </w:tc>
        <w:tc>
          <w:tcPr>
            <w:tcW w:w="1129" w:type="dxa"/>
            <w:tcBorders>
              <w:top w:val="nil"/>
              <w:left w:val="nil"/>
            </w:tcBorders>
            <w:tcMar>
              <w:top w:w="20" w:type="dxa"/>
              <w:left w:w="115" w:type="dxa"/>
              <w:bottom w:w="20" w:type="dxa"/>
              <w:right w:w="115" w:type="dxa"/>
            </w:tcMar>
            <w:vAlign w:val="bottom"/>
          </w:tcPr>
          <w:p w14:paraId="1C91F9D1" w14:textId="67A4F99C" w:rsidR="00542725" w:rsidRPr="004F3901" w:rsidRDefault="00584777" w:rsidP="00584777">
            <w:pPr>
              <w:spacing w:before="60" w:after="60"/>
              <w:jc w:val="center"/>
              <w:rPr>
                <w:sz w:val="28"/>
                <w:szCs w:val="28"/>
              </w:rPr>
            </w:pPr>
            <w:r w:rsidRPr="004F3901">
              <w:rPr>
                <w:rFonts w:ascii="Times New Roman" w:hAnsi="Times New Roman"/>
              </w:rPr>
              <w:t>■</w:t>
            </w:r>
          </w:p>
        </w:tc>
      </w:tr>
    </w:tbl>
    <w:p w14:paraId="485A2CE0" w14:textId="77777777" w:rsidR="00F419CD" w:rsidRPr="004F3901" w:rsidRDefault="00F419CD" w:rsidP="00F419CD">
      <w:pPr>
        <w:pStyle w:val="Heading5"/>
      </w:pPr>
      <w:r w:rsidRPr="004F3901">
        <w:t>Setting</w:t>
      </w:r>
    </w:p>
    <w:p w14:paraId="276D9D48" w14:textId="651A8550" w:rsidR="00F419CD" w:rsidRPr="000F4000" w:rsidRDefault="00786D5E" w:rsidP="000F4000">
      <w:pPr>
        <w:pStyle w:val="Body"/>
      </w:pPr>
      <w:r w:rsidRPr="000F4000">
        <w:t>According to the California Department of Finance</w:t>
      </w:r>
      <w:r w:rsidR="00C12C26" w:rsidRPr="000F4000">
        <w:t xml:space="preserve"> (DOF)</w:t>
      </w:r>
      <w:r w:rsidRPr="000F4000">
        <w:t xml:space="preserve">, </w:t>
      </w:r>
      <w:r w:rsidR="004F3901" w:rsidRPr="000F4000">
        <w:t xml:space="preserve">Mountain View </w:t>
      </w:r>
      <w:r w:rsidRPr="000F4000">
        <w:t xml:space="preserve">has an estimated population of </w:t>
      </w:r>
      <w:r w:rsidR="004F3901" w:rsidRPr="000F4000">
        <w:t>82,814</w:t>
      </w:r>
      <w:r w:rsidR="00C12C26" w:rsidRPr="000F4000">
        <w:t xml:space="preserve"> with </w:t>
      </w:r>
      <w:r w:rsidR="00FE4671">
        <w:t>37,820</w:t>
      </w:r>
      <w:r w:rsidR="00C12C26" w:rsidRPr="000F4000">
        <w:t xml:space="preserve"> housing units (DOF 202</w:t>
      </w:r>
      <w:r w:rsidR="004F3901" w:rsidRPr="000F4000">
        <w:t>1</w:t>
      </w:r>
      <w:r w:rsidR="00C12C26" w:rsidRPr="000F4000">
        <w:t xml:space="preserve">). The average number of persons per </w:t>
      </w:r>
      <w:r w:rsidR="000A53F5" w:rsidRPr="000F4000">
        <w:t>household is estimated at 2.</w:t>
      </w:r>
      <w:r w:rsidR="004F3901" w:rsidRPr="000F4000">
        <w:t>35</w:t>
      </w:r>
      <w:r w:rsidR="000A53F5" w:rsidRPr="000F4000">
        <w:t xml:space="preserve">. </w:t>
      </w:r>
      <w:r w:rsidR="006F1ACA" w:rsidRPr="000F4000">
        <w:t xml:space="preserve">The City of Mountain View </w:t>
      </w:r>
      <w:r w:rsidR="000F4000" w:rsidRPr="000F4000">
        <w:t xml:space="preserve">General Plan Environmental Impact Report provides projections for the </w:t>
      </w:r>
      <w:r w:rsidR="00FE4671">
        <w:t>C</w:t>
      </w:r>
      <w:r w:rsidR="000F4000" w:rsidRPr="000F4000">
        <w:t>ity’s population through the year 2030. The population of Mountain View is projected to be 88,570 by the year 2030 (City of Mountain View 2012</w:t>
      </w:r>
      <w:r w:rsidR="009E65D7">
        <w:t>a</w:t>
      </w:r>
      <w:r w:rsidR="000F4000" w:rsidRPr="000F4000">
        <w:t>).</w:t>
      </w:r>
    </w:p>
    <w:p w14:paraId="767D9490" w14:textId="24B59CB6" w:rsidR="000A53F5" w:rsidRPr="000F4000" w:rsidRDefault="000A53F5" w:rsidP="000A53F5">
      <w:pPr>
        <w:pStyle w:val="Heading5"/>
      </w:pPr>
      <w:r w:rsidRPr="000F4000">
        <w:t>Impact Analysis</w:t>
      </w:r>
    </w:p>
    <w:p w14:paraId="00998CF1" w14:textId="0FB4D575" w:rsidR="00542725" w:rsidRPr="000F4000" w:rsidRDefault="00105F44" w:rsidP="00093E17">
      <w:pPr>
        <w:pStyle w:val="BulletLtrManAFTER"/>
      </w:pPr>
      <w:r w:rsidRPr="000F4000">
        <w:t>a.</w:t>
      </w:r>
      <w:r w:rsidR="00542725" w:rsidRPr="000F4000">
        <w:tab/>
        <w:t xml:space="preserve">Would the project induce substantial </w:t>
      </w:r>
      <w:r w:rsidR="00F3748A" w:rsidRPr="000F4000">
        <w:t xml:space="preserve">unplanned </w:t>
      </w:r>
      <w:r w:rsidR="00542725" w:rsidRPr="000F4000">
        <w:t>population growth in an area, either directly (for example, by proposing new homes and businesses) or indirectly (for example, through extension of roads or other infrastructure)?</w:t>
      </w:r>
    </w:p>
    <w:p w14:paraId="1B563D7C" w14:textId="53A80A6A" w:rsidR="00B318B0" w:rsidRPr="008137D2" w:rsidRDefault="000F4000" w:rsidP="008137D2">
      <w:pPr>
        <w:pStyle w:val="BodyText"/>
      </w:pPr>
      <w:r w:rsidRPr="000F4000">
        <w:t>The project would involve the construction of an office structure</w:t>
      </w:r>
      <w:r>
        <w:t xml:space="preserve">; it would not involve the construction of new dwelling units and would therefore not directly induce population growth in the City. </w:t>
      </w:r>
      <w:r w:rsidR="00400274">
        <w:t>T</w:t>
      </w:r>
      <w:r>
        <w:t xml:space="preserve">he project </w:t>
      </w:r>
      <w:r w:rsidR="00EB5549">
        <w:t>could facilitate the creation of</w:t>
      </w:r>
      <w:r w:rsidR="00400274">
        <w:t xml:space="preserve"> </w:t>
      </w:r>
      <w:r>
        <w:t xml:space="preserve">jobs that could indirectly cause population growth through employee relocations to the project area. </w:t>
      </w:r>
      <w:r w:rsidR="0005133C">
        <w:t xml:space="preserve">The proposed office structure </w:t>
      </w:r>
      <w:r w:rsidR="00400274">
        <w:t xml:space="preserve">would have </w:t>
      </w:r>
      <w:r w:rsidR="0005133C">
        <w:t xml:space="preserve">a maximum occupancy of 109 employees. Considering a scenario where each employee relocates to the City of Mountain View, the proposed project could generate approximately 256 new residents, based on 109 employees and the average of 2.35 persons per household in Mountain View (DOF 2021). </w:t>
      </w:r>
      <w:r w:rsidR="008137D2">
        <w:t>The population of Mountain View is projected to be 88,570 by 2030, and the potential population increase as a result of the proposed project</w:t>
      </w:r>
      <w:r w:rsidR="00400274">
        <w:t xml:space="preserve"> under this scenario</w:t>
      </w:r>
      <w:r w:rsidR="008137D2">
        <w:t xml:space="preserve"> </w:t>
      </w:r>
      <w:r w:rsidR="005E47BB">
        <w:t>would</w:t>
      </w:r>
      <w:r w:rsidR="00EB5549">
        <w:t xml:space="preserve"> be well within this projected population increase. </w:t>
      </w:r>
      <w:r w:rsidR="008137D2">
        <w:t xml:space="preserve">Therefore, the project would not induce substantial or unplanned growth. Impacts would be less than significant. </w:t>
      </w:r>
    </w:p>
    <w:p w14:paraId="1528E725" w14:textId="1AC90685" w:rsidR="009C1D64" w:rsidRPr="000E45CD" w:rsidRDefault="00817BC5" w:rsidP="009C1D64">
      <w:pPr>
        <w:spacing w:before="120"/>
        <w:rPr>
          <w:rStyle w:val="DropdownList"/>
          <w:highlight w:val="lightGray"/>
        </w:rPr>
      </w:pPr>
      <w:sdt>
        <w:sdtPr>
          <w:rPr>
            <w:rStyle w:val="DropdownList"/>
            <w:highlight w:val="lightGray"/>
          </w:rPr>
          <w:alias w:val="1a"/>
          <w:tag w:val="dropdown"/>
          <w:id w:val="-1859346158"/>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highlight w:val="none"/>
          </w:rPr>
        </w:sdtEndPr>
        <w:sdtContent>
          <w:r w:rsidR="000E45CD" w:rsidRPr="000E45CD">
            <w:rPr>
              <w:rStyle w:val="DropdownList"/>
            </w:rPr>
            <w:t>Less Than Significant Impact</w:t>
          </w:r>
        </w:sdtContent>
      </w:sdt>
    </w:p>
    <w:p w14:paraId="5D383FE8" w14:textId="77777777" w:rsidR="00542725" w:rsidRPr="008137D2" w:rsidRDefault="00542725" w:rsidP="00F649B5">
      <w:pPr>
        <w:pStyle w:val="BulletLtrManAFTER"/>
        <w:pageBreakBefore/>
      </w:pPr>
      <w:r w:rsidRPr="008137D2">
        <w:t>b.</w:t>
      </w:r>
      <w:r w:rsidRPr="008137D2">
        <w:tab/>
        <w:t xml:space="preserve">Would the project displace substantial numbers of existing </w:t>
      </w:r>
      <w:r w:rsidR="00F3748A" w:rsidRPr="008137D2">
        <w:t xml:space="preserve">people or </w:t>
      </w:r>
      <w:r w:rsidRPr="008137D2">
        <w:t>housing, necessitating the construction of replacement housing elsewhere?</w:t>
      </w:r>
    </w:p>
    <w:p w14:paraId="37EFC380" w14:textId="404B2D0C" w:rsidR="00B318B0" w:rsidRPr="008137D2" w:rsidRDefault="00B318B0" w:rsidP="000D75C9">
      <w:pPr>
        <w:pStyle w:val="BodyText"/>
      </w:pPr>
      <w:r w:rsidRPr="008137D2">
        <w:t>The project site does not currently contain housing, and project implementation would not result in the removal of housing. Therefore, the project would not displace existing people or housing and no impact</w:t>
      </w:r>
      <w:r w:rsidR="005E47BB">
        <w:t xml:space="preserve"> would occur</w:t>
      </w:r>
      <w:r w:rsidRPr="008137D2">
        <w:t>.</w:t>
      </w:r>
    </w:p>
    <w:p w14:paraId="5174E480" w14:textId="06E8B94D" w:rsidR="009C1D64" w:rsidRPr="000E45CD" w:rsidRDefault="00817BC5" w:rsidP="009C1D64">
      <w:pPr>
        <w:spacing w:before="120"/>
        <w:rPr>
          <w:rStyle w:val="DropdownList"/>
          <w:highlight w:val="lightGray"/>
        </w:rPr>
      </w:pPr>
      <w:sdt>
        <w:sdtPr>
          <w:rPr>
            <w:rStyle w:val="DropdownList"/>
            <w:highlight w:val="lightGray"/>
          </w:rPr>
          <w:alias w:val="1a"/>
          <w:tag w:val="dropdown"/>
          <w:id w:val="344606647"/>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highlight w:val="none"/>
          </w:rPr>
        </w:sdtEndPr>
        <w:sdtContent>
          <w:r w:rsidR="000E45CD" w:rsidRPr="000E45CD">
            <w:rPr>
              <w:rStyle w:val="DropdownList"/>
            </w:rPr>
            <w:t>No Impact</w:t>
          </w:r>
        </w:sdtContent>
      </w:sdt>
    </w:p>
    <w:p w14:paraId="0C6EF1EC" w14:textId="77777777" w:rsidR="00542725" w:rsidRPr="00451B49" w:rsidRDefault="00542725" w:rsidP="00275B75">
      <w:pPr>
        <w:pStyle w:val="Heading3CEQA"/>
      </w:pPr>
      <w:bookmarkStart w:id="311" w:name="_Toc453855776"/>
      <w:bookmarkStart w:id="312" w:name="_Toc475630723"/>
      <w:bookmarkStart w:id="313" w:name="_Toc112942440"/>
      <w:r w:rsidRPr="00451B49">
        <w:t>Public Service</w:t>
      </w:r>
      <w:bookmarkEnd w:id="311"/>
      <w:r w:rsidRPr="00451B49">
        <w:t>s</w:t>
      </w:r>
      <w:bookmarkEnd w:id="312"/>
      <w:bookmarkEnd w:id="313"/>
    </w:p>
    <w:tbl>
      <w:tblPr>
        <w:tblW w:w="9047" w:type="dxa"/>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
        <w:gridCol w:w="4332"/>
        <w:gridCol w:w="1188"/>
        <w:gridCol w:w="1220"/>
        <w:gridCol w:w="1109"/>
        <w:gridCol w:w="1150"/>
        <w:gridCol w:w="38"/>
      </w:tblGrid>
      <w:tr w:rsidR="00542725" w:rsidRPr="00451B49" w14:paraId="3A38693A" w14:textId="77777777" w:rsidTr="009D2425">
        <w:trPr>
          <w:tblHeader/>
        </w:trPr>
        <w:tc>
          <w:tcPr>
            <w:tcW w:w="4342" w:type="dxa"/>
            <w:gridSpan w:val="2"/>
            <w:tcBorders>
              <w:top w:val="nil"/>
              <w:right w:val="nil"/>
            </w:tcBorders>
            <w:shd w:val="clear" w:color="auto" w:fill="D9D9D9"/>
            <w:tcMar>
              <w:top w:w="20" w:type="dxa"/>
              <w:left w:w="115" w:type="dxa"/>
              <w:bottom w:w="20" w:type="dxa"/>
              <w:right w:w="115" w:type="dxa"/>
            </w:tcMar>
            <w:vAlign w:val="bottom"/>
          </w:tcPr>
          <w:p w14:paraId="1743A209" w14:textId="77777777" w:rsidR="00542725" w:rsidRPr="00451B49" w:rsidRDefault="00542725" w:rsidP="00B22CD0">
            <w:pPr>
              <w:pStyle w:val="TableHeadings"/>
              <w:jc w:val="center"/>
            </w:pPr>
          </w:p>
        </w:tc>
        <w:tc>
          <w:tcPr>
            <w:tcW w:w="1188" w:type="dxa"/>
            <w:tcBorders>
              <w:top w:val="nil"/>
              <w:left w:val="nil"/>
              <w:right w:val="nil"/>
            </w:tcBorders>
            <w:shd w:val="clear" w:color="auto" w:fill="D9D9D9"/>
            <w:tcMar>
              <w:top w:w="20" w:type="dxa"/>
              <w:left w:w="115" w:type="dxa"/>
              <w:bottom w:w="20" w:type="dxa"/>
              <w:right w:w="115" w:type="dxa"/>
            </w:tcMar>
            <w:vAlign w:val="bottom"/>
            <w:hideMark/>
          </w:tcPr>
          <w:p w14:paraId="18ABE8B2" w14:textId="77777777" w:rsidR="00542725" w:rsidRPr="00451B49" w:rsidRDefault="00542725" w:rsidP="00B22CD0">
            <w:pPr>
              <w:pStyle w:val="TableHeadings"/>
              <w:jc w:val="center"/>
            </w:pPr>
            <w:r w:rsidRPr="00451B49">
              <w:t>Potentially Significant Impact</w:t>
            </w:r>
          </w:p>
        </w:tc>
        <w:tc>
          <w:tcPr>
            <w:tcW w:w="1220" w:type="dxa"/>
            <w:tcBorders>
              <w:top w:val="nil"/>
              <w:left w:val="nil"/>
              <w:right w:val="nil"/>
            </w:tcBorders>
            <w:shd w:val="clear" w:color="auto" w:fill="D9D9D9"/>
            <w:tcMar>
              <w:top w:w="20" w:type="dxa"/>
              <w:left w:w="115" w:type="dxa"/>
              <w:bottom w:w="20" w:type="dxa"/>
              <w:right w:w="115" w:type="dxa"/>
            </w:tcMar>
            <w:vAlign w:val="bottom"/>
            <w:hideMark/>
          </w:tcPr>
          <w:p w14:paraId="160ABBB3" w14:textId="77777777" w:rsidR="00542725" w:rsidRPr="00451B49" w:rsidRDefault="00542725" w:rsidP="00B22CD0">
            <w:pPr>
              <w:pStyle w:val="TableHeadings"/>
              <w:jc w:val="center"/>
            </w:pPr>
            <w:r w:rsidRPr="00451B49">
              <w:t>Less than Significant with Mitigation Incorporated</w:t>
            </w:r>
          </w:p>
        </w:tc>
        <w:tc>
          <w:tcPr>
            <w:tcW w:w="1109" w:type="dxa"/>
            <w:tcBorders>
              <w:top w:val="nil"/>
              <w:left w:val="nil"/>
              <w:right w:val="nil"/>
            </w:tcBorders>
            <w:shd w:val="clear" w:color="auto" w:fill="D9D9D9"/>
            <w:tcMar>
              <w:top w:w="20" w:type="dxa"/>
              <w:left w:w="115" w:type="dxa"/>
              <w:bottom w:w="20" w:type="dxa"/>
              <w:right w:w="115" w:type="dxa"/>
            </w:tcMar>
            <w:vAlign w:val="bottom"/>
            <w:hideMark/>
          </w:tcPr>
          <w:p w14:paraId="34CF7CFF" w14:textId="77777777" w:rsidR="00542725" w:rsidRPr="00451B49" w:rsidRDefault="00542725" w:rsidP="00B22CD0">
            <w:pPr>
              <w:pStyle w:val="TableHeadings"/>
              <w:jc w:val="center"/>
            </w:pPr>
            <w:r w:rsidRPr="00451B49">
              <w:t>Less than Significant Impact</w:t>
            </w:r>
          </w:p>
        </w:tc>
        <w:tc>
          <w:tcPr>
            <w:tcW w:w="1188" w:type="dxa"/>
            <w:gridSpan w:val="2"/>
            <w:tcBorders>
              <w:top w:val="nil"/>
              <w:left w:val="nil"/>
            </w:tcBorders>
            <w:shd w:val="clear" w:color="auto" w:fill="D9D9D9"/>
            <w:tcMar>
              <w:top w:w="20" w:type="dxa"/>
              <w:left w:w="115" w:type="dxa"/>
              <w:bottom w:w="20" w:type="dxa"/>
              <w:right w:w="115" w:type="dxa"/>
            </w:tcMar>
            <w:vAlign w:val="bottom"/>
            <w:hideMark/>
          </w:tcPr>
          <w:p w14:paraId="16FB1A9B" w14:textId="77777777" w:rsidR="00542725" w:rsidRPr="00451B49" w:rsidRDefault="00542725" w:rsidP="00B22CD0">
            <w:pPr>
              <w:pStyle w:val="TableHeadings"/>
              <w:jc w:val="center"/>
            </w:pPr>
            <w:r w:rsidRPr="00451B49">
              <w:t>No Impact</w:t>
            </w:r>
          </w:p>
        </w:tc>
      </w:tr>
      <w:tr w:rsidR="00542725" w:rsidRPr="00451B49" w14:paraId="2CCB5D57" w14:textId="77777777" w:rsidTr="009D2425">
        <w:trPr>
          <w:gridBefore w:val="1"/>
          <w:gridAfter w:val="1"/>
          <w:wBefore w:w="10" w:type="dxa"/>
          <w:wAfter w:w="38" w:type="dxa"/>
        </w:trPr>
        <w:tc>
          <w:tcPr>
            <w:tcW w:w="4332" w:type="dxa"/>
            <w:tcBorders>
              <w:top w:val="single" w:sz="4" w:space="0" w:color="auto"/>
              <w:bottom w:val="nil"/>
              <w:right w:val="nil"/>
            </w:tcBorders>
            <w:tcMar>
              <w:top w:w="20" w:type="dxa"/>
              <w:left w:w="115" w:type="dxa"/>
              <w:bottom w:w="20" w:type="dxa"/>
              <w:right w:w="115" w:type="dxa"/>
            </w:tcMar>
            <w:vAlign w:val="bottom"/>
            <w:hideMark/>
          </w:tcPr>
          <w:p w14:paraId="2129A366" w14:textId="77777777" w:rsidR="00542725" w:rsidRPr="00451B49" w:rsidRDefault="00505D43" w:rsidP="00F6307A">
            <w:pPr>
              <w:pStyle w:val="BulletListLettered"/>
              <w:numPr>
                <w:ilvl w:val="0"/>
                <w:numId w:val="22"/>
              </w:numPr>
            </w:pPr>
            <w:r w:rsidRPr="00451B49">
              <w:t>Would the project r</w:t>
            </w:r>
            <w:r w:rsidR="00542725" w:rsidRPr="00451B49">
              <w:t>esult in substantial adverse physical impacts associated with the provision of new or physically altered governmental facilities, or the need for new or physically altered governmental facilities, the construction of which could cause significant environmental impacts, in order to maintain acceptable service ratios, response times or other performance objectives for any of the public services:</w:t>
            </w:r>
          </w:p>
        </w:tc>
        <w:tc>
          <w:tcPr>
            <w:tcW w:w="1188" w:type="dxa"/>
            <w:tcBorders>
              <w:top w:val="single" w:sz="4" w:space="0" w:color="auto"/>
              <w:left w:val="nil"/>
              <w:bottom w:val="nil"/>
              <w:right w:val="nil"/>
            </w:tcBorders>
            <w:tcMar>
              <w:top w:w="20" w:type="dxa"/>
              <w:left w:w="115" w:type="dxa"/>
              <w:bottom w:w="20" w:type="dxa"/>
              <w:right w:w="115" w:type="dxa"/>
            </w:tcMar>
            <w:vAlign w:val="bottom"/>
            <w:hideMark/>
          </w:tcPr>
          <w:p w14:paraId="556E44EA" w14:textId="77777777" w:rsidR="00542725" w:rsidRPr="00451B49" w:rsidRDefault="00542725" w:rsidP="00584777">
            <w:pPr>
              <w:spacing w:before="60" w:after="60"/>
              <w:jc w:val="center"/>
              <w:rPr>
                <w:sz w:val="24"/>
                <w:szCs w:val="24"/>
              </w:rPr>
            </w:pPr>
          </w:p>
        </w:tc>
        <w:tc>
          <w:tcPr>
            <w:tcW w:w="1220" w:type="dxa"/>
            <w:tcBorders>
              <w:top w:val="single" w:sz="4" w:space="0" w:color="auto"/>
              <w:left w:val="nil"/>
              <w:bottom w:val="nil"/>
              <w:right w:val="nil"/>
            </w:tcBorders>
            <w:tcMar>
              <w:top w:w="20" w:type="dxa"/>
              <w:left w:w="115" w:type="dxa"/>
              <w:bottom w:w="20" w:type="dxa"/>
              <w:right w:w="115" w:type="dxa"/>
            </w:tcMar>
            <w:vAlign w:val="bottom"/>
            <w:hideMark/>
          </w:tcPr>
          <w:p w14:paraId="02569C14" w14:textId="77777777" w:rsidR="00542725" w:rsidRPr="00451B49" w:rsidRDefault="00542725" w:rsidP="00584777">
            <w:pPr>
              <w:spacing w:before="60" w:after="60"/>
              <w:jc w:val="center"/>
              <w:rPr>
                <w:sz w:val="24"/>
                <w:szCs w:val="24"/>
              </w:rPr>
            </w:pPr>
          </w:p>
        </w:tc>
        <w:tc>
          <w:tcPr>
            <w:tcW w:w="1109" w:type="dxa"/>
            <w:tcBorders>
              <w:top w:val="single" w:sz="4" w:space="0" w:color="auto"/>
              <w:left w:val="nil"/>
              <w:bottom w:val="nil"/>
              <w:right w:val="nil"/>
            </w:tcBorders>
            <w:tcMar>
              <w:top w:w="20" w:type="dxa"/>
              <w:left w:w="115" w:type="dxa"/>
              <w:bottom w:w="20" w:type="dxa"/>
              <w:right w:w="115" w:type="dxa"/>
            </w:tcMar>
            <w:vAlign w:val="bottom"/>
            <w:hideMark/>
          </w:tcPr>
          <w:p w14:paraId="4FAE614A" w14:textId="77777777" w:rsidR="00542725" w:rsidRPr="00451B49" w:rsidRDefault="00542725" w:rsidP="00584777">
            <w:pPr>
              <w:spacing w:before="60" w:after="60"/>
              <w:jc w:val="center"/>
              <w:rPr>
                <w:sz w:val="24"/>
                <w:szCs w:val="24"/>
              </w:rPr>
            </w:pPr>
          </w:p>
        </w:tc>
        <w:tc>
          <w:tcPr>
            <w:tcW w:w="1150" w:type="dxa"/>
            <w:tcBorders>
              <w:top w:val="single" w:sz="4" w:space="0" w:color="auto"/>
              <w:left w:val="nil"/>
              <w:bottom w:val="nil"/>
            </w:tcBorders>
            <w:tcMar>
              <w:top w:w="20" w:type="dxa"/>
              <w:left w:w="115" w:type="dxa"/>
              <w:bottom w:w="20" w:type="dxa"/>
              <w:right w:w="115" w:type="dxa"/>
            </w:tcMar>
            <w:vAlign w:val="bottom"/>
            <w:hideMark/>
          </w:tcPr>
          <w:p w14:paraId="6FD72C4C" w14:textId="77777777" w:rsidR="00542725" w:rsidRPr="00451B49" w:rsidRDefault="00542725" w:rsidP="00584777">
            <w:pPr>
              <w:spacing w:before="60" w:after="60"/>
              <w:jc w:val="center"/>
              <w:rPr>
                <w:sz w:val="24"/>
                <w:szCs w:val="24"/>
              </w:rPr>
            </w:pPr>
          </w:p>
        </w:tc>
      </w:tr>
      <w:tr w:rsidR="00542725" w:rsidRPr="00451B49" w14:paraId="71FE8E29" w14:textId="77777777" w:rsidTr="009D2425">
        <w:trPr>
          <w:gridBefore w:val="1"/>
          <w:gridAfter w:val="1"/>
          <w:wBefore w:w="10" w:type="dxa"/>
          <w:wAfter w:w="38" w:type="dxa"/>
        </w:trPr>
        <w:tc>
          <w:tcPr>
            <w:tcW w:w="4332" w:type="dxa"/>
            <w:tcBorders>
              <w:top w:val="nil"/>
              <w:bottom w:val="nil"/>
              <w:right w:val="nil"/>
            </w:tcBorders>
            <w:tcMar>
              <w:top w:w="20" w:type="dxa"/>
              <w:left w:w="115" w:type="dxa"/>
              <w:bottom w:w="20" w:type="dxa"/>
              <w:right w:w="115" w:type="dxa"/>
            </w:tcMar>
            <w:vAlign w:val="bottom"/>
            <w:hideMark/>
          </w:tcPr>
          <w:p w14:paraId="10C8A4A8" w14:textId="77777777" w:rsidR="00542725" w:rsidRPr="00451B49" w:rsidRDefault="00542725" w:rsidP="00584777">
            <w:pPr>
              <w:pStyle w:val="BodyText"/>
              <w:spacing w:before="60" w:after="60"/>
              <w:ind w:left="763" w:hanging="360"/>
            </w:pPr>
            <w:r w:rsidRPr="00451B49">
              <w:t>1</w:t>
            </w:r>
            <w:r w:rsidRPr="00451B49">
              <w:tab/>
              <w:t>Fire protection?</w:t>
            </w:r>
          </w:p>
        </w:tc>
        <w:tc>
          <w:tcPr>
            <w:tcW w:w="1188" w:type="dxa"/>
            <w:tcBorders>
              <w:top w:val="nil"/>
              <w:left w:val="nil"/>
              <w:bottom w:val="nil"/>
              <w:right w:val="nil"/>
            </w:tcBorders>
            <w:tcMar>
              <w:top w:w="20" w:type="dxa"/>
              <w:left w:w="115" w:type="dxa"/>
              <w:bottom w:w="20" w:type="dxa"/>
              <w:right w:w="115" w:type="dxa"/>
            </w:tcMar>
            <w:vAlign w:val="bottom"/>
          </w:tcPr>
          <w:p w14:paraId="7C617088" w14:textId="4182600B" w:rsidR="00542725" w:rsidRPr="00451B49" w:rsidRDefault="00A86CE1" w:rsidP="00584777">
            <w:pPr>
              <w:spacing w:before="60" w:after="60"/>
              <w:jc w:val="center"/>
              <w:rPr>
                <w:sz w:val="28"/>
                <w:szCs w:val="28"/>
              </w:rPr>
            </w:pPr>
            <w:r w:rsidRPr="00451B49">
              <w:rPr>
                <w:rFonts w:ascii="Times New Roman" w:hAnsi="Times New Roman"/>
              </w:rPr>
              <w:t>□</w:t>
            </w:r>
          </w:p>
        </w:tc>
        <w:tc>
          <w:tcPr>
            <w:tcW w:w="1220" w:type="dxa"/>
            <w:tcBorders>
              <w:top w:val="nil"/>
              <w:left w:val="nil"/>
              <w:bottom w:val="nil"/>
              <w:right w:val="nil"/>
            </w:tcBorders>
            <w:tcMar>
              <w:top w:w="20" w:type="dxa"/>
              <w:left w:w="115" w:type="dxa"/>
              <w:bottom w:w="20" w:type="dxa"/>
              <w:right w:w="115" w:type="dxa"/>
            </w:tcMar>
            <w:vAlign w:val="bottom"/>
          </w:tcPr>
          <w:p w14:paraId="412717C1" w14:textId="35F8CEA3" w:rsidR="00542725" w:rsidRPr="00451B49" w:rsidRDefault="00542725" w:rsidP="00584777">
            <w:pPr>
              <w:spacing w:before="60" w:after="60"/>
              <w:jc w:val="center"/>
              <w:rPr>
                <w:sz w:val="28"/>
                <w:szCs w:val="28"/>
              </w:rPr>
            </w:pPr>
            <w:r w:rsidRPr="00451B49">
              <w:rPr>
                <w:rFonts w:ascii="Times New Roman" w:hAnsi="Times New Roman"/>
              </w:rPr>
              <w:t>□</w:t>
            </w:r>
          </w:p>
        </w:tc>
        <w:tc>
          <w:tcPr>
            <w:tcW w:w="1109" w:type="dxa"/>
            <w:tcBorders>
              <w:top w:val="nil"/>
              <w:left w:val="nil"/>
              <w:bottom w:val="nil"/>
              <w:right w:val="nil"/>
            </w:tcBorders>
            <w:tcMar>
              <w:top w:w="20" w:type="dxa"/>
              <w:left w:w="115" w:type="dxa"/>
              <w:bottom w:w="20" w:type="dxa"/>
              <w:right w:w="115" w:type="dxa"/>
            </w:tcMar>
            <w:vAlign w:val="bottom"/>
          </w:tcPr>
          <w:p w14:paraId="13C714D1" w14:textId="57E600E1" w:rsidR="00542725" w:rsidRPr="00451B49" w:rsidRDefault="00BD149D" w:rsidP="00584777">
            <w:pPr>
              <w:spacing w:before="60" w:after="60"/>
              <w:jc w:val="center"/>
              <w:rPr>
                <w:sz w:val="28"/>
                <w:szCs w:val="28"/>
              </w:rPr>
            </w:pPr>
            <w:r w:rsidRPr="00451B49">
              <w:rPr>
                <w:rFonts w:ascii="Times New Roman" w:hAnsi="Times New Roman"/>
              </w:rPr>
              <w:t>■</w:t>
            </w:r>
          </w:p>
        </w:tc>
        <w:tc>
          <w:tcPr>
            <w:tcW w:w="1150" w:type="dxa"/>
            <w:tcBorders>
              <w:top w:val="nil"/>
              <w:left w:val="nil"/>
              <w:bottom w:val="nil"/>
            </w:tcBorders>
            <w:tcMar>
              <w:top w:w="20" w:type="dxa"/>
              <w:left w:w="115" w:type="dxa"/>
              <w:bottom w:w="20" w:type="dxa"/>
              <w:right w:w="115" w:type="dxa"/>
            </w:tcMar>
            <w:vAlign w:val="bottom"/>
          </w:tcPr>
          <w:p w14:paraId="57765743" w14:textId="7FA12057" w:rsidR="00542725" w:rsidRPr="00451B49" w:rsidRDefault="00BD149D" w:rsidP="00584777">
            <w:pPr>
              <w:spacing w:before="60" w:after="60"/>
              <w:jc w:val="center"/>
              <w:rPr>
                <w:sz w:val="28"/>
                <w:szCs w:val="28"/>
              </w:rPr>
            </w:pPr>
            <w:r w:rsidRPr="00451B49">
              <w:rPr>
                <w:rFonts w:ascii="Times New Roman" w:hAnsi="Times New Roman"/>
              </w:rPr>
              <w:t>□</w:t>
            </w:r>
          </w:p>
        </w:tc>
      </w:tr>
      <w:tr w:rsidR="00542725" w:rsidRPr="00451B49" w14:paraId="05638151" w14:textId="77777777" w:rsidTr="009D2425">
        <w:trPr>
          <w:gridBefore w:val="1"/>
          <w:gridAfter w:val="1"/>
          <w:wBefore w:w="10" w:type="dxa"/>
          <w:wAfter w:w="38" w:type="dxa"/>
        </w:trPr>
        <w:tc>
          <w:tcPr>
            <w:tcW w:w="4332" w:type="dxa"/>
            <w:tcBorders>
              <w:top w:val="nil"/>
              <w:bottom w:val="nil"/>
              <w:right w:val="nil"/>
            </w:tcBorders>
            <w:tcMar>
              <w:top w:w="20" w:type="dxa"/>
              <w:left w:w="115" w:type="dxa"/>
              <w:bottom w:w="20" w:type="dxa"/>
              <w:right w:w="115" w:type="dxa"/>
            </w:tcMar>
            <w:vAlign w:val="bottom"/>
            <w:hideMark/>
          </w:tcPr>
          <w:p w14:paraId="4DA0BF84" w14:textId="77777777" w:rsidR="00542725" w:rsidRPr="00451B49" w:rsidRDefault="00542725" w:rsidP="00584777">
            <w:pPr>
              <w:pStyle w:val="BodyText"/>
              <w:spacing w:before="60" w:after="60"/>
              <w:ind w:left="763" w:hanging="360"/>
            </w:pPr>
            <w:r w:rsidRPr="00451B49">
              <w:t>2</w:t>
            </w:r>
            <w:r w:rsidRPr="00451B49">
              <w:tab/>
              <w:t>Police protection?</w:t>
            </w:r>
          </w:p>
        </w:tc>
        <w:tc>
          <w:tcPr>
            <w:tcW w:w="1188" w:type="dxa"/>
            <w:tcBorders>
              <w:top w:val="nil"/>
              <w:left w:val="nil"/>
              <w:bottom w:val="nil"/>
              <w:right w:val="nil"/>
            </w:tcBorders>
            <w:tcMar>
              <w:top w:w="20" w:type="dxa"/>
              <w:left w:w="115" w:type="dxa"/>
              <w:bottom w:w="20" w:type="dxa"/>
              <w:right w:w="115" w:type="dxa"/>
            </w:tcMar>
            <w:vAlign w:val="bottom"/>
          </w:tcPr>
          <w:p w14:paraId="2AE01846" w14:textId="72F29BCE" w:rsidR="00542725" w:rsidRPr="00451B49" w:rsidRDefault="00A86CE1" w:rsidP="00584777">
            <w:pPr>
              <w:spacing w:before="60" w:after="60"/>
              <w:jc w:val="center"/>
              <w:rPr>
                <w:sz w:val="28"/>
                <w:szCs w:val="28"/>
              </w:rPr>
            </w:pPr>
            <w:r w:rsidRPr="00451B49">
              <w:rPr>
                <w:rFonts w:ascii="Times New Roman" w:hAnsi="Times New Roman"/>
              </w:rPr>
              <w:t>□</w:t>
            </w:r>
          </w:p>
        </w:tc>
        <w:tc>
          <w:tcPr>
            <w:tcW w:w="1220" w:type="dxa"/>
            <w:tcBorders>
              <w:top w:val="nil"/>
              <w:left w:val="nil"/>
              <w:bottom w:val="nil"/>
              <w:right w:val="nil"/>
            </w:tcBorders>
            <w:tcMar>
              <w:top w:w="20" w:type="dxa"/>
              <w:left w:w="115" w:type="dxa"/>
              <w:bottom w:w="20" w:type="dxa"/>
              <w:right w:w="115" w:type="dxa"/>
            </w:tcMar>
            <w:vAlign w:val="bottom"/>
          </w:tcPr>
          <w:p w14:paraId="72100FCA" w14:textId="47E96DF4" w:rsidR="00542725" w:rsidRPr="00451B49" w:rsidRDefault="00542725" w:rsidP="00584777">
            <w:pPr>
              <w:spacing w:before="60" w:after="60"/>
              <w:jc w:val="center"/>
              <w:rPr>
                <w:sz w:val="28"/>
                <w:szCs w:val="28"/>
              </w:rPr>
            </w:pPr>
            <w:r w:rsidRPr="00451B49">
              <w:rPr>
                <w:rFonts w:ascii="Times New Roman" w:hAnsi="Times New Roman"/>
              </w:rPr>
              <w:t>□</w:t>
            </w:r>
          </w:p>
        </w:tc>
        <w:tc>
          <w:tcPr>
            <w:tcW w:w="1109" w:type="dxa"/>
            <w:tcBorders>
              <w:top w:val="nil"/>
              <w:left w:val="nil"/>
              <w:bottom w:val="nil"/>
              <w:right w:val="nil"/>
            </w:tcBorders>
            <w:tcMar>
              <w:top w:w="20" w:type="dxa"/>
              <w:left w:w="115" w:type="dxa"/>
              <w:bottom w:w="20" w:type="dxa"/>
              <w:right w:w="115" w:type="dxa"/>
            </w:tcMar>
            <w:vAlign w:val="bottom"/>
          </w:tcPr>
          <w:p w14:paraId="6D3ABAD5" w14:textId="22802C6B" w:rsidR="00542725" w:rsidRPr="00451B49" w:rsidRDefault="00BD149D" w:rsidP="00584777">
            <w:pPr>
              <w:spacing w:before="60" w:after="60"/>
              <w:jc w:val="center"/>
              <w:rPr>
                <w:sz w:val="28"/>
                <w:szCs w:val="28"/>
              </w:rPr>
            </w:pPr>
            <w:r w:rsidRPr="00451B49">
              <w:rPr>
                <w:rFonts w:ascii="Times New Roman" w:hAnsi="Times New Roman"/>
              </w:rPr>
              <w:t>■</w:t>
            </w:r>
          </w:p>
        </w:tc>
        <w:tc>
          <w:tcPr>
            <w:tcW w:w="1150" w:type="dxa"/>
            <w:tcBorders>
              <w:top w:val="nil"/>
              <w:left w:val="nil"/>
              <w:bottom w:val="nil"/>
            </w:tcBorders>
            <w:tcMar>
              <w:top w:w="20" w:type="dxa"/>
              <w:left w:w="115" w:type="dxa"/>
              <w:bottom w:w="20" w:type="dxa"/>
              <w:right w:w="115" w:type="dxa"/>
            </w:tcMar>
            <w:vAlign w:val="bottom"/>
          </w:tcPr>
          <w:p w14:paraId="011E605D" w14:textId="6DD12F9E" w:rsidR="00542725" w:rsidRPr="00451B49" w:rsidRDefault="00A86CE1" w:rsidP="00584777">
            <w:pPr>
              <w:spacing w:before="60" w:after="60"/>
              <w:jc w:val="center"/>
              <w:rPr>
                <w:sz w:val="28"/>
                <w:szCs w:val="28"/>
              </w:rPr>
            </w:pPr>
            <w:r w:rsidRPr="00451B49">
              <w:rPr>
                <w:rFonts w:ascii="Times New Roman" w:hAnsi="Times New Roman"/>
              </w:rPr>
              <w:t>□</w:t>
            </w:r>
          </w:p>
        </w:tc>
      </w:tr>
      <w:tr w:rsidR="00542725" w:rsidRPr="00451B49" w14:paraId="74F3B483" w14:textId="77777777" w:rsidTr="009D2425">
        <w:trPr>
          <w:gridBefore w:val="1"/>
          <w:gridAfter w:val="1"/>
          <w:wBefore w:w="10" w:type="dxa"/>
          <w:wAfter w:w="38" w:type="dxa"/>
        </w:trPr>
        <w:tc>
          <w:tcPr>
            <w:tcW w:w="4332" w:type="dxa"/>
            <w:tcBorders>
              <w:top w:val="nil"/>
              <w:bottom w:val="nil"/>
              <w:right w:val="nil"/>
            </w:tcBorders>
            <w:tcMar>
              <w:top w:w="20" w:type="dxa"/>
              <w:left w:w="115" w:type="dxa"/>
              <w:bottom w:w="20" w:type="dxa"/>
              <w:right w:w="115" w:type="dxa"/>
            </w:tcMar>
            <w:vAlign w:val="bottom"/>
          </w:tcPr>
          <w:p w14:paraId="5564B660" w14:textId="77777777" w:rsidR="00542725" w:rsidRPr="00451B49" w:rsidRDefault="00542725" w:rsidP="00584777">
            <w:pPr>
              <w:pStyle w:val="BodyText"/>
              <w:spacing w:before="60" w:after="60"/>
              <w:ind w:left="763" w:hanging="360"/>
            </w:pPr>
            <w:r w:rsidRPr="00451B49">
              <w:t>3</w:t>
            </w:r>
            <w:r w:rsidRPr="00451B49">
              <w:tab/>
              <w:t>Schools?</w:t>
            </w:r>
          </w:p>
        </w:tc>
        <w:tc>
          <w:tcPr>
            <w:tcW w:w="1188" w:type="dxa"/>
            <w:tcBorders>
              <w:top w:val="nil"/>
              <w:left w:val="nil"/>
              <w:bottom w:val="nil"/>
              <w:right w:val="nil"/>
            </w:tcBorders>
            <w:tcMar>
              <w:top w:w="20" w:type="dxa"/>
              <w:left w:w="115" w:type="dxa"/>
              <w:bottom w:w="20" w:type="dxa"/>
              <w:right w:w="115" w:type="dxa"/>
            </w:tcMar>
            <w:vAlign w:val="bottom"/>
          </w:tcPr>
          <w:p w14:paraId="13B55DD2" w14:textId="5C1DCFEC" w:rsidR="00542725" w:rsidRPr="00451B49" w:rsidRDefault="00A86CE1" w:rsidP="00584777">
            <w:pPr>
              <w:spacing w:before="60" w:after="60"/>
              <w:jc w:val="center"/>
              <w:rPr>
                <w:sz w:val="28"/>
                <w:szCs w:val="28"/>
              </w:rPr>
            </w:pPr>
            <w:r w:rsidRPr="00451B49">
              <w:rPr>
                <w:rFonts w:ascii="Times New Roman" w:hAnsi="Times New Roman"/>
              </w:rPr>
              <w:t>□</w:t>
            </w:r>
          </w:p>
        </w:tc>
        <w:tc>
          <w:tcPr>
            <w:tcW w:w="1220" w:type="dxa"/>
            <w:tcBorders>
              <w:top w:val="nil"/>
              <w:left w:val="nil"/>
              <w:bottom w:val="nil"/>
              <w:right w:val="nil"/>
            </w:tcBorders>
            <w:tcMar>
              <w:top w:w="20" w:type="dxa"/>
              <w:left w:w="115" w:type="dxa"/>
              <w:bottom w:w="20" w:type="dxa"/>
              <w:right w:w="115" w:type="dxa"/>
            </w:tcMar>
            <w:vAlign w:val="bottom"/>
          </w:tcPr>
          <w:p w14:paraId="2FDD0CD1" w14:textId="543484FB" w:rsidR="00542725" w:rsidRPr="00451B49" w:rsidRDefault="00542725" w:rsidP="00584777">
            <w:pPr>
              <w:spacing w:before="60" w:after="60"/>
              <w:jc w:val="center"/>
              <w:rPr>
                <w:sz w:val="28"/>
                <w:szCs w:val="28"/>
              </w:rPr>
            </w:pPr>
            <w:r w:rsidRPr="00451B49">
              <w:rPr>
                <w:rFonts w:ascii="Times New Roman" w:hAnsi="Times New Roman"/>
              </w:rPr>
              <w:t>□</w:t>
            </w:r>
          </w:p>
        </w:tc>
        <w:tc>
          <w:tcPr>
            <w:tcW w:w="1109" w:type="dxa"/>
            <w:tcBorders>
              <w:top w:val="nil"/>
              <w:left w:val="nil"/>
              <w:bottom w:val="nil"/>
              <w:right w:val="nil"/>
            </w:tcBorders>
            <w:tcMar>
              <w:top w:w="20" w:type="dxa"/>
              <w:left w:w="115" w:type="dxa"/>
              <w:bottom w:w="20" w:type="dxa"/>
              <w:right w:w="115" w:type="dxa"/>
            </w:tcMar>
            <w:vAlign w:val="bottom"/>
          </w:tcPr>
          <w:p w14:paraId="4E418B5C" w14:textId="5527235E" w:rsidR="00542725" w:rsidRPr="00451B49" w:rsidRDefault="00BD149D" w:rsidP="00584777">
            <w:pPr>
              <w:spacing w:before="60" w:after="60"/>
              <w:jc w:val="center"/>
              <w:rPr>
                <w:sz w:val="28"/>
                <w:szCs w:val="28"/>
              </w:rPr>
            </w:pPr>
            <w:r w:rsidRPr="00451B49">
              <w:rPr>
                <w:rFonts w:ascii="Times New Roman" w:hAnsi="Times New Roman"/>
              </w:rPr>
              <w:t>■</w:t>
            </w:r>
          </w:p>
        </w:tc>
        <w:tc>
          <w:tcPr>
            <w:tcW w:w="1150" w:type="dxa"/>
            <w:tcBorders>
              <w:top w:val="nil"/>
              <w:left w:val="nil"/>
              <w:bottom w:val="nil"/>
            </w:tcBorders>
            <w:tcMar>
              <w:top w:w="20" w:type="dxa"/>
              <w:left w:w="115" w:type="dxa"/>
              <w:bottom w:w="20" w:type="dxa"/>
              <w:right w:w="115" w:type="dxa"/>
            </w:tcMar>
            <w:vAlign w:val="bottom"/>
          </w:tcPr>
          <w:p w14:paraId="438C35AB" w14:textId="7F916FFA" w:rsidR="00542725" w:rsidRPr="00451B49" w:rsidRDefault="00BD149D" w:rsidP="00584777">
            <w:pPr>
              <w:spacing w:before="60" w:after="60"/>
              <w:jc w:val="center"/>
              <w:rPr>
                <w:sz w:val="28"/>
                <w:szCs w:val="28"/>
              </w:rPr>
            </w:pPr>
            <w:r w:rsidRPr="00451B49">
              <w:rPr>
                <w:rFonts w:ascii="Times New Roman" w:hAnsi="Times New Roman"/>
              </w:rPr>
              <w:t>□</w:t>
            </w:r>
          </w:p>
        </w:tc>
      </w:tr>
      <w:tr w:rsidR="00542725" w:rsidRPr="00451B49" w14:paraId="705D9CFC" w14:textId="77777777" w:rsidTr="009D2425">
        <w:trPr>
          <w:gridBefore w:val="1"/>
          <w:gridAfter w:val="1"/>
          <w:wBefore w:w="10" w:type="dxa"/>
          <w:wAfter w:w="38" w:type="dxa"/>
        </w:trPr>
        <w:tc>
          <w:tcPr>
            <w:tcW w:w="4332" w:type="dxa"/>
            <w:tcBorders>
              <w:top w:val="nil"/>
              <w:bottom w:val="nil"/>
              <w:right w:val="nil"/>
            </w:tcBorders>
            <w:tcMar>
              <w:top w:w="20" w:type="dxa"/>
              <w:left w:w="115" w:type="dxa"/>
              <w:bottom w:w="20" w:type="dxa"/>
              <w:right w:w="115" w:type="dxa"/>
            </w:tcMar>
            <w:vAlign w:val="bottom"/>
          </w:tcPr>
          <w:p w14:paraId="44610C29" w14:textId="77777777" w:rsidR="00542725" w:rsidRPr="00451B49" w:rsidRDefault="00542725" w:rsidP="00584777">
            <w:pPr>
              <w:pStyle w:val="BodyText"/>
              <w:spacing w:before="60" w:after="60"/>
              <w:ind w:left="763" w:hanging="360"/>
            </w:pPr>
            <w:r w:rsidRPr="00451B49">
              <w:t>4</w:t>
            </w:r>
            <w:r w:rsidRPr="00451B49">
              <w:tab/>
              <w:t>Parks?</w:t>
            </w:r>
          </w:p>
        </w:tc>
        <w:tc>
          <w:tcPr>
            <w:tcW w:w="1188" w:type="dxa"/>
            <w:tcBorders>
              <w:top w:val="nil"/>
              <w:left w:val="nil"/>
              <w:bottom w:val="nil"/>
              <w:right w:val="nil"/>
            </w:tcBorders>
            <w:tcMar>
              <w:top w:w="20" w:type="dxa"/>
              <w:left w:w="115" w:type="dxa"/>
              <w:bottom w:w="20" w:type="dxa"/>
              <w:right w:w="115" w:type="dxa"/>
            </w:tcMar>
            <w:vAlign w:val="bottom"/>
          </w:tcPr>
          <w:p w14:paraId="5A1C636D" w14:textId="59B6962C" w:rsidR="00542725" w:rsidRPr="00451B49" w:rsidRDefault="00A86CE1" w:rsidP="00584777">
            <w:pPr>
              <w:spacing w:before="60" w:after="60"/>
              <w:jc w:val="center"/>
              <w:rPr>
                <w:sz w:val="28"/>
                <w:szCs w:val="28"/>
              </w:rPr>
            </w:pPr>
            <w:r w:rsidRPr="00451B49">
              <w:rPr>
                <w:rFonts w:ascii="Times New Roman" w:hAnsi="Times New Roman"/>
              </w:rPr>
              <w:t>□</w:t>
            </w:r>
          </w:p>
        </w:tc>
        <w:tc>
          <w:tcPr>
            <w:tcW w:w="1220" w:type="dxa"/>
            <w:tcBorders>
              <w:top w:val="nil"/>
              <w:left w:val="nil"/>
              <w:bottom w:val="nil"/>
              <w:right w:val="nil"/>
            </w:tcBorders>
            <w:tcMar>
              <w:top w:w="20" w:type="dxa"/>
              <w:left w:w="115" w:type="dxa"/>
              <w:bottom w:w="20" w:type="dxa"/>
              <w:right w:w="115" w:type="dxa"/>
            </w:tcMar>
            <w:vAlign w:val="bottom"/>
          </w:tcPr>
          <w:p w14:paraId="0E1F20F8" w14:textId="52C97BDE" w:rsidR="00542725" w:rsidRPr="00451B49" w:rsidRDefault="00542725" w:rsidP="00584777">
            <w:pPr>
              <w:spacing w:before="60" w:after="60"/>
              <w:jc w:val="center"/>
              <w:rPr>
                <w:sz w:val="28"/>
                <w:szCs w:val="28"/>
              </w:rPr>
            </w:pPr>
            <w:r w:rsidRPr="00451B49">
              <w:rPr>
                <w:rFonts w:ascii="Times New Roman" w:hAnsi="Times New Roman"/>
              </w:rPr>
              <w:t>□</w:t>
            </w:r>
          </w:p>
        </w:tc>
        <w:tc>
          <w:tcPr>
            <w:tcW w:w="1109" w:type="dxa"/>
            <w:tcBorders>
              <w:top w:val="nil"/>
              <w:left w:val="nil"/>
              <w:bottom w:val="nil"/>
              <w:right w:val="nil"/>
            </w:tcBorders>
            <w:tcMar>
              <w:top w:w="20" w:type="dxa"/>
              <w:left w:w="115" w:type="dxa"/>
              <w:bottom w:w="20" w:type="dxa"/>
              <w:right w:w="115" w:type="dxa"/>
            </w:tcMar>
            <w:vAlign w:val="bottom"/>
          </w:tcPr>
          <w:p w14:paraId="5B4091CC" w14:textId="6CD4CB84" w:rsidR="00542725" w:rsidRPr="00451B49" w:rsidRDefault="00BD149D" w:rsidP="00584777">
            <w:pPr>
              <w:spacing w:before="60" w:after="60"/>
              <w:jc w:val="center"/>
              <w:rPr>
                <w:sz w:val="28"/>
                <w:szCs w:val="28"/>
              </w:rPr>
            </w:pPr>
            <w:r w:rsidRPr="00451B49">
              <w:rPr>
                <w:rFonts w:ascii="Times New Roman" w:hAnsi="Times New Roman"/>
              </w:rPr>
              <w:t>■</w:t>
            </w:r>
          </w:p>
        </w:tc>
        <w:tc>
          <w:tcPr>
            <w:tcW w:w="1150" w:type="dxa"/>
            <w:tcBorders>
              <w:top w:val="nil"/>
              <w:left w:val="nil"/>
              <w:bottom w:val="nil"/>
            </w:tcBorders>
            <w:tcMar>
              <w:top w:w="20" w:type="dxa"/>
              <w:left w:w="115" w:type="dxa"/>
              <w:bottom w:w="20" w:type="dxa"/>
              <w:right w:w="115" w:type="dxa"/>
            </w:tcMar>
            <w:vAlign w:val="bottom"/>
          </w:tcPr>
          <w:p w14:paraId="572638CB" w14:textId="628390B9" w:rsidR="00542725" w:rsidRPr="00451B49" w:rsidRDefault="00BD149D" w:rsidP="00584777">
            <w:pPr>
              <w:spacing w:before="60" w:after="60"/>
              <w:jc w:val="center"/>
              <w:rPr>
                <w:sz w:val="28"/>
                <w:szCs w:val="28"/>
              </w:rPr>
            </w:pPr>
            <w:r w:rsidRPr="00451B49">
              <w:rPr>
                <w:rFonts w:ascii="Times New Roman" w:hAnsi="Times New Roman"/>
              </w:rPr>
              <w:t>□</w:t>
            </w:r>
          </w:p>
        </w:tc>
      </w:tr>
      <w:tr w:rsidR="00542725" w:rsidRPr="00E5753A" w14:paraId="508DD944" w14:textId="77777777" w:rsidTr="009D2425">
        <w:trPr>
          <w:gridBefore w:val="1"/>
          <w:gridAfter w:val="1"/>
          <w:wBefore w:w="10" w:type="dxa"/>
          <w:wAfter w:w="38" w:type="dxa"/>
        </w:trPr>
        <w:tc>
          <w:tcPr>
            <w:tcW w:w="4332" w:type="dxa"/>
            <w:tcBorders>
              <w:top w:val="nil"/>
              <w:right w:val="nil"/>
            </w:tcBorders>
            <w:tcMar>
              <w:top w:w="20" w:type="dxa"/>
              <w:left w:w="115" w:type="dxa"/>
              <w:bottom w:w="20" w:type="dxa"/>
              <w:right w:w="115" w:type="dxa"/>
            </w:tcMar>
            <w:vAlign w:val="bottom"/>
          </w:tcPr>
          <w:p w14:paraId="525C5633" w14:textId="77777777" w:rsidR="00542725" w:rsidRPr="00451B49" w:rsidRDefault="00542725" w:rsidP="00584777">
            <w:pPr>
              <w:pStyle w:val="BodyText"/>
              <w:spacing w:before="60" w:after="60"/>
              <w:ind w:left="763" w:hanging="360"/>
            </w:pPr>
            <w:r w:rsidRPr="00451B49">
              <w:t>5</w:t>
            </w:r>
            <w:r w:rsidRPr="00451B49">
              <w:tab/>
              <w:t>Other public facilities?</w:t>
            </w:r>
          </w:p>
        </w:tc>
        <w:tc>
          <w:tcPr>
            <w:tcW w:w="1188" w:type="dxa"/>
            <w:tcBorders>
              <w:top w:val="nil"/>
              <w:left w:val="nil"/>
              <w:right w:val="nil"/>
            </w:tcBorders>
            <w:tcMar>
              <w:top w:w="20" w:type="dxa"/>
              <w:left w:w="115" w:type="dxa"/>
              <w:bottom w:w="20" w:type="dxa"/>
              <w:right w:w="115" w:type="dxa"/>
            </w:tcMar>
            <w:vAlign w:val="bottom"/>
          </w:tcPr>
          <w:p w14:paraId="3B63B6AC" w14:textId="030740A0" w:rsidR="00542725" w:rsidRPr="00451B49" w:rsidRDefault="00A86CE1" w:rsidP="00584777">
            <w:pPr>
              <w:spacing w:before="60" w:after="60"/>
              <w:jc w:val="center"/>
              <w:rPr>
                <w:sz w:val="28"/>
                <w:szCs w:val="28"/>
              </w:rPr>
            </w:pPr>
            <w:r w:rsidRPr="00451B49">
              <w:rPr>
                <w:rFonts w:ascii="Times New Roman" w:hAnsi="Times New Roman"/>
              </w:rPr>
              <w:t>□</w:t>
            </w:r>
          </w:p>
        </w:tc>
        <w:tc>
          <w:tcPr>
            <w:tcW w:w="1220" w:type="dxa"/>
            <w:tcBorders>
              <w:top w:val="nil"/>
              <w:left w:val="nil"/>
              <w:right w:val="nil"/>
            </w:tcBorders>
            <w:tcMar>
              <w:top w:w="20" w:type="dxa"/>
              <w:left w:w="115" w:type="dxa"/>
              <w:bottom w:w="20" w:type="dxa"/>
              <w:right w:w="115" w:type="dxa"/>
            </w:tcMar>
            <w:vAlign w:val="bottom"/>
          </w:tcPr>
          <w:p w14:paraId="7B63BDA5" w14:textId="42E65334" w:rsidR="00542725" w:rsidRPr="00451B49" w:rsidRDefault="00542725" w:rsidP="00584777">
            <w:pPr>
              <w:spacing w:before="60" w:after="60"/>
              <w:jc w:val="center"/>
              <w:rPr>
                <w:sz w:val="28"/>
                <w:szCs w:val="28"/>
              </w:rPr>
            </w:pPr>
            <w:r w:rsidRPr="00451B49">
              <w:rPr>
                <w:rFonts w:ascii="Times New Roman" w:hAnsi="Times New Roman"/>
              </w:rPr>
              <w:t>□</w:t>
            </w:r>
          </w:p>
        </w:tc>
        <w:tc>
          <w:tcPr>
            <w:tcW w:w="1109" w:type="dxa"/>
            <w:tcBorders>
              <w:top w:val="nil"/>
              <w:left w:val="nil"/>
              <w:right w:val="nil"/>
            </w:tcBorders>
            <w:tcMar>
              <w:top w:w="20" w:type="dxa"/>
              <w:left w:w="115" w:type="dxa"/>
              <w:bottom w:w="20" w:type="dxa"/>
              <w:right w:w="115" w:type="dxa"/>
            </w:tcMar>
            <w:vAlign w:val="bottom"/>
          </w:tcPr>
          <w:p w14:paraId="3C6F68FD" w14:textId="5726C4CE" w:rsidR="00542725" w:rsidRPr="00451B49" w:rsidRDefault="00BD149D" w:rsidP="00584777">
            <w:pPr>
              <w:spacing w:before="60" w:after="60"/>
              <w:jc w:val="center"/>
              <w:rPr>
                <w:sz w:val="28"/>
                <w:szCs w:val="28"/>
              </w:rPr>
            </w:pPr>
            <w:r w:rsidRPr="00451B49">
              <w:rPr>
                <w:rFonts w:ascii="Times New Roman" w:hAnsi="Times New Roman"/>
              </w:rPr>
              <w:t>■</w:t>
            </w:r>
          </w:p>
        </w:tc>
        <w:tc>
          <w:tcPr>
            <w:tcW w:w="1150" w:type="dxa"/>
            <w:tcBorders>
              <w:top w:val="nil"/>
              <w:left w:val="nil"/>
            </w:tcBorders>
            <w:tcMar>
              <w:top w:w="20" w:type="dxa"/>
              <w:left w:w="115" w:type="dxa"/>
              <w:bottom w:w="20" w:type="dxa"/>
              <w:right w:w="115" w:type="dxa"/>
            </w:tcMar>
            <w:vAlign w:val="bottom"/>
          </w:tcPr>
          <w:p w14:paraId="191B8A1A" w14:textId="56167A7C" w:rsidR="00542725" w:rsidRPr="00451B49" w:rsidRDefault="00BD149D" w:rsidP="00584777">
            <w:pPr>
              <w:spacing w:before="60" w:after="60"/>
              <w:jc w:val="center"/>
              <w:rPr>
                <w:sz w:val="28"/>
                <w:szCs w:val="28"/>
              </w:rPr>
            </w:pPr>
            <w:r w:rsidRPr="00451B49">
              <w:rPr>
                <w:rFonts w:ascii="Times New Roman" w:hAnsi="Times New Roman"/>
              </w:rPr>
              <w:t>□</w:t>
            </w:r>
          </w:p>
        </w:tc>
      </w:tr>
    </w:tbl>
    <w:p w14:paraId="0B890859" w14:textId="519AC6AB" w:rsidR="003C2ECC" w:rsidRDefault="003C2ECC" w:rsidP="003C2ECC">
      <w:pPr>
        <w:pStyle w:val="Heading5"/>
      </w:pPr>
      <w:r w:rsidRPr="00451B49">
        <w:t>Setting</w:t>
      </w:r>
    </w:p>
    <w:p w14:paraId="39C47EF7" w14:textId="216380E8" w:rsidR="00451B49" w:rsidRDefault="00451B49" w:rsidP="00451B49">
      <w:pPr>
        <w:pStyle w:val="BodyText"/>
      </w:pPr>
      <w:r>
        <w:t xml:space="preserve">The Mountain View Fire Department (MVFD) provides fire and emergency medical services to the City. </w:t>
      </w:r>
      <w:r w:rsidR="005840CE">
        <w:t xml:space="preserve">MVFD maintains five fire stations; Station No. 3 is located approximately 1 mile west of the project site, and Station No. 5 is approximately 1.1 miles north of the project site. Each station has at least three firefighters on duty at any given time. The MVFD fleet includes seven fire engines, one rescue vehicle, one hazardous materials vehicle, and one fire truck. </w:t>
      </w:r>
      <w:r w:rsidR="00591077">
        <w:t>In the 2020-2021 fiscal year, MVFD responded to 8,512 incidents, most of which were rescue and EMS (6,003 calls). Other incidents include fire, good intent, hazard</w:t>
      </w:r>
      <w:r w:rsidR="00FE4671">
        <w:t>ous</w:t>
      </w:r>
      <w:r w:rsidR="00591077">
        <w:t xml:space="preserve"> conditions, overpressure/explosions, and false alarms</w:t>
      </w:r>
      <w:r w:rsidR="007170AD">
        <w:t xml:space="preserve"> </w:t>
      </w:r>
      <w:r w:rsidR="007170AD" w:rsidRPr="007170AD">
        <w:t>(MVFD 2021)</w:t>
      </w:r>
      <w:r w:rsidR="00591077" w:rsidRPr="007170AD">
        <w:t>.</w:t>
      </w:r>
      <w:r w:rsidR="00591077">
        <w:t xml:space="preserve"> </w:t>
      </w:r>
    </w:p>
    <w:p w14:paraId="58A9F344" w14:textId="53F12F25" w:rsidR="007170AD" w:rsidRDefault="007170AD" w:rsidP="00451B49">
      <w:pPr>
        <w:pStyle w:val="BodyText"/>
      </w:pPr>
      <w:r>
        <w:t xml:space="preserve">The Mountain View </w:t>
      </w:r>
      <w:r w:rsidR="00FE4671">
        <w:t>Police</w:t>
      </w:r>
      <w:r>
        <w:t xml:space="preserve"> Department (MVPD) </w:t>
      </w:r>
      <w:r w:rsidR="001865A4">
        <w:t xml:space="preserve">provides police protection services to the City. MVPD operates one police station and employs 181 individuals, including approximately 74 police officers. </w:t>
      </w:r>
      <w:r w:rsidR="006F0DD3">
        <w:t xml:space="preserve">In 2020, MVPD received 27,127 total calls for service, of which 1,126 were emergency calls. MVPD officers were on the scene in less than four minutes for 709 of these emergency calls. </w:t>
      </w:r>
      <w:r w:rsidR="00B647E5">
        <w:t xml:space="preserve">In 2020, MVPD </w:t>
      </w:r>
      <w:r w:rsidR="006F0DD3">
        <w:t>recorded 4,440 reported crimes and had an arrest rate of 23.05 arrests per 1,000 residents</w:t>
      </w:r>
      <w:r w:rsidR="00B647E5">
        <w:t xml:space="preserve"> (MVPD 2020). </w:t>
      </w:r>
    </w:p>
    <w:p w14:paraId="5274B91C" w14:textId="444C91CD" w:rsidR="006C7533" w:rsidRDefault="00400274" w:rsidP="006D415C">
      <w:pPr>
        <w:pStyle w:val="BodyText"/>
      </w:pPr>
      <w:r>
        <w:t xml:space="preserve">The </w:t>
      </w:r>
      <w:r w:rsidR="00B647E5">
        <w:t xml:space="preserve">Mountain View Whisman School District (MVWSD) </w:t>
      </w:r>
      <w:r w:rsidR="00854A07">
        <w:t>and M</w:t>
      </w:r>
      <w:r w:rsidR="00F60DDF">
        <w:t>ountain View Los Altos</w:t>
      </w:r>
      <w:r w:rsidR="00854A07">
        <w:t xml:space="preserve"> High School District (MVLA) </w:t>
      </w:r>
      <w:r w:rsidR="00B647E5">
        <w:t>provide</w:t>
      </w:r>
      <w:r w:rsidR="00854A07">
        <w:t xml:space="preserve"> </w:t>
      </w:r>
      <w:r w:rsidR="00B647E5">
        <w:t xml:space="preserve">public education services to the City. </w:t>
      </w:r>
      <w:r w:rsidR="00854A07">
        <w:t>MVWSD operates nine elementary schools (grades K – 5) and two middle schools (grades 6 – 8)</w:t>
      </w:r>
      <w:r w:rsidR="002D473B">
        <w:t>, and as of June 2021 the district served 4,765 students (MVWSD 2021)</w:t>
      </w:r>
      <w:r w:rsidR="00DF0BCE">
        <w:t xml:space="preserve">. </w:t>
      </w:r>
      <w:r w:rsidR="00F60DDF">
        <w:t>MVLA operates three high schools and one adult school</w:t>
      </w:r>
      <w:r w:rsidR="002D473B">
        <w:t xml:space="preserve">, and as of the 2021 academic year the district served approximately 5,000 students (MVLA 2021). </w:t>
      </w:r>
    </w:p>
    <w:p w14:paraId="3BD7070A" w14:textId="4E748473" w:rsidR="006C7533" w:rsidRPr="006C7533" w:rsidRDefault="006C7533" w:rsidP="009A2A5D">
      <w:pPr>
        <w:pStyle w:val="BodyText"/>
      </w:pPr>
      <w:r>
        <w:t xml:space="preserve">The Mountain View Community Services Department maintains parks through the Parks Division and </w:t>
      </w:r>
      <w:r w:rsidR="00D838E0">
        <w:t xml:space="preserve">maintains recreational facilities through the Recreation Division. The Parks Division manages 35 parks and four miles of bicycle and pedestrian trails in the </w:t>
      </w:r>
      <w:r w:rsidR="00E61D17">
        <w:t>City and</w:t>
      </w:r>
      <w:r w:rsidR="00D838E0">
        <w:t xml:space="preserve"> is also responsible for the maintenance of Shoreline at Mountain View and other regional open space</w:t>
      </w:r>
      <w:r w:rsidR="00327691">
        <w:t xml:space="preserve">. This totals over 1,000 acres of parks and open space </w:t>
      </w:r>
      <w:r w:rsidR="00D838E0">
        <w:t>(City of Mountain View 2021c)</w:t>
      </w:r>
      <w:r w:rsidR="00327691">
        <w:t xml:space="preserve">. </w:t>
      </w:r>
      <w:r w:rsidR="002D1A27">
        <w:t xml:space="preserve">According to the 2030 General Plan, the City has </w:t>
      </w:r>
      <w:r w:rsidR="00327691">
        <w:t xml:space="preserve">nearly 1,000 acres of parks and open space, and the City </w:t>
      </w:r>
      <w:r w:rsidR="002D1A27">
        <w:t>adopted a standard of three acres of parkland per 1,000 residents (City of Mountain View 2012</w:t>
      </w:r>
      <w:r w:rsidR="009E65D7">
        <w:t>a</w:t>
      </w:r>
      <w:r w:rsidR="002D1A27">
        <w:t>). The Recreation Division operates a center for performing arts, a community center, four community gardens, two pools, two historic buildings, and a senior center, among other facilities</w:t>
      </w:r>
      <w:r w:rsidR="00D775A0">
        <w:t xml:space="preserve"> (City of Mountain View 2021d). </w:t>
      </w:r>
    </w:p>
    <w:p w14:paraId="5A239E83" w14:textId="77777777" w:rsidR="00F506C4" w:rsidRPr="00327691" w:rsidRDefault="00F506C4" w:rsidP="00F506C4">
      <w:pPr>
        <w:pStyle w:val="EIRHeading5"/>
      </w:pPr>
      <w:r w:rsidRPr="00327691">
        <w:t>Regulatory Setting</w:t>
      </w:r>
    </w:p>
    <w:p w14:paraId="1833A10B" w14:textId="4D9BFC3A" w:rsidR="00523C10" w:rsidRDefault="00327691" w:rsidP="00523C10">
      <w:pPr>
        <w:pStyle w:val="EIRHeading7"/>
      </w:pPr>
      <w:r w:rsidRPr="00327691">
        <w:t>Mountain View 2030</w:t>
      </w:r>
      <w:r w:rsidR="00F506C4" w:rsidRPr="00327691">
        <w:t xml:space="preserve"> General Plan </w:t>
      </w:r>
    </w:p>
    <w:p w14:paraId="4416F33D" w14:textId="2A40247C" w:rsidR="0098596A" w:rsidRDefault="00523C10" w:rsidP="00F506C4">
      <w:pPr>
        <w:pStyle w:val="BodyText"/>
      </w:pPr>
      <w:r>
        <w:t>The Public Safety Element of the General Plan discusses the provision of fire and police protection services in the City. The following goals and policies apply to the proposed project (City of Mountain View 2012</w:t>
      </w:r>
      <w:r w:rsidR="009E65D7">
        <w:t>a)</w:t>
      </w:r>
      <w:r w:rsidR="0098596A">
        <w:t xml:space="preserve">: </w:t>
      </w:r>
    </w:p>
    <w:p w14:paraId="32356489" w14:textId="77777777" w:rsidR="00EB504C" w:rsidRDefault="0098596A" w:rsidP="00E223F6">
      <w:pPr>
        <w:pStyle w:val="BodyText"/>
        <w:spacing w:before="60" w:after="60"/>
        <w:ind w:left="1728" w:hanging="1728"/>
      </w:pPr>
      <w:r>
        <w:rPr>
          <w:b/>
          <w:bCs/>
        </w:rPr>
        <w:t>Goal PSA-1</w:t>
      </w:r>
      <w:r>
        <w:rPr>
          <w:b/>
          <w:bCs/>
        </w:rPr>
        <w:tab/>
      </w:r>
      <w:r>
        <w:t xml:space="preserve">A high level of community safety with police, fire, and emergency response times that meet or exceed industry-accepted service standards. </w:t>
      </w:r>
    </w:p>
    <w:p w14:paraId="3F34CF42" w14:textId="5092C77C" w:rsidR="00EB504C" w:rsidRDefault="00EB504C" w:rsidP="00E223F6">
      <w:pPr>
        <w:pStyle w:val="BodyText"/>
        <w:tabs>
          <w:tab w:val="left" w:pos="720"/>
          <w:tab w:val="left" w:pos="2340"/>
        </w:tabs>
        <w:spacing w:before="60" w:after="60"/>
        <w:ind w:left="2088" w:hanging="1728"/>
      </w:pPr>
      <w:r>
        <w:rPr>
          <w:b/>
          <w:bCs/>
        </w:rPr>
        <w:t>Policy PSA 1.1</w:t>
      </w:r>
      <w:r>
        <w:rPr>
          <w:b/>
          <w:bCs/>
        </w:rPr>
        <w:tab/>
      </w:r>
      <w:r w:rsidRPr="00F649B5">
        <w:rPr>
          <w:b/>
          <w:bCs/>
        </w:rPr>
        <w:t xml:space="preserve">Adequate </w:t>
      </w:r>
      <w:r w:rsidR="00F649B5" w:rsidRPr="00F649B5">
        <w:rPr>
          <w:b/>
          <w:bCs/>
        </w:rPr>
        <w:t>Staffing</w:t>
      </w:r>
      <w:r w:rsidRPr="00F649B5">
        <w:rPr>
          <w:b/>
          <w:bCs/>
        </w:rPr>
        <w:t>.</w:t>
      </w:r>
      <w:r>
        <w:rPr>
          <w:i/>
          <w:iCs/>
        </w:rPr>
        <w:t xml:space="preserve"> </w:t>
      </w:r>
      <w:r>
        <w:t xml:space="preserve">Maintain adequate police and fire staffing, performance levels, and facilities to serve the needs of the community. </w:t>
      </w:r>
    </w:p>
    <w:p w14:paraId="425D71B8" w14:textId="1B8E31EB" w:rsidR="0098596A" w:rsidRDefault="00EB504C" w:rsidP="00E223F6">
      <w:pPr>
        <w:pStyle w:val="BodyText"/>
        <w:tabs>
          <w:tab w:val="left" w:pos="720"/>
          <w:tab w:val="left" w:pos="2340"/>
        </w:tabs>
        <w:spacing w:before="60" w:after="60"/>
        <w:ind w:left="2088" w:hanging="1728"/>
      </w:pPr>
      <w:r>
        <w:rPr>
          <w:b/>
          <w:bCs/>
        </w:rPr>
        <w:t>Policy PSA 1.2</w:t>
      </w:r>
      <w:r>
        <w:rPr>
          <w:b/>
          <w:bCs/>
        </w:rPr>
        <w:tab/>
      </w:r>
      <w:r w:rsidRPr="00F649B5">
        <w:rPr>
          <w:b/>
          <w:bCs/>
        </w:rPr>
        <w:t xml:space="preserve">Design for </w:t>
      </w:r>
      <w:r w:rsidR="00F649B5" w:rsidRPr="00F649B5">
        <w:rPr>
          <w:b/>
          <w:bCs/>
        </w:rPr>
        <w:t>Safety</w:t>
      </w:r>
      <w:r w:rsidRPr="00F649B5">
        <w:rPr>
          <w:b/>
          <w:bCs/>
        </w:rPr>
        <w:t>.</w:t>
      </w:r>
      <w:r>
        <w:rPr>
          <w:i/>
          <w:iCs/>
        </w:rPr>
        <w:t xml:space="preserve"> </w:t>
      </w:r>
      <w:r>
        <w:t xml:space="preserve">Support and promote crime prevention and fire safety strategies in the design of new developments. </w:t>
      </w:r>
    </w:p>
    <w:p w14:paraId="3E8F0899" w14:textId="0652743B" w:rsidR="00EB504C" w:rsidRDefault="00EB504C" w:rsidP="00E223F6">
      <w:pPr>
        <w:pStyle w:val="BodyText"/>
        <w:tabs>
          <w:tab w:val="left" w:pos="720"/>
          <w:tab w:val="left" w:pos="2340"/>
        </w:tabs>
        <w:spacing w:before="60" w:after="60"/>
        <w:ind w:left="2088" w:hanging="1728"/>
      </w:pPr>
      <w:r>
        <w:rPr>
          <w:b/>
          <w:bCs/>
        </w:rPr>
        <w:t>Policy PSA 2.7</w:t>
      </w:r>
      <w:r>
        <w:rPr>
          <w:b/>
          <w:bCs/>
        </w:rPr>
        <w:tab/>
      </w:r>
      <w:r w:rsidRPr="00F649B5">
        <w:rPr>
          <w:b/>
          <w:bCs/>
        </w:rPr>
        <w:t xml:space="preserve">Police Service </w:t>
      </w:r>
      <w:r w:rsidR="00F649B5" w:rsidRPr="00F649B5">
        <w:rPr>
          <w:b/>
          <w:bCs/>
        </w:rPr>
        <w:t xml:space="preserve">Levels </w:t>
      </w:r>
      <w:r w:rsidRPr="00F649B5">
        <w:rPr>
          <w:b/>
          <w:bCs/>
        </w:rPr>
        <w:t xml:space="preserve">and </w:t>
      </w:r>
      <w:r w:rsidR="00F649B5" w:rsidRPr="00F649B5">
        <w:rPr>
          <w:b/>
          <w:bCs/>
        </w:rPr>
        <w:t>Facilities</w:t>
      </w:r>
      <w:r w:rsidRPr="00F649B5">
        <w:rPr>
          <w:b/>
          <w:bCs/>
        </w:rPr>
        <w:t xml:space="preserve">. </w:t>
      </w:r>
      <w:r>
        <w:t xml:space="preserve">Ensure Mountain View Police Department service levels and facilities meet demands from new growth and development. </w:t>
      </w:r>
    </w:p>
    <w:p w14:paraId="5A44DE5A" w14:textId="69E10208" w:rsidR="00EB504C" w:rsidRDefault="00EB504C" w:rsidP="00E223F6">
      <w:pPr>
        <w:pStyle w:val="BodyText"/>
        <w:tabs>
          <w:tab w:val="left" w:pos="720"/>
          <w:tab w:val="left" w:pos="2340"/>
        </w:tabs>
        <w:spacing w:before="180"/>
        <w:ind w:left="1728" w:hanging="1728"/>
      </w:pPr>
      <w:r>
        <w:rPr>
          <w:b/>
          <w:bCs/>
        </w:rPr>
        <w:t>Goal PSA-3</w:t>
      </w:r>
      <w:r>
        <w:rPr>
          <w:b/>
          <w:bCs/>
        </w:rPr>
        <w:tab/>
      </w:r>
      <w:r>
        <w:t xml:space="preserve">A community protected from fire, hazardous materials, and environmental contamination. </w:t>
      </w:r>
    </w:p>
    <w:p w14:paraId="3BA220DE" w14:textId="6BDE9ABD" w:rsidR="004D6230" w:rsidRDefault="00F506C4" w:rsidP="009A2A5D">
      <w:pPr>
        <w:pStyle w:val="bodyafter"/>
      </w:pPr>
      <w:r w:rsidRPr="00327691">
        <w:t xml:space="preserve">The </w:t>
      </w:r>
      <w:r w:rsidR="00327691">
        <w:t xml:space="preserve">Parks, Open Space, and Community Facilities Element of the </w:t>
      </w:r>
      <w:r w:rsidR="00523C10">
        <w:t>General Plan discusses</w:t>
      </w:r>
      <w:r w:rsidR="004D6230">
        <w:t xml:space="preserve"> the provision of parks, open space, and recreational facilities in the City. The following goals and policies apply to the proposed project (City of Mountain View 2012</w:t>
      </w:r>
      <w:r w:rsidR="009E65D7">
        <w:t>a</w:t>
      </w:r>
      <w:r w:rsidR="004D6230">
        <w:t xml:space="preserve">): </w:t>
      </w:r>
    </w:p>
    <w:p w14:paraId="35A560B6" w14:textId="30710957" w:rsidR="004E78CF" w:rsidRDefault="004E78CF" w:rsidP="00E223F6">
      <w:pPr>
        <w:pStyle w:val="BodyText"/>
        <w:tabs>
          <w:tab w:val="left" w:pos="720"/>
          <w:tab w:val="left" w:pos="2340"/>
        </w:tabs>
        <w:spacing w:before="60" w:after="60"/>
        <w:ind w:left="2088" w:hanging="1728"/>
      </w:pPr>
      <w:r>
        <w:rPr>
          <w:b/>
          <w:bCs/>
        </w:rPr>
        <w:t>Policy POS 1.1</w:t>
      </w:r>
      <w:r>
        <w:rPr>
          <w:b/>
          <w:bCs/>
        </w:rPr>
        <w:tab/>
      </w:r>
      <w:r w:rsidRPr="00F649B5">
        <w:rPr>
          <w:b/>
          <w:bCs/>
        </w:rPr>
        <w:t xml:space="preserve">Additional </w:t>
      </w:r>
      <w:r w:rsidR="00F649B5" w:rsidRPr="00F649B5">
        <w:rPr>
          <w:b/>
          <w:bCs/>
        </w:rPr>
        <w:t>Parkland</w:t>
      </w:r>
      <w:r w:rsidRPr="00F649B5">
        <w:rPr>
          <w:b/>
          <w:bCs/>
        </w:rPr>
        <w:t>.</w:t>
      </w:r>
      <w:r>
        <w:t xml:space="preserve"> Expand park and open space resources to meet current City standards </w:t>
      </w:r>
      <w:r w:rsidR="00A16314">
        <w:t xml:space="preserve">for open space acreage and population in each neighborhood. </w:t>
      </w:r>
    </w:p>
    <w:p w14:paraId="03CE676D" w14:textId="451FE464" w:rsidR="00A16314" w:rsidRPr="00A16314" w:rsidRDefault="00A16314" w:rsidP="00E223F6">
      <w:pPr>
        <w:pStyle w:val="BodyText"/>
        <w:tabs>
          <w:tab w:val="left" w:pos="720"/>
          <w:tab w:val="left" w:pos="2340"/>
        </w:tabs>
        <w:spacing w:before="60" w:after="60"/>
        <w:ind w:left="2088" w:hanging="1728"/>
      </w:pPr>
      <w:r>
        <w:rPr>
          <w:b/>
          <w:bCs/>
        </w:rPr>
        <w:t>Policy POS 12.1</w:t>
      </w:r>
      <w:r>
        <w:rPr>
          <w:b/>
          <w:bCs/>
        </w:rPr>
        <w:tab/>
      </w:r>
      <w:r w:rsidRPr="00F649B5">
        <w:rPr>
          <w:b/>
          <w:bCs/>
        </w:rPr>
        <w:t xml:space="preserve">Heritage </w:t>
      </w:r>
      <w:r w:rsidR="00F649B5" w:rsidRPr="00F649B5">
        <w:rPr>
          <w:b/>
          <w:bCs/>
        </w:rPr>
        <w:t>Trees</w:t>
      </w:r>
      <w:r w:rsidRPr="00F649B5">
        <w:rPr>
          <w:b/>
          <w:bCs/>
        </w:rPr>
        <w:t>.</w:t>
      </w:r>
      <w:r>
        <w:rPr>
          <w:i/>
          <w:iCs/>
        </w:rPr>
        <w:t xml:space="preserve"> </w:t>
      </w:r>
      <w:r>
        <w:t xml:space="preserve">Protect trees as an ecological and biological resource. </w:t>
      </w:r>
    </w:p>
    <w:p w14:paraId="3D9B144B" w14:textId="48290D2E" w:rsidR="00A16314" w:rsidRDefault="004E78CF" w:rsidP="00E223F6">
      <w:pPr>
        <w:pStyle w:val="BodyText"/>
        <w:tabs>
          <w:tab w:val="left" w:pos="720"/>
          <w:tab w:val="left" w:pos="2340"/>
        </w:tabs>
        <w:spacing w:before="60" w:after="60"/>
        <w:ind w:left="2088" w:hanging="1728"/>
      </w:pPr>
      <w:r>
        <w:rPr>
          <w:b/>
          <w:bCs/>
        </w:rPr>
        <w:t xml:space="preserve">Policy </w:t>
      </w:r>
      <w:r w:rsidR="00A16314">
        <w:rPr>
          <w:b/>
          <w:bCs/>
        </w:rPr>
        <w:t>POS 12.4</w:t>
      </w:r>
      <w:r w:rsidR="00A16314">
        <w:rPr>
          <w:b/>
          <w:bCs/>
        </w:rPr>
        <w:tab/>
      </w:r>
      <w:r w:rsidR="00A16314" w:rsidRPr="00F649B5">
        <w:rPr>
          <w:b/>
          <w:bCs/>
        </w:rPr>
        <w:t xml:space="preserve">Drought-tolerant </w:t>
      </w:r>
      <w:r w:rsidR="00F649B5" w:rsidRPr="00F649B5">
        <w:rPr>
          <w:b/>
          <w:bCs/>
        </w:rPr>
        <w:t>Landscaping</w:t>
      </w:r>
      <w:r w:rsidR="00A16314" w:rsidRPr="00F649B5">
        <w:rPr>
          <w:b/>
          <w:bCs/>
        </w:rPr>
        <w:t>.</w:t>
      </w:r>
      <w:r w:rsidR="00A16314">
        <w:rPr>
          <w:i/>
          <w:iCs/>
        </w:rPr>
        <w:t xml:space="preserve"> </w:t>
      </w:r>
      <w:r w:rsidR="00A16314">
        <w:t xml:space="preserve">Increase water-efficient, drought-tolerant, and native landscaping where appropriate on public and private property. </w:t>
      </w:r>
    </w:p>
    <w:p w14:paraId="4B0E0E91" w14:textId="680C74CB" w:rsidR="00A16314" w:rsidRPr="00A16314" w:rsidRDefault="00A16314" w:rsidP="00E223F6">
      <w:pPr>
        <w:pStyle w:val="BodyText"/>
        <w:tabs>
          <w:tab w:val="left" w:pos="720"/>
          <w:tab w:val="left" w:pos="2340"/>
        </w:tabs>
        <w:spacing w:before="60" w:after="60"/>
        <w:ind w:left="2088" w:hanging="1728"/>
      </w:pPr>
      <w:r>
        <w:rPr>
          <w:b/>
          <w:bCs/>
        </w:rPr>
        <w:t>Policy POS 12.5</w:t>
      </w:r>
      <w:r>
        <w:rPr>
          <w:b/>
          <w:bCs/>
        </w:rPr>
        <w:tab/>
      </w:r>
      <w:r w:rsidRPr="00F649B5">
        <w:rPr>
          <w:b/>
          <w:bCs/>
        </w:rPr>
        <w:t xml:space="preserve">Salt-tolerant </w:t>
      </w:r>
      <w:r w:rsidR="00F649B5" w:rsidRPr="00F649B5">
        <w:rPr>
          <w:b/>
          <w:bCs/>
        </w:rPr>
        <w:t>Vegetation</w:t>
      </w:r>
      <w:r w:rsidRPr="00F649B5">
        <w:rPr>
          <w:b/>
          <w:bCs/>
        </w:rPr>
        <w:t>.</w:t>
      </w:r>
      <w:r>
        <w:rPr>
          <w:i/>
          <w:iCs/>
        </w:rPr>
        <w:t xml:space="preserve"> </w:t>
      </w:r>
      <w:r>
        <w:t xml:space="preserve">Promote the use of salt tolerant vegetation that can use recycled water. </w:t>
      </w:r>
    </w:p>
    <w:p w14:paraId="6CAAE899" w14:textId="667DA6EE" w:rsidR="002D473B" w:rsidRPr="002D473B" w:rsidRDefault="002D473B" w:rsidP="00F649B5">
      <w:pPr>
        <w:pStyle w:val="Heading5"/>
        <w:pageBreakBefore/>
      </w:pPr>
      <w:r w:rsidRPr="002D473B">
        <w:t>Impact Analysis</w:t>
      </w:r>
    </w:p>
    <w:p w14:paraId="73AA1E54" w14:textId="77777777" w:rsidR="002D473B" w:rsidRPr="002D473B" w:rsidRDefault="002D473B" w:rsidP="00F649B5">
      <w:pPr>
        <w:pStyle w:val="BulletLtrManAFTER"/>
      </w:pPr>
      <w:r w:rsidRPr="002D473B">
        <w:t>a.</w:t>
      </w:r>
      <w:r w:rsidRPr="002D473B">
        <w:tab/>
        <w:t>Would the project result in substantial adverse physical impacts associated with the provision of new or physically altered governmental facilities, or the need for new or physically altered governmental facilities, the construction of which could cause significant environmental impacts, in order to maintain acceptable service ratios, response times or other performance objectives for any of the public services:</w:t>
      </w:r>
    </w:p>
    <w:p w14:paraId="605A7A52" w14:textId="77777777" w:rsidR="002D473B" w:rsidRPr="002D473B" w:rsidRDefault="002D473B" w:rsidP="00F649B5">
      <w:pPr>
        <w:pStyle w:val="Body"/>
        <w:spacing w:before="60" w:after="60"/>
        <w:ind w:left="835" w:hanging="360"/>
        <w:rPr>
          <w:i/>
          <w:iCs/>
        </w:rPr>
      </w:pPr>
      <w:r w:rsidRPr="002D473B">
        <w:rPr>
          <w:i/>
          <w:iCs/>
        </w:rPr>
        <w:t>1</w:t>
      </w:r>
      <w:r w:rsidRPr="002D473B">
        <w:rPr>
          <w:i/>
          <w:iCs/>
        </w:rPr>
        <w:tab/>
        <w:t>Fire protection?</w:t>
      </w:r>
    </w:p>
    <w:p w14:paraId="0A1374BC" w14:textId="77777777" w:rsidR="002D473B" w:rsidRPr="002D473B" w:rsidRDefault="002D473B" w:rsidP="00F649B5">
      <w:pPr>
        <w:pStyle w:val="Body"/>
        <w:spacing w:before="60" w:after="60"/>
        <w:ind w:left="835" w:hanging="360"/>
        <w:rPr>
          <w:i/>
          <w:iCs/>
        </w:rPr>
      </w:pPr>
      <w:r w:rsidRPr="002D473B">
        <w:rPr>
          <w:i/>
          <w:iCs/>
        </w:rPr>
        <w:t>2</w:t>
      </w:r>
      <w:r w:rsidRPr="002D473B">
        <w:rPr>
          <w:i/>
          <w:iCs/>
        </w:rPr>
        <w:tab/>
        <w:t>Police Protection?</w:t>
      </w:r>
    </w:p>
    <w:p w14:paraId="2771F4B7" w14:textId="77777777" w:rsidR="002D473B" w:rsidRPr="002D473B" w:rsidRDefault="002D473B" w:rsidP="00F649B5">
      <w:pPr>
        <w:pStyle w:val="Body"/>
        <w:spacing w:before="60" w:after="60"/>
        <w:ind w:left="835" w:hanging="360"/>
        <w:rPr>
          <w:i/>
          <w:iCs/>
        </w:rPr>
      </w:pPr>
      <w:r w:rsidRPr="002D473B">
        <w:rPr>
          <w:i/>
          <w:iCs/>
        </w:rPr>
        <w:t>3</w:t>
      </w:r>
      <w:r w:rsidRPr="002D473B">
        <w:rPr>
          <w:i/>
          <w:iCs/>
        </w:rPr>
        <w:tab/>
        <w:t>Schools?</w:t>
      </w:r>
    </w:p>
    <w:p w14:paraId="59C5CE98" w14:textId="77777777" w:rsidR="002D473B" w:rsidRPr="002D473B" w:rsidRDefault="002D473B" w:rsidP="00F649B5">
      <w:pPr>
        <w:pStyle w:val="Body"/>
        <w:spacing w:before="60" w:after="60"/>
        <w:ind w:left="835" w:hanging="360"/>
        <w:rPr>
          <w:i/>
          <w:iCs/>
        </w:rPr>
      </w:pPr>
      <w:r w:rsidRPr="002D473B">
        <w:rPr>
          <w:i/>
          <w:iCs/>
        </w:rPr>
        <w:t>4</w:t>
      </w:r>
      <w:r w:rsidRPr="002D473B">
        <w:rPr>
          <w:i/>
          <w:iCs/>
        </w:rPr>
        <w:tab/>
        <w:t>Parks?</w:t>
      </w:r>
    </w:p>
    <w:p w14:paraId="14938D50" w14:textId="22FC0AB1" w:rsidR="002D473B" w:rsidRDefault="002D473B" w:rsidP="00F649B5">
      <w:pPr>
        <w:pStyle w:val="Body"/>
        <w:spacing w:before="60" w:after="60"/>
        <w:ind w:left="835" w:hanging="360"/>
        <w:rPr>
          <w:i/>
          <w:iCs/>
        </w:rPr>
      </w:pPr>
      <w:r w:rsidRPr="002D473B">
        <w:rPr>
          <w:i/>
          <w:iCs/>
        </w:rPr>
        <w:t>5</w:t>
      </w:r>
      <w:r w:rsidRPr="002D473B">
        <w:rPr>
          <w:i/>
          <w:iCs/>
        </w:rPr>
        <w:tab/>
        <w:t>Other public facilities?</w:t>
      </w:r>
    </w:p>
    <w:p w14:paraId="488B07CC" w14:textId="6B0492D7" w:rsidR="002D473B" w:rsidRDefault="002D473B" w:rsidP="009A2A5D">
      <w:pPr>
        <w:pStyle w:val="BodyText"/>
      </w:pPr>
      <w:r>
        <w:t>Mountain View Fire Department Fire Station No. 3 is located approximately 1 mile west of the project site, located at 301 North Rengstorff Avenue, and Station No. 5 is approximately 1.1 miles north of the project site, located at 2195 North Shoreline Boulevard. The project site is located within a developed area already served by MVFD,</w:t>
      </w:r>
      <w:r w:rsidR="00F70A65">
        <w:t xml:space="preserve"> and would not require new or expanded fire facilities.</w:t>
      </w:r>
      <w:r>
        <w:t xml:space="preserve"> </w:t>
      </w:r>
      <w:r w:rsidR="00F70A65">
        <w:t>T</w:t>
      </w:r>
      <w:r>
        <w:t xml:space="preserve">he project would be required to comply with </w:t>
      </w:r>
      <w:r w:rsidRPr="00EF3312">
        <w:t xml:space="preserve">California Fire Code regulations for construction and operation and would be subject to review by </w:t>
      </w:r>
      <w:r>
        <w:t>MVFD.</w:t>
      </w:r>
      <w:r w:rsidRPr="00EF3312">
        <w:t xml:space="preserve"> The project would also be required to pay an impact fee that would be collected when the project building permits are issued to maintain acceptable service ratios and response times</w:t>
      </w:r>
      <w:r>
        <w:t>.</w:t>
      </w:r>
      <w:r w:rsidR="00F70A65">
        <w:t xml:space="preserve"> </w:t>
      </w:r>
      <w:r>
        <w:t xml:space="preserve">Therefore, impacts to fire protection services </w:t>
      </w:r>
      <w:r w:rsidR="00400274">
        <w:t xml:space="preserve">would be </w:t>
      </w:r>
      <w:r>
        <w:t xml:space="preserve">less than significant. </w:t>
      </w:r>
    </w:p>
    <w:p w14:paraId="18B6ED49" w14:textId="55A59B62" w:rsidR="002D473B" w:rsidRDefault="002D473B" w:rsidP="002D473B">
      <w:pPr>
        <w:pStyle w:val="Body"/>
      </w:pPr>
      <w:r>
        <w:t xml:space="preserve">The Mountain View Police Department station is located approximately 0.9 mile south of the project site at 1000 Villa Street. As discussed in </w:t>
      </w:r>
      <w:r>
        <w:rPr>
          <w:i/>
          <w:iCs/>
        </w:rPr>
        <w:t xml:space="preserve">Population and Housing, </w:t>
      </w:r>
      <w:r>
        <w:t xml:space="preserve">the project could add approximately 256 new residents to the City in a </w:t>
      </w:r>
      <w:r w:rsidR="00400274">
        <w:t>maximum job-creation</w:t>
      </w:r>
      <w:r>
        <w:t xml:space="preserve"> scenario. However, the project</w:t>
      </w:r>
      <w:r w:rsidR="00985F82">
        <w:t xml:space="preserve"> site</w:t>
      </w:r>
      <w:r>
        <w:t xml:space="preserve"> is in an urban area that is currently served by MVPD. </w:t>
      </w:r>
      <w:r w:rsidR="00FD38E2">
        <w:t xml:space="preserve">The project site is within the </w:t>
      </w:r>
      <w:r w:rsidR="00C006B2">
        <w:t>Moffett/Whisman Planning Area,</w:t>
      </w:r>
      <w:r w:rsidR="00FD38E2">
        <w:t xml:space="preserve"> and the Mountain View 2030 General Plan </w:t>
      </w:r>
      <w:r w:rsidR="00C006B2">
        <w:t>projects that this area will contain 13,570 additional residents and 15,500 additional jobs by 2030. The addition of 109 employees and a total of 256 residents that could occur as a result of the project are within these projections. Plans for the creation or expansion of police facilities are based upon these General Plan projections; there</w:t>
      </w:r>
      <w:r w:rsidR="00AE78AD">
        <w:t>fore</w:t>
      </w:r>
      <w:r w:rsidR="00C006B2">
        <w:t>, t</w:t>
      </w:r>
      <w:r>
        <w:t xml:space="preserve">he incremental increase in the service population at the project site would not require new or expanded facilities. </w:t>
      </w:r>
      <w:r w:rsidR="00C006B2">
        <w:t>I</w:t>
      </w:r>
      <w:r>
        <w:t xml:space="preserve">mpacts to police protection services </w:t>
      </w:r>
      <w:r w:rsidR="00400274">
        <w:t xml:space="preserve">would be </w:t>
      </w:r>
      <w:r>
        <w:t xml:space="preserve">less than significant. </w:t>
      </w:r>
    </w:p>
    <w:p w14:paraId="3A32FDDF" w14:textId="462D595D" w:rsidR="002D473B" w:rsidRDefault="002F4BC3" w:rsidP="002D473B">
      <w:pPr>
        <w:pStyle w:val="Body"/>
      </w:pPr>
      <w:r w:rsidRPr="002F4BC3">
        <w:t xml:space="preserve">The </w:t>
      </w:r>
      <w:r>
        <w:t>project would involve the construction of an office structure and would not create additional housing. Therefore, the project would not substantially affe</w:t>
      </w:r>
      <w:r w:rsidRPr="002F4BC3">
        <w:t xml:space="preserve">ct school classroom demand or result in the need for new or expanded school facilities. In addition, school fees would be paid at </w:t>
      </w:r>
      <w:r w:rsidR="00CF6499">
        <w:t>the time the building permit is issued</w:t>
      </w:r>
      <w:r w:rsidRPr="002F4BC3">
        <w:t xml:space="preserve"> to reduce impacts as a result of the proposed project. Pursuant to Section 65995 (3)(h) of the California Government Code (Senate Bill 50, chaptered August 27, 1998), the payment of statutory fees “...is deemed to be full and complete mitigation of the impacts of any legislative or adjudicative act, or both, involving, but not limited to, the planning, use, or development of real property, or any change in governmental organization or reorganization.” Thus, payment of the development fees is considered full mitigation for the </w:t>
      </w:r>
      <w:r w:rsidR="00A134D1" w:rsidRPr="002F4BC3">
        <w:t>proposed</w:t>
      </w:r>
      <w:r w:rsidRPr="002F4BC3">
        <w:t xml:space="preserve"> project's impacts related to schools under CEQA and impacts would be less than significant.</w:t>
      </w:r>
    </w:p>
    <w:p w14:paraId="15616766" w14:textId="07D5F642" w:rsidR="00891270" w:rsidRDefault="0040597F" w:rsidP="0040597F">
      <w:pPr>
        <w:pStyle w:val="BodyText"/>
      </w:pPr>
      <w:r>
        <w:t xml:space="preserve">The </w:t>
      </w:r>
      <w:r w:rsidR="00A134D1">
        <w:t>nearest</w:t>
      </w:r>
      <w:r>
        <w:t xml:space="preserve"> parks to the proposed project include Stevens Creek Trail (0.47 mile east), Whisman Park (0.73 mile southeast), and Stevenson Park (0.5 mile southwest). The project would not directly increase the City’s population as it does not involve the creation of any housing units. However, the project could </w:t>
      </w:r>
      <w:r w:rsidR="00DB6939">
        <w:t xml:space="preserve">indirectly result in the </w:t>
      </w:r>
      <w:r>
        <w:t>add</w:t>
      </w:r>
      <w:r w:rsidR="00DB6939">
        <w:t>ition of</w:t>
      </w:r>
      <w:r>
        <w:t xml:space="preserve"> up to 256 new residents to the </w:t>
      </w:r>
      <w:r w:rsidR="00377CB6">
        <w:t>city</w:t>
      </w:r>
      <w:r>
        <w:t xml:space="preserve">. </w:t>
      </w:r>
      <w:r w:rsidR="00F969FB">
        <w:t xml:space="preserve">As of January 2021, the City of Mountain View had a population of 82,814 </w:t>
      </w:r>
      <w:r w:rsidR="00041DEA">
        <w:t>people (</w:t>
      </w:r>
      <w:r w:rsidR="00891270">
        <w:t xml:space="preserve">DOF 2021). As stated in the 2030 General Plan, the City has approximately </w:t>
      </w:r>
      <w:r w:rsidR="00CF6499">
        <w:t>972</w:t>
      </w:r>
      <w:r w:rsidR="00891270">
        <w:t xml:space="preserve"> acres of parks and open space. Therefore, the existing parkland to residents ratio is approximately 1</w:t>
      </w:r>
      <w:r w:rsidR="00CF6499">
        <w:t>1.7</w:t>
      </w:r>
      <w:r w:rsidR="00891270">
        <w:t xml:space="preserve"> acres of parkland per 1,000 residents. The potential increase of 256 residents as a result of the project w</w:t>
      </w:r>
      <w:r w:rsidR="00DB6939">
        <w:t>ould</w:t>
      </w:r>
      <w:r w:rsidR="00891270">
        <w:t xml:space="preserve"> not substantially affect this ratio and w</w:t>
      </w:r>
      <w:r w:rsidR="00DB6939">
        <w:t>ould</w:t>
      </w:r>
      <w:r w:rsidR="00891270">
        <w:t xml:space="preserve"> not </w:t>
      </w:r>
      <w:r w:rsidR="00377CB6">
        <w:t xml:space="preserve">hinder </w:t>
      </w:r>
      <w:r w:rsidR="00891270">
        <w:t xml:space="preserve">the City’s </w:t>
      </w:r>
      <w:r w:rsidR="00377CB6">
        <w:t xml:space="preserve">goal </w:t>
      </w:r>
      <w:r w:rsidR="00891270">
        <w:t xml:space="preserve">of providing three acres of parkland per 1,000 residents. Therefore, impacts to parks and recreational facilities would be less than significant. </w:t>
      </w:r>
    </w:p>
    <w:p w14:paraId="5A39558E" w14:textId="09FE7CC5" w:rsidR="009C1D64" w:rsidRPr="00891270" w:rsidRDefault="00817BC5" w:rsidP="00891270">
      <w:pPr>
        <w:pStyle w:val="Body"/>
        <w:tabs>
          <w:tab w:val="left" w:pos="3369"/>
        </w:tabs>
        <w:rPr>
          <w:rStyle w:val="DropdownList"/>
          <w:rFonts w:asciiTheme="minorHAnsi" w:hAnsiTheme="minorHAnsi"/>
          <w:b w:val="0"/>
          <w:caps w:val="0"/>
        </w:rPr>
      </w:pPr>
      <w:sdt>
        <w:sdtPr>
          <w:rPr>
            <w:rStyle w:val="DropdownList"/>
            <w:highlight w:val="lightGray"/>
          </w:rPr>
          <w:alias w:val="1a"/>
          <w:tag w:val="dropdown"/>
          <w:id w:val="960459769"/>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highlight w:val="none"/>
          </w:rPr>
        </w:sdtEndPr>
        <w:sdtContent>
          <w:r w:rsidR="000E45CD" w:rsidRPr="000E45CD">
            <w:rPr>
              <w:rStyle w:val="DropdownList"/>
            </w:rPr>
            <w:t>Less Than Significant Impact</w:t>
          </w:r>
        </w:sdtContent>
      </w:sdt>
    </w:p>
    <w:p w14:paraId="5F15B4BF" w14:textId="77777777" w:rsidR="00542725" w:rsidRPr="00935477" w:rsidRDefault="00542725" w:rsidP="00275B75">
      <w:pPr>
        <w:pStyle w:val="Heading3CEQA"/>
      </w:pPr>
      <w:bookmarkStart w:id="314" w:name="_Toc453855777"/>
      <w:bookmarkStart w:id="315" w:name="_Toc475630724"/>
      <w:bookmarkStart w:id="316" w:name="_Toc112942441"/>
      <w:r w:rsidRPr="00935477">
        <w:t>Recreation</w:t>
      </w:r>
      <w:bookmarkEnd w:id="314"/>
      <w:bookmarkEnd w:id="315"/>
      <w:bookmarkEnd w:id="316"/>
    </w:p>
    <w:tbl>
      <w:tblPr>
        <w:tblW w:w="9047" w:type="dxa"/>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2"/>
        <w:gridCol w:w="4332"/>
        <w:gridCol w:w="1187"/>
        <w:gridCol w:w="1220"/>
        <w:gridCol w:w="1108"/>
        <w:gridCol w:w="1152"/>
        <w:gridCol w:w="36"/>
      </w:tblGrid>
      <w:tr w:rsidR="00542725" w:rsidRPr="00935477" w14:paraId="76CC5AAA" w14:textId="77777777" w:rsidTr="009D2425">
        <w:trPr>
          <w:tblHeader/>
        </w:trPr>
        <w:tc>
          <w:tcPr>
            <w:tcW w:w="4344" w:type="dxa"/>
            <w:gridSpan w:val="2"/>
            <w:tcBorders>
              <w:top w:val="nil"/>
              <w:right w:val="nil"/>
            </w:tcBorders>
            <w:shd w:val="clear" w:color="auto" w:fill="D9D9D9"/>
            <w:tcMar>
              <w:top w:w="20" w:type="dxa"/>
              <w:left w:w="115" w:type="dxa"/>
              <w:bottom w:w="20" w:type="dxa"/>
              <w:right w:w="115" w:type="dxa"/>
            </w:tcMar>
            <w:vAlign w:val="bottom"/>
          </w:tcPr>
          <w:p w14:paraId="5EC3F6C6" w14:textId="77777777" w:rsidR="00542725" w:rsidRPr="00935477" w:rsidRDefault="00542725" w:rsidP="00B22CD0">
            <w:pPr>
              <w:pStyle w:val="TableHeadings"/>
              <w:jc w:val="center"/>
            </w:pPr>
          </w:p>
        </w:tc>
        <w:tc>
          <w:tcPr>
            <w:tcW w:w="1187" w:type="dxa"/>
            <w:tcBorders>
              <w:top w:val="nil"/>
              <w:left w:val="nil"/>
              <w:right w:val="nil"/>
            </w:tcBorders>
            <w:shd w:val="clear" w:color="auto" w:fill="D9D9D9"/>
            <w:tcMar>
              <w:top w:w="20" w:type="dxa"/>
              <w:left w:w="115" w:type="dxa"/>
              <w:bottom w:w="20" w:type="dxa"/>
              <w:right w:w="115" w:type="dxa"/>
            </w:tcMar>
            <w:vAlign w:val="bottom"/>
            <w:hideMark/>
          </w:tcPr>
          <w:p w14:paraId="1EDEFFA5" w14:textId="77777777" w:rsidR="00542725" w:rsidRPr="00935477" w:rsidRDefault="00542725" w:rsidP="00B22CD0">
            <w:pPr>
              <w:pStyle w:val="TableHeadings"/>
              <w:jc w:val="center"/>
            </w:pPr>
            <w:r w:rsidRPr="00935477">
              <w:t>Potentially Significant Impact</w:t>
            </w:r>
          </w:p>
        </w:tc>
        <w:tc>
          <w:tcPr>
            <w:tcW w:w="1220" w:type="dxa"/>
            <w:tcBorders>
              <w:top w:val="nil"/>
              <w:left w:val="nil"/>
              <w:right w:val="nil"/>
            </w:tcBorders>
            <w:shd w:val="clear" w:color="auto" w:fill="D9D9D9"/>
            <w:tcMar>
              <w:top w:w="20" w:type="dxa"/>
              <w:left w:w="115" w:type="dxa"/>
              <w:bottom w:w="20" w:type="dxa"/>
              <w:right w:w="115" w:type="dxa"/>
            </w:tcMar>
            <w:vAlign w:val="bottom"/>
            <w:hideMark/>
          </w:tcPr>
          <w:p w14:paraId="6C021E20" w14:textId="77777777" w:rsidR="00542725" w:rsidRPr="00935477" w:rsidRDefault="00542725" w:rsidP="00B22CD0">
            <w:pPr>
              <w:pStyle w:val="TableHeadings"/>
              <w:jc w:val="center"/>
            </w:pPr>
            <w:r w:rsidRPr="00935477">
              <w:t>Less than Significant with Mitigation Incorporated</w:t>
            </w:r>
          </w:p>
        </w:tc>
        <w:tc>
          <w:tcPr>
            <w:tcW w:w="1108" w:type="dxa"/>
            <w:tcBorders>
              <w:top w:val="nil"/>
              <w:left w:val="nil"/>
              <w:right w:val="nil"/>
            </w:tcBorders>
            <w:shd w:val="clear" w:color="auto" w:fill="D9D9D9"/>
            <w:tcMar>
              <w:top w:w="20" w:type="dxa"/>
              <w:left w:w="115" w:type="dxa"/>
              <w:bottom w:w="20" w:type="dxa"/>
              <w:right w:w="115" w:type="dxa"/>
            </w:tcMar>
            <w:vAlign w:val="bottom"/>
            <w:hideMark/>
          </w:tcPr>
          <w:p w14:paraId="284AB2E1" w14:textId="77777777" w:rsidR="00542725" w:rsidRPr="00935477" w:rsidRDefault="00542725" w:rsidP="00B22CD0">
            <w:pPr>
              <w:pStyle w:val="TableHeadings"/>
              <w:jc w:val="center"/>
            </w:pPr>
            <w:r w:rsidRPr="00935477">
              <w:t>Less than Significant Impact</w:t>
            </w:r>
          </w:p>
        </w:tc>
        <w:tc>
          <w:tcPr>
            <w:tcW w:w="1188" w:type="dxa"/>
            <w:gridSpan w:val="2"/>
            <w:tcBorders>
              <w:top w:val="nil"/>
              <w:left w:val="nil"/>
            </w:tcBorders>
            <w:shd w:val="clear" w:color="auto" w:fill="D9D9D9"/>
            <w:tcMar>
              <w:top w:w="20" w:type="dxa"/>
              <w:left w:w="115" w:type="dxa"/>
              <w:bottom w:w="20" w:type="dxa"/>
              <w:right w:w="115" w:type="dxa"/>
            </w:tcMar>
            <w:vAlign w:val="bottom"/>
            <w:hideMark/>
          </w:tcPr>
          <w:p w14:paraId="54BD21F3" w14:textId="77777777" w:rsidR="00542725" w:rsidRPr="00935477" w:rsidRDefault="00542725" w:rsidP="00B22CD0">
            <w:pPr>
              <w:pStyle w:val="TableHeadings"/>
              <w:jc w:val="center"/>
            </w:pPr>
            <w:r w:rsidRPr="00935477">
              <w:t>No Impact</w:t>
            </w:r>
          </w:p>
        </w:tc>
      </w:tr>
      <w:tr w:rsidR="00542725" w:rsidRPr="00935477" w14:paraId="4D1563FF" w14:textId="77777777" w:rsidTr="009D2425">
        <w:trPr>
          <w:gridBefore w:val="1"/>
          <w:gridAfter w:val="1"/>
          <w:wBefore w:w="12" w:type="dxa"/>
          <w:wAfter w:w="36" w:type="dxa"/>
        </w:trPr>
        <w:tc>
          <w:tcPr>
            <w:tcW w:w="4332" w:type="dxa"/>
            <w:tcBorders>
              <w:top w:val="single" w:sz="4" w:space="0" w:color="auto"/>
              <w:bottom w:val="nil"/>
              <w:right w:val="nil"/>
            </w:tcBorders>
            <w:tcMar>
              <w:top w:w="20" w:type="dxa"/>
              <w:left w:w="115" w:type="dxa"/>
              <w:bottom w:w="20" w:type="dxa"/>
              <w:right w:w="115" w:type="dxa"/>
            </w:tcMar>
            <w:vAlign w:val="bottom"/>
            <w:hideMark/>
          </w:tcPr>
          <w:p w14:paraId="18BF2179" w14:textId="77777777" w:rsidR="00542725" w:rsidRPr="00935477" w:rsidRDefault="00505D43" w:rsidP="00F6307A">
            <w:pPr>
              <w:pStyle w:val="BulletListLettered"/>
              <w:numPr>
                <w:ilvl w:val="0"/>
                <w:numId w:val="23"/>
              </w:numPr>
            </w:pPr>
            <w:r w:rsidRPr="00935477">
              <w:t>Would the project i</w:t>
            </w:r>
            <w:r w:rsidR="00542725" w:rsidRPr="00935477">
              <w:t>ncrease the use of existing neighborhood and regional parks or other recreational facilities such that substantial physical deterioration of the facility would occur or be accelerated</w:t>
            </w:r>
            <w:r w:rsidRPr="00935477">
              <w:t>?</w:t>
            </w:r>
          </w:p>
        </w:tc>
        <w:tc>
          <w:tcPr>
            <w:tcW w:w="1187" w:type="dxa"/>
            <w:tcBorders>
              <w:top w:val="single" w:sz="4" w:space="0" w:color="auto"/>
              <w:left w:val="nil"/>
              <w:bottom w:val="nil"/>
              <w:right w:val="nil"/>
            </w:tcBorders>
            <w:tcMar>
              <w:top w:w="20" w:type="dxa"/>
              <w:left w:w="115" w:type="dxa"/>
              <w:bottom w:w="20" w:type="dxa"/>
              <w:right w:w="115" w:type="dxa"/>
            </w:tcMar>
            <w:vAlign w:val="bottom"/>
          </w:tcPr>
          <w:p w14:paraId="7773E037" w14:textId="546FD136" w:rsidR="00542725" w:rsidRPr="00935477" w:rsidRDefault="00A86CE1" w:rsidP="00FB3B90">
            <w:pPr>
              <w:spacing w:before="60" w:after="60"/>
              <w:jc w:val="center"/>
              <w:rPr>
                <w:sz w:val="28"/>
                <w:szCs w:val="28"/>
              </w:rPr>
            </w:pPr>
            <w:r w:rsidRPr="00935477">
              <w:rPr>
                <w:rFonts w:ascii="Times New Roman" w:hAnsi="Times New Roman"/>
              </w:rPr>
              <w:t>□</w:t>
            </w:r>
          </w:p>
        </w:tc>
        <w:tc>
          <w:tcPr>
            <w:tcW w:w="1220" w:type="dxa"/>
            <w:tcBorders>
              <w:top w:val="single" w:sz="4" w:space="0" w:color="auto"/>
              <w:left w:val="nil"/>
              <w:bottom w:val="nil"/>
              <w:right w:val="nil"/>
            </w:tcBorders>
            <w:tcMar>
              <w:top w:w="20" w:type="dxa"/>
              <w:left w:w="115" w:type="dxa"/>
              <w:bottom w:w="20" w:type="dxa"/>
              <w:right w:w="115" w:type="dxa"/>
            </w:tcMar>
            <w:vAlign w:val="bottom"/>
          </w:tcPr>
          <w:p w14:paraId="336DA634" w14:textId="0F359CF9" w:rsidR="00542725" w:rsidRPr="00935477" w:rsidRDefault="00542725" w:rsidP="00FB3B90">
            <w:pPr>
              <w:spacing w:before="60" w:after="60"/>
              <w:jc w:val="center"/>
              <w:rPr>
                <w:sz w:val="28"/>
                <w:szCs w:val="28"/>
              </w:rPr>
            </w:pPr>
            <w:r w:rsidRPr="00935477">
              <w:rPr>
                <w:rFonts w:ascii="Times New Roman" w:hAnsi="Times New Roman"/>
              </w:rPr>
              <w:t>□</w:t>
            </w:r>
          </w:p>
        </w:tc>
        <w:tc>
          <w:tcPr>
            <w:tcW w:w="1108" w:type="dxa"/>
            <w:tcBorders>
              <w:top w:val="single" w:sz="4" w:space="0" w:color="auto"/>
              <w:left w:val="nil"/>
              <w:bottom w:val="nil"/>
              <w:right w:val="nil"/>
            </w:tcBorders>
            <w:tcMar>
              <w:top w:w="20" w:type="dxa"/>
              <w:left w:w="115" w:type="dxa"/>
              <w:bottom w:w="20" w:type="dxa"/>
              <w:right w:w="115" w:type="dxa"/>
            </w:tcMar>
            <w:vAlign w:val="bottom"/>
          </w:tcPr>
          <w:p w14:paraId="108DD510" w14:textId="427AFA62" w:rsidR="00542725" w:rsidRPr="00935477" w:rsidRDefault="00BD149D" w:rsidP="00FB3B90">
            <w:pPr>
              <w:spacing w:before="60" w:after="60"/>
              <w:jc w:val="center"/>
              <w:rPr>
                <w:sz w:val="28"/>
                <w:szCs w:val="28"/>
              </w:rPr>
            </w:pPr>
            <w:r w:rsidRPr="00935477">
              <w:rPr>
                <w:rFonts w:ascii="Times New Roman" w:hAnsi="Times New Roman"/>
              </w:rPr>
              <w:t>■</w:t>
            </w:r>
          </w:p>
        </w:tc>
        <w:tc>
          <w:tcPr>
            <w:tcW w:w="1152" w:type="dxa"/>
            <w:tcBorders>
              <w:top w:val="single" w:sz="4" w:space="0" w:color="auto"/>
              <w:left w:val="nil"/>
              <w:bottom w:val="nil"/>
            </w:tcBorders>
            <w:tcMar>
              <w:top w:w="20" w:type="dxa"/>
              <w:left w:w="115" w:type="dxa"/>
              <w:bottom w:w="20" w:type="dxa"/>
              <w:right w:w="115" w:type="dxa"/>
            </w:tcMar>
            <w:vAlign w:val="bottom"/>
          </w:tcPr>
          <w:p w14:paraId="2C3374D2" w14:textId="27A3A2FB" w:rsidR="00542725" w:rsidRPr="00935477" w:rsidRDefault="00BD149D" w:rsidP="00FB3B90">
            <w:pPr>
              <w:spacing w:before="60" w:after="60"/>
              <w:jc w:val="center"/>
              <w:rPr>
                <w:sz w:val="28"/>
                <w:szCs w:val="28"/>
              </w:rPr>
            </w:pPr>
            <w:r w:rsidRPr="00935477">
              <w:rPr>
                <w:rFonts w:ascii="Times New Roman" w:hAnsi="Times New Roman"/>
              </w:rPr>
              <w:t>□</w:t>
            </w:r>
          </w:p>
        </w:tc>
      </w:tr>
      <w:tr w:rsidR="00542725" w:rsidRPr="00E5753A" w14:paraId="746DBC16" w14:textId="77777777" w:rsidTr="009D2425">
        <w:trPr>
          <w:gridBefore w:val="1"/>
          <w:gridAfter w:val="1"/>
          <w:wBefore w:w="12" w:type="dxa"/>
          <w:wAfter w:w="36" w:type="dxa"/>
        </w:trPr>
        <w:tc>
          <w:tcPr>
            <w:tcW w:w="4332" w:type="dxa"/>
            <w:tcBorders>
              <w:top w:val="nil"/>
              <w:right w:val="nil"/>
            </w:tcBorders>
            <w:tcMar>
              <w:top w:w="20" w:type="dxa"/>
              <w:left w:w="115" w:type="dxa"/>
              <w:bottom w:w="20" w:type="dxa"/>
              <w:right w:w="115" w:type="dxa"/>
            </w:tcMar>
            <w:vAlign w:val="bottom"/>
            <w:hideMark/>
          </w:tcPr>
          <w:p w14:paraId="48AA00F5" w14:textId="77777777" w:rsidR="00542725" w:rsidRPr="00935477" w:rsidRDefault="00505D43" w:rsidP="00F6307A">
            <w:pPr>
              <w:pStyle w:val="BulletListLettered"/>
              <w:numPr>
                <w:ilvl w:val="0"/>
                <w:numId w:val="22"/>
              </w:numPr>
            </w:pPr>
            <w:r w:rsidRPr="00935477">
              <w:t>Does the project i</w:t>
            </w:r>
            <w:r w:rsidR="00542725" w:rsidRPr="00935477">
              <w:t>nclude recreational facilities or require the construction or expansion of recreational facilities which might have an adverse physical effect on the environment?</w:t>
            </w:r>
          </w:p>
        </w:tc>
        <w:tc>
          <w:tcPr>
            <w:tcW w:w="1187" w:type="dxa"/>
            <w:tcBorders>
              <w:top w:val="nil"/>
              <w:left w:val="nil"/>
              <w:right w:val="nil"/>
            </w:tcBorders>
            <w:tcMar>
              <w:top w:w="20" w:type="dxa"/>
              <w:left w:w="115" w:type="dxa"/>
              <w:bottom w:w="20" w:type="dxa"/>
              <w:right w:w="115" w:type="dxa"/>
            </w:tcMar>
            <w:vAlign w:val="bottom"/>
          </w:tcPr>
          <w:p w14:paraId="3CF3903E" w14:textId="1CE4663F" w:rsidR="00542725" w:rsidRPr="00935477" w:rsidRDefault="00A86CE1" w:rsidP="00FB3B90">
            <w:pPr>
              <w:spacing w:before="60" w:after="60"/>
              <w:jc w:val="center"/>
              <w:rPr>
                <w:sz w:val="28"/>
                <w:szCs w:val="28"/>
              </w:rPr>
            </w:pPr>
            <w:r w:rsidRPr="00935477">
              <w:rPr>
                <w:rFonts w:ascii="Times New Roman" w:hAnsi="Times New Roman"/>
              </w:rPr>
              <w:t>□</w:t>
            </w:r>
          </w:p>
        </w:tc>
        <w:tc>
          <w:tcPr>
            <w:tcW w:w="1220" w:type="dxa"/>
            <w:tcBorders>
              <w:top w:val="nil"/>
              <w:left w:val="nil"/>
              <w:right w:val="nil"/>
            </w:tcBorders>
            <w:tcMar>
              <w:top w:w="20" w:type="dxa"/>
              <w:left w:w="115" w:type="dxa"/>
              <w:bottom w:w="20" w:type="dxa"/>
              <w:right w:w="115" w:type="dxa"/>
            </w:tcMar>
            <w:vAlign w:val="bottom"/>
          </w:tcPr>
          <w:p w14:paraId="66F1812C" w14:textId="6A5A02C0" w:rsidR="00542725" w:rsidRPr="00935477" w:rsidRDefault="00542725" w:rsidP="00FB3B90">
            <w:pPr>
              <w:spacing w:before="60" w:after="60"/>
              <w:jc w:val="center"/>
              <w:rPr>
                <w:sz w:val="28"/>
                <w:szCs w:val="28"/>
              </w:rPr>
            </w:pPr>
            <w:r w:rsidRPr="00935477">
              <w:rPr>
                <w:rFonts w:ascii="Times New Roman" w:hAnsi="Times New Roman"/>
              </w:rPr>
              <w:t>□</w:t>
            </w:r>
          </w:p>
        </w:tc>
        <w:tc>
          <w:tcPr>
            <w:tcW w:w="1108" w:type="dxa"/>
            <w:tcBorders>
              <w:top w:val="nil"/>
              <w:left w:val="nil"/>
              <w:right w:val="nil"/>
            </w:tcBorders>
            <w:tcMar>
              <w:top w:w="20" w:type="dxa"/>
              <w:left w:w="115" w:type="dxa"/>
              <w:bottom w:w="20" w:type="dxa"/>
              <w:right w:w="115" w:type="dxa"/>
            </w:tcMar>
            <w:vAlign w:val="bottom"/>
          </w:tcPr>
          <w:p w14:paraId="59F56F57" w14:textId="0F530F45" w:rsidR="00542725" w:rsidRPr="00935477" w:rsidRDefault="00BD149D" w:rsidP="00FB3B90">
            <w:pPr>
              <w:spacing w:before="60" w:after="60"/>
              <w:jc w:val="center"/>
              <w:rPr>
                <w:sz w:val="28"/>
                <w:szCs w:val="28"/>
              </w:rPr>
            </w:pPr>
            <w:r w:rsidRPr="00935477">
              <w:rPr>
                <w:rFonts w:ascii="Times New Roman" w:hAnsi="Times New Roman"/>
              </w:rPr>
              <w:t>■</w:t>
            </w:r>
          </w:p>
        </w:tc>
        <w:tc>
          <w:tcPr>
            <w:tcW w:w="1152" w:type="dxa"/>
            <w:tcBorders>
              <w:top w:val="nil"/>
              <w:left w:val="nil"/>
            </w:tcBorders>
            <w:tcMar>
              <w:top w:w="20" w:type="dxa"/>
              <w:left w:w="115" w:type="dxa"/>
              <w:bottom w:w="20" w:type="dxa"/>
              <w:right w:w="115" w:type="dxa"/>
            </w:tcMar>
            <w:vAlign w:val="bottom"/>
          </w:tcPr>
          <w:p w14:paraId="37BD4E33" w14:textId="30C38431" w:rsidR="00542725" w:rsidRPr="00935477" w:rsidRDefault="00BD149D" w:rsidP="00FB3B90">
            <w:pPr>
              <w:spacing w:before="60" w:after="60"/>
              <w:jc w:val="center"/>
              <w:rPr>
                <w:sz w:val="28"/>
                <w:szCs w:val="28"/>
              </w:rPr>
            </w:pPr>
            <w:r w:rsidRPr="00935477">
              <w:rPr>
                <w:rFonts w:ascii="Times New Roman" w:hAnsi="Times New Roman"/>
              </w:rPr>
              <w:t>□</w:t>
            </w:r>
          </w:p>
        </w:tc>
      </w:tr>
    </w:tbl>
    <w:p w14:paraId="1EAB6B25" w14:textId="48CF0928" w:rsidR="00A75EBF" w:rsidRDefault="00A75EBF" w:rsidP="00A75EBF">
      <w:pPr>
        <w:pStyle w:val="Heading5"/>
      </w:pPr>
      <w:r w:rsidRPr="00530BAB">
        <w:t>Setting</w:t>
      </w:r>
    </w:p>
    <w:p w14:paraId="5A6E81B2" w14:textId="144CBAAE" w:rsidR="004852C7" w:rsidRDefault="00530BAB" w:rsidP="004852C7">
      <w:pPr>
        <w:pStyle w:val="BodyText"/>
      </w:pPr>
      <w:r>
        <w:t xml:space="preserve">The </w:t>
      </w:r>
      <w:r w:rsidR="005549DA">
        <w:t>C</w:t>
      </w:r>
      <w:r>
        <w:t>ity of Mountain View maintains 972 acres of parks and open space in the city, the majority of which is provided by Shoreline at Mountain View Regional Park. City parklands are managed by the Parks and Forestry Division of the Community Services Department. Recreational activities and centers are managed by the Recreation Division (City of Mountain View 2021).</w:t>
      </w:r>
      <w:r w:rsidR="00944F99">
        <w:t xml:space="preserve"> </w:t>
      </w:r>
      <w:r w:rsidR="004852C7">
        <w:t>The nearest parks and recreational facilities</w:t>
      </w:r>
      <w:r w:rsidR="001B0AF5">
        <w:t xml:space="preserve"> to the project site</w:t>
      </w:r>
      <w:r w:rsidR="004852C7">
        <w:t xml:space="preserve"> include Stevens Creek Trail (0.47 mile east), Whisman Park (0.73 mile southeast), and Stevenson Park (</w:t>
      </w:r>
      <w:r w:rsidR="00944F99">
        <w:t xml:space="preserve">0.5 mile southwest). </w:t>
      </w:r>
    </w:p>
    <w:p w14:paraId="55BF19E9" w14:textId="4C94A17C" w:rsidR="00A75EBF" w:rsidRDefault="00A75EBF" w:rsidP="00A75EBF">
      <w:pPr>
        <w:pStyle w:val="EIRHeading5"/>
      </w:pPr>
      <w:r w:rsidRPr="00944F99">
        <w:t>Regulatory Setting</w:t>
      </w:r>
    </w:p>
    <w:p w14:paraId="7D04031C" w14:textId="0A432B18" w:rsidR="000810DC" w:rsidRPr="000810DC" w:rsidRDefault="000810DC" w:rsidP="000810DC">
      <w:pPr>
        <w:pStyle w:val="Heading6"/>
      </w:pPr>
      <w:r>
        <w:t xml:space="preserve">State </w:t>
      </w:r>
    </w:p>
    <w:p w14:paraId="60F5C628" w14:textId="77777777" w:rsidR="000810DC" w:rsidRPr="00D2528A" w:rsidRDefault="000810DC" w:rsidP="000810DC">
      <w:pPr>
        <w:pStyle w:val="Heading7"/>
      </w:pPr>
      <w:r w:rsidRPr="00D2528A">
        <w:t>Quimby Act</w:t>
      </w:r>
    </w:p>
    <w:p w14:paraId="5A21A556" w14:textId="401AB951" w:rsidR="000810DC" w:rsidRPr="000810DC" w:rsidRDefault="000810DC" w:rsidP="000810DC">
      <w:pPr>
        <w:pStyle w:val="BodyText"/>
        <w:rPr>
          <w:rFonts w:ascii="Calibri" w:hAnsi="Calibri" w:cs="Calibri"/>
          <w:iCs/>
        </w:rPr>
      </w:pPr>
      <w:r w:rsidRPr="00B75766">
        <w:rPr>
          <w:rFonts w:ascii="Calibri" w:hAnsi="Calibri" w:cs="Calibri"/>
          <w:iCs/>
        </w:rPr>
        <w:t>California Government Code Section 66477, also known as the Quimby Act, was enacted by the California legislature in 1965. The Quimby Act authorizes cities and counties to enact ordinances requiring the dedication of land, or the payment of fees for park and/or recreational facilities in lieu thereof, or both, by developers of residential subdivisions as a condition to the approval of a tentative tract map or parcel map.</w:t>
      </w:r>
    </w:p>
    <w:p w14:paraId="1F51D0CB" w14:textId="21FE2AD7" w:rsidR="00A75EBF" w:rsidRPr="00944F99" w:rsidRDefault="00A75EBF" w:rsidP="00A75EBF">
      <w:pPr>
        <w:pStyle w:val="BodyText"/>
      </w:pPr>
      <w:r w:rsidRPr="00944F99">
        <w:t xml:space="preserve">See Section </w:t>
      </w:r>
      <w:r w:rsidR="00A86668" w:rsidRPr="00944F99">
        <w:t>15</w:t>
      </w:r>
      <w:r w:rsidRPr="00944F99">
        <w:t xml:space="preserve">, </w:t>
      </w:r>
      <w:r w:rsidRPr="00944F99">
        <w:rPr>
          <w:i/>
        </w:rPr>
        <w:t>Public Services</w:t>
      </w:r>
      <w:r w:rsidRPr="00944F99">
        <w:t xml:space="preserve">, subsection </w:t>
      </w:r>
      <w:r w:rsidRPr="00944F99">
        <w:rPr>
          <w:i/>
        </w:rPr>
        <w:t xml:space="preserve">Regulatory Setting </w:t>
      </w:r>
      <w:r w:rsidRPr="00944F99">
        <w:t xml:space="preserve">for </w:t>
      </w:r>
      <w:r w:rsidR="000810DC">
        <w:t xml:space="preserve">additional </w:t>
      </w:r>
      <w:r w:rsidRPr="00944F99">
        <w:t xml:space="preserve">policies and regulations relevant to recreation. </w:t>
      </w:r>
    </w:p>
    <w:p w14:paraId="07DD7F9E" w14:textId="15BB1FCA" w:rsidR="00A75EBF" w:rsidRPr="00944F99" w:rsidRDefault="00A75EBF" w:rsidP="009A2A5D">
      <w:pPr>
        <w:pStyle w:val="Heading5"/>
        <w:pageBreakBefore/>
      </w:pPr>
      <w:r w:rsidRPr="00944F99">
        <w:t xml:space="preserve">Impact Analysis </w:t>
      </w:r>
    </w:p>
    <w:p w14:paraId="30D595B9" w14:textId="2B89318D" w:rsidR="00542725" w:rsidRPr="00944F99" w:rsidRDefault="00542725" w:rsidP="00C70212">
      <w:pPr>
        <w:pStyle w:val="BulletLtrManAFTER"/>
      </w:pPr>
      <w:r w:rsidRPr="00944F99">
        <w:t>a.</w:t>
      </w:r>
      <w:r w:rsidRPr="00944F99">
        <w:tab/>
        <w:t>Would the project increase the use of existing neighborhood and regional parks or other recreational facilities such that substantial physical deterioration of the facility would occur or be accelerated?</w:t>
      </w:r>
    </w:p>
    <w:p w14:paraId="619F0A4F" w14:textId="520C9EB6" w:rsidR="00F30804" w:rsidRPr="00944F99" w:rsidRDefault="00F30804" w:rsidP="009D2425">
      <w:pPr>
        <w:pStyle w:val="BulletLtrManAFTER"/>
        <w:spacing w:before="120"/>
      </w:pPr>
      <w:r w:rsidRPr="00944F99">
        <w:t>b.</w:t>
      </w:r>
      <w:r w:rsidRPr="00944F99">
        <w:tab/>
        <w:t>Does the project include recreational facilities or require the construction or expansion of recreational facilities which might have an adverse physical effect on the environment?</w:t>
      </w:r>
    </w:p>
    <w:p w14:paraId="0CDDAC42" w14:textId="2DD98557" w:rsidR="00542725" w:rsidRPr="000810DC" w:rsidRDefault="00BD149D" w:rsidP="000D75C9">
      <w:pPr>
        <w:pStyle w:val="BodyText"/>
      </w:pPr>
      <w:r w:rsidRPr="003D0B9D">
        <w:t xml:space="preserve">As discussed in Section 14, </w:t>
      </w:r>
      <w:r w:rsidRPr="003D0B9D">
        <w:rPr>
          <w:i/>
          <w:iCs/>
        </w:rPr>
        <w:t>Population and Housing</w:t>
      </w:r>
      <w:r w:rsidRPr="003D0B9D">
        <w:t>, t</w:t>
      </w:r>
      <w:r w:rsidR="000E5708" w:rsidRPr="003D0B9D">
        <w:t xml:space="preserve">he project </w:t>
      </w:r>
      <w:r w:rsidR="00DB6939">
        <w:t>c</w:t>
      </w:r>
      <w:r w:rsidR="000E5708" w:rsidRPr="003D0B9D">
        <w:t xml:space="preserve">ould result in an incremental increase in the </w:t>
      </w:r>
      <w:r w:rsidR="001B0AF5">
        <w:t>C</w:t>
      </w:r>
      <w:r w:rsidR="000E5708" w:rsidRPr="003D0B9D">
        <w:t xml:space="preserve">ity’s population and recreation facilities in </w:t>
      </w:r>
      <w:r w:rsidR="003D0B9D">
        <w:t>Mountain View</w:t>
      </w:r>
      <w:r w:rsidR="000E5708" w:rsidRPr="003D0B9D">
        <w:t xml:space="preserve"> would likely see increased use. </w:t>
      </w:r>
      <w:r w:rsidR="003D0B9D">
        <w:t xml:space="preserve">In a </w:t>
      </w:r>
      <w:r w:rsidR="00377CB6">
        <w:t>maximum job-creation</w:t>
      </w:r>
      <w:r w:rsidR="003D0B9D">
        <w:t xml:space="preserve"> scenario, the project would potentially introduce 256 new residents</w:t>
      </w:r>
      <w:r w:rsidR="00F07AD7">
        <w:t xml:space="preserve"> to the </w:t>
      </w:r>
      <w:r w:rsidR="00AC1C51">
        <w:t>c</w:t>
      </w:r>
      <w:r w:rsidR="00F07AD7">
        <w:t xml:space="preserve">ity. This potential increase </w:t>
      </w:r>
      <w:r w:rsidR="00DB6939">
        <w:t>would be</w:t>
      </w:r>
      <w:r w:rsidR="00F07AD7">
        <w:t xml:space="preserve"> well within the 2030 General Plan’s projected 2030 population of 88,570</w:t>
      </w:r>
      <w:r w:rsidR="00F70A65">
        <w:t xml:space="preserve">. </w:t>
      </w:r>
      <w:r w:rsidR="00EF2507" w:rsidRPr="000810DC">
        <w:t xml:space="preserve">Therefore, the project would not introduce a substantial number of new residents to the </w:t>
      </w:r>
      <w:r w:rsidR="00AC1C51">
        <w:t>c</w:t>
      </w:r>
      <w:r w:rsidR="00EF2507" w:rsidRPr="000810DC">
        <w:t>ity</w:t>
      </w:r>
      <w:r w:rsidR="000E5708" w:rsidRPr="000810DC">
        <w:t xml:space="preserve"> and thus, would </w:t>
      </w:r>
      <w:r w:rsidR="00DA3A96" w:rsidRPr="000810DC">
        <w:t>not contribute to the substantial physical deterioration of facilities or require the provision of new or expanded park facilitie</w:t>
      </w:r>
      <w:r w:rsidR="006A3673" w:rsidRPr="000810DC">
        <w:t xml:space="preserve">s. </w:t>
      </w:r>
      <w:r w:rsidRPr="000810DC">
        <w:t xml:space="preserve">This impact would be less than significant. </w:t>
      </w:r>
    </w:p>
    <w:p w14:paraId="2F260F7C" w14:textId="1EBAFE94" w:rsidR="009C1D64" w:rsidRPr="000E45CD" w:rsidRDefault="00817BC5" w:rsidP="009C1D64">
      <w:pPr>
        <w:spacing w:before="120"/>
        <w:rPr>
          <w:rStyle w:val="DropdownList"/>
          <w:highlight w:val="lightGray"/>
        </w:rPr>
      </w:pPr>
      <w:sdt>
        <w:sdtPr>
          <w:rPr>
            <w:rStyle w:val="DropdownList"/>
            <w:highlight w:val="lightGray"/>
          </w:rPr>
          <w:alias w:val="1a"/>
          <w:tag w:val="dropdown"/>
          <w:id w:val="75330263"/>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highlight w:val="none"/>
          </w:rPr>
        </w:sdtEndPr>
        <w:sdtContent>
          <w:r w:rsidR="000E45CD" w:rsidRPr="000E45CD">
            <w:rPr>
              <w:rStyle w:val="DropdownList"/>
            </w:rPr>
            <w:t>Less Than Significant Impact</w:t>
          </w:r>
        </w:sdtContent>
      </w:sdt>
    </w:p>
    <w:p w14:paraId="3BD1C4FF" w14:textId="77777777" w:rsidR="00542725" w:rsidRPr="009B3EAA" w:rsidRDefault="00542725" w:rsidP="00275B75">
      <w:pPr>
        <w:pStyle w:val="Heading3CEQA"/>
      </w:pPr>
      <w:bookmarkStart w:id="317" w:name="_Toc453855778"/>
      <w:bookmarkStart w:id="318" w:name="_Toc475630725"/>
      <w:bookmarkStart w:id="319" w:name="_Toc112942442"/>
      <w:r w:rsidRPr="009B3EAA">
        <w:t>Transportation</w:t>
      </w:r>
      <w:bookmarkEnd w:id="317"/>
      <w:bookmarkEnd w:id="318"/>
      <w:bookmarkEnd w:id="319"/>
    </w:p>
    <w:tbl>
      <w:tblPr>
        <w:tblW w:w="9047" w:type="dxa"/>
        <w:tblLayout w:type="fixed"/>
        <w:tblLook w:val="04A0" w:firstRow="1" w:lastRow="0" w:firstColumn="1" w:lastColumn="0" w:noHBand="0" w:noVBand="1"/>
      </w:tblPr>
      <w:tblGrid>
        <w:gridCol w:w="13"/>
        <w:gridCol w:w="4335"/>
        <w:gridCol w:w="1187"/>
        <w:gridCol w:w="1218"/>
        <w:gridCol w:w="8"/>
        <w:gridCol w:w="1100"/>
        <w:gridCol w:w="7"/>
        <w:gridCol w:w="1128"/>
        <w:gridCol w:w="51"/>
      </w:tblGrid>
      <w:tr w:rsidR="00542725" w:rsidRPr="009B3EAA" w14:paraId="5CA05064" w14:textId="77777777" w:rsidTr="009D2425">
        <w:trPr>
          <w:tblHeader/>
        </w:trPr>
        <w:tc>
          <w:tcPr>
            <w:tcW w:w="4348" w:type="dxa"/>
            <w:gridSpan w:val="2"/>
            <w:tcBorders>
              <w:bottom w:val="single" w:sz="4" w:space="0" w:color="auto"/>
            </w:tcBorders>
            <w:shd w:val="clear" w:color="auto" w:fill="D9D9D9"/>
            <w:tcMar>
              <w:top w:w="20" w:type="dxa"/>
              <w:left w:w="115" w:type="dxa"/>
              <w:bottom w:w="20" w:type="dxa"/>
              <w:right w:w="115" w:type="dxa"/>
            </w:tcMar>
            <w:vAlign w:val="bottom"/>
          </w:tcPr>
          <w:p w14:paraId="797F4D17" w14:textId="77777777" w:rsidR="00542725" w:rsidRPr="009B3EAA" w:rsidRDefault="00542725" w:rsidP="00FB3B90">
            <w:pPr>
              <w:pStyle w:val="TableHeadings"/>
            </w:pPr>
          </w:p>
        </w:tc>
        <w:tc>
          <w:tcPr>
            <w:tcW w:w="1187" w:type="dxa"/>
            <w:tcBorders>
              <w:bottom w:val="single" w:sz="4" w:space="0" w:color="auto"/>
            </w:tcBorders>
            <w:shd w:val="clear" w:color="auto" w:fill="D9D9D9"/>
            <w:tcMar>
              <w:top w:w="20" w:type="dxa"/>
              <w:left w:w="115" w:type="dxa"/>
              <w:bottom w:w="20" w:type="dxa"/>
              <w:right w:w="115" w:type="dxa"/>
            </w:tcMar>
            <w:vAlign w:val="bottom"/>
            <w:hideMark/>
          </w:tcPr>
          <w:p w14:paraId="23BD5F1F" w14:textId="77777777" w:rsidR="00542725" w:rsidRPr="009B3EAA" w:rsidRDefault="00542725" w:rsidP="00FB3B90">
            <w:pPr>
              <w:pStyle w:val="TableHeadings"/>
              <w:jc w:val="center"/>
            </w:pPr>
            <w:r w:rsidRPr="009B3EAA">
              <w:t>Potentially Significant Impact</w:t>
            </w:r>
          </w:p>
        </w:tc>
        <w:tc>
          <w:tcPr>
            <w:tcW w:w="1218" w:type="dxa"/>
            <w:tcBorders>
              <w:bottom w:val="single" w:sz="4" w:space="0" w:color="auto"/>
            </w:tcBorders>
            <w:shd w:val="clear" w:color="auto" w:fill="D9D9D9"/>
            <w:tcMar>
              <w:top w:w="20" w:type="dxa"/>
              <w:left w:w="115" w:type="dxa"/>
              <w:bottom w:w="20" w:type="dxa"/>
              <w:right w:w="115" w:type="dxa"/>
            </w:tcMar>
            <w:vAlign w:val="bottom"/>
            <w:hideMark/>
          </w:tcPr>
          <w:p w14:paraId="32F6F42A" w14:textId="77777777" w:rsidR="00542725" w:rsidRPr="009B3EAA" w:rsidRDefault="00542725" w:rsidP="00FB3B90">
            <w:pPr>
              <w:pStyle w:val="TableHeadings"/>
              <w:jc w:val="center"/>
            </w:pPr>
            <w:r w:rsidRPr="009B3EAA">
              <w:t>Less than Significant with Mitigation Incorporated</w:t>
            </w:r>
          </w:p>
        </w:tc>
        <w:tc>
          <w:tcPr>
            <w:tcW w:w="1108" w:type="dxa"/>
            <w:gridSpan w:val="2"/>
            <w:tcBorders>
              <w:bottom w:val="single" w:sz="4" w:space="0" w:color="auto"/>
            </w:tcBorders>
            <w:shd w:val="clear" w:color="auto" w:fill="D9D9D9"/>
            <w:tcMar>
              <w:top w:w="20" w:type="dxa"/>
              <w:left w:w="115" w:type="dxa"/>
              <w:bottom w:w="20" w:type="dxa"/>
              <w:right w:w="115" w:type="dxa"/>
            </w:tcMar>
            <w:vAlign w:val="bottom"/>
            <w:hideMark/>
          </w:tcPr>
          <w:p w14:paraId="4701C92C" w14:textId="77777777" w:rsidR="00542725" w:rsidRPr="009B3EAA" w:rsidRDefault="00542725" w:rsidP="00FB3B90">
            <w:pPr>
              <w:pStyle w:val="TableHeadings"/>
              <w:jc w:val="center"/>
            </w:pPr>
            <w:r w:rsidRPr="009B3EAA">
              <w:t>Less than Significant Impact</w:t>
            </w:r>
          </w:p>
        </w:tc>
        <w:tc>
          <w:tcPr>
            <w:tcW w:w="1186" w:type="dxa"/>
            <w:gridSpan w:val="3"/>
            <w:tcBorders>
              <w:bottom w:val="single" w:sz="4" w:space="0" w:color="auto"/>
            </w:tcBorders>
            <w:shd w:val="clear" w:color="auto" w:fill="D9D9D9"/>
            <w:tcMar>
              <w:top w:w="20" w:type="dxa"/>
              <w:left w:w="115" w:type="dxa"/>
              <w:bottom w:w="20" w:type="dxa"/>
              <w:right w:w="115" w:type="dxa"/>
            </w:tcMar>
            <w:vAlign w:val="bottom"/>
            <w:hideMark/>
          </w:tcPr>
          <w:p w14:paraId="2A8F75A0" w14:textId="77777777" w:rsidR="00542725" w:rsidRPr="009B3EAA" w:rsidRDefault="00542725" w:rsidP="00FB3B90">
            <w:pPr>
              <w:pStyle w:val="TableHeadings"/>
              <w:jc w:val="center"/>
            </w:pPr>
            <w:r w:rsidRPr="009B3EAA">
              <w:t>No Impact</w:t>
            </w:r>
          </w:p>
        </w:tc>
      </w:tr>
      <w:tr w:rsidR="00542725" w:rsidRPr="009B3EAA" w14:paraId="5EF3627A" w14:textId="77777777" w:rsidTr="009D2425">
        <w:trPr>
          <w:gridBefore w:val="1"/>
          <w:wBefore w:w="13" w:type="dxa"/>
        </w:trPr>
        <w:tc>
          <w:tcPr>
            <w:tcW w:w="9034" w:type="dxa"/>
            <w:gridSpan w:val="8"/>
            <w:tcMar>
              <w:top w:w="20" w:type="dxa"/>
              <w:left w:w="115" w:type="dxa"/>
              <w:bottom w:w="20" w:type="dxa"/>
              <w:right w:w="115" w:type="dxa"/>
            </w:tcMar>
            <w:vAlign w:val="bottom"/>
            <w:hideMark/>
          </w:tcPr>
          <w:p w14:paraId="0D39014B" w14:textId="77777777" w:rsidR="00542725" w:rsidRPr="009B3EAA" w:rsidRDefault="00542725" w:rsidP="00584777">
            <w:pPr>
              <w:pStyle w:val="BodyText"/>
              <w:spacing w:before="60" w:after="60"/>
              <w:rPr>
                <w:b/>
              </w:rPr>
            </w:pPr>
            <w:r w:rsidRPr="009B3EAA">
              <w:t>Would the project:</w:t>
            </w:r>
          </w:p>
        </w:tc>
      </w:tr>
      <w:tr w:rsidR="00542725" w:rsidRPr="009B3EAA" w14:paraId="099343FE" w14:textId="77777777" w:rsidTr="009D2425">
        <w:trPr>
          <w:gridBefore w:val="1"/>
          <w:gridAfter w:val="1"/>
          <w:wBefore w:w="13" w:type="dxa"/>
          <w:wAfter w:w="51" w:type="dxa"/>
        </w:trPr>
        <w:tc>
          <w:tcPr>
            <w:tcW w:w="4335" w:type="dxa"/>
            <w:tcMar>
              <w:top w:w="20" w:type="dxa"/>
              <w:left w:w="115" w:type="dxa"/>
              <w:bottom w:w="20" w:type="dxa"/>
              <w:right w:w="115" w:type="dxa"/>
            </w:tcMar>
            <w:vAlign w:val="bottom"/>
          </w:tcPr>
          <w:p w14:paraId="3A15C00E" w14:textId="77777777" w:rsidR="00542725" w:rsidRPr="009B3EAA" w:rsidRDefault="00542725" w:rsidP="00F6307A">
            <w:pPr>
              <w:pStyle w:val="BulletListLettered"/>
              <w:numPr>
                <w:ilvl w:val="0"/>
                <w:numId w:val="24"/>
              </w:numPr>
            </w:pPr>
            <w:r w:rsidRPr="009B3EAA">
              <w:t xml:space="preserve">Conflict with </w:t>
            </w:r>
            <w:r w:rsidR="00F3748A" w:rsidRPr="009B3EAA">
              <w:t>a program</w:t>
            </w:r>
            <w:r w:rsidR="00C453DB" w:rsidRPr="009B3EAA">
              <w:t>,</w:t>
            </w:r>
            <w:r w:rsidRPr="009B3EAA">
              <w:t xml:space="preserve"> plan, ordinance or policy </w:t>
            </w:r>
            <w:r w:rsidR="00F3748A" w:rsidRPr="009B3EAA">
              <w:t>addressing</w:t>
            </w:r>
            <w:r w:rsidRPr="009B3EAA">
              <w:t xml:space="preserve"> the circulation system, </w:t>
            </w:r>
            <w:r w:rsidR="00F3748A" w:rsidRPr="009B3EAA">
              <w:t>including transit, roadway, bicycle and pedestrian facilities?</w:t>
            </w:r>
          </w:p>
        </w:tc>
        <w:tc>
          <w:tcPr>
            <w:tcW w:w="1187" w:type="dxa"/>
            <w:tcMar>
              <w:top w:w="20" w:type="dxa"/>
              <w:left w:w="115" w:type="dxa"/>
              <w:bottom w:w="20" w:type="dxa"/>
              <w:right w:w="115" w:type="dxa"/>
            </w:tcMar>
            <w:vAlign w:val="bottom"/>
          </w:tcPr>
          <w:p w14:paraId="6F75BBD7" w14:textId="45720ED0" w:rsidR="00542725" w:rsidRPr="009B3EAA" w:rsidRDefault="00465923" w:rsidP="00584777">
            <w:pPr>
              <w:spacing w:before="60" w:after="60"/>
              <w:jc w:val="center"/>
              <w:rPr>
                <w:sz w:val="28"/>
                <w:szCs w:val="28"/>
              </w:rPr>
            </w:pPr>
            <w:r w:rsidRPr="009B3EAA">
              <w:rPr>
                <w:rFonts w:ascii="Times New Roman" w:hAnsi="Times New Roman"/>
              </w:rPr>
              <w:t>□</w:t>
            </w:r>
          </w:p>
        </w:tc>
        <w:tc>
          <w:tcPr>
            <w:tcW w:w="1226" w:type="dxa"/>
            <w:gridSpan w:val="2"/>
            <w:tcMar>
              <w:top w:w="20" w:type="dxa"/>
              <w:left w:w="115" w:type="dxa"/>
              <w:bottom w:w="20" w:type="dxa"/>
              <w:right w:w="115" w:type="dxa"/>
            </w:tcMar>
            <w:vAlign w:val="bottom"/>
          </w:tcPr>
          <w:p w14:paraId="12B41062" w14:textId="2F030E9F" w:rsidR="00542725" w:rsidRPr="009B3EAA" w:rsidRDefault="00735D09" w:rsidP="00584777">
            <w:pPr>
              <w:spacing w:before="60" w:after="60"/>
              <w:jc w:val="center"/>
              <w:rPr>
                <w:sz w:val="28"/>
                <w:szCs w:val="28"/>
              </w:rPr>
            </w:pPr>
            <w:r w:rsidRPr="009B3EAA">
              <w:rPr>
                <w:rFonts w:ascii="Times New Roman" w:hAnsi="Times New Roman"/>
              </w:rPr>
              <w:t>□</w:t>
            </w:r>
          </w:p>
        </w:tc>
        <w:tc>
          <w:tcPr>
            <w:tcW w:w="1107" w:type="dxa"/>
            <w:gridSpan w:val="2"/>
            <w:tcMar>
              <w:top w:w="20" w:type="dxa"/>
              <w:left w:w="115" w:type="dxa"/>
              <w:bottom w:w="20" w:type="dxa"/>
              <w:right w:w="115" w:type="dxa"/>
            </w:tcMar>
            <w:vAlign w:val="bottom"/>
          </w:tcPr>
          <w:p w14:paraId="20E53B06" w14:textId="431417E9" w:rsidR="00542725" w:rsidRPr="009B3EAA" w:rsidRDefault="00735D09" w:rsidP="00584777">
            <w:pPr>
              <w:spacing w:before="60" w:after="60"/>
              <w:jc w:val="center"/>
              <w:rPr>
                <w:sz w:val="28"/>
                <w:szCs w:val="28"/>
              </w:rPr>
            </w:pPr>
            <w:r w:rsidRPr="009B3EAA">
              <w:rPr>
                <w:rFonts w:ascii="Times New Roman" w:hAnsi="Times New Roman"/>
              </w:rPr>
              <w:t>■</w:t>
            </w:r>
          </w:p>
        </w:tc>
        <w:tc>
          <w:tcPr>
            <w:tcW w:w="1128" w:type="dxa"/>
            <w:tcMar>
              <w:top w:w="20" w:type="dxa"/>
              <w:left w:w="115" w:type="dxa"/>
              <w:bottom w:w="20" w:type="dxa"/>
              <w:right w:w="115" w:type="dxa"/>
            </w:tcMar>
            <w:vAlign w:val="bottom"/>
          </w:tcPr>
          <w:p w14:paraId="15160A3B" w14:textId="70D15A2F" w:rsidR="00542725" w:rsidRPr="009B3EAA" w:rsidRDefault="00FB0AAC" w:rsidP="00584777">
            <w:pPr>
              <w:spacing w:before="60" w:after="60"/>
              <w:jc w:val="center"/>
              <w:rPr>
                <w:sz w:val="28"/>
                <w:szCs w:val="28"/>
              </w:rPr>
            </w:pPr>
            <w:r w:rsidRPr="009B3EAA">
              <w:rPr>
                <w:rFonts w:ascii="Times New Roman" w:hAnsi="Times New Roman"/>
              </w:rPr>
              <w:t>□</w:t>
            </w:r>
          </w:p>
        </w:tc>
      </w:tr>
      <w:tr w:rsidR="00542725" w:rsidRPr="009B3EAA" w14:paraId="49003AC6" w14:textId="77777777" w:rsidTr="009D2425">
        <w:trPr>
          <w:gridBefore w:val="1"/>
          <w:gridAfter w:val="1"/>
          <w:wBefore w:w="13" w:type="dxa"/>
          <w:wAfter w:w="51" w:type="dxa"/>
        </w:trPr>
        <w:tc>
          <w:tcPr>
            <w:tcW w:w="4335" w:type="dxa"/>
            <w:tcMar>
              <w:top w:w="20" w:type="dxa"/>
              <w:left w:w="115" w:type="dxa"/>
              <w:bottom w:w="20" w:type="dxa"/>
              <w:right w:w="115" w:type="dxa"/>
            </w:tcMar>
            <w:vAlign w:val="bottom"/>
          </w:tcPr>
          <w:p w14:paraId="71A4107B" w14:textId="77777777" w:rsidR="00542725" w:rsidRPr="009B3EAA" w:rsidRDefault="00542725" w:rsidP="00F6307A">
            <w:pPr>
              <w:pStyle w:val="BulletListLettered"/>
              <w:numPr>
                <w:ilvl w:val="0"/>
                <w:numId w:val="23"/>
              </w:numPr>
            </w:pPr>
            <w:r w:rsidRPr="009B3EAA">
              <w:t xml:space="preserve">Conflict </w:t>
            </w:r>
            <w:r w:rsidR="00F3748A" w:rsidRPr="009B3EAA">
              <w:t>or be inconsistent with CEQA Guidelines section 15064.3, subdivision (b)?</w:t>
            </w:r>
          </w:p>
        </w:tc>
        <w:tc>
          <w:tcPr>
            <w:tcW w:w="1187" w:type="dxa"/>
            <w:tcMar>
              <w:top w:w="20" w:type="dxa"/>
              <w:left w:w="115" w:type="dxa"/>
              <w:bottom w:w="20" w:type="dxa"/>
              <w:right w:w="115" w:type="dxa"/>
            </w:tcMar>
            <w:vAlign w:val="bottom"/>
          </w:tcPr>
          <w:p w14:paraId="3E193B24" w14:textId="7445B6F7" w:rsidR="00542725" w:rsidRPr="009B3EAA" w:rsidRDefault="001E48FB" w:rsidP="00584777">
            <w:pPr>
              <w:spacing w:before="60" w:after="60"/>
              <w:jc w:val="center"/>
              <w:rPr>
                <w:sz w:val="28"/>
                <w:szCs w:val="28"/>
              </w:rPr>
            </w:pPr>
            <w:r w:rsidRPr="009B3EAA">
              <w:rPr>
                <w:rFonts w:ascii="Times New Roman" w:hAnsi="Times New Roman"/>
              </w:rPr>
              <w:t>□</w:t>
            </w:r>
          </w:p>
        </w:tc>
        <w:tc>
          <w:tcPr>
            <w:tcW w:w="1226" w:type="dxa"/>
            <w:gridSpan w:val="2"/>
            <w:tcMar>
              <w:top w:w="20" w:type="dxa"/>
              <w:left w:w="115" w:type="dxa"/>
              <w:bottom w:w="20" w:type="dxa"/>
              <w:right w:w="115" w:type="dxa"/>
            </w:tcMar>
            <w:vAlign w:val="bottom"/>
          </w:tcPr>
          <w:p w14:paraId="68FEA2AD" w14:textId="3B7487D1" w:rsidR="00542725" w:rsidRPr="009B3EAA" w:rsidRDefault="00542725" w:rsidP="00584777">
            <w:pPr>
              <w:spacing w:before="60" w:after="60"/>
              <w:jc w:val="center"/>
              <w:rPr>
                <w:sz w:val="28"/>
                <w:szCs w:val="28"/>
              </w:rPr>
            </w:pPr>
            <w:r w:rsidRPr="009B3EAA">
              <w:rPr>
                <w:rFonts w:ascii="Times New Roman" w:hAnsi="Times New Roman"/>
              </w:rPr>
              <w:t>□</w:t>
            </w:r>
          </w:p>
        </w:tc>
        <w:tc>
          <w:tcPr>
            <w:tcW w:w="1107" w:type="dxa"/>
            <w:gridSpan w:val="2"/>
            <w:tcMar>
              <w:top w:w="20" w:type="dxa"/>
              <w:left w:w="115" w:type="dxa"/>
              <w:bottom w:w="20" w:type="dxa"/>
              <w:right w:w="115" w:type="dxa"/>
            </w:tcMar>
            <w:vAlign w:val="bottom"/>
          </w:tcPr>
          <w:p w14:paraId="0BB3B572" w14:textId="33B26E17" w:rsidR="00542725" w:rsidRPr="009B3EAA" w:rsidRDefault="00FB0AAC" w:rsidP="00584777">
            <w:pPr>
              <w:spacing w:before="60" w:after="60"/>
              <w:jc w:val="center"/>
              <w:rPr>
                <w:sz w:val="28"/>
                <w:szCs w:val="28"/>
              </w:rPr>
            </w:pPr>
            <w:r w:rsidRPr="009B3EAA">
              <w:rPr>
                <w:rFonts w:ascii="Times New Roman" w:hAnsi="Times New Roman"/>
              </w:rPr>
              <w:t>■</w:t>
            </w:r>
          </w:p>
        </w:tc>
        <w:tc>
          <w:tcPr>
            <w:tcW w:w="1128" w:type="dxa"/>
            <w:tcMar>
              <w:top w:w="20" w:type="dxa"/>
              <w:left w:w="115" w:type="dxa"/>
              <w:bottom w:w="20" w:type="dxa"/>
              <w:right w:w="115" w:type="dxa"/>
            </w:tcMar>
            <w:vAlign w:val="bottom"/>
          </w:tcPr>
          <w:p w14:paraId="08448DCA" w14:textId="3F3F739F" w:rsidR="00542725" w:rsidRPr="009B3EAA" w:rsidRDefault="00FB0AAC" w:rsidP="00584777">
            <w:pPr>
              <w:spacing w:before="60" w:after="60"/>
              <w:jc w:val="center"/>
              <w:rPr>
                <w:sz w:val="28"/>
                <w:szCs w:val="28"/>
              </w:rPr>
            </w:pPr>
            <w:r w:rsidRPr="009B3EAA">
              <w:rPr>
                <w:rFonts w:ascii="Times New Roman" w:hAnsi="Times New Roman"/>
              </w:rPr>
              <w:t>□</w:t>
            </w:r>
          </w:p>
        </w:tc>
      </w:tr>
      <w:tr w:rsidR="00542725" w:rsidRPr="009B3EAA" w14:paraId="634BF91C" w14:textId="77777777" w:rsidTr="009D2425">
        <w:trPr>
          <w:gridBefore w:val="1"/>
          <w:gridAfter w:val="1"/>
          <w:wBefore w:w="13" w:type="dxa"/>
          <w:wAfter w:w="51" w:type="dxa"/>
        </w:trPr>
        <w:tc>
          <w:tcPr>
            <w:tcW w:w="4335" w:type="dxa"/>
            <w:tcMar>
              <w:top w:w="20" w:type="dxa"/>
              <w:left w:w="115" w:type="dxa"/>
              <w:bottom w:w="20" w:type="dxa"/>
              <w:right w:w="115" w:type="dxa"/>
            </w:tcMar>
            <w:vAlign w:val="bottom"/>
          </w:tcPr>
          <w:p w14:paraId="28DBA735" w14:textId="77777777" w:rsidR="00542725" w:rsidRPr="009B3EAA" w:rsidRDefault="00542725" w:rsidP="00F6307A">
            <w:pPr>
              <w:pStyle w:val="BulletListLettered"/>
              <w:numPr>
                <w:ilvl w:val="0"/>
                <w:numId w:val="23"/>
              </w:numPr>
            </w:pPr>
            <w:r w:rsidRPr="009B3EAA">
              <w:t xml:space="preserve">Substantially increase hazards due to a </w:t>
            </w:r>
            <w:r w:rsidR="00F3748A" w:rsidRPr="009B3EAA">
              <w:t xml:space="preserve">geometric </w:t>
            </w:r>
            <w:r w:rsidRPr="009B3EAA">
              <w:t>design feature (e.g., sharp curves or dangerous intersections) or incompatible use (e.g., farm equipment)?</w:t>
            </w:r>
          </w:p>
        </w:tc>
        <w:tc>
          <w:tcPr>
            <w:tcW w:w="1187" w:type="dxa"/>
            <w:tcMar>
              <w:top w:w="20" w:type="dxa"/>
              <w:left w:w="115" w:type="dxa"/>
              <w:bottom w:w="20" w:type="dxa"/>
              <w:right w:w="115" w:type="dxa"/>
            </w:tcMar>
            <w:vAlign w:val="bottom"/>
          </w:tcPr>
          <w:p w14:paraId="0DAA579A" w14:textId="16DE6929" w:rsidR="00542725" w:rsidRPr="009B3EAA" w:rsidRDefault="001E48FB" w:rsidP="00584777">
            <w:pPr>
              <w:spacing w:before="60" w:after="60"/>
              <w:jc w:val="center"/>
              <w:rPr>
                <w:sz w:val="28"/>
                <w:szCs w:val="28"/>
              </w:rPr>
            </w:pPr>
            <w:r w:rsidRPr="009B3EAA">
              <w:rPr>
                <w:rFonts w:ascii="Times New Roman" w:hAnsi="Times New Roman"/>
              </w:rPr>
              <w:t>□</w:t>
            </w:r>
          </w:p>
        </w:tc>
        <w:tc>
          <w:tcPr>
            <w:tcW w:w="1226" w:type="dxa"/>
            <w:gridSpan w:val="2"/>
            <w:tcMar>
              <w:top w:w="20" w:type="dxa"/>
              <w:left w:w="115" w:type="dxa"/>
              <w:bottom w:w="20" w:type="dxa"/>
              <w:right w:w="115" w:type="dxa"/>
            </w:tcMar>
            <w:vAlign w:val="bottom"/>
          </w:tcPr>
          <w:p w14:paraId="5AEF5D06" w14:textId="64AC15F5" w:rsidR="00542725" w:rsidRPr="009B3EAA" w:rsidRDefault="00735D09" w:rsidP="00584777">
            <w:pPr>
              <w:spacing w:before="60" w:after="60"/>
              <w:jc w:val="center"/>
              <w:rPr>
                <w:sz w:val="28"/>
                <w:szCs w:val="28"/>
              </w:rPr>
            </w:pPr>
            <w:r w:rsidRPr="009B3EAA">
              <w:rPr>
                <w:rFonts w:ascii="Times New Roman" w:hAnsi="Times New Roman"/>
              </w:rPr>
              <w:t>□</w:t>
            </w:r>
          </w:p>
        </w:tc>
        <w:tc>
          <w:tcPr>
            <w:tcW w:w="1107" w:type="dxa"/>
            <w:gridSpan w:val="2"/>
            <w:tcMar>
              <w:top w:w="20" w:type="dxa"/>
              <w:left w:w="115" w:type="dxa"/>
              <w:bottom w:w="20" w:type="dxa"/>
              <w:right w:w="115" w:type="dxa"/>
            </w:tcMar>
            <w:vAlign w:val="bottom"/>
          </w:tcPr>
          <w:p w14:paraId="2BD0A438" w14:textId="2E21803B" w:rsidR="00542725" w:rsidRPr="009B3EAA" w:rsidRDefault="00735D09" w:rsidP="00584777">
            <w:pPr>
              <w:spacing w:before="60" w:after="60"/>
              <w:jc w:val="center"/>
              <w:rPr>
                <w:sz w:val="28"/>
                <w:szCs w:val="28"/>
              </w:rPr>
            </w:pPr>
            <w:r w:rsidRPr="009B3EAA">
              <w:rPr>
                <w:rFonts w:ascii="Times New Roman" w:hAnsi="Times New Roman"/>
              </w:rPr>
              <w:t>■</w:t>
            </w:r>
          </w:p>
        </w:tc>
        <w:tc>
          <w:tcPr>
            <w:tcW w:w="1128" w:type="dxa"/>
            <w:tcMar>
              <w:top w:w="20" w:type="dxa"/>
              <w:left w:w="115" w:type="dxa"/>
              <w:bottom w:w="20" w:type="dxa"/>
              <w:right w:w="115" w:type="dxa"/>
            </w:tcMar>
            <w:vAlign w:val="bottom"/>
          </w:tcPr>
          <w:p w14:paraId="7E38C78A" w14:textId="6DCCE408" w:rsidR="00542725" w:rsidRPr="009B3EAA" w:rsidRDefault="00FB0AAC" w:rsidP="00584777">
            <w:pPr>
              <w:spacing w:before="60" w:after="60"/>
              <w:jc w:val="center"/>
              <w:rPr>
                <w:sz w:val="28"/>
                <w:szCs w:val="28"/>
              </w:rPr>
            </w:pPr>
            <w:r w:rsidRPr="009B3EAA">
              <w:rPr>
                <w:rFonts w:ascii="Times New Roman" w:hAnsi="Times New Roman"/>
              </w:rPr>
              <w:t>□</w:t>
            </w:r>
          </w:p>
        </w:tc>
      </w:tr>
      <w:tr w:rsidR="00542725" w:rsidRPr="00E5753A" w14:paraId="3FDCA196" w14:textId="77777777" w:rsidTr="009D2425">
        <w:trPr>
          <w:gridBefore w:val="1"/>
          <w:gridAfter w:val="1"/>
          <w:wBefore w:w="13" w:type="dxa"/>
          <w:wAfter w:w="51" w:type="dxa"/>
        </w:trPr>
        <w:tc>
          <w:tcPr>
            <w:tcW w:w="4335" w:type="dxa"/>
            <w:tcBorders>
              <w:bottom w:val="single" w:sz="4" w:space="0" w:color="auto"/>
            </w:tcBorders>
            <w:tcMar>
              <w:top w:w="20" w:type="dxa"/>
              <w:left w:w="115" w:type="dxa"/>
              <w:bottom w:w="20" w:type="dxa"/>
              <w:right w:w="115" w:type="dxa"/>
            </w:tcMar>
            <w:vAlign w:val="bottom"/>
            <w:hideMark/>
          </w:tcPr>
          <w:p w14:paraId="74A08A4D" w14:textId="77777777" w:rsidR="00542725" w:rsidRPr="009B3EAA" w:rsidRDefault="00F3748A" w:rsidP="00F6307A">
            <w:pPr>
              <w:pStyle w:val="BulletListLettered"/>
              <w:numPr>
                <w:ilvl w:val="0"/>
                <w:numId w:val="23"/>
              </w:numPr>
            </w:pPr>
            <w:r w:rsidRPr="009B3EAA">
              <w:t>Result in inadequate emergency access?</w:t>
            </w:r>
          </w:p>
        </w:tc>
        <w:tc>
          <w:tcPr>
            <w:tcW w:w="1187" w:type="dxa"/>
            <w:tcBorders>
              <w:bottom w:val="single" w:sz="4" w:space="0" w:color="auto"/>
            </w:tcBorders>
            <w:tcMar>
              <w:top w:w="20" w:type="dxa"/>
              <w:left w:w="115" w:type="dxa"/>
              <w:bottom w:w="20" w:type="dxa"/>
              <w:right w:w="115" w:type="dxa"/>
            </w:tcMar>
            <w:vAlign w:val="bottom"/>
          </w:tcPr>
          <w:p w14:paraId="4DE691BA" w14:textId="72499569" w:rsidR="00542725" w:rsidRPr="009B3EAA" w:rsidRDefault="001E48FB" w:rsidP="00584777">
            <w:pPr>
              <w:spacing w:before="60" w:after="60"/>
              <w:jc w:val="center"/>
              <w:rPr>
                <w:sz w:val="28"/>
                <w:szCs w:val="28"/>
              </w:rPr>
            </w:pPr>
            <w:r w:rsidRPr="009B3EAA">
              <w:rPr>
                <w:rFonts w:ascii="Times New Roman" w:hAnsi="Times New Roman"/>
              </w:rPr>
              <w:t>□</w:t>
            </w:r>
          </w:p>
        </w:tc>
        <w:tc>
          <w:tcPr>
            <w:tcW w:w="1226" w:type="dxa"/>
            <w:gridSpan w:val="2"/>
            <w:tcBorders>
              <w:bottom w:val="single" w:sz="4" w:space="0" w:color="auto"/>
            </w:tcBorders>
            <w:tcMar>
              <w:top w:w="20" w:type="dxa"/>
              <w:left w:w="115" w:type="dxa"/>
              <w:bottom w:w="20" w:type="dxa"/>
              <w:right w:w="115" w:type="dxa"/>
            </w:tcMar>
            <w:vAlign w:val="bottom"/>
          </w:tcPr>
          <w:p w14:paraId="217159D3" w14:textId="36432FD8" w:rsidR="00542725" w:rsidRPr="009B3EAA" w:rsidRDefault="00FB0AAC" w:rsidP="00584777">
            <w:pPr>
              <w:spacing w:before="60" w:after="60"/>
              <w:jc w:val="center"/>
              <w:rPr>
                <w:sz w:val="28"/>
                <w:szCs w:val="28"/>
              </w:rPr>
            </w:pPr>
            <w:r w:rsidRPr="009B3EAA">
              <w:rPr>
                <w:rFonts w:ascii="Times New Roman" w:hAnsi="Times New Roman"/>
              </w:rPr>
              <w:t>□</w:t>
            </w:r>
          </w:p>
        </w:tc>
        <w:tc>
          <w:tcPr>
            <w:tcW w:w="1107" w:type="dxa"/>
            <w:gridSpan w:val="2"/>
            <w:tcBorders>
              <w:bottom w:val="single" w:sz="4" w:space="0" w:color="auto"/>
            </w:tcBorders>
            <w:tcMar>
              <w:top w:w="20" w:type="dxa"/>
              <w:left w:w="115" w:type="dxa"/>
              <w:bottom w:w="20" w:type="dxa"/>
              <w:right w:w="115" w:type="dxa"/>
            </w:tcMar>
            <w:vAlign w:val="bottom"/>
          </w:tcPr>
          <w:p w14:paraId="148FB18C" w14:textId="022AF099" w:rsidR="00542725" w:rsidRPr="009B3EAA" w:rsidRDefault="00FB0AAC" w:rsidP="00584777">
            <w:pPr>
              <w:spacing w:before="60" w:after="60"/>
              <w:jc w:val="center"/>
              <w:rPr>
                <w:sz w:val="28"/>
                <w:szCs w:val="28"/>
              </w:rPr>
            </w:pPr>
            <w:r w:rsidRPr="009B3EAA">
              <w:rPr>
                <w:rFonts w:ascii="Times New Roman" w:hAnsi="Times New Roman"/>
              </w:rPr>
              <w:t>■</w:t>
            </w:r>
          </w:p>
        </w:tc>
        <w:tc>
          <w:tcPr>
            <w:tcW w:w="1128" w:type="dxa"/>
            <w:tcBorders>
              <w:bottom w:val="single" w:sz="4" w:space="0" w:color="auto"/>
            </w:tcBorders>
            <w:tcMar>
              <w:top w:w="20" w:type="dxa"/>
              <w:left w:w="115" w:type="dxa"/>
              <w:bottom w:w="20" w:type="dxa"/>
              <w:right w:w="115" w:type="dxa"/>
            </w:tcMar>
            <w:vAlign w:val="bottom"/>
          </w:tcPr>
          <w:p w14:paraId="679AFCAF" w14:textId="7872B447" w:rsidR="00542725" w:rsidRPr="009B3EAA" w:rsidRDefault="00FB0AAC" w:rsidP="00584777">
            <w:pPr>
              <w:spacing w:before="60" w:after="60"/>
              <w:jc w:val="center"/>
              <w:rPr>
                <w:sz w:val="28"/>
                <w:szCs w:val="28"/>
              </w:rPr>
            </w:pPr>
            <w:r w:rsidRPr="009B3EAA">
              <w:rPr>
                <w:rFonts w:ascii="Times New Roman" w:hAnsi="Times New Roman"/>
              </w:rPr>
              <w:t>□</w:t>
            </w:r>
          </w:p>
        </w:tc>
      </w:tr>
    </w:tbl>
    <w:p w14:paraId="6C4DA2D9" w14:textId="5C70E661" w:rsidR="005E06EF" w:rsidRPr="009B3EAA" w:rsidRDefault="009B3EAA" w:rsidP="00605740">
      <w:pPr>
        <w:pStyle w:val="BodyText"/>
        <w:spacing w:before="240"/>
      </w:pPr>
      <w:r w:rsidRPr="009B3EAA">
        <w:t xml:space="preserve">The information and analysis included in this section is based upon a Multi-Modal Transportation Analysis performed by TJKM Transportation Consultants, completed in </w:t>
      </w:r>
      <w:r w:rsidR="00DA0E73">
        <w:t>August</w:t>
      </w:r>
      <w:r w:rsidR="00DA0E73" w:rsidRPr="009B3EAA">
        <w:t xml:space="preserve"> </w:t>
      </w:r>
      <w:r w:rsidRPr="009B3EAA">
        <w:t xml:space="preserve">2022 (Appendix TRA). </w:t>
      </w:r>
      <w:r w:rsidR="00651D61">
        <w:t xml:space="preserve">A Transportation Demand Management Plan </w:t>
      </w:r>
      <w:r w:rsidR="00E1469F">
        <w:t xml:space="preserve">(TDM) </w:t>
      </w:r>
      <w:r w:rsidR="00651D61">
        <w:t xml:space="preserve">was developed by Hexagon Transportation Consultants </w:t>
      </w:r>
      <w:r w:rsidR="00377CB6">
        <w:t xml:space="preserve">for the project applicant </w:t>
      </w:r>
      <w:r w:rsidR="00651D61">
        <w:t xml:space="preserve">in </w:t>
      </w:r>
      <w:r w:rsidR="002C6F54">
        <w:t>September 2022</w:t>
      </w:r>
      <w:r w:rsidR="00651D61">
        <w:t xml:space="preserve"> </w:t>
      </w:r>
      <w:r w:rsidR="00280CA7">
        <w:t>(</w:t>
      </w:r>
      <w:r w:rsidR="00651D61">
        <w:t xml:space="preserve">Appendix TDM). </w:t>
      </w:r>
    </w:p>
    <w:p w14:paraId="76612DE5" w14:textId="047082F6" w:rsidR="00E60C6A" w:rsidRDefault="00E60C6A" w:rsidP="00E60C6A">
      <w:pPr>
        <w:pStyle w:val="Heading5"/>
      </w:pPr>
      <w:r w:rsidRPr="009B3EAA">
        <w:t>Setting</w:t>
      </w:r>
    </w:p>
    <w:p w14:paraId="450E540E" w14:textId="0DC7B734" w:rsidR="00E60C6A" w:rsidRPr="009B3EAA" w:rsidRDefault="009B3EAA" w:rsidP="00E60C6A">
      <w:pPr>
        <w:pStyle w:val="BodyText"/>
      </w:pPr>
      <w:r>
        <w:t xml:space="preserve">The site is located on Terra Bella Avenue, which is locally accessible via Shoreline Boulevard. </w:t>
      </w:r>
      <w:r w:rsidRPr="003847FA">
        <w:t xml:space="preserve">Regional access is available to the site from </w:t>
      </w:r>
      <w:r>
        <w:t>U</w:t>
      </w:r>
      <w:r w:rsidR="005E06EF">
        <w:t>S</w:t>
      </w:r>
      <w:r>
        <w:t xml:space="preserve"> </w:t>
      </w:r>
      <w:r w:rsidRPr="003847FA">
        <w:t xml:space="preserve">Highway 101, which is approximately 0.3 mile north of the site. </w:t>
      </w:r>
      <w:r w:rsidR="00E60C6A" w:rsidRPr="009B3EAA">
        <w:rPr>
          <w:rFonts w:cstheme="minorHAnsi"/>
        </w:rPr>
        <w:t xml:space="preserve">The following descriptions are provided for roadways that would provide access to the site and are most likely to serve </w:t>
      </w:r>
      <w:r w:rsidR="0034729B" w:rsidRPr="009B3EAA">
        <w:rPr>
          <w:rFonts w:cstheme="minorHAnsi"/>
        </w:rPr>
        <w:t>most</w:t>
      </w:r>
      <w:r w:rsidR="00E60C6A" w:rsidRPr="009B3EAA">
        <w:rPr>
          <w:rFonts w:cstheme="minorHAnsi"/>
        </w:rPr>
        <w:t xml:space="preserve"> of </w:t>
      </w:r>
      <w:r w:rsidR="003024EA" w:rsidRPr="009B3EAA">
        <w:rPr>
          <w:rFonts w:cstheme="minorHAnsi"/>
        </w:rPr>
        <w:t xml:space="preserve">the </w:t>
      </w:r>
      <w:r w:rsidR="00E60C6A" w:rsidRPr="009B3EAA">
        <w:rPr>
          <w:rFonts w:cstheme="minorHAnsi"/>
        </w:rPr>
        <w:t>project</w:t>
      </w:r>
      <w:r w:rsidR="003024EA" w:rsidRPr="009B3EAA">
        <w:rPr>
          <w:rFonts w:cstheme="minorHAnsi"/>
        </w:rPr>
        <w:t>’s</w:t>
      </w:r>
      <w:r w:rsidR="00E60C6A" w:rsidRPr="009B3EAA">
        <w:rPr>
          <w:rFonts w:cstheme="minorHAnsi"/>
        </w:rPr>
        <w:t xml:space="preserve"> generated vehicle, bicycle, pedestrian and transit traffic.</w:t>
      </w:r>
    </w:p>
    <w:p w14:paraId="51BB82D6" w14:textId="4EA5B5A8" w:rsidR="00E60C6A" w:rsidRDefault="00DD3D96" w:rsidP="00E60C6A">
      <w:pPr>
        <w:keepNext/>
        <w:tabs>
          <w:tab w:val="left" w:pos="720"/>
        </w:tabs>
        <w:spacing w:before="240"/>
        <w:outlineLvl w:val="5"/>
        <w:rPr>
          <w:rFonts w:ascii="Century Gothic" w:hAnsi="Century Gothic"/>
          <w:i/>
          <w:sz w:val="22"/>
          <w:szCs w:val="22"/>
        </w:rPr>
      </w:pPr>
      <w:r>
        <w:rPr>
          <w:rFonts w:ascii="Century Gothic" w:hAnsi="Century Gothic"/>
          <w:i/>
          <w:sz w:val="22"/>
          <w:szCs w:val="22"/>
        </w:rPr>
        <w:t xml:space="preserve">Existing </w:t>
      </w:r>
      <w:r w:rsidR="00E60C6A" w:rsidRPr="009B3EAA">
        <w:rPr>
          <w:rFonts w:ascii="Century Gothic" w:hAnsi="Century Gothic"/>
          <w:i/>
          <w:sz w:val="22"/>
          <w:szCs w:val="22"/>
        </w:rPr>
        <w:t>Roadway Network</w:t>
      </w:r>
    </w:p>
    <w:p w14:paraId="714EB1D2" w14:textId="64C27B7C" w:rsidR="005E06EF" w:rsidRPr="00F649B5" w:rsidRDefault="009B3EAA" w:rsidP="00F649B5">
      <w:pPr>
        <w:pStyle w:val="BulletListLevel1"/>
        <w:rPr>
          <w:rStyle w:val="BodyTextChar0"/>
        </w:rPr>
      </w:pPr>
      <w:r w:rsidRPr="00F649B5">
        <w:rPr>
          <w:rStyle w:val="BodyTextChar0"/>
          <w:b/>
          <w:bCs/>
        </w:rPr>
        <w:t>U</w:t>
      </w:r>
      <w:r w:rsidR="00F649B5">
        <w:rPr>
          <w:rStyle w:val="BodyTextChar0"/>
          <w:b/>
          <w:bCs/>
        </w:rPr>
        <w:t>S</w:t>
      </w:r>
      <w:r w:rsidR="005E06EF" w:rsidRPr="00F649B5">
        <w:rPr>
          <w:rStyle w:val="BodyTextChar0"/>
          <w:b/>
          <w:bCs/>
        </w:rPr>
        <w:t xml:space="preserve"> Highway 101 (US 101)</w:t>
      </w:r>
      <w:r w:rsidRPr="00F649B5">
        <w:rPr>
          <w:rStyle w:val="BodyTextChar0"/>
        </w:rPr>
        <w:t xml:space="preserve"> is a north-south, eight-lane freeway with three mixed-flow lanes and one High Occupancy Vehicle (HOV) lane in each direction in the vicinity of the project. HOV Lanes, also known as diamond or carpool lanes, are restricted for use by vehicles occupied by two or more persons or motorcycles between 5-9 a.m. and between 3-7 p.m. HOV includes carpools, vanpools, and buses. US 101 is located north of the project site and provides regional freeway access north through the City of San Francisco and south through the City of San Jose. Near the project site, US 101 is oriented in an east-west direction. Access from US 101 to the project site is provided via interchanges at N</w:t>
      </w:r>
      <w:r w:rsidR="005E06EF" w:rsidRPr="00F649B5">
        <w:rPr>
          <w:rStyle w:val="BodyTextChar0"/>
        </w:rPr>
        <w:t>orth</w:t>
      </w:r>
      <w:r w:rsidRPr="00F649B5">
        <w:rPr>
          <w:rStyle w:val="BodyTextChar0"/>
        </w:rPr>
        <w:t xml:space="preserve"> Shoreline Boulevard,</w:t>
      </w:r>
      <w:r w:rsidR="005E06EF" w:rsidRPr="00F649B5">
        <w:rPr>
          <w:rStyle w:val="BodyTextChar0"/>
        </w:rPr>
        <w:t xml:space="preserve"> State Route</w:t>
      </w:r>
      <w:r w:rsidRPr="00F649B5">
        <w:rPr>
          <w:rStyle w:val="BodyTextChar0"/>
        </w:rPr>
        <w:t xml:space="preserve"> </w:t>
      </w:r>
      <w:r w:rsidR="005E06EF" w:rsidRPr="00F649B5">
        <w:rPr>
          <w:rStyle w:val="BodyTextChar0"/>
        </w:rPr>
        <w:t>(</w:t>
      </w:r>
      <w:r w:rsidRPr="00F649B5">
        <w:rPr>
          <w:rStyle w:val="BodyTextChar0"/>
        </w:rPr>
        <w:t>SR</w:t>
      </w:r>
      <w:r w:rsidR="005E06EF" w:rsidRPr="00F649B5">
        <w:rPr>
          <w:rStyle w:val="BodyTextChar0"/>
        </w:rPr>
        <w:t>)</w:t>
      </w:r>
      <w:r w:rsidRPr="00F649B5">
        <w:rPr>
          <w:rStyle w:val="BodyTextChar0"/>
        </w:rPr>
        <w:t xml:space="preserve"> 85, and SR 237.</w:t>
      </w:r>
    </w:p>
    <w:p w14:paraId="46BDA96D" w14:textId="459995D9" w:rsidR="005E06EF" w:rsidRPr="00F649B5" w:rsidRDefault="005E06EF" w:rsidP="00F649B5">
      <w:pPr>
        <w:pStyle w:val="BulletListLevel1"/>
      </w:pPr>
      <w:r w:rsidRPr="00F649B5">
        <w:rPr>
          <w:rStyle w:val="BodyTextChar0"/>
          <w:b/>
          <w:bCs/>
        </w:rPr>
        <w:t>SR 85</w:t>
      </w:r>
      <w:r w:rsidRPr="00F649B5">
        <w:t xml:space="preserve"> is a north-south, six-lane freeway with two mixed-flow lanes per direction and one HOV lane in each direction during peak periods in the vicinity of the project site. SR 85 extends from the SR 85/US 101 interchange in Mountain View to the SR 85/US 101 interchange in south San Jose. Access from SR 85 to the project site is provided via interchanges at Moffett Boulevard, Central Expressway/Evelyn Avenue, SR 237, and El Camino Real.</w:t>
      </w:r>
    </w:p>
    <w:p w14:paraId="258D4A75" w14:textId="77777777" w:rsidR="00F649B5" w:rsidRDefault="009B3EAA" w:rsidP="00F649B5">
      <w:pPr>
        <w:pStyle w:val="BulletListLevel1"/>
      </w:pPr>
      <w:r w:rsidRPr="00F649B5">
        <w:rPr>
          <w:b/>
          <w:bCs/>
        </w:rPr>
        <w:t>SR 237</w:t>
      </w:r>
      <w:r w:rsidRPr="00F649B5">
        <w:t xml:space="preserve"> is an east-west freeway extending between the City of Mountain View (El Camino Real/SR 85) and</w:t>
      </w:r>
      <w:r w:rsidR="005E06EF" w:rsidRPr="00F649B5">
        <w:t xml:space="preserve"> </w:t>
      </w:r>
      <w:r w:rsidRPr="00F649B5">
        <w:t>the City of Milpitas (I-680). SR 237 includes two mixed flow lanes in the City of Mountain View. Access</w:t>
      </w:r>
      <w:r w:rsidR="005E06EF" w:rsidRPr="00F649B5">
        <w:t xml:space="preserve"> </w:t>
      </w:r>
      <w:r w:rsidRPr="00F649B5">
        <w:t>from SR 237 to the project site is provided via an interchange at W Middlefield Road.</w:t>
      </w:r>
    </w:p>
    <w:p w14:paraId="1C4DA682" w14:textId="2CF3F1BA" w:rsidR="005E06EF" w:rsidRPr="00F649B5" w:rsidRDefault="009B3EAA" w:rsidP="00F649B5">
      <w:pPr>
        <w:pStyle w:val="BulletListLevel1"/>
      </w:pPr>
      <w:r w:rsidRPr="00F649B5">
        <w:rPr>
          <w:b/>
          <w:bCs/>
        </w:rPr>
        <w:t>SR 82 (El Camino Real)</w:t>
      </w:r>
      <w:r w:rsidRPr="00F649B5">
        <w:t xml:space="preserve"> provides regional access between the City of San Francisco to the north and the</w:t>
      </w:r>
      <w:r w:rsidR="005E06EF" w:rsidRPr="00F649B5">
        <w:t xml:space="preserve"> </w:t>
      </w:r>
      <w:r w:rsidRPr="00F649B5">
        <w:t>City of San Jose to the south. It is a regionally significant east-west (in the project vicinity) arterial with</w:t>
      </w:r>
      <w:r w:rsidR="005E06EF" w:rsidRPr="00F649B5">
        <w:t xml:space="preserve"> </w:t>
      </w:r>
      <w:r w:rsidRPr="00F649B5">
        <w:t>three mixed-flow lanes in each direction. The roadway provides local connections to t</w:t>
      </w:r>
      <w:r w:rsidR="00A07DFA" w:rsidRPr="00F649B5">
        <w:t>h</w:t>
      </w:r>
      <w:r w:rsidRPr="00F649B5">
        <w:t>e project site via N</w:t>
      </w:r>
      <w:r w:rsidR="005E06EF" w:rsidRPr="00F649B5">
        <w:t xml:space="preserve"> </w:t>
      </w:r>
      <w:r w:rsidRPr="00F649B5">
        <w:t>Shoreline Boulevard.</w:t>
      </w:r>
    </w:p>
    <w:p w14:paraId="49E28A46" w14:textId="028449B3" w:rsidR="005E06EF" w:rsidRPr="00F649B5" w:rsidRDefault="009B3EAA" w:rsidP="00F649B5">
      <w:pPr>
        <w:pStyle w:val="BulletListLevel1"/>
      </w:pPr>
      <w:r w:rsidRPr="00F649B5">
        <w:rPr>
          <w:b/>
          <w:bCs/>
        </w:rPr>
        <w:t>N Shoreline Boulevard</w:t>
      </w:r>
      <w:r w:rsidRPr="00F649B5">
        <w:t xml:space="preserve"> is a four-lane and six-lane roadway aligned in a mostly north-south orientation in</w:t>
      </w:r>
      <w:r w:rsidR="005E06EF" w:rsidRPr="00F649B5">
        <w:t xml:space="preserve"> </w:t>
      </w:r>
      <w:r w:rsidRPr="00F649B5">
        <w:t>the vicinity of the site. N Shoreline Boulevard extends from SR 82 (El Camino Real) to Shoreline Park.</w:t>
      </w:r>
      <w:r w:rsidR="005E06EF" w:rsidRPr="00F649B5">
        <w:t xml:space="preserve"> </w:t>
      </w:r>
      <w:r w:rsidRPr="00F649B5">
        <w:t>Access from N Shoreline Boulevard to the project site is provided via Terra Bella Avenue.</w:t>
      </w:r>
    </w:p>
    <w:p w14:paraId="50A7E9E9" w14:textId="56045F2E" w:rsidR="005E06EF" w:rsidRPr="00F649B5" w:rsidRDefault="009B3EAA" w:rsidP="00F649B5">
      <w:pPr>
        <w:pStyle w:val="BulletListLevel1"/>
      </w:pPr>
      <w:r w:rsidRPr="00F649B5">
        <w:rPr>
          <w:b/>
          <w:bCs/>
        </w:rPr>
        <w:t>Terra Bella Avenue</w:t>
      </w:r>
      <w:r w:rsidRPr="00F649B5">
        <w:t xml:space="preserve"> is a two-lane roadway aligned in an east-west orientation in the vicinity of the site. It</w:t>
      </w:r>
      <w:r w:rsidR="005E06EF" w:rsidRPr="00F649B5">
        <w:t xml:space="preserve"> </w:t>
      </w:r>
      <w:r w:rsidRPr="00F649B5">
        <w:t>runs between W Middlefield Road and San Leandro Street. Terra Bella Avenue would provide direct access</w:t>
      </w:r>
      <w:r w:rsidR="005E06EF" w:rsidRPr="00F649B5">
        <w:t xml:space="preserve"> </w:t>
      </w:r>
      <w:r w:rsidRPr="00F649B5">
        <w:t>to the project site. In the project vicinity, on-street parking is available on the entire south side of Terra</w:t>
      </w:r>
      <w:r w:rsidR="005E06EF" w:rsidRPr="00F649B5">
        <w:t xml:space="preserve"> </w:t>
      </w:r>
      <w:r w:rsidRPr="00F649B5">
        <w:t>Bella Avenue and on a portion of the north side.</w:t>
      </w:r>
    </w:p>
    <w:p w14:paraId="2DB66F59" w14:textId="3B665959" w:rsidR="005E06EF" w:rsidRPr="00F649B5" w:rsidRDefault="009B3EAA" w:rsidP="00F649B5">
      <w:pPr>
        <w:pStyle w:val="BulletListLevel1"/>
      </w:pPr>
      <w:r w:rsidRPr="00F649B5">
        <w:rPr>
          <w:b/>
        </w:rPr>
        <w:t>W Middlefield Road</w:t>
      </w:r>
      <w:r w:rsidRPr="00F649B5">
        <w:t xml:space="preserve"> is a four-lane roadway that begins at Veterans Boulevard in Redwood City, extends</w:t>
      </w:r>
      <w:r w:rsidR="005E06EF" w:rsidRPr="00F649B5">
        <w:t xml:space="preserve"> </w:t>
      </w:r>
      <w:r w:rsidRPr="00F649B5">
        <w:t>south to Winslow Street, and continues eastward until it terminates at Central Expressway in Sunnyvale.</w:t>
      </w:r>
    </w:p>
    <w:p w14:paraId="30E4973F" w14:textId="6D8E0074" w:rsidR="009B3EAA" w:rsidRPr="00F649B5" w:rsidRDefault="009B3EAA" w:rsidP="00F649B5">
      <w:pPr>
        <w:pStyle w:val="BulletListLevel1"/>
      </w:pPr>
      <w:r w:rsidRPr="00F649B5">
        <w:rPr>
          <w:b/>
          <w:bCs/>
        </w:rPr>
        <w:t>Linda Vista Avenue</w:t>
      </w:r>
      <w:r w:rsidRPr="00F649B5">
        <w:t xml:space="preserve"> is a two-lane north-south roadway that begins at W Middlefield Road and extends</w:t>
      </w:r>
      <w:r w:rsidR="005E06EF" w:rsidRPr="00F649B5">
        <w:t xml:space="preserve"> </w:t>
      </w:r>
      <w:r w:rsidRPr="00F649B5">
        <w:t>north until it terminates in a cul-de-sac just south of US 101.</w:t>
      </w:r>
    </w:p>
    <w:p w14:paraId="70575581" w14:textId="20BAF315" w:rsidR="009B3EAA" w:rsidRDefault="00DD3D96" w:rsidP="005E06EF">
      <w:pPr>
        <w:pStyle w:val="Heading6"/>
      </w:pPr>
      <w:r>
        <w:t xml:space="preserve">Existing </w:t>
      </w:r>
      <w:r w:rsidR="005E06EF">
        <w:t xml:space="preserve">Pedestrian Facilities </w:t>
      </w:r>
    </w:p>
    <w:p w14:paraId="2933EDFB" w14:textId="77777777" w:rsidR="00DD3D96" w:rsidRDefault="00DD3D96" w:rsidP="00DD3D96">
      <w:pPr>
        <w:pStyle w:val="body0"/>
      </w:pPr>
      <w:r w:rsidRPr="00DD3D96">
        <w:t>Pedestrian facilities are comprised of crosswalks, sidewalks, pedestrian signals, and off-street paths which</w:t>
      </w:r>
      <w:r>
        <w:t xml:space="preserve"> </w:t>
      </w:r>
      <w:r w:rsidRPr="00DD3D96">
        <w:t>provide safe and convenient routes for pedestrians to access the destinations such as institutions,</w:t>
      </w:r>
      <w:r>
        <w:t xml:space="preserve"> </w:t>
      </w:r>
      <w:r w:rsidRPr="00DD3D96">
        <w:t>businesses, public transportation, and recreation facilities. Sidewalks are available in front of the project</w:t>
      </w:r>
      <w:r>
        <w:t xml:space="preserve"> </w:t>
      </w:r>
      <w:r w:rsidRPr="00DD3D96">
        <w:t>site on Terra Bella Avenue.</w:t>
      </w:r>
    </w:p>
    <w:p w14:paraId="3A175916" w14:textId="2632F865" w:rsidR="00DD3D96" w:rsidRDefault="00DD3D96" w:rsidP="00DD3D96">
      <w:pPr>
        <w:pStyle w:val="body0"/>
      </w:pPr>
      <w:r w:rsidRPr="00DD3D96">
        <w:t>In the project vicinity, signalized study intersections are equipped with countdown pedestrian signal</w:t>
      </w:r>
      <w:r w:rsidR="00CD2E8A">
        <w:t xml:space="preserve"> </w:t>
      </w:r>
      <w:r w:rsidRPr="00DD3D96">
        <w:t>heads. Crosswalks also are provided on all approaches of the unsignalized intersection of Linda Vista</w:t>
      </w:r>
      <w:r w:rsidR="00CD2E8A">
        <w:t xml:space="preserve"> </w:t>
      </w:r>
      <w:r w:rsidRPr="00DD3D96">
        <w:t>Avenue/Terra Bella Avenue and on some approaches of the Linda Vista Avenue</w:t>
      </w:r>
      <w:r w:rsidR="00235CDC">
        <w:t>/</w:t>
      </w:r>
      <w:r w:rsidRPr="00DD3D96">
        <w:t>W Middlefield Road and</w:t>
      </w:r>
      <w:r>
        <w:t xml:space="preserve"> </w:t>
      </w:r>
      <w:r w:rsidRPr="00DD3D96">
        <w:t>N Shoreline Boulevard/US 101 on-ramps intersections. A continuous pedestrian network is available</w:t>
      </w:r>
      <w:r>
        <w:t xml:space="preserve"> </w:t>
      </w:r>
      <w:r w:rsidRPr="00DD3D96">
        <w:t>crossing northbound and southbound over US 101. Overall, the existing network of sidewalks and</w:t>
      </w:r>
      <w:r>
        <w:t xml:space="preserve"> </w:t>
      </w:r>
      <w:r w:rsidRPr="00DD3D96">
        <w:t>crosswalks provides pedestrians with safe routes to bus stops and other points of interest within the area.</w:t>
      </w:r>
    </w:p>
    <w:p w14:paraId="1396E242" w14:textId="53A7B77B" w:rsidR="00DD3D96" w:rsidRDefault="00232F8C" w:rsidP="00F649B5">
      <w:pPr>
        <w:pStyle w:val="Heading6"/>
        <w:pageBreakBefore/>
      </w:pPr>
      <w:r>
        <w:t>Bicycle Facility Classifications</w:t>
      </w:r>
    </w:p>
    <w:p w14:paraId="79B77211" w14:textId="45F44CCE" w:rsidR="00DD3D96" w:rsidRDefault="00DD3D96" w:rsidP="00DD3D96">
      <w:pPr>
        <w:pStyle w:val="BodyText"/>
        <w:rPr>
          <w:rFonts w:ascii="SegoeUI" w:hAnsi="SegoeUI"/>
          <w:color w:val="000000"/>
          <w:sz w:val="20"/>
          <w:szCs w:val="20"/>
        </w:rPr>
      </w:pPr>
      <w:r w:rsidRPr="00DD3D96">
        <w:rPr>
          <w:rFonts w:ascii="SegoeUI" w:hAnsi="SegoeUI"/>
          <w:color w:val="000000"/>
          <w:sz w:val="20"/>
          <w:szCs w:val="20"/>
        </w:rPr>
        <w:t>The City of Mountain View 2015</w:t>
      </w:r>
      <w:r>
        <w:rPr>
          <w:rFonts w:ascii="SegoeUI" w:hAnsi="SegoeUI"/>
          <w:color w:val="000000"/>
          <w:sz w:val="20"/>
          <w:szCs w:val="20"/>
        </w:rPr>
        <w:t xml:space="preserve"> </w:t>
      </w:r>
      <w:r w:rsidRPr="00DD3D96">
        <w:rPr>
          <w:rFonts w:ascii="SegoeUI" w:hAnsi="SegoeUI"/>
          <w:color w:val="000000"/>
          <w:sz w:val="20"/>
          <w:szCs w:val="20"/>
        </w:rPr>
        <w:t>Bicycle Transportation Plan Update</w:t>
      </w:r>
      <w:r w:rsidRPr="00DD3D96">
        <w:rPr>
          <w:rFonts w:ascii="SegoeUI" w:hAnsi="SegoeUI"/>
          <w:color w:val="000000"/>
          <w:sz w:val="14"/>
          <w:szCs w:val="14"/>
        </w:rPr>
        <w:t xml:space="preserve"> </w:t>
      </w:r>
      <w:r w:rsidRPr="00DD3D96">
        <w:rPr>
          <w:rFonts w:ascii="SegoeUI" w:hAnsi="SegoeUI"/>
          <w:color w:val="000000"/>
          <w:sz w:val="20"/>
          <w:szCs w:val="20"/>
        </w:rPr>
        <w:t>describes the four bikeway classifications in the City</w:t>
      </w:r>
      <w:r>
        <w:rPr>
          <w:rFonts w:ascii="SegoeUI" w:hAnsi="SegoeUI"/>
          <w:color w:val="000000"/>
          <w:sz w:val="20"/>
          <w:szCs w:val="20"/>
        </w:rPr>
        <w:t>:</w:t>
      </w:r>
    </w:p>
    <w:p w14:paraId="036ECDF8" w14:textId="2E7171AF" w:rsidR="00DD3D96" w:rsidRDefault="00DD3D96" w:rsidP="00DD3D96">
      <w:pPr>
        <w:pStyle w:val="bullet1"/>
      </w:pPr>
      <w:r w:rsidRPr="00DD3D96">
        <w:rPr>
          <w:b/>
          <w:bCs/>
        </w:rPr>
        <w:t>Class I Bikeways/Multi-Use Paths:</w:t>
      </w:r>
      <w:r w:rsidRPr="00DD3D96">
        <w:t xml:space="preserve"> Class I bikeways are also referred to as multi-use or shared</w:t>
      </w:r>
      <w:r w:rsidR="00235CDC">
        <w:t xml:space="preserve"> </w:t>
      </w:r>
      <w:r w:rsidRPr="00DD3D96">
        <w:t>use paths. They provide completely separated, exclusive right of way for people to walk and bike.</w:t>
      </w:r>
      <w:r>
        <w:t xml:space="preserve"> </w:t>
      </w:r>
      <w:r w:rsidRPr="00DD3D96">
        <w:t>Stevens Creek Trail</w:t>
      </w:r>
      <w:r w:rsidR="00985F82">
        <w:t>,</w:t>
      </w:r>
      <w:r w:rsidRPr="00DD3D96">
        <w:t xml:space="preserve"> located approximately a mile east of the </w:t>
      </w:r>
      <w:r w:rsidR="00985F82">
        <w:t>p</w:t>
      </w:r>
      <w:r w:rsidRPr="00DD3D96">
        <w:t>roject</w:t>
      </w:r>
      <w:r w:rsidR="00985F82">
        <w:t xml:space="preserve"> site,</w:t>
      </w:r>
      <w:r w:rsidRPr="00DD3D96">
        <w:t xml:space="preserve"> is a north-south Class I</w:t>
      </w:r>
      <w:r>
        <w:t xml:space="preserve"> </w:t>
      </w:r>
      <w:r w:rsidRPr="00DD3D96">
        <w:t>bikeway providing north-south intercity connections.</w:t>
      </w:r>
    </w:p>
    <w:p w14:paraId="19C3CE65" w14:textId="69B66B11" w:rsidR="00DD3D96" w:rsidRDefault="00DD3D96" w:rsidP="00DD3D96">
      <w:pPr>
        <w:pStyle w:val="bullet1"/>
      </w:pPr>
      <w:r w:rsidRPr="00DD3D96">
        <w:rPr>
          <w:b/>
          <w:bCs/>
        </w:rPr>
        <w:t>Class II Bikeways/On-Street Bike Lanes:</w:t>
      </w:r>
      <w:r w:rsidRPr="00DD3D96">
        <w:t xml:space="preserve"> Class II bikeways are striped lanes on roadways for one</w:t>
      </w:r>
      <w:r w:rsidR="00235CDC">
        <w:t xml:space="preserve"> </w:t>
      </w:r>
      <w:r w:rsidRPr="00DD3D96">
        <w:t>way bicycle travel. Some Class II bikeways can also have painted buffers that add a few feet of</w:t>
      </w:r>
      <w:r>
        <w:t xml:space="preserve"> </w:t>
      </w:r>
      <w:r w:rsidRPr="00DD3D96">
        <w:t xml:space="preserve">separation between the bike lane and the traffic lane. </w:t>
      </w:r>
    </w:p>
    <w:p w14:paraId="4722BBAA" w14:textId="5CF070D4" w:rsidR="00DD3D96" w:rsidRDefault="00DD3D96" w:rsidP="00DD3D96">
      <w:pPr>
        <w:pStyle w:val="bullet1"/>
      </w:pPr>
      <w:r w:rsidRPr="00DD3D96">
        <w:rPr>
          <w:b/>
          <w:bCs/>
        </w:rPr>
        <w:t>Class III Bikeways/Bike Routes:</w:t>
      </w:r>
      <w:r w:rsidRPr="00DD3D96">
        <w:t xml:space="preserve"> Class III bikeways are signed bike routes where bicyclists share a</w:t>
      </w:r>
      <w:r w:rsidR="00CD2E8A">
        <w:t xml:space="preserve"> </w:t>
      </w:r>
      <w:r w:rsidRPr="00DD3D96">
        <w:t>travel lane with motorists. Class III bike routes are appropriate for low-volume streets with slow</w:t>
      </w:r>
      <w:r w:rsidR="00CD2E8A">
        <w:t xml:space="preserve"> </w:t>
      </w:r>
      <w:r w:rsidRPr="00DD3D96">
        <w:t>travel speeds, especially those on which vehicular traffic volumes are low enough that passing</w:t>
      </w:r>
      <w:r w:rsidR="00CD2E8A">
        <w:t xml:space="preserve"> </w:t>
      </w:r>
      <w:r w:rsidRPr="00DD3D96">
        <w:t>maneuvers can use the full street width, on roadways with bicycle demand but without adequate</w:t>
      </w:r>
      <w:r>
        <w:t xml:space="preserve"> </w:t>
      </w:r>
      <w:r w:rsidRPr="00DD3D96">
        <w:t>space for Class II striped bike lanes, and as “gap fillers” where there are short breaks in Class II</w:t>
      </w:r>
      <w:r>
        <w:t xml:space="preserve"> </w:t>
      </w:r>
      <w:r w:rsidRPr="00DD3D96">
        <w:t>lanes due to right-of-way constraints.</w:t>
      </w:r>
      <w:r>
        <w:t xml:space="preserve"> </w:t>
      </w:r>
    </w:p>
    <w:p w14:paraId="22BA7C8B" w14:textId="77777777" w:rsidR="00DD3D96" w:rsidRDefault="00DD3D96" w:rsidP="00DD3D96">
      <w:pPr>
        <w:pStyle w:val="bullet1"/>
      </w:pPr>
      <w:r w:rsidRPr="00DD3D96">
        <w:rPr>
          <w:b/>
          <w:bCs/>
        </w:rPr>
        <w:t>Class III Bicycle Boulevards:</w:t>
      </w:r>
      <w:r w:rsidRPr="00DD3D96">
        <w:t xml:space="preserve"> Bicycle Boulevards are a type of Class III bikeway with additional</w:t>
      </w:r>
      <w:r w:rsidRPr="00DD3D96">
        <w:br/>
        <w:t>treatments that prioritize bicycle use. Bike Boulevards are signed, shared roadways with low motor</w:t>
      </w:r>
      <w:r>
        <w:t xml:space="preserve"> </w:t>
      </w:r>
      <w:r w:rsidRPr="00DD3D96">
        <w:t>vehicle volume, such that motorists passing bicyclists can use the full width of the roadway.</w:t>
      </w:r>
      <w:r>
        <w:t xml:space="preserve"> </w:t>
      </w:r>
      <w:r w:rsidRPr="00DD3D96">
        <w:t>Bicycle Boulevards prioritize convenient and safe bicycle travel through traffic calming strategies,</w:t>
      </w:r>
      <w:r>
        <w:t xml:space="preserve"> </w:t>
      </w:r>
      <w:r w:rsidRPr="00DD3D96">
        <w:t>wayfinding signage, and other measures.</w:t>
      </w:r>
    </w:p>
    <w:p w14:paraId="770B977E" w14:textId="1E9F5FAE" w:rsidR="00DD3D96" w:rsidRDefault="00DD3D96" w:rsidP="00DD3D96">
      <w:pPr>
        <w:pStyle w:val="bullet1"/>
      </w:pPr>
      <w:r w:rsidRPr="00DD3D96">
        <w:rPr>
          <w:b/>
          <w:bCs/>
        </w:rPr>
        <w:t>Class IV Bikeways/Protected On-Street Bike Lane/Cycle tracks:</w:t>
      </w:r>
      <w:r w:rsidRPr="00DD3D96">
        <w:t xml:space="preserve"> A Class IV bikeway, known as a</w:t>
      </w:r>
      <w:r w:rsidR="00CD2E8A">
        <w:t xml:space="preserve"> </w:t>
      </w:r>
      <w:r w:rsidRPr="00DD3D96">
        <w:t>cycle track or protected bike lane, is an on-street bike lane that is physically separated from</w:t>
      </w:r>
      <w:r w:rsidR="00CD2E8A">
        <w:t xml:space="preserve"> </w:t>
      </w:r>
      <w:r w:rsidRPr="00DD3D96">
        <w:t>motor-vehicle traffic by a vertical separation, such as a raised curb, bollard, or car parking</w:t>
      </w:r>
      <w:r>
        <w:t xml:space="preserve">. </w:t>
      </w:r>
    </w:p>
    <w:p w14:paraId="61A02096" w14:textId="77777777" w:rsidR="00232F8C" w:rsidRDefault="00232F8C" w:rsidP="00232F8C">
      <w:pPr>
        <w:pStyle w:val="Heading6"/>
      </w:pPr>
      <w:r>
        <w:t xml:space="preserve">Existing Bicycle Facilities </w:t>
      </w:r>
    </w:p>
    <w:p w14:paraId="435B8006" w14:textId="681816F4" w:rsidR="00DD3D96" w:rsidRPr="00F649B5" w:rsidRDefault="00DD3D96" w:rsidP="00F649B5">
      <w:pPr>
        <w:pStyle w:val="BulletListLevel1"/>
      </w:pPr>
      <w:r w:rsidRPr="00F649B5">
        <w:rPr>
          <w:b/>
          <w:bCs/>
        </w:rPr>
        <w:t>The Stevens Creek Trail</w:t>
      </w:r>
      <w:r w:rsidRPr="00F649B5">
        <w:t xml:space="preserve"> is a Class I bicycle path that extends from the intersection of Heatherstone Way/Dale Avenue in the south to the Bay Trail network in the North Bayshore area north of US 101. The trail can be accessed from W Middlefield Road, Moffett Boulevard, and La Avenida Street, which are all </w:t>
      </w:r>
      <w:r w:rsidR="00235CDC" w:rsidRPr="00F649B5">
        <w:t>approximately</w:t>
      </w:r>
      <w:r w:rsidRPr="00F649B5">
        <w:t xml:space="preserve"> one</w:t>
      </w:r>
      <w:r w:rsidR="00235CDC" w:rsidRPr="00F649B5">
        <w:t xml:space="preserve"> </w:t>
      </w:r>
      <w:r w:rsidRPr="00F649B5">
        <w:t>mile biking distance from the project site.</w:t>
      </w:r>
    </w:p>
    <w:p w14:paraId="2CC3B405" w14:textId="77777777" w:rsidR="00DD3D96" w:rsidRPr="00F649B5" w:rsidRDefault="00DD3D96" w:rsidP="00F649B5">
      <w:pPr>
        <w:pStyle w:val="BulletListLevel1"/>
      </w:pPr>
      <w:r w:rsidRPr="00F649B5">
        <w:rPr>
          <w:b/>
          <w:bCs/>
        </w:rPr>
        <w:t>N Shoreline Boulevard</w:t>
      </w:r>
      <w:r w:rsidRPr="00F649B5">
        <w:t xml:space="preserve"> has striped Class II bicycle lanes from El Camino Real in the south to Charleston Road in the north Shoreline Boulevard provides bicycle access from the project site to the Bailey Park Plaza Shopping Center and the North Bayshore area.</w:t>
      </w:r>
    </w:p>
    <w:p w14:paraId="49C61DD0" w14:textId="068C5504" w:rsidR="00DD3D96" w:rsidRPr="00F649B5" w:rsidRDefault="00DD3D96" w:rsidP="00F649B5">
      <w:pPr>
        <w:pStyle w:val="BulletListLevel1"/>
      </w:pPr>
      <w:r w:rsidRPr="00F649B5">
        <w:rPr>
          <w:b/>
          <w:bCs/>
        </w:rPr>
        <w:t>W Middlefield Road</w:t>
      </w:r>
      <w:r w:rsidRPr="00F649B5">
        <w:t xml:space="preserve"> has Class II bicycle lanes across the City of Mountain View, from Old Middlefield</w:t>
      </w:r>
      <w:r w:rsidR="00E448F3" w:rsidRPr="00F649B5">
        <w:t xml:space="preserve"> </w:t>
      </w:r>
      <w:r w:rsidRPr="00F649B5">
        <w:t>Way in the west to Bernardo Avenue in the east. W Middlefield Road provides bicycle access to the</w:t>
      </w:r>
      <w:r w:rsidR="00E448F3" w:rsidRPr="00F649B5">
        <w:t xml:space="preserve"> </w:t>
      </w:r>
      <w:r w:rsidRPr="00F649B5">
        <w:t>Stevens Creek Trail.</w:t>
      </w:r>
    </w:p>
    <w:p w14:paraId="757151E8" w14:textId="77777777" w:rsidR="0005601A" w:rsidRPr="00F649B5" w:rsidRDefault="00DD3D96" w:rsidP="00F649B5">
      <w:pPr>
        <w:pStyle w:val="BulletListLevel1"/>
      </w:pPr>
      <w:r w:rsidRPr="00F649B5">
        <w:rPr>
          <w:b/>
          <w:bCs/>
        </w:rPr>
        <w:t>La Avenida Street</w:t>
      </w:r>
      <w:r w:rsidRPr="00F649B5">
        <w:t xml:space="preserve"> has Class II bicycle lanes from Inigo Way in the west to a cul-de-sac in the east that provides access to the Stevens Creek Trail. The VTA Bikeways Map and the City of Mountain View Bike Map </w:t>
      </w:r>
      <w:r w:rsidR="0005601A" w:rsidRPr="00F649B5">
        <w:t>show a Class III bicycle route on La Avenida Street between N Shoreline Boulevard and Inigo Way. However, there is no signage on the roadway to suggest that this segment is a bicycle route.</w:t>
      </w:r>
    </w:p>
    <w:p w14:paraId="48335FEA" w14:textId="4A456BBD" w:rsidR="00DD3D96" w:rsidRPr="00DD3D96" w:rsidRDefault="0005601A" w:rsidP="00F649B5">
      <w:pPr>
        <w:pStyle w:val="BulletListLevel1"/>
      </w:pPr>
      <w:r w:rsidRPr="00F649B5">
        <w:rPr>
          <w:b/>
          <w:bCs/>
        </w:rPr>
        <w:t>Inigo Way</w:t>
      </w:r>
      <w:r w:rsidRPr="00F649B5">
        <w:t xml:space="preserve"> has Class II bicycle lan</w:t>
      </w:r>
      <w:r w:rsidRPr="0005601A">
        <w:t>es along its entirety from La Avenida Street to Pear Avenue.</w:t>
      </w:r>
    </w:p>
    <w:p w14:paraId="37773C7A" w14:textId="0ED99B62" w:rsidR="00DD3D96" w:rsidRDefault="0005601A" w:rsidP="0005601A">
      <w:pPr>
        <w:pStyle w:val="Heading6"/>
      </w:pPr>
      <w:r>
        <w:t xml:space="preserve">Existing Transit Services and Facilities </w:t>
      </w:r>
    </w:p>
    <w:p w14:paraId="2225541B" w14:textId="11C13AB2" w:rsidR="0005601A" w:rsidRDefault="0005601A" w:rsidP="0005601A">
      <w:pPr>
        <w:pStyle w:val="BodyText0"/>
      </w:pPr>
      <w:r w:rsidRPr="0005601A">
        <w:t>Mountain View has a variety of transit options that provide access to regional destinations as well as</w:t>
      </w:r>
      <w:r w:rsidR="00E448F3">
        <w:t xml:space="preserve"> </w:t>
      </w:r>
      <w:r w:rsidRPr="0005601A">
        <w:t xml:space="preserve">intercity travel, including Caltrain, </w:t>
      </w:r>
      <w:r w:rsidR="00E448F3">
        <w:t>Valley Transportation Authority (</w:t>
      </w:r>
      <w:r w:rsidRPr="0005601A">
        <w:t>VTA</w:t>
      </w:r>
      <w:r w:rsidR="00E448F3">
        <w:t>)</w:t>
      </w:r>
      <w:r w:rsidRPr="0005601A">
        <w:t xml:space="preserve"> Light Rail Transit (LRT), </w:t>
      </w:r>
      <w:r w:rsidR="00E448F3">
        <w:t>V</w:t>
      </w:r>
      <w:r w:rsidRPr="0005601A">
        <w:t>TA bus, MVgo Shuttle, and Mountain View</w:t>
      </w:r>
      <w:r>
        <w:t xml:space="preserve"> </w:t>
      </w:r>
      <w:r w:rsidRPr="0005601A">
        <w:t>Community Shuttle services. VTA services are based on the VTA 2019 New Transit Service Plan, which reflects what are likely</w:t>
      </w:r>
      <w:r>
        <w:t xml:space="preserve"> </w:t>
      </w:r>
      <w:r w:rsidRPr="0005601A">
        <w:t>to be more permanent baseline conditions prior to the temporary service changes associated with COVID-19.</w:t>
      </w:r>
    </w:p>
    <w:p w14:paraId="02B61949" w14:textId="0338C78E" w:rsidR="0005601A" w:rsidRPr="00F649B5" w:rsidRDefault="0005601A" w:rsidP="00F649B5">
      <w:pPr>
        <w:pStyle w:val="BulletListLevel1"/>
      </w:pPr>
      <w:r w:rsidRPr="00F649B5">
        <w:rPr>
          <w:b/>
          <w:bCs/>
        </w:rPr>
        <w:t>Caltrain.</w:t>
      </w:r>
      <w:r w:rsidRPr="00F649B5">
        <w:t xml:space="preserve"> Caltrain provides commuter rail service along the San Francisco Bay Area Peninsula between Gilroy, through the south bay in San Jose, to San Francisco. Mountain View has two stations: San Antonio Station located at 190 Showers Drive and the Mountain View Station located at 600 W. Evelyn Avenue. The Caltrain Mountain View Station is an integral part of the Mountain View Transit Center, which has connections to VTA buses and light rail, community shuttles, bicycle share, and parking facilities. This station offers the Baby Bullet Express service which travels between San Francisco and San Jose in about an hour, stopping at a few popular stations. The Caltrain Mountain View Station is about 1.25 miles from the project site.</w:t>
      </w:r>
    </w:p>
    <w:p w14:paraId="7F45C5DB" w14:textId="77777777" w:rsidR="0005601A" w:rsidRPr="00F649B5" w:rsidRDefault="0005601A" w:rsidP="00F649B5">
      <w:pPr>
        <w:pStyle w:val="BulletListLevel1"/>
      </w:pPr>
      <w:r w:rsidRPr="00F649B5">
        <w:rPr>
          <w:b/>
          <w:bCs/>
        </w:rPr>
        <w:t xml:space="preserve">VTA Light Rail Transit and Bus Services. </w:t>
      </w:r>
      <w:r w:rsidRPr="00F649B5">
        <w:t>The VTA operates bus and light rail transit (LRT) services in the City of Mountain View, feeding into the entire Santa Clara County system. There are two VTA bus stops within 250 feet of the project site on N Shoreline Boulevard. Based on a regular service plan adopted in 2019, Routes 40 and Route B operate at these two stops providing regional and local services.</w:t>
      </w:r>
    </w:p>
    <w:p w14:paraId="4D2AAD5B" w14:textId="52F70D4B" w:rsidR="0005601A" w:rsidRPr="00F649B5" w:rsidRDefault="0005601A" w:rsidP="00F649B5">
      <w:pPr>
        <w:pStyle w:val="BulletListLevel1"/>
      </w:pPr>
      <w:r w:rsidRPr="00F649B5">
        <w:rPr>
          <w:b/>
          <w:bCs/>
        </w:rPr>
        <w:t>Mountain View Community Shuttle.</w:t>
      </w:r>
      <w:r w:rsidRPr="00F649B5">
        <w:t xml:space="preserve"> The Mountain View Community Shuttle provides free connections between residential neighborhoods and points of interest, such as city offices, libraries, parks, medical offices, shopping centers, and entertainment venues, throughout Mountain View. The Red Route, traveling westbound on W Middlefield Road, and the Gray Route, traveling eastbound on W Middlefield Road, stop at two bus stops at the intersection of N Shoreline Boulevard and W Middlefield Road, which are both less than a half mile walking distance from the project site.</w:t>
      </w:r>
    </w:p>
    <w:p w14:paraId="34899F33" w14:textId="420162F3" w:rsidR="0005601A" w:rsidRDefault="0005601A" w:rsidP="00F649B5">
      <w:pPr>
        <w:pStyle w:val="BulletListLevel1"/>
      </w:pPr>
      <w:r w:rsidRPr="00F649B5">
        <w:rPr>
          <w:b/>
          <w:bCs/>
        </w:rPr>
        <w:t>Mountain View Transportation Management Association (MTMA) Shuttle.</w:t>
      </w:r>
      <w:r w:rsidRPr="00F649B5">
        <w:t xml:space="preserve"> The MTMA oper</w:t>
      </w:r>
      <w:r w:rsidR="00A07DFA" w:rsidRPr="00F649B5">
        <w:t>a</w:t>
      </w:r>
      <w:r w:rsidRPr="00F649B5">
        <w:t>tes the MVgo shuttle system. This shuttle system is provided through the collection of MTMA memb</w:t>
      </w:r>
      <w:r w:rsidR="00A07DFA" w:rsidRPr="00F649B5">
        <w:t>e</w:t>
      </w:r>
      <w:r w:rsidRPr="00F649B5">
        <w:t xml:space="preserve">r dues. MVgo operates four shuttle routes that provide service </w:t>
      </w:r>
      <w:r w:rsidRPr="0005601A">
        <w:t>to employment areas from the Mountain View</w:t>
      </w:r>
      <w:r>
        <w:t xml:space="preserve"> </w:t>
      </w:r>
      <w:r w:rsidRPr="0005601A">
        <w:t>Transit Center during the peak commute hours. Route B provides service along N Shoreline Boulevard,</w:t>
      </w:r>
      <w:r>
        <w:t xml:space="preserve"> </w:t>
      </w:r>
      <w:r w:rsidRPr="0005601A">
        <w:t>Pear Avenue, and at Google offices in the North Bayshore area. The closest stops are located at the</w:t>
      </w:r>
      <w:r>
        <w:t xml:space="preserve"> </w:t>
      </w:r>
      <w:r w:rsidRPr="0005601A">
        <w:t>intersection of N Shoreline Boulevard and Terra Bella Avenue, which are both less than 500 feet walking</w:t>
      </w:r>
      <w:r>
        <w:t xml:space="preserve"> </w:t>
      </w:r>
      <w:r w:rsidRPr="0005601A">
        <w:t>distance from the project site. The shuttles are fare-free and open to the</w:t>
      </w:r>
      <w:r w:rsidR="00A07DFA" w:rsidRPr="0005601A">
        <w:t xml:space="preserve"> </w:t>
      </w:r>
      <w:r w:rsidRPr="0005601A">
        <w:t>public. MVgo shuttle service</w:t>
      </w:r>
      <w:r>
        <w:t xml:space="preserve"> </w:t>
      </w:r>
      <w:r w:rsidRPr="0005601A">
        <w:t>resumed with reduced service levels.</w:t>
      </w:r>
    </w:p>
    <w:p w14:paraId="1F2E5BB1" w14:textId="5BBC3655" w:rsidR="0005601A" w:rsidRDefault="0005601A" w:rsidP="00F649B5">
      <w:pPr>
        <w:pStyle w:val="bodyafter"/>
      </w:pPr>
      <w:r>
        <w:fldChar w:fldCharType="begin"/>
      </w:r>
      <w:r>
        <w:instrText xml:space="preserve"> REF _Ref93579006 \h </w:instrText>
      </w:r>
      <w:r>
        <w:fldChar w:fldCharType="separate"/>
      </w:r>
      <w:r w:rsidR="00FA55F1">
        <w:t xml:space="preserve">Table </w:t>
      </w:r>
      <w:r w:rsidR="00FA55F1">
        <w:rPr>
          <w:noProof/>
        </w:rPr>
        <w:t>31</w:t>
      </w:r>
      <w:r>
        <w:fldChar w:fldCharType="end"/>
      </w:r>
      <w:r>
        <w:t xml:space="preserve"> shows the existing bus and shuttle services within the vicinity of the project site. </w:t>
      </w:r>
    </w:p>
    <w:p w14:paraId="5BCBF777" w14:textId="37F3CD03" w:rsidR="00E60C6A" w:rsidRDefault="0005601A" w:rsidP="00F649B5">
      <w:pPr>
        <w:pStyle w:val="TableCaption"/>
        <w:pageBreakBefore/>
        <w:rPr>
          <w:rFonts w:asciiTheme="minorHAnsi" w:hAnsiTheme="minorHAnsi"/>
          <w:bCs/>
          <w:sz w:val="22"/>
          <w:szCs w:val="22"/>
          <w:highlight w:val="lightGray"/>
        </w:rPr>
      </w:pPr>
      <w:bookmarkStart w:id="320" w:name="_Ref93579006"/>
      <w:bookmarkStart w:id="321" w:name="_Toc112942480"/>
      <w:r>
        <w:t xml:space="preserve">Table </w:t>
      </w:r>
      <w:fldSimple w:instr=" SEQ Table \* ARABIC ">
        <w:r w:rsidR="00FA55F1">
          <w:rPr>
            <w:noProof/>
          </w:rPr>
          <w:t>31</w:t>
        </w:r>
      </w:fldSimple>
      <w:bookmarkEnd w:id="320"/>
      <w:r w:rsidR="001D4BBB">
        <w:tab/>
      </w:r>
      <w:r>
        <w:t>Existing Bus and Shuttle Services</w:t>
      </w:r>
      <w:bookmarkEnd w:id="321"/>
      <w:r>
        <w:t xml:space="preserve"> </w:t>
      </w:r>
    </w:p>
    <w:tbl>
      <w:tblPr>
        <w:tblStyle w:val="TableGrid"/>
        <w:tblW w:w="90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74"/>
        <w:gridCol w:w="1538"/>
        <w:gridCol w:w="1317"/>
        <w:gridCol w:w="1249"/>
        <w:gridCol w:w="1597"/>
        <w:gridCol w:w="1654"/>
      </w:tblGrid>
      <w:tr w:rsidR="00A9204A" w:rsidRPr="00F649B5" w14:paraId="50DEC48A" w14:textId="5AC84222" w:rsidTr="00F649B5">
        <w:trPr>
          <w:tblHeader/>
        </w:trPr>
        <w:tc>
          <w:tcPr>
            <w:tcW w:w="1674" w:type="dxa"/>
            <w:tcBorders>
              <w:top w:val="nil"/>
              <w:left w:val="nil"/>
              <w:right w:val="nil"/>
            </w:tcBorders>
            <w:shd w:val="clear" w:color="auto" w:fill="000000" w:themeFill="text1"/>
            <w:tcMar>
              <w:top w:w="58" w:type="dxa"/>
              <w:left w:w="115" w:type="dxa"/>
              <w:bottom w:w="58" w:type="dxa"/>
              <w:right w:w="115" w:type="dxa"/>
            </w:tcMar>
            <w:vAlign w:val="bottom"/>
            <w:hideMark/>
          </w:tcPr>
          <w:p w14:paraId="268453A1" w14:textId="4520F073" w:rsidR="0005601A" w:rsidRPr="00F649B5" w:rsidRDefault="0005601A" w:rsidP="00F649B5">
            <w:pPr>
              <w:spacing w:after="0"/>
              <w:rPr>
                <w:rFonts w:asciiTheme="minorHAnsi" w:hAnsiTheme="minorHAnsi" w:cstheme="minorHAnsi"/>
                <w:b/>
                <w:bCs/>
                <w:sz w:val="18"/>
                <w:szCs w:val="18"/>
              </w:rPr>
            </w:pPr>
            <w:r w:rsidRPr="00F649B5">
              <w:rPr>
                <w:rFonts w:asciiTheme="minorHAnsi" w:hAnsiTheme="minorHAnsi" w:cstheme="minorHAnsi"/>
                <w:b/>
                <w:bCs/>
                <w:sz w:val="18"/>
                <w:szCs w:val="18"/>
              </w:rPr>
              <w:t>Route</w:t>
            </w:r>
          </w:p>
        </w:tc>
        <w:tc>
          <w:tcPr>
            <w:tcW w:w="1538" w:type="dxa"/>
            <w:tcBorders>
              <w:top w:val="nil"/>
              <w:left w:val="nil"/>
              <w:right w:val="nil"/>
            </w:tcBorders>
            <w:shd w:val="clear" w:color="auto" w:fill="000000" w:themeFill="text1"/>
            <w:tcMar>
              <w:top w:w="58" w:type="dxa"/>
              <w:left w:w="115" w:type="dxa"/>
              <w:bottom w:w="58" w:type="dxa"/>
              <w:right w:w="115" w:type="dxa"/>
            </w:tcMar>
            <w:vAlign w:val="bottom"/>
            <w:hideMark/>
          </w:tcPr>
          <w:p w14:paraId="3D8921B4" w14:textId="6B10AE95" w:rsidR="0005601A" w:rsidRPr="00F649B5" w:rsidRDefault="0005601A" w:rsidP="00F649B5">
            <w:pPr>
              <w:spacing w:after="0"/>
              <w:rPr>
                <w:rFonts w:asciiTheme="minorHAnsi" w:hAnsiTheme="minorHAnsi" w:cstheme="minorHAnsi"/>
                <w:b/>
                <w:bCs/>
                <w:sz w:val="18"/>
                <w:szCs w:val="18"/>
              </w:rPr>
            </w:pPr>
            <w:r w:rsidRPr="00F649B5">
              <w:rPr>
                <w:rFonts w:asciiTheme="minorHAnsi" w:hAnsiTheme="minorHAnsi" w:cstheme="minorHAnsi"/>
                <w:b/>
                <w:bCs/>
                <w:sz w:val="18"/>
                <w:szCs w:val="18"/>
              </w:rPr>
              <w:t xml:space="preserve">Route Description </w:t>
            </w:r>
          </w:p>
        </w:tc>
        <w:tc>
          <w:tcPr>
            <w:tcW w:w="1317" w:type="dxa"/>
            <w:tcBorders>
              <w:top w:val="nil"/>
              <w:left w:val="nil"/>
              <w:right w:val="nil"/>
            </w:tcBorders>
            <w:shd w:val="clear" w:color="auto" w:fill="000000" w:themeFill="text1"/>
            <w:vAlign w:val="bottom"/>
          </w:tcPr>
          <w:p w14:paraId="68173AE1" w14:textId="44218469" w:rsidR="0005601A" w:rsidRPr="00F649B5" w:rsidRDefault="00A83AFC" w:rsidP="00F649B5">
            <w:pPr>
              <w:spacing w:after="0"/>
              <w:rPr>
                <w:rFonts w:asciiTheme="minorHAnsi" w:hAnsiTheme="minorHAnsi" w:cstheme="minorHAnsi"/>
                <w:b/>
                <w:bCs/>
                <w:sz w:val="18"/>
                <w:szCs w:val="18"/>
              </w:rPr>
            </w:pPr>
            <w:r w:rsidRPr="00F649B5">
              <w:rPr>
                <w:rFonts w:asciiTheme="minorHAnsi" w:hAnsiTheme="minorHAnsi" w:cstheme="minorHAnsi"/>
                <w:b/>
                <w:bCs/>
                <w:sz w:val="18"/>
                <w:szCs w:val="18"/>
              </w:rPr>
              <w:t xml:space="preserve">Weekday Hours of Operation </w:t>
            </w:r>
          </w:p>
        </w:tc>
        <w:tc>
          <w:tcPr>
            <w:tcW w:w="1249" w:type="dxa"/>
            <w:tcBorders>
              <w:top w:val="nil"/>
              <w:left w:val="nil"/>
              <w:right w:val="nil"/>
            </w:tcBorders>
            <w:shd w:val="clear" w:color="auto" w:fill="000000" w:themeFill="text1"/>
            <w:vAlign w:val="bottom"/>
          </w:tcPr>
          <w:p w14:paraId="626D1F35" w14:textId="1D36668F" w:rsidR="0005601A" w:rsidRPr="00F649B5" w:rsidRDefault="00A83AFC" w:rsidP="00F649B5">
            <w:pPr>
              <w:spacing w:after="0"/>
              <w:jc w:val="center"/>
              <w:rPr>
                <w:rFonts w:asciiTheme="minorHAnsi" w:hAnsiTheme="minorHAnsi" w:cstheme="minorHAnsi"/>
                <w:b/>
                <w:bCs/>
                <w:sz w:val="18"/>
                <w:szCs w:val="18"/>
              </w:rPr>
            </w:pPr>
            <w:r w:rsidRPr="00F649B5">
              <w:rPr>
                <w:rFonts w:asciiTheme="minorHAnsi" w:hAnsiTheme="minorHAnsi" w:cstheme="minorHAnsi"/>
                <w:b/>
                <w:bCs/>
                <w:sz w:val="18"/>
                <w:szCs w:val="18"/>
              </w:rPr>
              <w:t>Headways</w:t>
            </w:r>
            <w:r w:rsidRPr="00F649B5">
              <w:rPr>
                <w:rFonts w:asciiTheme="minorHAnsi" w:hAnsiTheme="minorHAnsi" w:cstheme="minorHAnsi"/>
                <w:b/>
                <w:bCs/>
                <w:sz w:val="18"/>
                <w:szCs w:val="18"/>
                <w:vertAlign w:val="superscript"/>
              </w:rPr>
              <w:t>1</w:t>
            </w:r>
            <w:r w:rsidRPr="00F649B5">
              <w:rPr>
                <w:rFonts w:asciiTheme="minorHAnsi" w:hAnsiTheme="minorHAnsi" w:cstheme="minorHAnsi"/>
                <w:b/>
                <w:bCs/>
                <w:sz w:val="18"/>
                <w:szCs w:val="18"/>
              </w:rPr>
              <w:t xml:space="preserve"> (minutes)</w:t>
            </w:r>
          </w:p>
        </w:tc>
        <w:tc>
          <w:tcPr>
            <w:tcW w:w="1597" w:type="dxa"/>
            <w:tcBorders>
              <w:top w:val="nil"/>
              <w:left w:val="nil"/>
              <w:right w:val="nil"/>
            </w:tcBorders>
            <w:shd w:val="clear" w:color="auto" w:fill="000000" w:themeFill="text1"/>
            <w:vAlign w:val="bottom"/>
          </w:tcPr>
          <w:p w14:paraId="5E917FE7" w14:textId="4807118F" w:rsidR="0005601A" w:rsidRPr="00F649B5" w:rsidRDefault="00A83AFC" w:rsidP="00F649B5">
            <w:pPr>
              <w:spacing w:after="0"/>
              <w:rPr>
                <w:rFonts w:asciiTheme="minorHAnsi" w:hAnsiTheme="minorHAnsi" w:cstheme="minorHAnsi"/>
                <w:b/>
                <w:bCs/>
                <w:sz w:val="18"/>
                <w:szCs w:val="18"/>
              </w:rPr>
            </w:pPr>
            <w:r w:rsidRPr="00F649B5">
              <w:rPr>
                <w:rFonts w:asciiTheme="minorHAnsi" w:hAnsiTheme="minorHAnsi" w:cstheme="minorHAnsi"/>
                <w:b/>
                <w:bCs/>
                <w:sz w:val="18"/>
                <w:szCs w:val="18"/>
              </w:rPr>
              <w:t>Nearby Bus Stop</w:t>
            </w:r>
          </w:p>
        </w:tc>
        <w:tc>
          <w:tcPr>
            <w:tcW w:w="1654" w:type="dxa"/>
            <w:tcBorders>
              <w:top w:val="nil"/>
              <w:left w:val="nil"/>
              <w:right w:val="nil"/>
            </w:tcBorders>
            <w:shd w:val="clear" w:color="auto" w:fill="000000" w:themeFill="text1"/>
            <w:vAlign w:val="bottom"/>
          </w:tcPr>
          <w:p w14:paraId="4F9DFF99" w14:textId="4386F06B" w:rsidR="0005601A" w:rsidRPr="00F649B5" w:rsidRDefault="00A83AFC" w:rsidP="00F649B5">
            <w:pPr>
              <w:spacing w:after="0"/>
              <w:jc w:val="center"/>
              <w:rPr>
                <w:rFonts w:asciiTheme="minorHAnsi" w:hAnsiTheme="minorHAnsi" w:cstheme="minorHAnsi"/>
                <w:b/>
                <w:bCs/>
                <w:sz w:val="18"/>
                <w:szCs w:val="18"/>
              </w:rPr>
            </w:pPr>
            <w:r w:rsidRPr="00F649B5">
              <w:rPr>
                <w:rFonts w:asciiTheme="minorHAnsi" w:hAnsiTheme="minorHAnsi" w:cstheme="minorHAnsi"/>
                <w:b/>
                <w:bCs/>
                <w:sz w:val="18"/>
                <w:szCs w:val="18"/>
              </w:rPr>
              <w:t xml:space="preserve">Walking Distance from Nearest Stop to Project </w:t>
            </w:r>
            <w:r w:rsidR="00F649B5" w:rsidRPr="00F649B5">
              <w:rPr>
                <w:rFonts w:asciiTheme="minorHAnsi" w:hAnsiTheme="minorHAnsi" w:cstheme="minorHAnsi"/>
                <w:b/>
                <w:bCs/>
                <w:sz w:val="18"/>
                <w:szCs w:val="18"/>
              </w:rPr>
              <w:t xml:space="preserve">Site </w:t>
            </w:r>
            <w:r w:rsidRPr="00F649B5">
              <w:rPr>
                <w:rFonts w:asciiTheme="minorHAnsi" w:hAnsiTheme="minorHAnsi" w:cstheme="minorHAnsi"/>
                <w:b/>
                <w:bCs/>
                <w:sz w:val="18"/>
                <w:szCs w:val="18"/>
              </w:rPr>
              <w:t>(feet)</w:t>
            </w:r>
          </w:p>
        </w:tc>
      </w:tr>
      <w:tr w:rsidR="00A9204A" w:rsidRPr="00F649B5" w14:paraId="5F55851F" w14:textId="7B6363F9" w:rsidTr="00F649B5">
        <w:tc>
          <w:tcPr>
            <w:tcW w:w="1674" w:type="dxa"/>
            <w:tcBorders>
              <w:bottom w:val="single" w:sz="4" w:space="0" w:color="BFBFBF" w:themeColor="background1" w:themeShade="BF"/>
            </w:tcBorders>
            <w:shd w:val="clear" w:color="auto" w:fill="auto"/>
            <w:tcMar>
              <w:top w:w="58" w:type="dxa"/>
              <w:left w:w="115" w:type="dxa"/>
              <w:bottom w:w="58" w:type="dxa"/>
              <w:right w:w="115" w:type="dxa"/>
            </w:tcMar>
            <w:hideMark/>
          </w:tcPr>
          <w:p w14:paraId="0D26CD49" w14:textId="289FE3F8" w:rsidR="0005601A" w:rsidRPr="00F649B5" w:rsidRDefault="00A83AFC" w:rsidP="00F649B5">
            <w:pPr>
              <w:pStyle w:val="EIRTableText"/>
              <w:spacing w:before="0" w:after="0"/>
            </w:pPr>
            <w:r w:rsidRPr="00F649B5">
              <w:t xml:space="preserve">VTA Local Route 40 </w:t>
            </w:r>
          </w:p>
        </w:tc>
        <w:tc>
          <w:tcPr>
            <w:tcW w:w="1538" w:type="dxa"/>
            <w:tcBorders>
              <w:bottom w:val="single" w:sz="4" w:space="0" w:color="BFBFBF" w:themeColor="background1" w:themeShade="BF"/>
            </w:tcBorders>
            <w:shd w:val="clear" w:color="auto" w:fill="auto"/>
            <w:tcMar>
              <w:top w:w="58" w:type="dxa"/>
              <w:left w:w="115" w:type="dxa"/>
              <w:bottom w:w="58" w:type="dxa"/>
              <w:right w:w="115" w:type="dxa"/>
            </w:tcMar>
          </w:tcPr>
          <w:p w14:paraId="249E1342" w14:textId="62E587EA" w:rsidR="0005601A" w:rsidRPr="00F649B5" w:rsidRDefault="00A83AFC" w:rsidP="00F649B5">
            <w:pPr>
              <w:pStyle w:val="EIRTableText"/>
              <w:spacing w:before="0" w:after="0"/>
            </w:pPr>
            <w:r w:rsidRPr="00F649B5">
              <w:t>Foothill College – Mountain View Transit Center</w:t>
            </w:r>
          </w:p>
        </w:tc>
        <w:tc>
          <w:tcPr>
            <w:tcW w:w="1317" w:type="dxa"/>
            <w:tcBorders>
              <w:bottom w:val="single" w:sz="4" w:space="0" w:color="BFBFBF" w:themeColor="background1" w:themeShade="BF"/>
            </w:tcBorders>
          </w:tcPr>
          <w:p w14:paraId="1050B500" w14:textId="19D238F8" w:rsidR="0005601A" w:rsidRPr="00F649B5" w:rsidRDefault="00A83AFC" w:rsidP="00F649B5">
            <w:pPr>
              <w:pStyle w:val="EIRTableText"/>
              <w:spacing w:before="0" w:after="0"/>
            </w:pPr>
            <w:r w:rsidRPr="00F649B5">
              <w:t xml:space="preserve">6:15 a.m. – 8:30 a.m. </w:t>
            </w:r>
          </w:p>
        </w:tc>
        <w:tc>
          <w:tcPr>
            <w:tcW w:w="1249" w:type="dxa"/>
            <w:tcBorders>
              <w:bottom w:val="single" w:sz="4" w:space="0" w:color="BFBFBF" w:themeColor="background1" w:themeShade="BF"/>
            </w:tcBorders>
          </w:tcPr>
          <w:p w14:paraId="01EE6DC6" w14:textId="6B691E85" w:rsidR="0005601A" w:rsidRPr="00F649B5" w:rsidRDefault="00A83AFC" w:rsidP="00F649B5">
            <w:pPr>
              <w:pStyle w:val="EIRTableText"/>
              <w:spacing w:before="0" w:after="0"/>
              <w:ind w:left="-589" w:right="406"/>
              <w:jc w:val="right"/>
            </w:pPr>
            <w:r w:rsidRPr="00F649B5">
              <w:t xml:space="preserve">30 </w:t>
            </w:r>
          </w:p>
        </w:tc>
        <w:tc>
          <w:tcPr>
            <w:tcW w:w="1597" w:type="dxa"/>
            <w:tcBorders>
              <w:bottom w:val="single" w:sz="4" w:space="0" w:color="BFBFBF" w:themeColor="background1" w:themeShade="BF"/>
            </w:tcBorders>
          </w:tcPr>
          <w:p w14:paraId="733FD414" w14:textId="25ACBC57" w:rsidR="0005601A" w:rsidRPr="00F649B5" w:rsidRDefault="00A83AFC" w:rsidP="00F649B5">
            <w:pPr>
              <w:pStyle w:val="EIRTableText"/>
              <w:spacing w:before="0" w:after="0"/>
            </w:pPr>
            <w:r w:rsidRPr="00F649B5">
              <w:t xml:space="preserve">Shoreline Boulevard and Terra Bella Avenue </w:t>
            </w:r>
          </w:p>
        </w:tc>
        <w:tc>
          <w:tcPr>
            <w:tcW w:w="1654" w:type="dxa"/>
            <w:tcBorders>
              <w:bottom w:val="single" w:sz="4" w:space="0" w:color="BFBFBF" w:themeColor="background1" w:themeShade="BF"/>
            </w:tcBorders>
          </w:tcPr>
          <w:p w14:paraId="2EFF4E08" w14:textId="622986B9" w:rsidR="0005601A" w:rsidRPr="00F649B5" w:rsidRDefault="00A83AFC" w:rsidP="00294A6D">
            <w:pPr>
              <w:pStyle w:val="EIRTableText"/>
              <w:spacing w:before="0" w:after="0"/>
              <w:ind w:right="555"/>
              <w:jc w:val="right"/>
            </w:pPr>
            <w:r w:rsidRPr="00F649B5">
              <w:t xml:space="preserve">270 </w:t>
            </w:r>
          </w:p>
        </w:tc>
      </w:tr>
      <w:tr w:rsidR="00A9204A" w:rsidRPr="00F649B5" w14:paraId="4CC73610" w14:textId="13614514" w:rsidTr="00F649B5">
        <w:tc>
          <w:tcPr>
            <w:tcW w:w="1674" w:type="dxa"/>
            <w:tcBorders>
              <w:top w:val="single" w:sz="4" w:space="0" w:color="BFBFBF" w:themeColor="background1" w:themeShade="BF"/>
              <w:bottom w:val="single" w:sz="4" w:space="0" w:color="BFBFBF" w:themeColor="background1" w:themeShade="BF"/>
            </w:tcBorders>
            <w:shd w:val="clear" w:color="auto" w:fill="auto"/>
            <w:tcMar>
              <w:top w:w="58" w:type="dxa"/>
              <w:left w:w="115" w:type="dxa"/>
              <w:bottom w:w="58" w:type="dxa"/>
              <w:right w:w="115" w:type="dxa"/>
            </w:tcMar>
            <w:hideMark/>
          </w:tcPr>
          <w:p w14:paraId="6EE0CE4D" w14:textId="7F977D56" w:rsidR="0005601A" w:rsidRPr="00F649B5" w:rsidRDefault="00A83AFC" w:rsidP="00F649B5">
            <w:pPr>
              <w:pStyle w:val="EIRTableText"/>
              <w:spacing w:before="0" w:after="0"/>
            </w:pPr>
            <w:r w:rsidRPr="00F649B5">
              <w:t>Mountain View Community Shuttle</w:t>
            </w:r>
            <w:r w:rsidRPr="00F649B5">
              <w:rPr>
                <w:vertAlign w:val="superscript"/>
              </w:rPr>
              <w:t>2</w:t>
            </w:r>
            <w:r w:rsidRPr="00F649B5">
              <w:t xml:space="preserve"> </w:t>
            </w:r>
          </w:p>
        </w:tc>
        <w:tc>
          <w:tcPr>
            <w:tcW w:w="1538" w:type="dxa"/>
            <w:tcBorders>
              <w:top w:val="single" w:sz="4" w:space="0" w:color="BFBFBF" w:themeColor="background1" w:themeShade="BF"/>
              <w:bottom w:val="single" w:sz="4" w:space="0" w:color="BFBFBF" w:themeColor="background1" w:themeShade="BF"/>
            </w:tcBorders>
            <w:shd w:val="clear" w:color="auto" w:fill="auto"/>
            <w:tcMar>
              <w:top w:w="58" w:type="dxa"/>
              <w:left w:w="115" w:type="dxa"/>
              <w:bottom w:w="58" w:type="dxa"/>
              <w:right w:w="115" w:type="dxa"/>
            </w:tcMar>
          </w:tcPr>
          <w:p w14:paraId="41574A39" w14:textId="66B65327" w:rsidR="0005601A" w:rsidRPr="00F649B5" w:rsidRDefault="00A83AFC" w:rsidP="00F649B5">
            <w:pPr>
              <w:pStyle w:val="EIRTableText"/>
              <w:spacing w:before="0" w:after="0"/>
            </w:pPr>
            <w:r w:rsidRPr="00F649B5">
              <w:t xml:space="preserve">Throughout Mountain View via Middlefield Road </w:t>
            </w:r>
          </w:p>
        </w:tc>
        <w:tc>
          <w:tcPr>
            <w:tcW w:w="1317" w:type="dxa"/>
            <w:tcBorders>
              <w:top w:val="single" w:sz="4" w:space="0" w:color="BFBFBF" w:themeColor="background1" w:themeShade="BF"/>
              <w:bottom w:val="single" w:sz="4" w:space="0" w:color="BFBFBF" w:themeColor="background1" w:themeShade="BF"/>
            </w:tcBorders>
            <w:shd w:val="clear" w:color="auto" w:fill="auto"/>
          </w:tcPr>
          <w:p w14:paraId="44F09417" w14:textId="1B483094" w:rsidR="0005601A" w:rsidRPr="00F649B5" w:rsidRDefault="00A83AFC" w:rsidP="00F649B5">
            <w:pPr>
              <w:pStyle w:val="EIRTableText"/>
              <w:spacing w:before="0" w:after="0"/>
            </w:pPr>
            <w:r w:rsidRPr="00F649B5">
              <w:t xml:space="preserve">10:00 a.m. – 6:00 p.m. </w:t>
            </w:r>
          </w:p>
        </w:tc>
        <w:tc>
          <w:tcPr>
            <w:tcW w:w="1249" w:type="dxa"/>
            <w:tcBorders>
              <w:top w:val="single" w:sz="4" w:space="0" w:color="BFBFBF" w:themeColor="background1" w:themeShade="BF"/>
              <w:bottom w:val="single" w:sz="4" w:space="0" w:color="BFBFBF" w:themeColor="background1" w:themeShade="BF"/>
            </w:tcBorders>
            <w:shd w:val="clear" w:color="auto" w:fill="auto"/>
          </w:tcPr>
          <w:p w14:paraId="1E845F46" w14:textId="240D2490" w:rsidR="0005601A" w:rsidRPr="00F649B5" w:rsidRDefault="00A83AFC" w:rsidP="00F649B5">
            <w:pPr>
              <w:pStyle w:val="EIRTableText"/>
              <w:spacing w:before="0" w:after="0"/>
              <w:ind w:left="-589" w:right="406"/>
              <w:jc w:val="right"/>
            </w:pPr>
            <w:r w:rsidRPr="00F649B5">
              <w:t xml:space="preserve">30 </w:t>
            </w:r>
          </w:p>
        </w:tc>
        <w:tc>
          <w:tcPr>
            <w:tcW w:w="1597" w:type="dxa"/>
            <w:tcBorders>
              <w:top w:val="single" w:sz="4" w:space="0" w:color="BFBFBF" w:themeColor="background1" w:themeShade="BF"/>
              <w:bottom w:val="single" w:sz="4" w:space="0" w:color="BFBFBF" w:themeColor="background1" w:themeShade="BF"/>
            </w:tcBorders>
            <w:shd w:val="clear" w:color="auto" w:fill="auto"/>
          </w:tcPr>
          <w:p w14:paraId="1436D4B6" w14:textId="3FE41493" w:rsidR="0005601A" w:rsidRPr="00F649B5" w:rsidRDefault="00A83AFC" w:rsidP="00F649B5">
            <w:pPr>
              <w:pStyle w:val="EIRTableText"/>
              <w:spacing w:before="0" w:after="0"/>
            </w:pPr>
            <w:r w:rsidRPr="00F649B5">
              <w:t>Shoreline Boulevard and Middlefield Roa</w:t>
            </w:r>
            <w:r w:rsidR="00A07DFA" w:rsidRPr="00F649B5">
              <w:t>d</w:t>
            </w:r>
          </w:p>
        </w:tc>
        <w:tc>
          <w:tcPr>
            <w:tcW w:w="1654" w:type="dxa"/>
            <w:tcBorders>
              <w:top w:val="single" w:sz="4" w:space="0" w:color="BFBFBF" w:themeColor="background1" w:themeShade="BF"/>
              <w:bottom w:val="single" w:sz="4" w:space="0" w:color="BFBFBF" w:themeColor="background1" w:themeShade="BF"/>
            </w:tcBorders>
            <w:shd w:val="clear" w:color="auto" w:fill="auto"/>
          </w:tcPr>
          <w:p w14:paraId="15A3BE46" w14:textId="11463C3F" w:rsidR="0005601A" w:rsidRPr="00F649B5" w:rsidRDefault="00A83AFC" w:rsidP="00294A6D">
            <w:pPr>
              <w:pStyle w:val="EIRTableText"/>
              <w:spacing w:before="0" w:after="0"/>
              <w:ind w:right="555"/>
              <w:jc w:val="right"/>
            </w:pPr>
            <w:r w:rsidRPr="00F649B5">
              <w:t>1,060</w:t>
            </w:r>
          </w:p>
        </w:tc>
      </w:tr>
      <w:tr w:rsidR="00A9204A" w:rsidRPr="00F649B5" w14:paraId="64FE0FB9" w14:textId="45C74B23" w:rsidTr="00F649B5">
        <w:tc>
          <w:tcPr>
            <w:tcW w:w="1674" w:type="dxa"/>
            <w:tcBorders>
              <w:top w:val="single" w:sz="4" w:space="0" w:color="BFBFBF" w:themeColor="background1" w:themeShade="BF"/>
              <w:bottom w:val="single" w:sz="4" w:space="0" w:color="auto"/>
            </w:tcBorders>
            <w:tcMar>
              <w:top w:w="58" w:type="dxa"/>
              <w:left w:w="115" w:type="dxa"/>
              <w:bottom w:w="58" w:type="dxa"/>
              <w:right w:w="115" w:type="dxa"/>
            </w:tcMar>
            <w:hideMark/>
          </w:tcPr>
          <w:p w14:paraId="1171D6FC" w14:textId="38BB966F" w:rsidR="0005601A" w:rsidRPr="00F649B5" w:rsidRDefault="00A83AFC" w:rsidP="00F649B5">
            <w:pPr>
              <w:pStyle w:val="EIRTableText"/>
              <w:spacing w:before="0" w:after="0"/>
              <w:rPr>
                <w:vertAlign w:val="superscript"/>
              </w:rPr>
            </w:pPr>
            <w:r w:rsidRPr="00F649B5">
              <w:t>MVgo Route B</w:t>
            </w:r>
            <w:r w:rsidR="00A9204A" w:rsidRPr="00F649B5">
              <w:rPr>
                <w:vertAlign w:val="superscript"/>
              </w:rPr>
              <w:t>3</w:t>
            </w:r>
          </w:p>
        </w:tc>
        <w:tc>
          <w:tcPr>
            <w:tcW w:w="1538" w:type="dxa"/>
            <w:tcBorders>
              <w:top w:val="single" w:sz="4" w:space="0" w:color="BFBFBF" w:themeColor="background1" w:themeShade="BF"/>
              <w:bottom w:val="single" w:sz="4" w:space="0" w:color="auto"/>
            </w:tcBorders>
            <w:tcMar>
              <w:top w:w="58" w:type="dxa"/>
              <w:left w:w="115" w:type="dxa"/>
              <w:bottom w:w="58" w:type="dxa"/>
              <w:right w:w="115" w:type="dxa"/>
            </w:tcMar>
          </w:tcPr>
          <w:p w14:paraId="57514CD9" w14:textId="68928A42" w:rsidR="0005601A" w:rsidRPr="00F649B5" w:rsidRDefault="00A83AFC" w:rsidP="00F649B5">
            <w:pPr>
              <w:pStyle w:val="EIRTableText"/>
              <w:spacing w:before="0" w:after="0"/>
            </w:pPr>
            <w:r w:rsidRPr="00F649B5">
              <w:t xml:space="preserve">Shoreline, Pear, Crittenden </w:t>
            </w:r>
          </w:p>
        </w:tc>
        <w:tc>
          <w:tcPr>
            <w:tcW w:w="1317" w:type="dxa"/>
            <w:tcBorders>
              <w:top w:val="single" w:sz="4" w:space="0" w:color="BFBFBF" w:themeColor="background1" w:themeShade="BF"/>
              <w:bottom w:val="single" w:sz="4" w:space="0" w:color="auto"/>
            </w:tcBorders>
          </w:tcPr>
          <w:p w14:paraId="067E6AB0" w14:textId="0469EB9D" w:rsidR="0005601A" w:rsidRPr="00F649B5" w:rsidRDefault="00A83AFC" w:rsidP="00F649B5">
            <w:pPr>
              <w:pStyle w:val="EIRTableText"/>
              <w:spacing w:before="0" w:after="0"/>
            </w:pPr>
            <w:r w:rsidRPr="00F649B5">
              <w:t>N/A</w:t>
            </w:r>
          </w:p>
        </w:tc>
        <w:tc>
          <w:tcPr>
            <w:tcW w:w="1249" w:type="dxa"/>
            <w:tcBorders>
              <w:top w:val="single" w:sz="4" w:space="0" w:color="BFBFBF" w:themeColor="background1" w:themeShade="BF"/>
              <w:bottom w:val="single" w:sz="4" w:space="0" w:color="auto"/>
            </w:tcBorders>
          </w:tcPr>
          <w:p w14:paraId="74E1BC0B" w14:textId="75F59909" w:rsidR="0005601A" w:rsidRPr="00F649B5" w:rsidRDefault="00A83AFC" w:rsidP="00F649B5">
            <w:pPr>
              <w:pStyle w:val="EIRTableText"/>
              <w:spacing w:before="0" w:after="0"/>
              <w:ind w:left="-589" w:right="406"/>
              <w:jc w:val="right"/>
            </w:pPr>
            <w:r w:rsidRPr="00F649B5">
              <w:t>N/A</w:t>
            </w:r>
          </w:p>
        </w:tc>
        <w:tc>
          <w:tcPr>
            <w:tcW w:w="1597" w:type="dxa"/>
            <w:tcBorders>
              <w:top w:val="single" w:sz="4" w:space="0" w:color="BFBFBF" w:themeColor="background1" w:themeShade="BF"/>
              <w:bottom w:val="single" w:sz="4" w:space="0" w:color="auto"/>
            </w:tcBorders>
          </w:tcPr>
          <w:p w14:paraId="6F2F2ADE" w14:textId="764CD7F3" w:rsidR="0005601A" w:rsidRPr="00F649B5" w:rsidRDefault="00A83AFC" w:rsidP="00F649B5">
            <w:pPr>
              <w:pStyle w:val="EIRTableText"/>
              <w:spacing w:before="0" w:after="0"/>
            </w:pPr>
            <w:r w:rsidRPr="00F649B5">
              <w:t xml:space="preserve">Shoreline Boulevard and Terra Bella Avenue </w:t>
            </w:r>
          </w:p>
        </w:tc>
        <w:tc>
          <w:tcPr>
            <w:tcW w:w="1654" w:type="dxa"/>
            <w:tcBorders>
              <w:top w:val="single" w:sz="4" w:space="0" w:color="BFBFBF" w:themeColor="background1" w:themeShade="BF"/>
              <w:bottom w:val="single" w:sz="4" w:space="0" w:color="auto"/>
            </w:tcBorders>
          </w:tcPr>
          <w:p w14:paraId="099A510A" w14:textId="6B93C77D" w:rsidR="0005601A" w:rsidRPr="00F649B5" w:rsidRDefault="00A83AFC" w:rsidP="00294A6D">
            <w:pPr>
              <w:pStyle w:val="EIRTableText"/>
              <w:spacing w:before="0" w:after="0"/>
              <w:ind w:right="555"/>
              <w:jc w:val="right"/>
            </w:pPr>
            <w:r w:rsidRPr="00F649B5">
              <w:t xml:space="preserve">270 </w:t>
            </w:r>
          </w:p>
        </w:tc>
      </w:tr>
      <w:tr w:rsidR="00A83AFC" w:rsidRPr="00F649B5" w14:paraId="058189F1" w14:textId="00239F83" w:rsidTr="00F649B5">
        <w:tc>
          <w:tcPr>
            <w:tcW w:w="9029" w:type="dxa"/>
            <w:gridSpan w:val="6"/>
            <w:tcBorders>
              <w:top w:val="single" w:sz="4" w:space="0" w:color="auto"/>
              <w:bottom w:val="single" w:sz="4" w:space="0" w:color="auto"/>
            </w:tcBorders>
            <w:tcMar>
              <w:top w:w="58" w:type="dxa"/>
              <w:left w:w="115" w:type="dxa"/>
              <w:bottom w:w="58" w:type="dxa"/>
              <w:right w:w="115" w:type="dxa"/>
            </w:tcMar>
          </w:tcPr>
          <w:p w14:paraId="3F6645A8" w14:textId="062C98E1" w:rsidR="00F649B5" w:rsidRPr="00F649B5" w:rsidRDefault="00A9204A" w:rsidP="00294A6D">
            <w:pPr>
              <w:pStyle w:val="EIRTableNotes"/>
              <w:spacing w:before="20" w:after="20"/>
            </w:pPr>
            <w:r w:rsidRPr="00F649B5">
              <w:rPr>
                <w:vertAlign w:val="superscript"/>
              </w:rPr>
              <w:t>1</w:t>
            </w:r>
            <w:r w:rsidRPr="00F649B5">
              <w:t xml:space="preserve"> Headways during weekday peak periods in the project area. </w:t>
            </w:r>
          </w:p>
          <w:p w14:paraId="4EDF3536" w14:textId="77777777" w:rsidR="00F649B5" w:rsidRPr="00F649B5" w:rsidRDefault="00A9204A" w:rsidP="00294A6D">
            <w:pPr>
              <w:pStyle w:val="EIRTableNotes"/>
              <w:spacing w:before="20" w:after="20"/>
            </w:pPr>
            <w:r w:rsidRPr="00F649B5">
              <w:rPr>
                <w:vertAlign w:val="superscript"/>
              </w:rPr>
              <w:t>2</w:t>
            </w:r>
            <w:r w:rsidRPr="00F649B5">
              <w:t xml:space="preserve"> Operated by the City of Mountain View and Google. It provides free transportation connections between many residential neighborhoods, senior residences and services, city offices, library, park, and recreational facilities, medical offices, shopping centers, and entertainment venues throughout Mountain View. </w:t>
            </w:r>
          </w:p>
          <w:p w14:paraId="344622E7" w14:textId="4B56754F" w:rsidR="00A9204A" w:rsidRPr="00F649B5" w:rsidRDefault="00A9204A" w:rsidP="00294A6D">
            <w:pPr>
              <w:pStyle w:val="EIRTableNotes"/>
              <w:spacing w:before="20" w:after="20"/>
            </w:pPr>
            <w:r w:rsidRPr="00F649B5">
              <w:rPr>
                <w:vertAlign w:val="superscript"/>
              </w:rPr>
              <w:t>3</w:t>
            </w:r>
            <w:r w:rsidRPr="00F649B5">
              <w:t xml:space="preserve"> Due to COVID</w:t>
            </w:r>
            <w:r w:rsidR="00A07DFA" w:rsidRPr="00F649B5">
              <w:t>-</w:t>
            </w:r>
            <w:r w:rsidRPr="00F649B5">
              <w:t xml:space="preserve">19, all MVgo routes have been resumed with reduced service levels. </w:t>
            </w:r>
          </w:p>
          <w:p w14:paraId="71AB24E0" w14:textId="013EC822" w:rsidR="00A83AFC" w:rsidRPr="00F649B5" w:rsidRDefault="00A9204A" w:rsidP="00294A6D">
            <w:pPr>
              <w:pStyle w:val="EIRTableNotes"/>
              <w:spacing w:before="20" w:after="20"/>
            </w:pPr>
            <w:r w:rsidRPr="00F649B5">
              <w:t xml:space="preserve">Source: Appendix TRA </w:t>
            </w:r>
          </w:p>
        </w:tc>
      </w:tr>
    </w:tbl>
    <w:p w14:paraId="4E97DB8A" w14:textId="57E1640D" w:rsidR="00B47475" w:rsidRDefault="00B47475" w:rsidP="00B47475">
      <w:pPr>
        <w:pStyle w:val="Heading6"/>
      </w:pPr>
      <w:r>
        <w:t xml:space="preserve">Planned Transportation Facilities </w:t>
      </w:r>
    </w:p>
    <w:p w14:paraId="7CC81AA4" w14:textId="1CC60AE5" w:rsidR="00B47475" w:rsidRPr="00965CF6" w:rsidRDefault="00B47475" w:rsidP="004C7545">
      <w:pPr>
        <w:pStyle w:val="BodyText"/>
      </w:pPr>
      <w:r>
        <w:t xml:space="preserve">The City of Mountain View has planned pedestrian, bicycle, and transit facilities improvements along Shoreline Boulevard, which would serve the project site once completed. The City intends to construct a dedicated center-running, reversible bus lane on Shoreline Boulevard between Middlefield Road and Pear Avenue. Bus routes from the Downtown Transit Center would </w:t>
      </w:r>
      <w:r w:rsidR="00025EF4">
        <w:t xml:space="preserve">provide </w:t>
      </w:r>
      <w:r>
        <w:t xml:space="preserve">northbound service in the morning and southbound service in the afternoon, which would </w:t>
      </w:r>
      <w:r w:rsidR="00EF3937">
        <w:t>increase connectivity to the transit center from the project site. The City also plans to add protected bike lanes on Shoreline Boulevard between Middlefield Road and Terra Bella Avenue, as well as a protected intersection and wider sidewalks at the intersection of Middlefield Road and Shoreline Boulevard. These bicycle and pedestrian improvements would also serve the project upon completion</w:t>
      </w:r>
      <w:r w:rsidR="00492646">
        <w:t xml:space="preserve"> (City of Mountain View 2021e)</w:t>
      </w:r>
      <w:r w:rsidR="00EF3937">
        <w:t xml:space="preserve">. </w:t>
      </w:r>
    </w:p>
    <w:p w14:paraId="3AE17C0E" w14:textId="1D89E80C" w:rsidR="00E60C6A" w:rsidRPr="00A9204A" w:rsidRDefault="00E60C6A" w:rsidP="00E60C6A">
      <w:pPr>
        <w:pStyle w:val="Heading5"/>
      </w:pPr>
      <w:r w:rsidRPr="00A9204A">
        <w:t>Regulatory Setting</w:t>
      </w:r>
    </w:p>
    <w:p w14:paraId="178106D5" w14:textId="77777777" w:rsidR="00AC1C51" w:rsidRDefault="00E60C6A" w:rsidP="00AC1C51">
      <w:pPr>
        <w:pStyle w:val="body0"/>
      </w:pPr>
      <w:r w:rsidRPr="00A9204A">
        <w:t xml:space="preserve">The determination of significance for project impacts is based on applicable policies, regulations, goals, and guidelines defined by the City of </w:t>
      </w:r>
      <w:r w:rsidR="00A9204A" w:rsidRPr="00A9204A">
        <w:t xml:space="preserve">Mountain View, Santa Clara </w:t>
      </w:r>
      <w:r w:rsidRPr="00A9204A">
        <w:t xml:space="preserve">County, the </w:t>
      </w:r>
      <w:r w:rsidR="00A9204A" w:rsidRPr="00A9204A">
        <w:t>Metropolitan Transportation Commission,</w:t>
      </w:r>
      <w:r w:rsidRPr="00A9204A">
        <w:t xml:space="preserve"> and the State. </w:t>
      </w:r>
    </w:p>
    <w:p w14:paraId="1615EDD3" w14:textId="43510D89" w:rsidR="00E60C6A" w:rsidRPr="00A9204A" w:rsidRDefault="00E60C6A" w:rsidP="00AC1C51">
      <w:pPr>
        <w:pStyle w:val="Heading6"/>
      </w:pPr>
      <w:r w:rsidRPr="00A9204A">
        <w:t>State Regulations</w:t>
      </w:r>
    </w:p>
    <w:p w14:paraId="6251831A" w14:textId="77777777" w:rsidR="00E60C6A" w:rsidRPr="006D588E" w:rsidRDefault="00E60C6A" w:rsidP="00E60C6A">
      <w:pPr>
        <w:pStyle w:val="Heading7"/>
      </w:pPr>
      <w:r w:rsidRPr="006D588E">
        <w:t>Senate Bill 743</w:t>
      </w:r>
    </w:p>
    <w:p w14:paraId="6C1F7946" w14:textId="0F71DDCD" w:rsidR="00E60C6A" w:rsidRPr="006D588E" w:rsidRDefault="00E60C6A" w:rsidP="00E60C6A">
      <w:pPr>
        <w:pStyle w:val="BodyText"/>
      </w:pPr>
      <w:r w:rsidRPr="006D588E">
        <w:t>On September 27, 2013, Senate Bill (SB) 743 was signed into law. The legislature found that with the adoption of the Sustainable Communities and Climate Protection Act of 2008 (SB 375), the State had signaled its commitment to encourage land use and transportation planning decisions and investments that reduce vehicle miles traveled and thereby contribute to the reduction of greenhouse gas emissions, as required by the California Global Warming Solutions Act of 2006 (</w:t>
      </w:r>
      <w:r w:rsidR="00FC4B63">
        <w:t>AB</w:t>
      </w:r>
      <w:r w:rsidRPr="006D588E">
        <w:t xml:space="preserve"> 32). In December 2018, the Governor’s Office of Planning and Research (OPR) finalized new CEQA guidelines (CEQA Guidelines section 15064.3), that identify vehicle miles traveled (VMT) as the most appropriate criteria to evaluate a project’s transportation impacts.</w:t>
      </w:r>
    </w:p>
    <w:p w14:paraId="23412FA4" w14:textId="16346133" w:rsidR="00235CDC" w:rsidRDefault="00E60C6A" w:rsidP="00E60C6A">
      <w:pPr>
        <w:pStyle w:val="BodyText"/>
      </w:pPr>
      <w:r w:rsidRPr="006D588E">
        <w:t>In November 2017, OPR released a technical advisory containing recommendations regarding the assessment of VMT, proposed thresholds of significance, and potential mitigation measures for lead agencies to use while implementing the required changes contained in Senate Bill 743 (SB 743).</w:t>
      </w:r>
      <w:r w:rsidR="00FE1C60" w:rsidRPr="006D588E">
        <w:t xml:space="preserve"> </w:t>
      </w:r>
      <w:r w:rsidRPr="006D588E">
        <w:t>Also in November 2017, OPR released the proposed text for Section 15064.3, “Determining the Significance of Transportation Impacts,” which summarized the criteria for analyzing transportation impacts for land use projects and transportation projects and directs lead agencies to “choose the most appropriate methodology to evaluate a project’s vehicle miles traveled, including whether to express the change in absolute terms, per capita, per household or in any other measure.”</w:t>
      </w:r>
      <w:r w:rsidR="00FE1C60" w:rsidRPr="006D588E">
        <w:t xml:space="preserve"> </w:t>
      </w:r>
      <w:r w:rsidRPr="006D588E">
        <w:t>OPR recommends that for most instances a per service population threshold should be adopted and that a fifteen percent reduction below that of existing development would be a reasonable threshold.</w:t>
      </w:r>
      <w:r w:rsidR="001F3B89">
        <w:t xml:space="preserve"> </w:t>
      </w:r>
      <w:r w:rsidR="001A7E5E">
        <w:t xml:space="preserve">The City of Mountain View established VMT as the methodology for evaluating transportation impacts in June 2020. </w:t>
      </w:r>
    </w:p>
    <w:p w14:paraId="5F319A66" w14:textId="77777777" w:rsidR="00274D23" w:rsidRPr="00902EC7" w:rsidRDefault="00274D23" w:rsidP="00274D23">
      <w:pPr>
        <w:pStyle w:val="Heading7"/>
      </w:pPr>
      <w:r w:rsidRPr="00902EC7">
        <w:t xml:space="preserve">California Assembly Bill 32, Senate Bill 32, and Senate Bill 375 </w:t>
      </w:r>
    </w:p>
    <w:p w14:paraId="0CFD2F6C" w14:textId="77777777" w:rsidR="00274D23" w:rsidRPr="00902EC7" w:rsidRDefault="00274D23" w:rsidP="00274D23">
      <w:pPr>
        <w:pStyle w:val="BodyText"/>
      </w:pPr>
      <w:r w:rsidRPr="00902EC7">
        <w:t xml:space="preserve">The “California Global Warming Solutions Act of 2006” (AB 32) outlines California’s major legislative initiative for reducing GHG emissions. AB 32 codifies the statewide goal of reducing GHG emissions to 1990 levels by 2020, a reduction of approximately 15 percent below emissions expected under a “business as usual” scenario. On September 8, 2016, the governor signed Senate Bill </w:t>
      </w:r>
      <w:r>
        <w:t xml:space="preserve">32 </w:t>
      </w:r>
      <w:r w:rsidRPr="00902EC7">
        <w:t>(SB 32</w:t>
      </w:r>
      <w:r>
        <w:t>)</w:t>
      </w:r>
      <w:r w:rsidRPr="00902EC7">
        <w:t xml:space="preserve"> into law, extending the California Global Warming Solutions Act of 2006 by requiring the state to further reduce GHG emissions to 40 percent below 1990 levels by 2030 (the other provisions of AB 32 remain unchanged).</w:t>
      </w:r>
    </w:p>
    <w:p w14:paraId="6810F914" w14:textId="5FF85AD3" w:rsidR="00274D23" w:rsidRPr="00902EC7" w:rsidRDefault="00274D23" w:rsidP="00274D23">
      <w:pPr>
        <w:spacing w:before="120"/>
        <w:rPr>
          <w:rFonts w:ascii="Calibri" w:hAnsi="Calibri" w:cs="Lucida Sans Unicode"/>
          <w:spacing w:val="-3"/>
          <w:sz w:val="22"/>
          <w:szCs w:val="22"/>
        </w:rPr>
      </w:pPr>
      <w:r w:rsidRPr="00902EC7">
        <w:rPr>
          <w:rFonts w:ascii="Calibri" w:hAnsi="Calibri" w:cs="Lucida Sans Unicode"/>
          <w:spacing w:val="-3"/>
          <w:sz w:val="22"/>
          <w:szCs w:val="22"/>
        </w:rPr>
        <w:t xml:space="preserve">The Sustainable Communities and Climate Protection Act of 2008 (SB 375), signed in August 2008, enhances the state’s ability to reach AB 32 goals by directing </w:t>
      </w:r>
      <w:r w:rsidR="00B843E1">
        <w:rPr>
          <w:rFonts w:ascii="Calibri" w:hAnsi="Calibri" w:cs="Lucida Sans Unicode"/>
          <w:spacing w:val="-3"/>
          <w:sz w:val="22"/>
          <w:szCs w:val="22"/>
        </w:rPr>
        <w:t xml:space="preserve">CARB </w:t>
      </w:r>
      <w:r w:rsidRPr="00902EC7">
        <w:rPr>
          <w:rFonts w:ascii="Calibri" w:hAnsi="Calibri" w:cs="Lucida Sans Unicode"/>
          <w:spacing w:val="-3"/>
          <w:sz w:val="22"/>
          <w:szCs w:val="22"/>
        </w:rPr>
        <w:t>to develop regional GHG emission reduction targets to be achieved from passenger vehicles by 2020 and 2035. SB 375 aligns regional transportation planning efforts, regional GHG reduction targets, and affordable housing allocations. Metropolitan Planning Organizations (MPOs) are required to adopt a Sustainable Communities Strategy (SCS), which allocates land uses in the MPO’s Regional Transportation Plan (RTP). Qualified projects consistent with an approved SCS or Alternative Planning Strategy (categorized as “transit priority projects”) can receive incentives to streamline CEQA processing.</w:t>
      </w:r>
    </w:p>
    <w:p w14:paraId="7281A8B5" w14:textId="303E3B36" w:rsidR="00274D23" w:rsidRPr="006D588E" w:rsidRDefault="00274D23" w:rsidP="00274D23">
      <w:pPr>
        <w:pStyle w:val="BodyText"/>
      </w:pPr>
      <w:r w:rsidRPr="00902EC7">
        <w:rPr>
          <w:rFonts w:ascii="Calibri" w:hAnsi="Calibri" w:cs="Lucida Sans Unicode"/>
          <w:spacing w:val="-3"/>
        </w:rPr>
        <w:t>On March 22, 2018, CARB adopted updated regional targets for reducing GHG emissions from 2005 levels by 2020 and 2035</w:t>
      </w:r>
      <w:r w:rsidRPr="00902EC7">
        <w:rPr>
          <w:rFonts w:cstheme="minorHAnsi"/>
          <w:spacing w:val="-3"/>
        </w:rPr>
        <w:t>.</w:t>
      </w:r>
      <w:r w:rsidR="00DA38ED">
        <w:rPr>
          <w:rFonts w:cstheme="minorHAnsi"/>
          <w:spacing w:val="-3"/>
        </w:rPr>
        <w:t xml:space="preserve"> ABAG was assigned a 19 percent reduction in per capita GHG emissions from passenger vehicles by 2035. SB 375 also provides the option for the coordinated development of subregional plans by the subregional councils of governments and the county transportation commissions to meet SB 375 requirements. On October 21, 2021, ABAG formally adopted the RTP/SCS titled Plan Bay Area 2050, which meets the requirements of SB 375. </w:t>
      </w:r>
    </w:p>
    <w:p w14:paraId="7D3054A0" w14:textId="77777777" w:rsidR="00E60C6A" w:rsidRPr="00DA38ED" w:rsidRDefault="00E60C6A" w:rsidP="00E60C6A">
      <w:pPr>
        <w:pStyle w:val="Heading6"/>
      </w:pPr>
      <w:r w:rsidRPr="00DA38ED">
        <w:t>Local Regulations</w:t>
      </w:r>
    </w:p>
    <w:p w14:paraId="422B805A" w14:textId="1E1B5582" w:rsidR="00E60C6A" w:rsidRPr="00DA38ED" w:rsidRDefault="00DA38ED" w:rsidP="00E60C6A">
      <w:pPr>
        <w:pStyle w:val="Heading7"/>
      </w:pPr>
      <w:r w:rsidRPr="00DA38ED">
        <w:t xml:space="preserve">Mountain View 2030 General Plan Mobility Element </w:t>
      </w:r>
    </w:p>
    <w:p w14:paraId="19E7CAD9" w14:textId="08F40BBC" w:rsidR="00E60C6A" w:rsidRPr="00DA38ED" w:rsidRDefault="00E60C6A" w:rsidP="00E60C6A">
      <w:pPr>
        <w:pStyle w:val="BodyText"/>
      </w:pPr>
      <w:r w:rsidRPr="00DA38ED">
        <w:t xml:space="preserve">The </w:t>
      </w:r>
      <w:r w:rsidR="00DA38ED" w:rsidRPr="00DA38ED">
        <w:t xml:space="preserve">Mountain View 2030 General Plan Mobility element </w:t>
      </w:r>
      <w:r w:rsidRPr="00DA38ED">
        <w:t>establishes the following</w:t>
      </w:r>
      <w:r w:rsidR="00B538E5">
        <w:t xml:space="preserve"> selected</w:t>
      </w:r>
      <w:r w:rsidRPr="00DA38ED">
        <w:t xml:space="preserve"> goals and policies relevant to transportation:</w:t>
      </w:r>
    </w:p>
    <w:p w14:paraId="48B7B22F" w14:textId="77777777" w:rsidR="00DA38ED" w:rsidRDefault="00DA38ED" w:rsidP="00E223F6">
      <w:pPr>
        <w:pStyle w:val="fcsbullet"/>
        <w:numPr>
          <w:ilvl w:val="0"/>
          <w:numId w:val="0"/>
        </w:numPr>
        <w:spacing w:before="60" w:after="60" w:line="240" w:lineRule="auto"/>
        <w:ind w:left="2160" w:hanging="1800"/>
      </w:pPr>
      <w:bookmarkStart w:id="322" w:name="_Hlk93587257"/>
      <w:r w:rsidRPr="00DA38ED">
        <w:rPr>
          <w:b/>
        </w:rPr>
        <w:t>Policy MOB 1.2</w:t>
      </w:r>
      <w:r w:rsidR="00E60C6A" w:rsidRPr="00DA38ED">
        <w:rPr>
          <w:b/>
        </w:rPr>
        <w:tab/>
      </w:r>
      <w:r w:rsidRPr="00DA38ED">
        <w:rPr>
          <w:bCs/>
        </w:rPr>
        <w:t>Accommodating all modes</w:t>
      </w:r>
      <w:r>
        <w:t xml:space="preserve">. Plan, design and construct new transportation improvement projects to safely accommodate the needs of pedestrians, bicyclists, transit riders, motorists and persons of all abilities. </w:t>
      </w:r>
    </w:p>
    <w:p w14:paraId="2E0DB975" w14:textId="77777777" w:rsidR="000060DF" w:rsidRDefault="000060DF" w:rsidP="00E223F6">
      <w:pPr>
        <w:pStyle w:val="fcsbullet"/>
        <w:numPr>
          <w:ilvl w:val="0"/>
          <w:numId w:val="0"/>
        </w:numPr>
        <w:spacing w:before="60" w:after="60" w:line="240" w:lineRule="auto"/>
        <w:ind w:left="2160" w:hanging="1800"/>
      </w:pPr>
      <w:r w:rsidRPr="000060DF">
        <w:rPr>
          <w:b/>
          <w:bCs/>
        </w:rPr>
        <w:t>Policy MOB 3.2</w:t>
      </w:r>
      <w:r w:rsidRPr="000060DF">
        <w:rPr>
          <w:b/>
          <w:bCs/>
        </w:rPr>
        <w:tab/>
      </w:r>
      <w:r>
        <w:t xml:space="preserve">Pedestrian connections. Increase connectivity through direct and safe pedestrian connections to public amenities, neighborhoods, village centers and other destinations throughout the city. </w:t>
      </w:r>
    </w:p>
    <w:p w14:paraId="0E8A9BB0" w14:textId="77777777" w:rsidR="000060DF" w:rsidRDefault="000060DF" w:rsidP="00E223F6">
      <w:pPr>
        <w:pStyle w:val="fcsbullet"/>
        <w:numPr>
          <w:ilvl w:val="0"/>
          <w:numId w:val="0"/>
        </w:numPr>
        <w:spacing w:before="60" w:after="60" w:line="240" w:lineRule="auto"/>
        <w:ind w:left="2160" w:hanging="1800"/>
      </w:pPr>
      <w:r>
        <w:rPr>
          <w:b/>
          <w:bCs/>
        </w:rPr>
        <w:t xml:space="preserve">Policy </w:t>
      </w:r>
      <w:r w:rsidRPr="000060DF">
        <w:rPr>
          <w:b/>
          <w:bCs/>
        </w:rPr>
        <w:t>MOB 4.2</w:t>
      </w:r>
      <w:r>
        <w:tab/>
        <w:t xml:space="preserve">Planning for bicycles. Use planning processes to identify or carry out improved bicycle connections and bicycle parking. </w:t>
      </w:r>
    </w:p>
    <w:p w14:paraId="287EE9BA" w14:textId="0ED3D04F" w:rsidR="000060DF" w:rsidRDefault="000060DF" w:rsidP="00E223F6">
      <w:pPr>
        <w:pStyle w:val="fcsbullet"/>
        <w:numPr>
          <w:ilvl w:val="0"/>
          <w:numId w:val="0"/>
        </w:numPr>
        <w:spacing w:before="60" w:after="60" w:line="240" w:lineRule="auto"/>
        <w:ind w:left="2160" w:hanging="1800"/>
      </w:pPr>
      <w:r w:rsidRPr="000060DF">
        <w:rPr>
          <w:b/>
          <w:bCs/>
        </w:rPr>
        <w:t>Policy MOB 4.4</w:t>
      </w:r>
      <w:r>
        <w:t xml:space="preserve"> </w:t>
      </w:r>
      <w:r>
        <w:tab/>
        <w:t xml:space="preserve">Bicycle parking standards. Maintain bicycle parking standards and guidelines for bicycle parking and storage in convenient places in private development to enhance the bicycle network. </w:t>
      </w:r>
    </w:p>
    <w:p w14:paraId="32A43720" w14:textId="77777777" w:rsidR="000060DF" w:rsidRDefault="000060DF" w:rsidP="00E223F6">
      <w:pPr>
        <w:pStyle w:val="fcsbullet"/>
        <w:numPr>
          <w:ilvl w:val="0"/>
          <w:numId w:val="0"/>
        </w:numPr>
        <w:spacing w:before="60" w:after="60" w:line="240" w:lineRule="auto"/>
        <w:ind w:left="2160" w:hanging="1800"/>
      </w:pPr>
      <w:r w:rsidRPr="000060DF">
        <w:rPr>
          <w:b/>
          <w:bCs/>
        </w:rPr>
        <w:t>Policy MOB 5.5</w:t>
      </w:r>
      <w:r>
        <w:tab/>
        <w:t xml:space="preserve">Access to transit services. Support right-of-way design and amenities consistent with local transit goals to make it easier to get to transit services and improve transit as a viable alternative to driving. </w:t>
      </w:r>
    </w:p>
    <w:p w14:paraId="500906F1" w14:textId="77777777" w:rsidR="00570931" w:rsidRDefault="00570931" w:rsidP="00E223F6">
      <w:pPr>
        <w:pStyle w:val="fcsbullet"/>
        <w:numPr>
          <w:ilvl w:val="0"/>
          <w:numId w:val="0"/>
        </w:numPr>
        <w:spacing w:before="60" w:after="60" w:line="240" w:lineRule="auto"/>
        <w:ind w:left="2160" w:hanging="1800"/>
      </w:pPr>
      <w:r w:rsidRPr="00570931">
        <w:rPr>
          <w:b/>
          <w:bCs/>
        </w:rPr>
        <w:t>Policy MOB 7.2</w:t>
      </w:r>
      <w:r>
        <w:tab/>
        <w:t xml:space="preserve">Off-street parking. Ensure new off-street parking is properly designed and efficiently used. </w:t>
      </w:r>
    </w:p>
    <w:p w14:paraId="5BB1B444" w14:textId="042FD0B8" w:rsidR="000060DF" w:rsidRDefault="00570931" w:rsidP="00E223F6">
      <w:pPr>
        <w:pStyle w:val="fcsbullet"/>
        <w:numPr>
          <w:ilvl w:val="0"/>
          <w:numId w:val="0"/>
        </w:numPr>
        <w:spacing w:before="60" w:after="60" w:line="240" w:lineRule="auto"/>
        <w:ind w:left="2160" w:hanging="1800"/>
      </w:pPr>
      <w:r>
        <w:rPr>
          <w:b/>
          <w:bCs/>
        </w:rPr>
        <w:t xml:space="preserve">Policy </w:t>
      </w:r>
      <w:r w:rsidRPr="00570931">
        <w:rPr>
          <w:b/>
          <w:bCs/>
        </w:rPr>
        <w:t>MOB 9.2</w:t>
      </w:r>
      <w:r>
        <w:t xml:space="preserve"> </w:t>
      </w:r>
      <w:r>
        <w:tab/>
        <w:t>Reduced vehicle miles traveled. Support development and transportation improvements that help reduce greenhouse gas emissions by reducing per capita vehicle miles traveled.</w:t>
      </w:r>
    </w:p>
    <w:p w14:paraId="3966E86A" w14:textId="3EDA41AB" w:rsidR="00570931" w:rsidRDefault="00570931" w:rsidP="00E223F6">
      <w:pPr>
        <w:pStyle w:val="fcsbullet"/>
        <w:numPr>
          <w:ilvl w:val="0"/>
          <w:numId w:val="0"/>
        </w:numPr>
        <w:spacing w:before="60" w:after="60" w:line="240" w:lineRule="auto"/>
        <w:ind w:left="2160" w:hanging="1800"/>
      </w:pPr>
      <w:r w:rsidRPr="00570931">
        <w:rPr>
          <w:b/>
          <w:bCs/>
        </w:rPr>
        <w:t>Policy MOB 9.3</w:t>
      </w:r>
      <w:r>
        <w:t xml:space="preserve"> </w:t>
      </w:r>
      <w:r>
        <w:tab/>
        <w:t>Low-emission vehicles. Promote use of fuel-efficient, alternative fuel and low-emission vehicles.</w:t>
      </w:r>
    </w:p>
    <w:bookmarkEnd w:id="322"/>
    <w:p w14:paraId="3986154C" w14:textId="77777777" w:rsidR="00E60C6A" w:rsidRPr="005E7B61" w:rsidRDefault="00E60C6A" w:rsidP="00E60C6A">
      <w:pPr>
        <w:pStyle w:val="Heading7"/>
        <w:rPr>
          <w:rFonts w:eastAsiaTheme="minorHAnsi"/>
        </w:rPr>
      </w:pPr>
      <w:r w:rsidRPr="005E7B61">
        <w:rPr>
          <w:rFonts w:eastAsiaTheme="minorHAnsi"/>
        </w:rPr>
        <w:t>Specific Thresholds of Significance</w:t>
      </w:r>
    </w:p>
    <w:p w14:paraId="0B58908A" w14:textId="2D8FFF4A" w:rsidR="005E7B61" w:rsidRDefault="005E7B61" w:rsidP="00E60C6A">
      <w:pPr>
        <w:pStyle w:val="BodyText"/>
      </w:pPr>
      <w:r>
        <w:t>In February 2021, t</w:t>
      </w:r>
      <w:r w:rsidR="00E60C6A" w:rsidRPr="005E7B61">
        <w:t xml:space="preserve">he City </w:t>
      </w:r>
      <w:r>
        <w:t>published the Mountain View Multi-Modal Transportation Analysis Handbook (</w:t>
      </w:r>
      <w:r w:rsidR="00D07F6D">
        <w:t xml:space="preserve">MTA </w:t>
      </w:r>
      <w:r>
        <w:t xml:space="preserve">Handbook), which established a technical approach to transportation analysis for projects in Mountain View. The Handbook allows for the use of the Santa Clara Countywide VMT Evaluation Tool (VMT Evaluation Tool) </w:t>
      </w:r>
      <w:r w:rsidR="00B32D2C">
        <w:t xml:space="preserve">to evaluate impacts from residential, office, and industrial projects. For office uses, the regional average VMT per employee is used as a metric of analysis, and </w:t>
      </w:r>
      <w:r w:rsidR="004A4136">
        <w:t xml:space="preserve">15 </w:t>
      </w:r>
      <w:r w:rsidR="00B32D2C">
        <w:t>percent below the regional average VMT per employee serves as the significance threshold. The regional average VMT per employee is 15.33; therefore, the project would have to produce less than 13.03 VMT per employee (</w:t>
      </w:r>
      <w:r w:rsidR="004A4136">
        <w:t xml:space="preserve">15 </w:t>
      </w:r>
      <w:r w:rsidR="00B32D2C">
        <w:t>percent</w:t>
      </w:r>
      <w:r w:rsidR="004A4136">
        <w:t xml:space="preserve"> below</w:t>
      </w:r>
      <w:r w:rsidR="00B32D2C">
        <w:t xml:space="preserve"> of 15.33) in order to </w:t>
      </w:r>
      <w:r w:rsidR="00377CB6">
        <w:t xml:space="preserve">result in </w:t>
      </w:r>
      <w:r w:rsidR="00B32D2C">
        <w:t>less than significant impacts</w:t>
      </w:r>
      <w:r w:rsidR="00377CB6">
        <w:t xml:space="preserve"> under CEQA</w:t>
      </w:r>
      <w:r w:rsidR="00B32D2C">
        <w:t xml:space="preserve">. </w:t>
      </w:r>
    </w:p>
    <w:p w14:paraId="38ADF4F6" w14:textId="555BED50" w:rsidR="00B32D2C" w:rsidRPr="005E7B61" w:rsidRDefault="00093E17" w:rsidP="00B32D2C">
      <w:pPr>
        <w:pStyle w:val="Heading5"/>
      </w:pPr>
      <w:r>
        <w:t xml:space="preserve">Impact Analysis </w:t>
      </w:r>
    </w:p>
    <w:p w14:paraId="02A84190" w14:textId="77777777" w:rsidR="00E60C6A" w:rsidRPr="00B32D2C" w:rsidRDefault="00E60C6A" w:rsidP="00093E17">
      <w:pPr>
        <w:pStyle w:val="BulletLtrManAFTER"/>
      </w:pPr>
      <w:r w:rsidRPr="00B32D2C">
        <w:t>a.</w:t>
      </w:r>
      <w:r w:rsidRPr="00B32D2C">
        <w:tab/>
        <w:t>Would the project conflict with a program, plan, ordinance or policy addressing the circulation system, including transit, roadway, bicycle and pedestrian facilities?</w:t>
      </w:r>
    </w:p>
    <w:p w14:paraId="0BE7D847" w14:textId="77777777" w:rsidR="00E60C6A" w:rsidRPr="00B32D2C" w:rsidRDefault="00E60C6A" w:rsidP="00E60C6A">
      <w:pPr>
        <w:pStyle w:val="Heading6"/>
      </w:pPr>
      <w:r w:rsidRPr="00B32D2C">
        <w:t>Trip Generation</w:t>
      </w:r>
    </w:p>
    <w:p w14:paraId="2803CD6E" w14:textId="53127070" w:rsidR="000B168C" w:rsidRDefault="00E60C6A" w:rsidP="006B6C6E">
      <w:pPr>
        <w:pStyle w:val="bodyafter"/>
      </w:pPr>
      <w:r w:rsidRPr="00B32D2C">
        <w:t xml:space="preserve">Trip generation refers to the process of estimating the amount of vehicular traffic a project would add to the surrounding roadway system. </w:t>
      </w:r>
      <w:r w:rsidR="006B6C6E" w:rsidRPr="00A0305B">
        <w:t>TJKM developed estimated project trip generation for the proposed project based on published trip</w:t>
      </w:r>
      <w:r w:rsidR="006B6C6E">
        <w:t xml:space="preserve"> </w:t>
      </w:r>
      <w:r w:rsidR="006B6C6E" w:rsidRPr="00A0305B">
        <w:t xml:space="preserve">generation rates from the Institute of Transportation Engineers’ (ITE) publication </w:t>
      </w:r>
      <w:r w:rsidR="006B6C6E" w:rsidRPr="00A0305B">
        <w:rPr>
          <w:i/>
          <w:iCs/>
        </w:rPr>
        <w:t>Trip Generation (10</w:t>
      </w:r>
      <w:r w:rsidR="006B6C6E" w:rsidRPr="00A0305B">
        <w:rPr>
          <w:i/>
          <w:iCs/>
          <w:vertAlign w:val="superscript"/>
        </w:rPr>
        <w:t>th</w:t>
      </w:r>
      <w:r w:rsidR="006B6C6E" w:rsidRPr="00A0305B">
        <w:rPr>
          <w:i/>
          <w:iCs/>
        </w:rPr>
        <w:t xml:space="preserve"> Edition). </w:t>
      </w:r>
      <w:r w:rsidR="006B6C6E">
        <w:fldChar w:fldCharType="begin"/>
      </w:r>
      <w:r w:rsidR="006B6C6E">
        <w:rPr>
          <w:i/>
          <w:iCs/>
        </w:rPr>
        <w:instrText xml:space="preserve"> REF _Ref93580031 \h </w:instrText>
      </w:r>
      <w:r w:rsidR="006B6C6E">
        <w:fldChar w:fldCharType="separate"/>
      </w:r>
      <w:r w:rsidR="00FA55F1">
        <w:t xml:space="preserve">Table </w:t>
      </w:r>
      <w:r w:rsidR="00FA55F1">
        <w:rPr>
          <w:noProof/>
        </w:rPr>
        <w:t>32</w:t>
      </w:r>
      <w:r w:rsidR="006B6C6E">
        <w:fldChar w:fldCharType="end"/>
      </w:r>
      <w:r w:rsidR="006B6C6E">
        <w:t xml:space="preserve"> shows the trips expected to be generated by the proposed project. </w:t>
      </w:r>
    </w:p>
    <w:p w14:paraId="34ECC7AF" w14:textId="274D7917" w:rsidR="006B6C6E" w:rsidRDefault="006B6C6E" w:rsidP="00E614CC">
      <w:pPr>
        <w:pStyle w:val="TableCaption"/>
      </w:pPr>
      <w:bookmarkStart w:id="323" w:name="_Ref93580031"/>
      <w:bookmarkStart w:id="324" w:name="_Toc112942481"/>
      <w:r>
        <w:t xml:space="preserve">Table </w:t>
      </w:r>
      <w:fldSimple w:instr=" SEQ Table \* ARABIC ">
        <w:r w:rsidR="00FA55F1">
          <w:rPr>
            <w:noProof/>
          </w:rPr>
          <w:t>32</w:t>
        </w:r>
      </w:fldSimple>
      <w:bookmarkEnd w:id="323"/>
      <w:r w:rsidR="001D4BBB">
        <w:tab/>
      </w:r>
      <w:r>
        <w:t>Project Trip Generation</w:t>
      </w:r>
      <w:bookmarkEnd w:id="324"/>
      <w:r>
        <w:t xml:space="preserve"> </w:t>
      </w:r>
    </w:p>
    <w:tbl>
      <w:tblPr>
        <w:tblStyle w:val="TableGrid"/>
        <w:tblW w:w="9029" w:type="dxa"/>
        <w:tblLook w:val="04A0" w:firstRow="1" w:lastRow="0" w:firstColumn="1" w:lastColumn="0" w:noHBand="0" w:noVBand="1"/>
      </w:tblPr>
      <w:tblGrid>
        <w:gridCol w:w="1384"/>
        <w:gridCol w:w="1274"/>
        <w:gridCol w:w="1274"/>
        <w:gridCol w:w="1274"/>
        <w:gridCol w:w="1274"/>
        <w:gridCol w:w="1274"/>
        <w:gridCol w:w="1275"/>
      </w:tblGrid>
      <w:tr w:rsidR="006B6C6E" w14:paraId="440E0A5F" w14:textId="77777777" w:rsidTr="00F649B5">
        <w:tc>
          <w:tcPr>
            <w:tcW w:w="1384" w:type="dxa"/>
            <w:tcBorders>
              <w:bottom w:val="nil"/>
            </w:tcBorders>
            <w:shd w:val="clear" w:color="auto" w:fill="000000" w:themeFill="text1"/>
          </w:tcPr>
          <w:p w14:paraId="7AB54C6D" w14:textId="77777777" w:rsidR="006B6C6E" w:rsidRPr="00A0305B" w:rsidRDefault="006B6C6E" w:rsidP="00F649B5">
            <w:pPr>
              <w:pStyle w:val="EIRTableText"/>
              <w:spacing w:before="80" w:after="80"/>
              <w:rPr>
                <w:b/>
                <w:bCs w:val="0"/>
              </w:rPr>
            </w:pPr>
            <w:r>
              <w:rPr>
                <w:b/>
                <w:bCs w:val="0"/>
              </w:rPr>
              <w:t xml:space="preserve">Time of Day </w:t>
            </w:r>
          </w:p>
        </w:tc>
        <w:tc>
          <w:tcPr>
            <w:tcW w:w="1274" w:type="dxa"/>
            <w:tcBorders>
              <w:bottom w:val="nil"/>
            </w:tcBorders>
            <w:shd w:val="clear" w:color="auto" w:fill="000000" w:themeFill="text1"/>
          </w:tcPr>
          <w:p w14:paraId="1841F938" w14:textId="77777777" w:rsidR="006B6C6E" w:rsidRPr="00A0305B" w:rsidRDefault="006B6C6E" w:rsidP="00F649B5">
            <w:pPr>
              <w:pStyle w:val="EIRTableText"/>
              <w:spacing w:before="80" w:after="80"/>
              <w:jc w:val="center"/>
              <w:rPr>
                <w:b/>
                <w:bCs w:val="0"/>
              </w:rPr>
            </w:pPr>
            <w:r w:rsidRPr="00A0305B">
              <w:rPr>
                <w:b/>
                <w:bCs w:val="0"/>
              </w:rPr>
              <w:t>Rate</w:t>
            </w:r>
          </w:p>
        </w:tc>
        <w:tc>
          <w:tcPr>
            <w:tcW w:w="1274" w:type="dxa"/>
            <w:tcBorders>
              <w:bottom w:val="nil"/>
            </w:tcBorders>
            <w:shd w:val="clear" w:color="auto" w:fill="000000" w:themeFill="text1"/>
          </w:tcPr>
          <w:p w14:paraId="3602AA7E" w14:textId="2C6CFF2C" w:rsidR="006B6C6E" w:rsidRPr="00A0305B" w:rsidRDefault="006B6C6E" w:rsidP="00F649B5">
            <w:pPr>
              <w:pStyle w:val="EIRTableText"/>
              <w:spacing w:before="80" w:after="80"/>
              <w:jc w:val="center"/>
              <w:rPr>
                <w:b/>
                <w:bCs w:val="0"/>
              </w:rPr>
            </w:pPr>
            <w:r w:rsidRPr="00A0305B">
              <w:rPr>
                <w:b/>
                <w:bCs w:val="0"/>
              </w:rPr>
              <w:t>In</w:t>
            </w:r>
          </w:p>
        </w:tc>
        <w:tc>
          <w:tcPr>
            <w:tcW w:w="1274" w:type="dxa"/>
            <w:tcBorders>
              <w:bottom w:val="nil"/>
            </w:tcBorders>
            <w:shd w:val="clear" w:color="auto" w:fill="000000" w:themeFill="text1"/>
          </w:tcPr>
          <w:p w14:paraId="1F5372C0" w14:textId="6C8603AA" w:rsidR="006B6C6E" w:rsidRPr="00A0305B" w:rsidRDefault="006B6C6E" w:rsidP="00F649B5">
            <w:pPr>
              <w:pStyle w:val="EIRTableText"/>
              <w:spacing w:before="80" w:after="80"/>
              <w:jc w:val="center"/>
              <w:rPr>
                <w:b/>
                <w:bCs w:val="0"/>
              </w:rPr>
            </w:pPr>
            <w:r>
              <w:rPr>
                <w:b/>
                <w:bCs w:val="0"/>
              </w:rPr>
              <w:t>Percent In</w:t>
            </w:r>
          </w:p>
        </w:tc>
        <w:tc>
          <w:tcPr>
            <w:tcW w:w="1274" w:type="dxa"/>
            <w:tcBorders>
              <w:bottom w:val="nil"/>
            </w:tcBorders>
            <w:shd w:val="clear" w:color="auto" w:fill="000000" w:themeFill="text1"/>
          </w:tcPr>
          <w:p w14:paraId="5F65F475" w14:textId="77777777" w:rsidR="006B6C6E" w:rsidRPr="00A0305B" w:rsidRDefault="006B6C6E" w:rsidP="00F649B5">
            <w:pPr>
              <w:pStyle w:val="EIRTableText"/>
              <w:spacing w:before="80" w:after="80"/>
              <w:jc w:val="center"/>
              <w:rPr>
                <w:b/>
                <w:bCs w:val="0"/>
              </w:rPr>
            </w:pPr>
            <w:r w:rsidRPr="00A0305B">
              <w:rPr>
                <w:b/>
                <w:bCs w:val="0"/>
              </w:rPr>
              <w:t>Out</w:t>
            </w:r>
          </w:p>
        </w:tc>
        <w:tc>
          <w:tcPr>
            <w:tcW w:w="1274" w:type="dxa"/>
            <w:tcBorders>
              <w:bottom w:val="nil"/>
            </w:tcBorders>
            <w:shd w:val="clear" w:color="auto" w:fill="000000" w:themeFill="text1"/>
          </w:tcPr>
          <w:p w14:paraId="65601BFF" w14:textId="6C4771F0" w:rsidR="006B6C6E" w:rsidRPr="00A0305B" w:rsidRDefault="006B6C6E" w:rsidP="00F649B5">
            <w:pPr>
              <w:pStyle w:val="EIRTableText"/>
              <w:spacing w:before="80" w:after="80"/>
              <w:jc w:val="center"/>
              <w:rPr>
                <w:b/>
                <w:bCs w:val="0"/>
              </w:rPr>
            </w:pPr>
            <w:r>
              <w:rPr>
                <w:b/>
                <w:bCs w:val="0"/>
              </w:rPr>
              <w:t>Percent Out</w:t>
            </w:r>
          </w:p>
        </w:tc>
        <w:tc>
          <w:tcPr>
            <w:tcW w:w="1275" w:type="dxa"/>
            <w:tcBorders>
              <w:bottom w:val="nil"/>
            </w:tcBorders>
            <w:shd w:val="clear" w:color="auto" w:fill="000000" w:themeFill="text1"/>
          </w:tcPr>
          <w:p w14:paraId="331EEA44" w14:textId="0BEAF4A9" w:rsidR="006B6C6E" w:rsidRPr="00A0305B" w:rsidRDefault="006B6C6E" w:rsidP="00F649B5">
            <w:pPr>
              <w:pStyle w:val="EIRTableText"/>
              <w:spacing w:before="80" w:after="80"/>
              <w:jc w:val="center"/>
              <w:rPr>
                <w:b/>
                <w:bCs w:val="0"/>
              </w:rPr>
            </w:pPr>
            <w:r w:rsidRPr="00A0305B">
              <w:rPr>
                <w:b/>
                <w:bCs w:val="0"/>
              </w:rPr>
              <w:t>Total Trips</w:t>
            </w:r>
          </w:p>
        </w:tc>
      </w:tr>
      <w:tr w:rsidR="006B6C6E" w14:paraId="72895198" w14:textId="77777777" w:rsidTr="00F649B5">
        <w:tc>
          <w:tcPr>
            <w:tcW w:w="1384" w:type="dxa"/>
            <w:tcBorders>
              <w:top w:val="nil"/>
              <w:left w:val="nil"/>
              <w:bottom w:val="single" w:sz="4" w:space="0" w:color="BFBFBF" w:themeColor="background1" w:themeShade="BF"/>
              <w:right w:val="nil"/>
            </w:tcBorders>
            <w:shd w:val="clear" w:color="auto" w:fill="auto"/>
          </w:tcPr>
          <w:p w14:paraId="69B0A5EB" w14:textId="77777777" w:rsidR="006B6C6E" w:rsidRPr="006D588E" w:rsidRDefault="006B6C6E" w:rsidP="006A5B27">
            <w:pPr>
              <w:pStyle w:val="EIRTableText"/>
            </w:pPr>
            <w:r w:rsidRPr="006D588E">
              <w:t xml:space="preserve">Daily </w:t>
            </w:r>
          </w:p>
        </w:tc>
        <w:tc>
          <w:tcPr>
            <w:tcW w:w="1274" w:type="dxa"/>
            <w:tcBorders>
              <w:top w:val="nil"/>
              <w:left w:val="nil"/>
              <w:bottom w:val="single" w:sz="4" w:space="0" w:color="BFBFBF" w:themeColor="background1" w:themeShade="BF"/>
              <w:right w:val="nil"/>
            </w:tcBorders>
            <w:shd w:val="clear" w:color="auto" w:fill="auto"/>
          </w:tcPr>
          <w:p w14:paraId="38DA062F" w14:textId="77777777" w:rsidR="006B6C6E" w:rsidRDefault="006B6C6E" w:rsidP="00F649B5">
            <w:pPr>
              <w:pStyle w:val="EIRTableText"/>
              <w:ind w:left="-447" w:right="343"/>
              <w:jc w:val="right"/>
            </w:pPr>
            <w:r>
              <w:t>9.74</w:t>
            </w:r>
          </w:p>
        </w:tc>
        <w:tc>
          <w:tcPr>
            <w:tcW w:w="1274" w:type="dxa"/>
            <w:tcBorders>
              <w:top w:val="nil"/>
              <w:left w:val="nil"/>
              <w:bottom w:val="single" w:sz="4" w:space="0" w:color="BFBFBF" w:themeColor="background1" w:themeShade="BF"/>
              <w:right w:val="nil"/>
            </w:tcBorders>
            <w:shd w:val="clear" w:color="auto" w:fill="auto"/>
          </w:tcPr>
          <w:p w14:paraId="1F2BFC70" w14:textId="5238E7D5" w:rsidR="006B6C6E" w:rsidRDefault="00F649B5" w:rsidP="00F649B5">
            <w:pPr>
              <w:pStyle w:val="EIRTableText"/>
              <w:ind w:left="-749" w:right="475"/>
              <w:jc w:val="right"/>
            </w:pPr>
            <w:r>
              <w:t>–</w:t>
            </w:r>
          </w:p>
        </w:tc>
        <w:tc>
          <w:tcPr>
            <w:tcW w:w="1274" w:type="dxa"/>
            <w:tcBorders>
              <w:top w:val="nil"/>
              <w:left w:val="nil"/>
              <w:bottom w:val="single" w:sz="4" w:space="0" w:color="BFBFBF" w:themeColor="background1" w:themeShade="BF"/>
              <w:right w:val="nil"/>
            </w:tcBorders>
          </w:tcPr>
          <w:p w14:paraId="75801379" w14:textId="39013390" w:rsidR="006B6C6E" w:rsidRDefault="00F649B5" w:rsidP="00F649B5">
            <w:pPr>
              <w:pStyle w:val="EIRTableText"/>
              <w:ind w:left="-749" w:right="475"/>
              <w:jc w:val="right"/>
            </w:pPr>
            <w:r>
              <w:t>–</w:t>
            </w:r>
          </w:p>
        </w:tc>
        <w:tc>
          <w:tcPr>
            <w:tcW w:w="1274" w:type="dxa"/>
            <w:tcBorders>
              <w:top w:val="nil"/>
              <w:left w:val="nil"/>
              <w:bottom w:val="single" w:sz="4" w:space="0" w:color="BFBFBF" w:themeColor="background1" w:themeShade="BF"/>
              <w:right w:val="nil"/>
            </w:tcBorders>
            <w:shd w:val="clear" w:color="auto" w:fill="auto"/>
          </w:tcPr>
          <w:p w14:paraId="4D781167" w14:textId="07433EB7" w:rsidR="006B6C6E" w:rsidRDefault="00F649B5" w:rsidP="00F649B5">
            <w:pPr>
              <w:pStyle w:val="EIRTableText"/>
              <w:ind w:left="-749" w:right="475"/>
              <w:jc w:val="right"/>
            </w:pPr>
            <w:r>
              <w:t>–</w:t>
            </w:r>
          </w:p>
        </w:tc>
        <w:tc>
          <w:tcPr>
            <w:tcW w:w="1274" w:type="dxa"/>
            <w:tcBorders>
              <w:top w:val="nil"/>
              <w:left w:val="nil"/>
              <w:bottom w:val="single" w:sz="4" w:space="0" w:color="BFBFBF" w:themeColor="background1" w:themeShade="BF"/>
              <w:right w:val="nil"/>
            </w:tcBorders>
          </w:tcPr>
          <w:p w14:paraId="12406D6B" w14:textId="4AB52BBC" w:rsidR="006B6C6E" w:rsidRDefault="00F649B5" w:rsidP="00F649B5">
            <w:pPr>
              <w:pStyle w:val="EIRTableText"/>
              <w:ind w:left="-749" w:right="475"/>
              <w:jc w:val="right"/>
            </w:pPr>
            <w:r>
              <w:t>–</w:t>
            </w:r>
          </w:p>
        </w:tc>
        <w:tc>
          <w:tcPr>
            <w:tcW w:w="1275" w:type="dxa"/>
            <w:tcBorders>
              <w:top w:val="nil"/>
              <w:left w:val="nil"/>
              <w:bottom w:val="single" w:sz="4" w:space="0" w:color="BFBFBF" w:themeColor="background1" w:themeShade="BF"/>
              <w:right w:val="nil"/>
            </w:tcBorders>
            <w:shd w:val="clear" w:color="auto" w:fill="auto"/>
          </w:tcPr>
          <w:p w14:paraId="4CB262E9" w14:textId="77777777" w:rsidR="006B6C6E" w:rsidRDefault="006B6C6E" w:rsidP="00F649B5">
            <w:pPr>
              <w:pStyle w:val="EIRTableText"/>
              <w:ind w:left="-749" w:right="475"/>
              <w:jc w:val="right"/>
            </w:pPr>
            <w:r>
              <w:t xml:space="preserve">195 </w:t>
            </w:r>
          </w:p>
        </w:tc>
      </w:tr>
      <w:tr w:rsidR="006B6C6E" w14:paraId="39E54468" w14:textId="77777777" w:rsidTr="00F649B5">
        <w:tc>
          <w:tcPr>
            <w:tcW w:w="1384" w:type="dxa"/>
            <w:tcBorders>
              <w:top w:val="single" w:sz="4" w:space="0" w:color="BFBFBF" w:themeColor="background1" w:themeShade="BF"/>
              <w:left w:val="nil"/>
              <w:bottom w:val="single" w:sz="4" w:space="0" w:color="BFBFBF" w:themeColor="background1" w:themeShade="BF"/>
              <w:right w:val="nil"/>
            </w:tcBorders>
            <w:shd w:val="clear" w:color="auto" w:fill="auto"/>
          </w:tcPr>
          <w:p w14:paraId="190C22F7" w14:textId="77777777" w:rsidR="006B6C6E" w:rsidRDefault="006B6C6E" w:rsidP="006A5B27">
            <w:pPr>
              <w:pStyle w:val="EIRTableText"/>
            </w:pPr>
            <w:r>
              <w:t xml:space="preserve">AM Peak </w:t>
            </w:r>
          </w:p>
        </w:tc>
        <w:tc>
          <w:tcPr>
            <w:tcW w:w="1274" w:type="dxa"/>
            <w:tcBorders>
              <w:top w:val="single" w:sz="4" w:space="0" w:color="BFBFBF" w:themeColor="background1" w:themeShade="BF"/>
              <w:left w:val="nil"/>
              <w:bottom w:val="single" w:sz="4" w:space="0" w:color="BFBFBF" w:themeColor="background1" w:themeShade="BF"/>
              <w:right w:val="nil"/>
            </w:tcBorders>
            <w:shd w:val="clear" w:color="auto" w:fill="auto"/>
          </w:tcPr>
          <w:p w14:paraId="01A62331" w14:textId="77777777" w:rsidR="006B6C6E" w:rsidRDefault="006B6C6E" w:rsidP="00F649B5">
            <w:pPr>
              <w:pStyle w:val="EIRTableText"/>
              <w:ind w:left="-447" w:right="343"/>
              <w:jc w:val="right"/>
            </w:pPr>
            <w:r>
              <w:t>1.16</w:t>
            </w:r>
          </w:p>
        </w:tc>
        <w:tc>
          <w:tcPr>
            <w:tcW w:w="1274" w:type="dxa"/>
            <w:tcBorders>
              <w:top w:val="single" w:sz="4" w:space="0" w:color="BFBFBF" w:themeColor="background1" w:themeShade="BF"/>
              <w:left w:val="nil"/>
              <w:bottom w:val="single" w:sz="4" w:space="0" w:color="BFBFBF" w:themeColor="background1" w:themeShade="BF"/>
              <w:right w:val="nil"/>
            </w:tcBorders>
            <w:shd w:val="clear" w:color="auto" w:fill="auto"/>
          </w:tcPr>
          <w:p w14:paraId="5DA0D0E3" w14:textId="77777777" w:rsidR="006B6C6E" w:rsidRDefault="006B6C6E" w:rsidP="00F649B5">
            <w:pPr>
              <w:pStyle w:val="EIRTableText"/>
              <w:ind w:left="-749" w:right="475"/>
              <w:jc w:val="right"/>
            </w:pPr>
            <w:r>
              <w:t>20</w:t>
            </w:r>
          </w:p>
        </w:tc>
        <w:tc>
          <w:tcPr>
            <w:tcW w:w="1274" w:type="dxa"/>
            <w:tcBorders>
              <w:top w:val="single" w:sz="4" w:space="0" w:color="BFBFBF" w:themeColor="background1" w:themeShade="BF"/>
              <w:left w:val="nil"/>
              <w:bottom w:val="single" w:sz="4" w:space="0" w:color="BFBFBF" w:themeColor="background1" w:themeShade="BF"/>
              <w:right w:val="nil"/>
            </w:tcBorders>
            <w:shd w:val="clear" w:color="auto" w:fill="auto"/>
          </w:tcPr>
          <w:p w14:paraId="7D7A763E" w14:textId="77777777" w:rsidR="006B6C6E" w:rsidRDefault="006B6C6E" w:rsidP="00F649B5">
            <w:pPr>
              <w:pStyle w:val="EIRTableText"/>
              <w:ind w:left="-749" w:right="475"/>
              <w:jc w:val="right"/>
            </w:pPr>
            <w:r>
              <w:t>86</w:t>
            </w:r>
          </w:p>
        </w:tc>
        <w:tc>
          <w:tcPr>
            <w:tcW w:w="1274" w:type="dxa"/>
            <w:tcBorders>
              <w:top w:val="single" w:sz="4" w:space="0" w:color="BFBFBF" w:themeColor="background1" w:themeShade="BF"/>
              <w:left w:val="nil"/>
              <w:bottom w:val="single" w:sz="4" w:space="0" w:color="BFBFBF" w:themeColor="background1" w:themeShade="BF"/>
              <w:right w:val="nil"/>
            </w:tcBorders>
            <w:shd w:val="clear" w:color="auto" w:fill="auto"/>
          </w:tcPr>
          <w:p w14:paraId="5E1735C3" w14:textId="77777777" w:rsidR="006B6C6E" w:rsidRDefault="006B6C6E" w:rsidP="00F649B5">
            <w:pPr>
              <w:pStyle w:val="EIRTableText"/>
              <w:ind w:left="-749" w:right="475"/>
              <w:jc w:val="right"/>
            </w:pPr>
            <w:r>
              <w:t>3</w:t>
            </w:r>
          </w:p>
        </w:tc>
        <w:tc>
          <w:tcPr>
            <w:tcW w:w="1274" w:type="dxa"/>
            <w:tcBorders>
              <w:top w:val="single" w:sz="4" w:space="0" w:color="BFBFBF" w:themeColor="background1" w:themeShade="BF"/>
              <w:left w:val="nil"/>
              <w:bottom w:val="single" w:sz="4" w:space="0" w:color="BFBFBF" w:themeColor="background1" w:themeShade="BF"/>
              <w:right w:val="nil"/>
            </w:tcBorders>
            <w:shd w:val="clear" w:color="auto" w:fill="auto"/>
          </w:tcPr>
          <w:p w14:paraId="3B7662D1" w14:textId="77777777" w:rsidR="006B6C6E" w:rsidRDefault="006B6C6E" w:rsidP="00F649B5">
            <w:pPr>
              <w:pStyle w:val="EIRTableText"/>
              <w:ind w:left="-749" w:right="475"/>
              <w:jc w:val="right"/>
            </w:pPr>
            <w:r>
              <w:t>14</w:t>
            </w:r>
          </w:p>
        </w:tc>
        <w:tc>
          <w:tcPr>
            <w:tcW w:w="1275" w:type="dxa"/>
            <w:tcBorders>
              <w:top w:val="single" w:sz="4" w:space="0" w:color="BFBFBF" w:themeColor="background1" w:themeShade="BF"/>
              <w:left w:val="nil"/>
              <w:bottom w:val="single" w:sz="4" w:space="0" w:color="BFBFBF" w:themeColor="background1" w:themeShade="BF"/>
              <w:right w:val="nil"/>
            </w:tcBorders>
            <w:shd w:val="clear" w:color="auto" w:fill="auto"/>
          </w:tcPr>
          <w:p w14:paraId="47B9B1C2" w14:textId="77777777" w:rsidR="006B6C6E" w:rsidRDefault="006B6C6E" w:rsidP="00F649B5">
            <w:pPr>
              <w:pStyle w:val="EIRTableText"/>
              <w:ind w:left="-749" w:right="475"/>
              <w:jc w:val="right"/>
            </w:pPr>
            <w:r>
              <w:t>23</w:t>
            </w:r>
          </w:p>
        </w:tc>
      </w:tr>
      <w:tr w:rsidR="006B6C6E" w14:paraId="14BA52A6" w14:textId="77777777" w:rsidTr="00F649B5">
        <w:tc>
          <w:tcPr>
            <w:tcW w:w="1384" w:type="dxa"/>
            <w:tcBorders>
              <w:top w:val="single" w:sz="4" w:space="0" w:color="BFBFBF" w:themeColor="background1" w:themeShade="BF"/>
              <w:left w:val="nil"/>
              <w:bottom w:val="single" w:sz="4" w:space="0" w:color="BFBFBF" w:themeColor="background1" w:themeShade="BF"/>
              <w:right w:val="nil"/>
            </w:tcBorders>
            <w:shd w:val="clear" w:color="auto" w:fill="auto"/>
          </w:tcPr>
          <w:p w14:paraId="2B7E16F5" w14:textId="77777777" w:rsidR="006B6C6E" w:rsidRDefault="006B6C6E" w:rsidP="006A5B27">
            <w:pPr>
              <w:pStyle w:val="EIRTableText"/>
            </w:pPr>
            <w:r>
              <w:t>Midday Peak</w:t>
            </w:r>
          </w:p>
        </w:tc>
        <w:tc>
          <w:tcPr>
            <w:tcW w:w="1274" w:type="dxa"/>
            <w:tcBorders>
              <w:top w:val="single" w:sz="4" w:space="0" w:color="BFBFBF" w:themeColor="background1" w:themeShade="BF"/>
              <w:left w:val="nil"/>
              <w:bottom w:val="single" w:sz="4" w:space="0" w:color="BFBFBF" w:themeColor="background1" w:themeShade="BF"/>
              <w:right w:val="nil"/>
            </w:tcBorders>
            <w:shd w:val="clear" w:color="auto" w:fill="auto"/>
          </w:tcPr>
          <w:p w14:paraId="1F43924B" w14:textId="77777777" w:rsidR="006B6C6E" w:rsidRDefault="006B6C6E" w:rsidP="00F649B5">
            <w:pPr>
              <w:pStyle w:val="EIRTableText"/>
              <w:ind w:left="-447" w:right="343"/>
              <w:jc w:val="right"/>
            </w:pPr>
            <w:r>
              <w:t>0.98</w:t>
            </w:r>
          </w:p>
        </w:tc>
        <w:tc>
          <w:tcPr>
            <w:tcW w:w="1274" w:type="dxa"/>
            <w:tcBorders>
              <w:top w:val="single" w:sz="4" w:space="0" w:color="BFBFBF" w:themeColor="background1" w:themeShade="BF"/>
              <w:left w:val="nil"/>
              <w:bottom w:val="single" w:sz="4" w:space="0" w:color="BFBFBF" w:themeColor="background1" w:themeShade="BF"/>
              <w:right w:val="nil"/>
            </w:tcBorders>
            <w:shd w:val="clear" w:color="auto" w:fill="auto"/>
          </w:tcPr>
          <w:p w14:paraId="7E500030" w14:textId="77777777" w:rsidR="006B6C6E" w:rsidRDefault="006B6C6E" w:rsidP="00F649B5">
            <w:pPr>
              <w:pStyle w:val="EIRTableText"/>
              <w:ind w:left="-749" w:right="475"/>
              <w:jc w:val="right"/>
            </w:pPr>
            <w:r>
              <w:t>3</w:t>
            </w:r>
          </w:p>
        </w:tc>
        <w:tc>
          <w:tcPr>
            <w:tcW w:w="1274" w:type="dxa"/>
            <w:tcBorders>
              <w:top w:val="single" w:sz="4" w:space="0" w:color="BFBFBF" w:themeColor="background1" w:themeShade="BF"/>
              <w:left w:val="nil"/>
              <w:bottom w:val="single" w:sz="4" w:space="0" w:color="BFBFBF" w:themeColor="background1" w:themeShade="BF"/>
              <w:right w:val="nil"/>
            </w:tcBorders>
            <w:shd w:val="clear" w:color="auto" w:fill="auto"/>
          </w:tcPr>
          <w:p w14:paraId="5E243370" w14:textId="77777777" w:rsidR="006B6C6E" w:rsidRDefault="006B6C6E" w:rsidP="00F649B5">
            <w:pPr>
              <w:pStyle w:val="EIRTableText"/>
              <w:ind w:left="-749" w:right="475"/>
              <w:jc w:val="right"/>
            </w:pPr>
            <w:r>
              <w:t>14</w:t>
            </w:r>
          </w:p>
        </w:tc>
        <w:tc>
          <w:tcPr>
            <w:tcW w:w="1274" w:type="dxa"/>
            <w:tcBorders>
              <w:top w:val="single" w:sz="4" w:space="0" w:color="BFBFBF" w:themeColor="background1" w:themeShade="BF"/>
              <w:left w:val="nil"/>
              <w:bottom w:val="single" w:sz="4" w:space="0" w:color="BFBFBF" w:themeColor="background1" w:themeShade="BF"/>
              <w:right w:val="nil"/>
            </w:tcBorders>
            <w:shd w:val="clear" w:color="auto" w:fill="auto"/>
          </w:tcPr>
          <w:p w14:paraId="2DD62F39" w14:textId="77777777" w:rsidR="006B6C6E" w:rsidRDefault="006B6C6E" w:rsidP="00F649B5">
            <w:pPr>
              <w:pStyle w:val="EIRTableText"/>
              <w:ind w:left="-749" w:right="475"/>
              <w:jc w:val="right"/>
            </w:pPr>
            <w:r>
              <w:t>17</w:t>
            </w:r>
          </w:p>
        </w:tc>
        <w:tc>
          <w:tcPr>
            <w:tcW w:w="1274" w:type="dxa"/>
            <w:tcBorders>
              <w:top w:val="single" w:sz="4" w:space="0" w:color="BFBFBF" w:themeColor="background1" w:themeShade="BF"/>
              <w:left w:val="nil"/>
              <w:bottom w:val="single" w:sz="4" w:space="0" w:color="BFBFBF" w:themeColor="background1" w:themeShade="BF"/>
              <w:right w:val="nil"/>
            </w:tcBorders>
            <w:shd w:val="clear" w:color="auto" w:fill="auto"/>
          </w:tcPr>
          <w:p w14:paraId="0CDE67E4" w14:textId="77777777" w:rsidR="006B6C6E" w:rsidRDefault="006B6C6E" w:rsidP="00F649B5">
            <w:pPr>
              <w:pStyle w:val="EIRTableText"/>
              <w:ind w:left="-749" w:right="475"/>
              <w:jc w:val="right"/>
            </w:pPr>
            <w:r>
              <w:t>86</w:t>
            </w:r>
          </w:p>
        </w:tc>
        <w:tc>
          <w:tcPr>
            <w:tcW w:w="1275" w:type="dxa"/>
            <w:tcBorders>
              <w:top w:val="single" w:sz="4" w:space="0" w:color="BFBFBF" w:themeColor="background1" w:themeShade="BF"/>
              <w:left w:val="nil"/>
              <w:bottom w:val="single" w:sz="4" w:space="0" w:color="BFBFBF" w:themeColor="background1" w:themeShade="BF"/>
              <w:right w:val="nil"/>
            </w:tcBorders>
            <w:shd w:val="clear" w:color="auto" w:fill="auto"/>
          </w:tcPr>
          <w:p w14:paraId="4B44428F" w14:textId="77777777" w:rsidR="006B6C6E" w:rsidRDefault="006B6C6E" w:rsidP="00F649B5">
            <w:pPr>
              <w:pStyle w:val="EIRTableText"/>
              <w:ind w:left="-749" w:right="475"/>
              <w:jc w:val="right"/>
            </w:pPr>
            <w:r>
              <w:t xml:space="preserve">20 </w:t>
            </w:r>
          </w:p>
        </w:tc>
      </w:tr>
      <w:tr w:rsidR="006B6C6E" w14:paraId="5D964CB7" w14:textId="77777777" w:rsidTr="00F649B5">
        <w:tc>
          <w:tcPr>
            <w:tcW w:w="1384" w:type="dxa"/>
            <w:tcBorders>
              <w:top w:val="single" w:sz="4" w:space="0" w:color="BFBFBF" w:themeColor="background1" w:themeShade="BF"/>
              <w:left w:val="nil"/>
              <w:bottom w:val="single" w:sz="4" w:space="0" w:color="auto"/>
              <w:right w:val="nil"/>
            </w:tcBorders>
          </w:tcPr>
          <w:p w14:paraId="4B0176F5" w14:textId="77777777" w:rsidR="006B6C6E" w:rsidRDefault="006B6C6E" w:rsidP="006A5B27">
            <w:pPr>
              <w:pStyle w:val="EIRTableText"/>
            </w:pPr>
            <w:r>
              <w:t xml:space="preserve">PM Peak </w:t>
            </w:r>
          </w:p>
        </w:tc>
        <w:tc>
          <w:tcPr>
            <w:tcW w:w="1274" w:type="dxa"/>
            <w:tcBorders>
              <w:top w:val="single" w:sz="4" w:space="0" w:color="BFBFBF" w:themeColor="background1" w:themeShade="BF"/>
              <w:left w:val="nil"/>
              <w:bottom w:val="single" w:sz="4" w:space="0" w:color="auto"/>
              <w:right w:val="nil"/>
            </w:tcBorders>
          </w:tcPr>
          <w:p w14:paraId="123D67E1" w14:textId="77777777" w:rsidR="006B6C6E" w:rsidRDefault="006B6C6E" w:rsidP="00F649B5">
            <w:pPr>
              <w:pStyle w:val="EIRTableText"/>
              <w:ind w:left="-447" w:right="343"/>
              <w:jc w:val="right"/>
            </w:pPr>
            <w:r>
              <w:t>1.15</w:t>
            </w:r>
          </w:p>
        </w:tc>
        <w:tc>
          <w:tcPr>
            <w:tcW w:w="1274" w:type="dxa"/>
            <w:tcBorders>
              <w:top w:val="single" w:sz="4" w:space="0" w:color="BFBFBF" w:themeColor="background1" w:themeShade="BF"/>
              <w:left w:val="nil"/>
              <w:bottom w:val="single" w:sz="4" w:space="0" w:color="auto"/>
              <w:right w:val="nil"/>
            </w:tcBorders>
          </w:tcPr>
          <w:p w14:paraId="58C6D22B" w14:textId="77777777" w:rsidR="006B6C6E" w:rsidRDefault="006B6C6E" w:rsidP="00F649B5">
            <w:pPr>
              <w:pStyle w:val="EIRTableText"/>
              <w:ind w:left="-749" w:right="475"/>
              <w:jc w:val="right"/>
            </w:pPr>
            <w:r>
              <w:t>4</w:t>
            </w:r>
          </w:p>
        </w:tc>
        <w:tc>
          <w:tcPr>
            <w:tcW w:w="1274" w:type="dxa"/>
            <w:tcBorders>
              <w:top w:val="single" w:sz="4" w:space="0" w:color="BFBFBF" w:themeColor="background1" w:themeShade="BF"/>
              <w:left w:val="nil"/>
              <w:bottom w:val="single" w:sz="4" w:space="0" w:color="auto"/>
              <w:right w:val="nil"/>
            </w:tcBorders>
          </w:tcPr>
          <w:p w14:paraId="5E7994A2" w14:textId="77777777" w:rsidR="006B6C6E" w:rsidRDefault="006B6C6E" w:rsidP="00F649B5">
            <w:pPr>
              <w:pStyle w:val="EIRTableText"/>
              <w:ind w:left="-749" w:right="475"/>
              <w:jc w:val="right"/>
            </w:pPr>
            <w:r>
              <w:t>16</w:t>
            </w:r>
          </w:p>
        </w:tc>
        <w:tc>
          <w:tcPr>
            <w:tcW w:w="1274" w:type="dxa"/>
            <w:tcBorders>
              <w:top w:val="single" w:sz="4" w:space="0" w:color="BFBFBF" w:themeColor="background1" w:themeShade="BF"/>
              <w:left w:val="nil"/>
              <w:bottom w:val="single" w:sz="4" w:space="0" w:color="auto"/>
              <w:right w:val="nil"/>
            </w:tcBorders>
          </w:tcPr>
          <w:p w14:paraId="794802F5" w14:textId="77777777" w:rsidR="006B6C6E" w:rsidRDefault="006B6C6E" w:rsidP="00F649B5">
            <w:pPr>
              <w:pStyle w:val="EIRTableText"/>
              <w:ind w:left="-749" w:right="475"/>
              <w:jc w:val="right"/>
            </w:pPr>
            <w:r>
              <w:t>19</w:t>
            </w:r>
          </w:p>
        </w:tc>
        <w:tc>
          <w:tcPr>
            <w:tcW w:w="1274" w:type="dxa"/>
            <w:tcBorders>
              <w:top w:val="single" w:sz="4" w:space="0" w:color="BFBFBF" w:themeColor="background1" w:themeShade="BF"/>
              <w:left w:val="nil"/>
              <w:bottom w:val="single" w:sz="4" w:space="0" w:color="auto"/>
              <w:right w:val="nil"/>
            </w:tcBorders>
          </w:tcPr>
          <w:p w14:paraId="5AA677B9" w14:textId="77777777" w:rsidR="006B6C6E" w:rsidRDefault="006B6C6E" w:rsidP="00F649B5">
            <w:pPr>
              <w:pStyle w:val="EIRTableText"/>
              <w:ind w:left="-749" w:right="475"/>
              <w:jc w:val="right"/>
            </w:pPr>
            <w:r>
              <w:t>84</w:t>
            </w:r>
          </w:p>
        </w:tc>
        <w:tc>
          <w:tcPr>
            <w:tcW w:w="1275" w:type="dxa"/>
            <w:tcBorders>
              <w:top w:val="single" w:sz="4" w:space="0" w:color="BFBFBF" w:themeColor="background1" w:themeShade="BF"/>
              <w:left w:val="nil"/>
              <w:bottom w:val="single" w:sz="4" w:space="0" w:color="auto"/>
              <w:right w:val="nil"/>
            </w:tcBorders>
          </w:tcPr>
          <w:p w14:paraId="3F4BE4D3" w14:textId="77777777" w:rsidR="006B6C6E" w:rsidRDefault="006B6C6E" w:rsidP="00F649B5">
            <w:pPr>
              <w:pStyle w:val="EIRTableText"/>
              <w:ind w:left="-749" w:right="475"/>
              <w:jc w:val="right"/>
            </w:pPr>
            <w:r>
              <w:t xml:space="preserve">23 </w:t>
            </w:r>
          </w:p>
        </w:tc>
      </w:tr>
      <w:tr w:rsidR="002055C8" w:rsidRPr="00F649B5" w14:paraId="370E5C83" w14:textId="77777777" w:rsidTr="00F649B5">
        <w:tc>
          <w:tcPr>
            <w:tcW w:w="9029" w:type="dxa"/>
            <w:gridSpan w:val="7"/>
            <w:tcBorders>
              <w:top w:val="single" w:sz="4" w:space="0" w:color="auto"/>
              <w:left w:val="nil"/>
              <w:bottom w:val="single" w:sz="4" w:space="0" w:color="auto"/>
              <w:right w:val="nil"/>
            </w:tcBorders>
          </w:tcPr>
          <w:p w14:paraId="045B2105" w14:textId="5EC0DDFA" w:rsidR="002055C8" w:rsidRPr="00F649B5" w:rsidRDefault="002055C8" w:rsidP="00F649B5">
            <w:pPr>
              <w:pStyle w:val="EIRTableText"/>
              <w:spacing w:before="60" w:after="60"/>
              <w:rPr>
                <w:sz w:val="16"/>
                <w:szCs w:val="16"/>
              </w:rPr>
            </w:pPr>
            <w:r w:rsidRPr="00F649B5">
              <w:rPr>
                <w:sz w:val="16"/>
                <w:szCs w:val="16"/>
              </w:rPr>
              <w:t xml:space="preserve">Source: Appendix TRA </w:t>
            </w:r>
          </w:p>
        </w:tc>
      </w:tr>
    </w:tbl>
    <w:p w14:paraId="74504193" w14:textId="3F327668" w:rsidR="00E60C6A" w:rsidRPr="006B6C6E" w:rsidRDefault="00E60C6A" w:rsidP="00E60C6A">
      <w:pPr>
        <w:pStyle w:val="Heading6"/>
      </w:pPr>
      <w:r w:rsidRPr="006B6C6E">
        <w:t>Roadways</w:t>
      </w:r>
    </w:p>
    <w:p w14:paraId="3D6B29EF" w14:textId="27AC65ED" w:rsidR="00DC183A" w:rsidRPr="006B6C6E" w:rsidRDefault="00770B66" w:rsidP="00E60C6A">
      <w:pPr>
        <w:pStyle w:val="BodyText"/>
        <w:rPr>
          <w:rFonts w:eastAsiaTheme="minorHAnsi"/>
        </w:rPr>
      </w:pPr>
      <w:r>
        <w:t>The Multi-Modal Transportation Analysis determined that the intersection of N. Shoreline Boulevard and Terra Bella Avenue experience</w:t>
      </w:r>
      <w:r w:rsidR="008D58FD">
        <w:t>s</w:t>
      </w:r>
      <w:r>
        <w:t xml:space="preserve"> its highest traffic volume of 1,748 vehicles per hour during peak evening hours</w:t>
      </w:r>
      <w:r w:rsidR="00275B75">
        <w:t xml:space="preserve">. </w:t>
      </w:r>
      <w:r>
        <w:rPr>
          <w:rFonts w:eastAsiaTheme="minorHAnsi"/>
        </w:rPr>
        <w:t xml:space="preserve">Because the project would generate 23 trips during evening peak hours and 195 daily trips overall, </w:t>
      </w:r>
      <w:r w:rsidR="00985F82">
        <w:rPr>
          <w:rFonts w:eastAsiaTheme="minorHAnsi"/>
        </w:rPr>
        <w:t>the project would</w:t>
      </w:r>
      <w:r w:rsidR="00E252F7">
        <w:rPr>
          <w:rFonts w:eastAsiaTheme="minorHAnsi"/>
        </w:rPr>
        <w:t xml:space="preserve"> not</w:t>
      </w:r>
      <w:r w:rsidR="00E60C6A" w:rsidRPr="006B6C6E">
        <w:rPr>
          <w:rFonts w:eastAsiaTheme="minorHAnsi"/>
        </w:rPr>
        <w:t xml:space="preserve"> significantly increase vehicle trips relative to the overall load and carrying capacity of the surrounding street system</w:t>
      </w:r>
      <w:r w:rsidR="00735D09">
        <w:rPr>
          <w:rFonts w:eastAsiaTheme="minorHAnsi"/>
        </w:rPr>
        <w:t xml:space="preserve"> (Appendix TRA)</w:t>
      </w:r>
      <w:r w:rsidR="00E60C6A" w:rsidRPr="006B6C6E">
        <w:rPr>
          <w:rFonts w:eastAsiaTheme="minorHAnsi"/>
        </w:rPr>
        <w:t xml:space="preserve">. The proposed project would not conflict with plans, policies, ordinances, or regulations pertaining to the roadway system and thus no significant impacts related to roadways </w:t>
      </w:r>
      <w:r w:rsidR="008D1CFA" w:rsidRPr="006B6C6E">
        <w:rPr>
          <w:rFonts w:eastAsiaTheme="minorHAnsi"/>
        </w:rPr>
        <w:t>would occur</w:t>
      </w:r>
      <w:r w:rsidR="00E60C6A" w:rsidRPr="006B6C6E">
        <w:rPr>
          <w:rFonts w:eastAsiaTheme="minorHAnsi"/>
        </w:rPr>
        <w:t>.</w:t>
      </w:r>
      <w:r w:rsidR="002677F9" w:rsidRPr="006B6C6E">
        <w:rPr>
          <w:rFonts w:eastAsiaTheme="minorHAnsi"/>
        </w:rPr>
        <w:t xml:space="preserve"> Congestion on roadways is not considered a significant impact </w:t>
      </w:r>
      <w:r w:rsidR="00377CB6">
        <w:rPr>
          <w:rFonts w:eastAsiaTheme="minorHAnsi"/>
        </w:rPr>
        <w:t>pursuant to</w:t>
      </w:r>
      <w:r w:rsidR="00377CB6" w:rsidRPr="006B6C6E">
        <w:rPr>
          <w:rFonts w:eastAsiaTheme="minorHAnsi"/>
        </w:rPr>
        <w:t xml:space="preserve"> </w:t>
      </w:r>
      <w:r w:rsidR="002677F9" w:rsidRPr="006B6C6E">
        <w:rPr>
          <w:rFonts w:eastAsiaTheme="minorHAnsi"/>
        </w:rPr>
        <w:t>CEQA. Therefore, additional congestion as a result of project implementation would not result in significant impacts</w:t>
      </w:r>
      <w:r w:rsidR="00377CB6">
        <w:rPr>
          <w:rFonts w:eastAsiaTheme="minorHAnsi"/>
        </w:rPr>
        <w:t xml:space="preserve"> under CEQA</w:t>
      </w:r>
      <w:r w:rsidR="002677F9" w:rsidRPr="006B6C6E">
        <w:rPr>
          <w:rFonts w:eastAsiaTheme="minorHAnsi"/>
        </w:rPr>
        <w:t>.</w:t>
      </w:r>
    </w:p>
    <w:p w14:paraId="39CB385F" w14:textId="24A11523" w:rsidR="00E60C6A" w:rsidRPr="000E45CD" w:rsidRDefault="00DC183A" w:rsidP="00E60C6A">
      <w:pPr>
        <w:pStyle w:val="BodyText"/>
        <w:rPr>
          <w:rFonts w:eastAsiaTheme="minorHAnsi"/>
          <w:highlight w:val="lightGray"/>
        </w:rPr>
      </w:pPr>
      <w:r w:rsidRPr="006B6C6E">
        <w:rPr>
          <w:rFonts w:eastAsiaTheme="minorHAnsi"/>
        </w:rPr>
        <w:t>While Senate Bill 743 expressly forbids the use of level of service or automobile delay in the determination of environmental significance, the City</w:t>
      </w:r>
      <w:r w:rsidR="00EF7339" w:rsidRPr="006B6C6E">
        <w:rPr>
          <w:rFonts w:eastAsiaTheme="minorHAnsi"/>
        </w:rPr>
        <w:t xml:space="preserve">’s </w:t>
      </w:r>
      <w:r w:rsidR="00D07F6D">
        <w:rPr>
          <w:rFonts w:eastAsiaTheme="minorHAnsi"/>
        </w:rPr>
        <w:t>MTA Handbook</w:t>
      </w:r>
      <w:r w:rsidRPr="006B6C6E">
        <w:rPr>
          <w:rFonts w:eastAsiaTheme="minorHAnsi"/>
        </w:rPr>
        <w:t xml:space="preserve"> has level of service </w:t>
      </w:r>
      <w:r w:rsidR="00D07F6D">
        <w:rPr>
          <w:rFonts w:eastAsiaTheme="minorHAnsi"/>
        </w:rPr>
        <w:t xml:space="preserve">(LOS) </w:t>
      </w:r>
      <w:r w:rsidRPr="006B6C6E">
        <w:rPr>
          <w:rFonts w:eastAsiaTheme="minorHAnsi"/>
        </w:rPr>
        <w:t>standards that it desires to maintain</w:t>
      </w:r>
      <w:r w:rsidR="005D7FCD" w:rsidRPr="006B6C6E">
        <w:rPr>
          <w:rFonts w:eastAsiaTheme="minorHAnsi"/>
        </w:rPr>
        <w:t xml:space="preserve">. </w:t>
      </w:r>
      <w:r w:rsidR="005D7FCD" w:rsidRPr="00D07F6D">
        <w:rPr>
          <w:rFonts w:eastAsiaTheme="minorHAnsi"/>
        </w:rPr>
        <w:t xml:space="preserve">For informational </w:t>
      </w:r>
      <w:r w:rsidR="00B00B61" w:rsidRPr="00D07F6D">
        <w:rPr>
          <w:rFonts w:eastAsiaTheme="minorHAnsi"/>
        </w:rPr>
        <w:t>purposes,</w:t>
      </w:r>
      <w:r w:rsidR="005D7FCD" w:rsidRPr="00D07F6D">
        <w:rPr>
          <w:rFonts w:eastAsiaTheme="minorHAnsi"/>
        </w:rPr>
        <w:t xml:space="preserve"> a LOS analysis has been performed in accordance with City standards</w:t>
      </w:r>
      <w:r w:rsidR="00D07F6D">
        <w:rPr>
          <w:rFonts w:eastAsiaTheme="minorHAnsi"/>
        </w:rPr>
        <w:t xml:space="preserve">. According to the City of Mountain View, an adverse effect on intersection operations occurs when the analysis demonstrates that a project to fall below LOS D with the addition of project vehicle trips (see Appendix TRA for a detailed explanation on LOS). The intersection of Shoreline Boulevard and Terra Bella Avenue </w:t>
      </w:r>
      <w:r w:rsidR="00F23357">
        <w:rPr>
          <w:rFonts w:eastAsiaTheme="minorHAnsi"/>
        </w:rPr>
        <w:t>would</w:t>
      </w:r>
      <w:r w:rsidR="00D07F6D">
        <w:rPr>
          <w:rFonts w:eastAsiaTheme="minorHAnsi"/>
        </w:rPr>
        <w:t xml:space="preserve"> operate</w:t>
      </w:r>
      <w:r w:rsidR="00F23357">
        <w:rPr>
          <w:rFonts w:eastAsiaTheme="minorHAnsi"/>
        </w:rPr>
        <w:t xml:space="preserve"> </w:t>
      </w:r>
      <w:r w:rsidR="00D07F6D">
        <w:rPr>
          <w:rFonts w:eastAsiaTheme="minorHAnsi"/>
        </w:rPr>
        <w:t>at acceptable service levels during morning, midday, and evening peak hours</w:t>
      </w:r>
      <w:r w:rsidR="00F23357">
        <w:rPr>
          <w:rFonts w:eastAsiaTheme="minorHAnsi"/>
        </w:rPr>
        <w:t xml:space="preserve"> with implementation of the proposed project</w:t>
      </w:r>
      <w:r w:rsidR="00770B66">
        <w:rPr>
          <w:rFonts w:eastAsiaTheme="minorHAnsi"/>
        </w:rPr>
        <w:t xml:space="preserve"> (Appendix TRA)</w:t>
      </w:r>
      <w:r w:rsidR="00F23357">
        <w:rPr>
          <w:rFonts w:eastAsiaTheme="minorHAnsi"/>
        </w:rPr>
        <w:t xml:space="preserve">. Therefore, the project would not conflict with the City’s MTA Handbook and impacts would be less than significant. </w:t>
      </w:r>
    </w:p>
    <w:p w14:paraId="443E5600" w14:textId="2BEE14D6" w:rsidR="00E60C6A" w:rsidRDefault="00E60C6A" w:rsidP="00E60C6A">
      <w:pPr>
        <w:pStyle w:val="Heading6"/>
      </w:pPr>
      <w:r w:rsidRPr="00F23357">
        <w:t>Public Transit Facilities</w:t>
      </w:r>
    </w:p>
    <w:p w14:paraId="1BBFC26E" w14:textId="6B9418FC" w:rsidR="00BF6EC1" w:rsidRDefault="00547702" w:rsidP="00F23357">
      <w:pPr>
        <w:pStyle w:val="BodyText"/>
      </w:pPr>
      <w:r>
        <w:t>T</w:t>
      </w:r>
      <w:r w:rsidR="002A3611">
        <w:t>he</w:t>
      </w:r>
      <w:r w:rsidR="00BF6EC1">
        <w:t xml:space="preserve"> project would generate additional public transit trips on existing transit services near the project site. </w:t>
      </w:r>
      <w:r w:rsidR="00735D09">
        <w:t xml:space="preserve">Because the project </w:t>
      </w:r>
      <w:r w:rsidR="006A616F">
        <w:t>would</w:t>
      </w:r>
      <w:r w:rsidR="00735D09">
        <w:t xml:space="preserve"> not </w:t>
      </w:r>
      <w:r w:rsidR="006A616F">
        <w:t>be expected to</w:t>
      </w:r>
      <w:r w:rsidR="00275B75">
        <w:t xml:space="preserve"> </w:t>
      </w:r>
      <w:r w:rsidR="00735D09">
        <w:t xml:space="preserve">substantially increase vehicle traffic or vehicle speed in the existing roadway network around the project site, the project </w:t>
      </w:r>
      <w:r w:rsidR="006A616F">
        <w:t>would</w:t>
      </w:r>
      <w:r w:rsidR="00735D09">
        <w:t xml:space="preserve"> not</w:t>
      </w:r>
      <w:r w:rsidR="006A616F">
        <w:t xml:space="preserve"> </w:t>
      </w:r>
      <w:r w:rsidR="00735D09">
        <w:t xml:space="preserve">result in delays or interruptions to existing transit services. </w:t>
      </w:r>
      <w:r w:rsidR="00BF6EC1">
        <w:t>The project</w:t>
      </w:r>
      <w:r w:rsidR="00735D09">
        <w:t xml:space="preserve"> would consist of infill development in an area already served by existing transit options and</w:t>
      </w:r>
      <w:r w:rsidR="00BF6EC1">
        <w:t xml:space="preserve"> </w:t>
      </w:r>
      <w:r w:rsidR="006A616F">
        <w:t>would</w:t>
      </w:r>
      <w:r w:rsidR="00BF6EC1">
        <w:t xml:space="preserve"> not generate demand for public transit that would exceed the capacity of the area’s transit network</w:t>
      </w:r>
      <w:r w:rsidR="00735D09">
        <w:t xml:space="preserve"> (Appendix TRA)</w:t>
      </w:r>
      <w:r w:rsidR="00BF6EC1">
        <w:t xml:space="preserve">. </w:t>
      </w:r>
      <w:r w:rsidR="00B12C44">
        <w:t xml:space="preserve">The project </w:t>
      </w:r>
      <w:r w:rsidR="006A616F">
        <w:t>would</w:t>
      </w:r>
      <w:r w:rsidR="00B12C44">
        <w:t xml:space="preserve"> not include features</w:t>
      </w:r>
      <w:r w:rsidR="00BF6EC1">
        <w:t xml:space="preserve"> that would conflict with City of regional plans, policies, or </w:t>
      </w:r>
      <w:r w:rsidR="00B12C44">
        <w:t>ordinances</w:t>
      </w:r>
      <w:r w:rsidR="00BF6EC1">
        <w:t xml:space="preserve"> pertaining to public transit.</w:t>
      </w:r>
      <w:r w:rsidR="00AE5B56">
        <w:t xml:space="preserve"> Consistent with General Plan Policies MOB 1.2 and 5.5, the project </w:t>
      </w:r>
      <w:r w:rsidR="004A3C77">
        <w:t>would be located within walking distance of several transit options and would accommodate alternative modes of transit</w:t>
      </w:r>
      <w:r w:rsidR="00275B75">
        <w:t xml:space="preserve">. </w:t>
      </w:r>
      <w:r w:rsidR="00EF3937">
        <w:t xml:space="preserve">As described under </w:t>
      </w:r>
      <w:r w:rsidR="00EF3937">
        <w:rPr>
          <w:i/>
          <w:iCs/>
        </w:rPr>
        <w:t xml:space="preserve">Planned Transportation Facilities, </w:t>
      </w:r>
      <w:r w:rsidR="00EF3937">
        <w:t>the City plans to add a reversible bus lane on Shoreline Boulevard, which would help to accommodate project demand for public transit.</w:t>
      </w:r>
      <w:r w:rsidR="00493D98">
        <w:t xml:space="preserve"> </w:t>
      </w:r>
      <w:r w:rsidR="00BF6EC1">
        <w:t xml:space="preserve">No significant impacts to transit facilities would occur, and the project would not conflict with the City’s MTA Handbook or General Plan. </w:t>
      </w:r>
    </w:p>
    <w:p w14:paraId="6DE7E175" w14:textId="77777777" w:rsidR="00E60C6A" w:rsidRPr="008E0BE4" w:rsidRDefault="00E60C6A" w:rsidP="00E60C6A">
      <w:pPr>
        <w:pStyle w:val="Heading6"/>
      </w:pPr>
      <w:r w:rsidRPr="008E0BE4">
        <w:t>Bicycle Facilities</w:t>
      </w:r>
    </w:p>
    <w:p w14:paraId="73C1313F" w14:textId="362D18E1" w:rsidR="00E60C6A" w:rsidRPr="004C7727" w:rsidRDefault="002A3611" w:rsidP="00E60C6A">
      <w:pPr>
        <w:pStyle w:val="BodyText"/>
      </w:pPr>
      <w:r>
        <w:t xml:space="preserve">An impact would occur to bicycle facilities if the proposed project </w:t>
      </w:r>
      <w:r w:rsidR="002D17D5">
        <w:t>were to</w:t>
      </w:r>
      <w:r>
        <w:t xml:space="preserve"> disrupt existing bicycle facilities or be </w:t>
      </w:r>
      <w:r w:rsidR="00712D6F">
        <w:t>in</w:t>
      </w:r>
      <w:r>
        <w:t xml:space="preserve">consistent with planned bicycle facilities, adopted City Standards, or VTA Bicycle Technical Guidelines (Appendix TRA). There are several bikeways in the vicinity of the project site, including but not limited to Stevens Creek Trail, a Class I bicycle path; West Middlefield Road, which has Class II bicycle lanes; La Avenida Street, which has Class II bicycle lanes; and Shoreline Boulevard, which has striped Class II bicycle lanes. </w:t>
      </w:r>
      <w:r w:rsidR="00712D6F">
        <w:t xml:space="preserve">The project would not result in disruptions to these bicycle facilities. In addition, the Mountain View Bicycle Level of Traffic Stress map was consulted to determine if the project would increase stress to cyclists that utilize the nearby facilities and roadways. Because the project </w:t>
      </w:r>
      <w:r w:rsidR="006A616F">
        <w:t>would</w:t>
      </w:r>
      <w:r w:rsidR="00712D6F">
        <w:t xml:space="preserve"> not</w:t>
      </w:r>
      <w:r w:rsidR="006A616F">
        <w:t xml:space="preserve"> be</w:t>
      </w:r>
      <w:r w:rsidR="00712D6F">
        <w:t xml:space="preserve"> anticipated to substantially increase vehicle traffic or vehicle speed in the existing roadway network around the project site, the bicycle level of traffic stress </w:t>
      </w:r>
      <w:r w:rsidR="006A616F">
        <w:t xml:space="preserve">would not </w:t>
      </w:r>
      <w:r w:rsidR="008D58FD">
        <w:t>substantially</w:t>
      </w:r>
      <w:r w:rsidR="00712D6F">
        <w:t xml:space="preserve"> change</w:t>
      </w:r>
      <w:r w:rsidR="00032214">
        <w:t xml:space="preserve"> as a result of the project</w:t>
      </w:r>
      <w:r w:rsidR="00712D6F">
        <w:t xml:space="preserve">. </w:t>
      </w:r>
      <w:r w:rsidR="002D17D5">
        <w:t xml:space="preserve">Further, </w:t>
      </w:r>
      <w:r w:rsidR="006A616F">
        <w:t>c</w:t>
      </w:r>
      <w:r w:rsidR="004A3C77">
        <w:t xml:space="preserve">onsistent with General Plan Policy MOB 4.4, </w:t>
      </w:r>
      <w:r w:rsidR="004C7727">
        <w:t xml:space="preserve">The project would provide one short term bicycle rack and four long term bicycle storage enclosures. The project </w:t>
      </w:r>
      <w:r w:rsidR="00BF6EC1">
        <w:t>would not include</w:t>
      </w:r>
      <w:r w:rsidR="004C7727">
        <w:t xml:space="preserve"> </w:t>
      </w:r>
      <w:r w:rsidR="004C7727" w:rsidRPr="004C7727">
        <w:t>features</w:t>
      </w:r>
      <w:r w:rsidR="005B7407" w:rsidRPr="004C7727">
        <w:t xml:space="preserve"> that would be hazardous to bicycles</w:t>
      </w:r>
      <w:r w:rsidR="008D58FD">
        <w:t>,</w:t>
      </w:r>
      <w:r w:rsidR="005B7407" w:rsidRPr="004C7727">
        <w:t xml:space="preserve"> nor </w:t>
      </w:r>
      <w:r w:rsidR="006A616F">
        <w:t xml:space="preserve">would </w:t>
      </w:r>
      <w:r w:rsidR="005B7407" w:rsidRPr="004C7727">
        <w:t>it generate bicycle demand that would exceed the capacity of the area’s bicycle network.</w:t>
      </w:r>
      <w:r w:rsidR="00EF3937">
        <w:t xml:space="preserve"> As described under </w:t>
      </w:r>
      <w:r w:rsidR="00EF3937">
        <w:rPr>
          <w:i/>
          <w:iCs/>
        </w:rPr>
        <w:t xml:space="preserve">Planned Transportation Facilities, </w:t>
      </w:r>
      <w:r w:rsidR="00EF3937">
        <w:t>the City plans to increase bicycle facilities in the vicinity of the project site, which would help to accommodate project demand for bicycle facilities.</w:t>
      </w:r>
      <w:r w:rsidR="00493D98">
        <w:t xml:space="preserve"> </w:t>
      </w:r>
      <w:r w:rsidR="00B12C44">
        <w:t>The project would not</w:t>
      </w:r>
      <w:r w:rsidR="005B7407" w:rsidRPr="004C7727">
        <w:t xml:space="preserve"> conflict with City or regional plans, policies or ordinances pertaining to bicycle facilities or travel</w:t>
      </w:r>
      <w:r w:rsidR="002D17D5">
        <w:t xml:space="preserve"> (Appendix TRA)</w:t>
      </w:r>
      <w:r w:rsidR="005B7407" w:rsidRPr="004C7727">
        <w:t xml:space="preserve">. </w:t>
      </w:r>
      <w:r w:rsidR="00E60C6A" w:rsidRPr="004C7727">
        <w:t xml:space="preserve">No significant impacts to bicycle facilities </w:t>
      </w:r>
      <w:r w:rsidR="00312BC3" w:rsidRPr="004C7727">
        <w:t>would occur</w:t>
      </w:r>
      <w:r w:rsidR="004C7727">
        <w:t xml:space="preserve">. </w:t>
      </w:r>
    </w:p>
    <w:p w14:paraId="558B45E1" w14:textId="74B845CD" w:rsidR="00E60C6A" w:rsidRDefault="00E60C6A" w:rsidP="00E60C6A">
      <w:pPr>
        <w:pStyle w:val="Heading6"/>
      </w:pPr>
      <w:r w:rsidRPr="004C7727">
        <w:t>Pedestrian Facilities</w:t>
      </w:r>
    </w:p>
    <w:p w14:paraId="3EC60A1E" w14:textId="217F9B42" w:rsidR="004C7727" w:rsidRDefault="002D17D5" w:rsidP="00032214">
      <w:pPr>
        <w:pStyle w:val="BodyText"/>
      </w:pPr>
      <w:r>
        <w:t>An impact to pedestrian facilities would occur if the project were to disrupt existing pedestrian facilities or be inconsistent with planned pedestrian facilities or pedestrian system plans, guidelines, or policies (Appendix TRA). The City of Mountain View’s Multi-Modal Transportation Analysis Handbook was consulted to assess the proposed project’s pedestrian quality of service (PQOS). Currently, Terra Bella Avenue has a PQOS score of 3, which corresponds to medium-low PQOS</w:t>
      </w:r>
      <w:r w:rsidR="00275B75">
        <w:t xml:space="preserve">. </w:t>
      </w:r>
      <w:r w:rsidR="00032214">
        <w:t xml:space="preserve">Because the project </w:t>
      </w:r>
      <w:r w:rsidR="006A616F">
        <w:t>would</w:t>
      </w:r>
      <w:r w:rsidR="00032214">
        <w:t xml:space="preserve"> not</w:t>
      </w:r>
      <w:r w:rsidR="006A616F">
        <w:t xml:space="preserve"> be</w:t>
      </w:r>
      <w:r w:rsidR="00032214">
        <w:t xml:space="preserve"> anticipated to substantially increase vehicle traffic or vehicle speed in the existing roadway network around the project site, the PQOS of Terra Bella Avenue </w:t>
      </w:r>
      <w:r w:rsidR="006A616F">
        <w:t>would</w:t>
      </w:r>
      <w:r w:rsidR="00032214">
        <w:t xml:space="preserve"> not</w:t>
      </w:r>
      <w:r w:rsidR="006A616F">
        <w:t xml:space="preserve"> be</w:t>
      </w:r>
      <w:r w:rsidR="00032214">
        <w:t xml:space="preserve"> </w:t>
      </w:r>
      <w:r w:rsidR="008D58FD">
        <w:t>substantially diminished</w:t>
      </w:r>
      <w:r w:rsidR="00032214">
        <w:t xml:space="preserve"> as a result of the project. </w:t>
      </w:r>
      <w:r w:rsidR="004A3C77">
        <w:t>Consistent with General Plan Policy MOB 3.2, t</w:t>
      </w:r>
      <w:r w:rsidR="004C7727">
        <w:t>he project</w:t>
      </w:r>
      <w:r w:rsidR="00714F36">
        <w:t xml:space="preserve"> would include</w:t>
      </w:r>
      <w:r w:rsidR="004C7727">
        <w:t xml:space="preserve"> several </w:t>
      </w:r>
      <w:r w:rsidR="004C7727" w:rsidRPr="004C7727">
        <w:t>pedestrian improvements to the site including lighting, wider sidewalks,</w:t>
      </w:r>
      <w:r w:rsidR="004C7727">
        <w:t xml:space="preserve"> </w:t>
      </w:r>
      <w:r w:rsidR="004C7727" w:rsidRPr="004C7727">
        <w:t xml:space="preserve">improved </w:t>
      </w:r>
      <w:r w:rsidR="00275B75" w:rsidRPr="004C7727">
        <w:t>landscaping,</w:t>
      </w:r>
      <w:r w:rsidR="004C7727" w:rsidRPr="004C7727">
        <w:t xml:space="preserve"> and pedestrian amenities. Adequate street lighting w</w:t>
      </w:r>
      <w:r w:rsidR="00714F36">
        <w:t>ould</w:t>
      </w:r>
      <w:r w:rsidR="004C7727" w:rsidRPr="004C7727">
        <w:t xml:space="preserve"> be provided by additional</w:t>
      </w:r>
      <w:r w:rsidR="004C7727">
        <w:t xml:space="preserve"> </w:t>
      </w:r>
      <w:r w:rsidR="004C7727" w:rsidRPr="004C7727">
        <w:t xml:space="preserve">proposed street lighting and internal lighting on the project site. The project’s site plan </w:t>
      </w:r>
      <w:r w:rsidR="004C7727">
        <w:t>(</w:t>
      </w:r>
      <w:r w:rsidR="0053638B">
        <w:t>Appendix PPS</w:t>
      </w:r>
      <w:r w:rsidR="004C7727">
        <w:t xml:space="preserve">) </w:t>
      </w:r>
      <w:r w:rsidR="004C7727" w:rsidRPr="004C7727">
        <w:t>shows 9-foot-wide</w:t>
      </w:r>
      <w:r w:rsidR="004C7727">
        <w:t xml:space="preserve"> </w:t>
      </w:r>
      <w:r w:rsidR="004C7727" w:rsidRPr="004C7727">
        <w:t>sidewalks at the project frontages along Terra Bella Avenue, an increase from the current 5-foot-wide</w:t>
      </w:r>
      <w:r w:rsidR="004C7727">
        <w:t xml:space="preserve"> </w:t>
      </w:r>
      <w:r w:rsidR="004C7727" w:rsidRPr="004C7727">
        <w:t xml:space="preserve">sidewalk, as well as additional landscaping. </w:t>
      </w:r>
      <w:r w:rsidR="00820FC0">
        <w:t xml:space="preserve">Further, as described under </w:t>
      </w:r>
      <w:r w:rsidR="00820FC0">
        <w:rPr>
          <w:i/>
          <w:iCs/>
        </w:rPr>
        <w:t xml:space="preserve">Planned Transportation Facilities, </w:t>
      </w:r>
      <w:r w:rsidR="00820FC0">
        <w:t>the City plans to increase sidewalk widths and add a protected intersection in the vicinity of the project site, which would help to accommodate project demand for pedestrian facilities.</w:t>
      </w:r>
      <w:r w:rsidR="00493D98">
        <w:t xml:space="preserve"> </w:t>
      </w:r>
      <w:r w:rsidR="004C7727">
        <w:t xml:space="preserve">Therefore, no impact to pedestrian facilities would occur. </w:t>
      </w:r>
    </w:p>
    <w:p w14:paraId="27935EC0" w14:textId="1287529F" w:rsidR="004C7727" w:rsidRDefault="00F074EA" w:rsidP="004C7727">
      <w:pPr>
        <w:pStyle w:val="body0"/>
      </w:pPr>
      <w:r>
        <w:fldChar w:fldCharType="begin"/>
      </w:r>
      <w:r>
        <w:instrText xml:space="preserve"> REF _Ref93587166 \h </w:instrText>
      </w:r>
      <w:r>
        <w:fldChar w:fldCharType="separate"/>
      </w:r>
      <w:r w:rsidR="00FA55F1">
        <w:t xml:space="preserve">Table </w:t>
      </w:r>
      <w:r w:rsidR="00FA55F1">
        <w:rPr>
          <w:noProof/>
        </w:rPr>
        <w:t>33</w:t>
      </w:r>
      <w:r>
        <w:fldChar w:fldCharType="end"/>
      </w:r>
      <w:r>
        <w:t xml:space="preserve"> </w:t>
      </w:r>
      <w:r w:rsidR="004C7727">
        <w:t xml:space="preserve">below describes project consistency with </w:t>
      </w:r>
      <w:r w:rsidR="00714F36">
        <w:t>applicable</w:t>
      </w:r>
      <w:r w:rsidR="00B538E5">
        <w:t xml:space="preserve"> policies from the</w:t>
      </w:r>
      <w:r w:rsidR="004C7727">
        <w:t xml:space="preserve"> Mountain View 2030 General Plan</w:t>
      </w:r>
      <w:r>
        <w:t xml:space="preserve"> Mobility Element</w:t>
      </w:r>
      <w:r w:rsidR="004C7727">
        <w:t xml:space="preserve">. </w:t>
      </w:r>
    </w:p>
    <w:p w14:paraId="67C68AB8" w14:textId="2CA33015" w:rsidR="004C7727" w:rsidRDefault="00F074EA" w:rsidP="00F649B5">
      <w:pPr>
        <w:pStyle w:val="TableCaption"/>
        <w:pageBreakBefore/>
      </w:pPr>
      <w:bookmarkStart w:id="325" w:name="_Ref93587166"/>
      <w:bookmarkStart w:id="326" w:name="_Toc112942482"/>
      <w:r>
        <w:t xml:space="preserve">Table </w:t>
      </w:r>
      <w:fldSimple w:instr=" SEQ Table \* ARABIC ">
        <w:r w:rsidR="00FA55F1">
          <w:rPr>
            <w:noProof/>
          </w:rPr>
          <w:t>33</w:t>
        </w:r>
      </w:fldSimple>
      <w:bookmarkEnd w:id="325"/>
      <w:r>
        <w:t xml:space="preserve"> </w:t>
      </w:r>
      <w:r>
        <w:tab/>
        <w:t>Project Consistency with General Plan Mobility Element</w:t>
      </w:r>
      <w:bookmarkEnd w:id="326"/>
      <w:r>
        <w:t xml:space="preserve"> </w:t>
      </w:r>
    </w:p>
    <w:tbl>
      <w:tblPr>
        <w:tblStyle w:val="TableGrid"/>
        <w:tblW w:w="9029" w:type="dxa"/>
        <w:tblLook w:val="04A0" w:firstRow="1" w:lastRow="0" w:firstColumn="1" w:lastColumn="0" w:noHBand="0" w:noVBand="1"/>
      </w:tblPr>
      <w:tblGrid>
        <w:gridCol w:w="4427"/>
        <w:gridCol w:w="4602"/>
      </w:tblGrid>
      <w:tr w:rsidR="00374192" w14:paraId="7C088048" w14:textId="77777777" w:rsidTr="00F649B5">
        <w:trPr>
          <w:tblHeader/>
        </w:trPr>
        <w:tc>
          <w:tcPr>
            <w:tcW w:w="4427" w:type="dxa"/>
            <w:tcBorders>
              <w:bottom w:val="nil"/>
            </w:tcBorders>
            <w:shd w:val="clear" w:color="auto" w:fill="000000" w:themeFill="text1"/>
          </w:tcPr>
          <w:p w14:paraId="4439668A" w14:textId="0C98C9FD" w:rsidR="00374192" w:rsidRPr="00B538E5" w:rsidRDefault="00374192" w:rsidP="00294A6D">
            <w:pPr>
              <w:pStyle w:val="EIRTableText"/>
              <w:spacing w:before="80" w:after="80"/>
              <w:rPr>
                <w:b/>
                <w:bCs w:val="0"/>
              </w:rPr>
            </w:pPr>
            <w:r w:rsidRPr="00B538E5">
              <w:rPr>
                <w:b/>
                <w:bCs w:val="0"/>
              </w:rPr>
              <w:t xml:space="preserve">Policy </w:t>
            </w:r>
          </w:p>
        </w:tc>
        <w:tc>
          <w:tcPr>
            <w:tcW w:w="4602" w:type="dxa"/>
            <w:tcBorders>
              <w:bottom w:val="nil"/>
            </w:tcBorders>
            <w:shd w:val="clear" w:color="auto" w:fill="000000" w:themeFill="text1"/>
          </w:tcPr>
          <w:p w14:paraId="691F979E" w14:textId="3265C44C" w:rsidR="00374192" w:rsidRPr="00B538E5" w:rsidRDefault="00374192" w:rsidP="00294A6D">
            <w:pPr>
              <w:pStyle w:val="EIRTableText"/>
              <w:spacing w:before="80" w:after="80"/>
              <w:rPr>
                <w:b/>
                <w:bCs w:val="0"/>
              </w:rPr>
            </w:pPr>
            <w:r w:rsidRPr="00B538E5">
              <w:rPr>
                <w:b/>
                <w:bCs w:val="0"/>
              </w:rPr>
              <w:t xml:space="preserve">Consistency </w:t>
            </w:r>
          </w:p>
        </w:tc>
      </w:tr>
      <w:tr w:rsidR="00374192" w14:paraId="310DB23A" w14:textId="77777777" w:rsidTr="00F649B5">
        <w:tc>
          <w:tcPr>
            <w:tcW w:w="4427" w:type="dxa"/>
            <w:tcBorders>
              <w:top w:val="nil"/>
              <w:left w:val="nil"/>
              <w:bottom w:val="single" w:sz="4" w:space="0" w:color="D9D9D9" w:themeColor="background1" w:themeShade="D9"/>
              <w:right w:val="nil"/>
            </w:tcBorders>
          </w:tcPr>
          <w:p w14:paraId="21BF9600" w14:textId="48EF3AEA" w:rsidR="00374192" w:rsidRDefault="00374192" w:rsidP="00F649B5">
            <w:pPr>
              <w:pStyle w:val="EIRTableText"/>
            </w:pPr>
            <w:r>
              <w:rPr>
                <w:b/>
                <w:bCs w:val="0"/>
              </w:rPr>
              <w:t xml:space="preserve">Policy MOB 1.2. </w:t>
            </w:r>
            <w:r w:rsidRPr="00DA38ED">
              <w:t>Accommodating all modes</w:t>
            </w:r>
            <w:r>
              <w:t>. Plan, design and construct new transportation improvement projects to safely accommodate the needs of pedestrians, bicyclists, transit riders, motorists and persons of all abilities.</w:t>
            </w:r>
          </w:p>
        </w:tc>
        <w:tc>
          <w:tcPr>
            <w:tcW w:w="4602" w:type="dxa"/>
            <w:tcBorders>
              <w:top w:val="nil"/>
              <w:left w:val="nil"/>
              <w:bottom w:val="single" w:sz="4" w:space="0" w:color="D9D9D9" w:themeColor="background1" w:themeShade="D9"/>
              <w:right w:val="nil"/>
            </w:tcBorders>
          </w:tcPr>
          <w:p w14:paraId="4DEA500C" w14:textId="3A479BEB" w:rsidR="00374192" w:rsidRPr="00B538E5" w:rsidRDefault="00374192" w:rsidP="00F649B5">
            <w:pPr>
              <w:pStyle w:val="EIRTableText"/>
            </w:pPr>
            <w:r>
              <w:rPr>
                <w:b/>
                <w:bCs w:val="0"/>
              </w:rPr>
              <w:t xml:space="preserve">Consistent. </w:t>
            </w:r>
            <w:r>
              <w:t xml:space="preserve">The project would involve improved pedestrian facilities such as widened and illuminated sidewalks and bicycle storage facilities, including a </w:t>
            </w:r>
            <w:r w:rsidR="00AC1C51">
              <w:t>short-term</w:t>
            </w:r>
            <w:r>
              <w:t xml:space="preserve"> bicycle rack and four long term bicycle enclosures. The project would be located within walking distance of several transit options</w:t>
            </w:r>
            <w:r w:rsidR="00032214">
              <w:t xml:space="preserve"> such as VTA bus stops </w:t>
            </w:r>
            <w:r w:rsidR="005B32C1">
              <w:t>a</w:t>
            </w:r>
            <w:r>
              <w:t>nd would be served by shuttle services</w:t>
            </w:r>
            <w:r w:rsidR="00032214">
              <w:t xml:space="preserve"> operated by MTMA</w:t>
            </w:r>
            <w:r w:rsidR="00275B75">
              <w:t xml:space="preserve"> </w:t>
            </w:r>
            <w:r>
              <w:t xml:space="preserve">that connect to regional transit options such as Caltrain. The project would also include a surface parking lot with 75 spaces </w:t>
            </w:r>
            <w:r w:rsidR="00B12C44">
              <w:t xml:space="preserve">including </w:t>
            </w:r>
            <w:r>
              <w:t xml:space="preserve">12 electric vehicle charging spaces. </w:t>
            </w:r>
          </w:p>
        </w:tc>
      </w:tr>
      <w:tr w:rsidR="00374192" w14:paraId="412B391B" w14:textId="77777777" w:rsidTr="00F649B5">
        <w:tc>
          <w:tcPr>
            <w:tcW w:w="4427" w:type="dxa"/>
            <w:tcBorders>
              <w:top w:val="single" w:sz="4" w:space="0" w:color="D9D9D9" w:themeColor="background1" w:themeShade="D9"/>
              <w:left w:val="nil"/>
              <w:bottom w:val="single" w:sz="4" w:space="0" w:color="D9D9D9" w:themeColor="background1" w:themeShade="D9"/>
              <w:right w:val="nil"/>
            </w:tcBorders>
          </w:tcPr>
          <w:p w14:paraId="6B667B1D" w14:textId="51B089F2" w:rsidR="00374192" w:rsidRDefault="00374192" w:rsidP="00F649B5">
            <w:pPr>
              <w:pStyle w:val="EIRTableText"/>
            </w:pPr>
            <w:r>
              <w:rPr>
                <w:b/>
                <w:bCs w:val="0"/>
              </w:rPr>
              <w:t xml:space="preserve">Policy MOB 3.2. </w:t>
            </w:r>
            <w:r>
              <w:t>Pedestrian connections. Increase connectivity through direct and safe pedestrian connections to public amenities, neighborhoods, village centers and other destinations throughout the city.</w:t>
            </w:r>
          </w:p>
        </w:tc>
        <w:tc>
          <w:tcPr>
            <w:tcW w:w="4602" w:type="dxa"/>
            <w:tcBorders>
              <w:top w:val="single" w:sz="4" w:space="0" w:color="D9D9D9" w:themeColor="background1" w:themeShade="D9"/>
              <w:left w:val="nil"/>
              <w:bottom w:val="single" w:sz="4" w:space="0" w:color="D9D9D9" w:themeColor="background1" w:themeShade="D9"/>
              <w:right w:val="nil"/>
            </w:tcBorders>
          </w:tcPr>
          <w:p w14:paraId="558DEF89" w14:textId="70308970" w:rsidR="00374192" w:rsidRPr="008C3942" w:rsidRDefault="00374192" w:rsidP="00F649B5">
            <w:pPr>
              <w:pStyle w:val="EIRTableText"/>
            </w:pPr>
            <w:r>
              <w:rPr>
                <w:b/>
                <w:bCs w:val="0"/>
              </w:rPr>
              <w:t xml:space="preserve">Consistent. </w:t>
            </w:r>
            <w:r>
              <w:t xml:space="preserve">As described above, the project would </w:t>
            </w:r>
            <w:r w:rsidR="00B12C44">
              <w:t xml:space="preserve">involve improvements </w:t>
            </w:r>
            <w:r>
              <w:t xml:space="preserve">pedestrian and bicycle facilities at the project site </w:t>
            </w:r>
            <w:r w:rsidR="00B12C44">
              <w:t>by widening sidewalks, incorporating street lighting, and installing</w:t>
            </w:r>
            <w:r>
              <w:t xml:space="preserve"> short term and </w:t>
            </w:r>
            <w:r w:rsidR="00AC1C51">
              <w:t>long-term</w:t>
            </w:r>
            <w:r>
              <w:t xml:space="preserve"> bicycle storage on-site. </w:t>
            </w:r>
          </w:p>
        </w:tc>
      </w:tr>
      <w:tr w:rsidR="00374192" w14:paraId="45F78032" w14:textId="77777777" w:rsidTr="00F649B5">
        <w:tc>
          <w:tcPr>
            <w:tcW w:w="4427" w:type="dxa"/>
            <w:tcBorders>
              <w:top w:val="single" w:sz="4" w:space="0" w:color="D9D9D9" w:themeColor="background1" w:themeShade="D9"/>
              <w:left w:val="nil"/>
              <w:bottom w:val="single" w:sz="4" w:space="0" w:color="D9D9D9" w:themeColor="background1" w:themeShade="D9"/>
              <w:right w:val="nil"/>
            </w:tcBorders>
          </w:tcPr>
          <w:p w14:paraId="0B7CD8CD" w14:textId="608DAAB7" w:rsidR="00374192" w:rsidRDefault="00374192" w:rsidP="00F649B5">
            <w:pPr>
              <w:pStyle w:val="EIRTableText"/>
            </w:pPr>
            <w:r>
              <w:rPr>
                <w:b/>
                <w:bCs w:val="0"/>
              </w:rPr>
              <w:t xml:space="preserve">Policy MOB 4.2. </w:t>
            </w:r>
            <w:r>
              <w:t>Planning for bicycles. Use planning processes to identify or carry out improved bicycle connections and bicycle parking.</w:t>
            </w:r>
          </w:p>
        </w:tc>
        <w:tc>
          <w:tcPr>
            <w:tcW w:w="4602" w:type="dxa"/>
            <w:tcBorders>
              <w:top w:val="single" w:sz="4" w:space="0" w:color="D9D9D9" w:themeColor="background1" w:themeShade="D9"/>
              <w:left w:val="nil"/>
              <w:bottom w:val="single" w:sz="4" w:space="0" w:color="D9D9D9" w:themeColor="background1" w:themeShade="D9"/>
              <w:right w:val="nil"/>
            </w:tcBorders>
          </w:tcPr>
          <w:p w14:paraId="4F95EED0" w14:textId="6CA87982" w:rsidR="00374192" w:rsidRPr="008C3942" w:rsidRDefault="00374192" w:rsidP="00F649B5">
            <w:pPr>
              <w:pStyle w:val="EIRTableText"/>
              <w:rPr>
                <w:b/>
              </w:rPr>
            </w:pPr>
            <w:r>
              <w:rPr>
                <w:b/>
                <w:bCs w:val="0"/>
              </w:rPr>
              <w:t>Consistent</w:t>
            </w:r>
            <w:r>
              <w:rPr>
                <w:bCs w:val="0"/>
              </w:rPr>
              <w:t xml:space="preserve">. </w:t>
            </w:r>
            <w:r>
              <w:t xml:space="preserve">The project would involve one bicycle rack for short term storage and four bicycle enclosures for long term storage. </w:t>
            </w:r>
          </w:p>
        </w:tc>
      </w:tr>
      <w:tr w:rsidR="00374192" w14:paraId="429C5667" w14:textId="77777777" w:rsidTr="00F649B5">
        <w:tc>
          <w:tcPr>
            <w:tcW w:w="4427" w:type="dxa"/>
            <w:tcBorders>
              <w:top w:val="single" w:sz="4" w:space="0" w:color="D9D9D9" w:themeColor="background1" w:themeShade="D9"/>
              <w:left w:val="nil"/>
              <w:bottom w:val="single" w:sz="4" w:space="0" w:color="D9D9D9" w:themeColor="background1" w:themeShade="D9"/>
              <w:right w:val="nil"/>
            </w:tcBorders>
          </w:tcPr>
          <w:p w14:paraId="21B2F4C0" w14:textId="17C7A83A" w:rsidR="00374192" w:rsidRDefault="00374192" w:rsidP="00F649B5">
            <w:pPr>
              <w:pStyle w:val="EIRTableText"/>
            </w:pPr>
            <w:r>
              <w:rPr>
                <w:b/>
                <w:bCs w:val="0"/>
              </w:rPr>
              <w:t xml:space="preserve">Policy MOB 4.4. </w:t>
            </w:r>
            <w:r>
              <w:t>Bicycle parking standards. Maintain bicycle parking standards and guidelines for bicycle parking and storage in convenient places in private development to enhance the bicycle network.</w:t>
            </w:r>
          </w:p>
        </w:tc>
        <w:tc>
          <w:tcPr>
            <w:tcW w:w="4602" w:type="dxa"/>
            <w:tcBorders>
              <w:top w:val="single" w:sz="4" w:space="0" w:color="D9D9D9" w:themeColor="background1" w:themeShade="D9"/>
              <w:left w:val="nil"/>
              <w:bottom w:val="single" w:sz="4" w:space="0" w:color="D9D9D9" w:themeColor="background1" w:themeShade="D9"/>
              <w:right w:val="nil"/>
            </w:tcBorders>
          </w:tcPr>
          <w:p w14:paraId="69642996" w14:textId="75CFABB1" w:rsidR="00374192" w:rsidRPr="008C3942" w:rsidRDefault="00374192" w:rsidP="00F649B5">
            <w:pPr>
              <w:pStyle w:val="EIRTableText"/>
            </w:pPr>
            <w:r>
              <w:rPr>
                <w:b/>
                <w:bCs w:val="0"/>
              </w:rPr>
              <w:t>Consistent</w:t>
            </w:r>
            <w:r>
              <w:t xml:space="preserve">. The project would be required to provide 3.35 bicycle parking spaces, </w:t>
            </w:r>
            <w:r w:rsidR="00714F36">
              <w:t>pursuant to MVMC Section 36.32.50. The project would</w:t>
            </w:r>
            <w:r>
              <w:t xml:space="preserve"> include five bicycle parking spaces. </w:t>
            </w:r>
          </w:p>
        </w:tc>
      </w:tr>
      <w:tr w:rsidR="00374192" w14:paraId="35D6D242" w14:textId="77777777" w:rsidTr="00F649B5">
        <w:tc>
          <w:tcPr>
            <w:tcW w:w="4427" w:type="dxa"/>
            <w:tcBorders>
              <w:top w:val="single" w:sz="4" w:space="0" w:color="D9D9D9" w:themeColor="background1" w:themeShade="D9"/>
              <w:left w:val="nil"/>
              <w:bottom w:val="single" w:sz="4" w:space="0" w:color="D9D9D9" w:themeColor="background1" w:themeShade="D9"/>
              <w:right w:val="nil"/>
            </w:tcBorders>
          </w:tcPr>
          <w:p w14:paraId="0AF4CF31" w14:textId="7D1BB817" w:rsidR="00374192" w:rsidRDefault="00374192" w:rsidP="00F649B5">
            <w:pPr>
              <w:pStyle w:val="EIRTableText"/>
            </w:pPr>
            <w:r>
              <w:rPr>
                <w:b/>
                <w:bCs w:val="0"/>
              </w:rPr>
              <w:t xml:space="preserve">Policy MOB 5.5. </w:t>
            </w:r>
            <w:r>
              <w:t>Access to transit services. Support right-of-way design and amenities consistent with local transit goals to make it easier to get to transit services and improve transit as a viable alternative to driving.</w:t>
            </w:r>
          </w:p>
        </w:tc>
        <w:tc>
          <w:tcPr>
            <w:tcW w:w="4602" w:type="dxa"/>
            <w:tcBorders>
              <w:top w:val="single" w:sz="4" w:space="0" w:color="D9D9D9" w:themeColor="background1" w:themeShade="D9"/>
              <w:left w:val="nil"/>
              <w:bottom w:val="single" w:sz="4" w:space="0" w:color="D9D9D9" w:themeColor="background1" w:themeShade="D9"/>
              <w:right w:val="nil"/>
            </w:tcBorders>
          </w:tcPr>
          <w:p w14:paraId="6CBD50EF" w14:textId="1585DA54" w:rsidR="00374192" w:rsidRPr="007E48AE" w:rsidRDefault="00374192" w:rsidP="00F649B5">
            <w:pPr>
              <w:pStyle w:val="EIRTableText"/>
              <w:rPr>
                <w:bCs w:val="0"/>
              </w:rPr>
            </w:pPr>
            <w:r>
              <w:rPr>
                <w:b/>
                <w:bCs w:val="0"/>
              </w:rPr>
              <w:t xml:space="preserve">Consistent. </w:t>
            </w:r>
            <w:r w:rsidR="00714F36">
              <w:t>T</w:t>
            </w:r>
            <w:r>
              <w:t>he project would be located within walking distance of several transit options and would be served by shuttle services that connect to regional transit options such as Caltrain.</w:t>
            </w:r>
          </w:p>
        </w:tc>
      </w:tr>
      <w:tr w:rsidR="00374192" w14:paraId="5CE4E769" w14:textId="77777777" w:rsidTr="00F649B5">
        <w:tc>
          <w:tcPr>
            <w:tcW w:w="4427" w:type="dxa"/>
            <w:tcBorders>
              <w:top w:val="single" w:sz="4" w:space="0" w:color="D9D9D9" w:themeColor="background1" w:themeShade="D9"/>
              <w:left w:val="nil"/>
              <w:bottom w:val="single" w:sz="4" w:space="0" w:color="D9D9D9" w:themeColor="background1" w:themeShade="D9"/>
              <w:right w:val="nil"/>
            </w:tcBorders>
          </w:tcPr>
          <w:p w14:paraId="7AF00666" w14:textId="197C21D9" w:rsidR="00374192" w:rsidRDefault="00374192" w:rsidP="00F649B5">
            <w:pPr>
              <w:pStyle w:val="EIRTableText"/>
            </w:pPr>
            <w:r>
              <w:rPr>
                <w:b/>
                <w:bCs w:val="0"/>
              </w:rPr>
              <w:t xml:space="preserve">Policy MOB 7.2. </w:t>
            </w:r>
            <w:r>
              <w:t>Off-street parking. Ensure new off-street parking is properly designed and efficiently used.</w:t>
            </w:r>
          </w:p>
        </w:tc>
        <w:tc>
          <w:tcPr>
            <w:tcW w:w="4602" w:type="dxa"/>
            <w:tcBorders>
              <w:top w:val="single" w:sz="4" w:space="0" w:color="D9D9D9" w:themeColor="background1" w:themeShade="D9"/>
              <w:left w:val="nil"/>
              <w:bottom w:val="single" w:sz="4" w:space="0" w:color="D9D9D9" w:themeColor="background1" w:themeShade="D9"/>
              <w:right w:val="nil"/>
            </w:tcBorders>
          </w:tcPr>
          <w:p w14:paraId="65327CA6" w14:textId="4904D5B1" w:rsidR="00374192" w:rsidRPr="007E48AE" w:rsidRDefault="00374192" w:rsidP="00F649B5">
            <w:pPr>
              <w:pStyle w:val="EIRTableText"/>
            </w:pPr>
            <w:r>
              <w:rPr>
                <w:b/>
                <w:bCs w:val="0"/>
              </w:rPr>
              <w:t xml:space="preserve">Consistent. </w:t>
            </w:r>
            <w:r>
              <w:t xml:space="preserve">The project would include 75 off-street parking spaces. </w:t>
            </w:r>
          </w:p>
        </w:tc>
      </w:tr>
      <w:tr w:rsidR="00374192" w14:paraId="100BB3BC" w14:textId="77777777" w:rsidTr="00F649B5">
        <w:tc>
          <w:tcPr>
            <w:tcW w:w="4427" w:type="dxa"/>
            <w:tcBorders>
              <w:top w:val="single" w:sz="4" w:space="0" w:color="D9D9D9" w:themeColor="background1" w:themeShade="D9"/>
              <w:left w:val="nil"/>
              <w:bottom w:val="single" w:sz="4" w:space="0" w:color="D9D9D9" w:themeColor="background1" w:themeShade="D9"/>
              <w:right w:val="nil"/>
            </w:tcBorders>
          </w:tcPr>
          <w:p w14:paraId="1DA12CFC" w14:textId="1050ADE3" w:rsidR="00374192" w:rsidRDefault="00374192" w:rsidP="00F649B5">
            <w:pPr>
              <w:pStyle w:val="EIRTableText"/>
            </w:pPr>
            <w:r>
              <w:rPr>
                <w:b/>
                <w:bCs w:val="0"/>
              </w:rPr>
              <w:t xml:space="preserve">Policy MOB 9.2. </w:t>
            </w:r>
            <w:r>
              <w:t>Reduced vehicle miles traveled. Support development and transportation improvements that help reduce greenhouse gas emissions by reducing per capita vehicle miles traveled.</w:t>
            </w:r>
          </w:p>
        </w:tc>
        <w:tc>
          <w:tcPr>
            <w:tcW w:w="4602" w:type="dxa"/>
            <w:tcBorders>
              <w:top w:val="single" w:sz="4" w:space="0" w:color="D9D9D9" w:themeColor="background1" w:themeShade="D9"/>
              <w:left w:val="nil"/>
              <w:bottom w:val="single" w:sz="4" w:space="0" w:color="D9D9D9" w:themeColor="background1" w:themeShade="D9"/>
              <w:right w:val="nil"/>
            </w:tcBorders>
          </w:tcPr>
          <w:p w14:paraId="4B477977" w14:textId="25B2A826" w:rsidR="00374192" w:rsidRPr="00374192" w:rsidRDefault="00374192" w:rsidP="00F649B5">
            <w:pPr>
              <w:pStyle w:val="EIRTableText"/>
            </w:pPr>
            <w:r>
              <w:rPr>
                <w:b/>
                <w:bCs w:val="0"/>
              </w:rPr>
              <w:t xml:space="preserve">Consistent. </w:t>
            </w:r>
            <w:r>
              <w:t>The project would</w:t>
            </w:r>
            <w:r w:rsidR="00B12C44">
              <w:t xml:space="preserve"> generate an estimated 12.64 VMT per employee, which</w:t>
            </w:r>
            <w:r w:rsidR="00C9272B">
              <w:t xml:space="preserve"> would</w:t>
            </w:r>
            <w:r w:rsidR="00B12C44">
              <w:t xml:space="preserve"> not exceed the threshold of 13.03 VMT </w:t>
            </w:r>
            <w:r w:rsidR="00E614CC">
              <w:t xml:space="preserve">established by the MTA Handbook. </w:t>
            </w:r>
          </w:p>
        </w:tc>
      </w:tr>
      <w:tr w:rsidR="00374192" w14:paraId="2EF5294B" w14:textId="77777777" w:rsidTr="00F649B5">
        <w:tc>
          <w:tcPr>
            <w:tcW w:w="4427" w:type="dxa"/>
            <w:tcBorders>
              <w:top w:val="single" w:sz="4" w:space="0" w:color="D9D9D9" w:themeColor="background1" w:themeShade="D9"/>
              <w:left w:val="nil"/>
              <w:bottom w:val="single" w:sz="4" w:space="0" w:color="auto"/>
              <w:right w:val="nil"/>
            </w:tcBorders>
          </w:tcPr>
          <w:p w14:paraId="787CA5B6" w14:textId="5932AB85" w:rsidR="00374192" w:rsidRDefault="00374192" w:rsidP="00F649B5">
            <w:pPr>
              <w:pStyle w:val="EIRTableText"/>
            </w:pPr>
            <w:r>
              <w:rPr>
                <w:b/>
                <w:bCs w:val="0"/>
              </w:rPr>
              <w:t xml:space="preserve">Policy MOB 9.3. </w:t>
            </w:r>
            <w:r>
              <w:t>Low-emission vehicles. Promote use of fuel-efficient, alternative fuel and low-emission vehicles.</w:t>
            </w:r>
          </w:p>
        </w:tc>
        <w:tc>
          <w:tcPr>
            <w:tcW w:w="4602" w:type="dxa"/>
            <w:tcBorders>
              <w:top w:val="single" w:sz="4" w:space="0" w:color="D9D9D9" w:themeColor="background1" w:themeShade="D9"/>
              <w:left w:val="nil"/>
              <w:bottom w:val="single" w:sz="4" w:space="0" w:color="auto"/>
              <w:right w:val="nil"/>
            </w:tcBorders>
          </w:tcPr>
          <w:p w14:paraId="60EE3F09" w14:textId="1A960089" w:rsidR="00374192" w:rsidRPr="007E48AE" w:rsidRDefault="00374192" w:rsidP="00F649B5">
            <w:pPr>
              <w:pStyle w:val="EIRTableText"/>
              <w:rPr>
                <w:bCs w:val="0"/>
              </w:rPr>
            </w:pPr>
            <w:r>
              <w:rPr>
                <w:b/>
                <w:bCs w:val="0"/>
              </w:rPr>
              <w:t>Consistent</w:t>
            </w:r>
            <w:r>
              <w:rPr>
                <w:b/>
              </w:rPr>
              <w:t xml:space="preserve">. </w:t>
            </w:r>
            <w:r>
              <w:rPr>
                <w:bCs w:val="0"/>
              </w:rPr>
              <w:t xml:space="preserve">The project would provide 12 electric vehicle charging stations that would promote the use of zero-emission vehicles. </w:t>
            </w:r>
          </w:p>
        </w:tc>
      </w:tr>
      <w:tr w:rsidR="00374192" w:rsidRPr="00F649B5" w14:paraId="32FB4E90" w14:textId="77777777" w:rsidTr="00F649B5">
        <w:tc>
          <w:tcPr>
            <w:tcW w:w="9029" w:type="dxa"/>
            <w:gridSpan w:val="2"/>
            <w:tcBorders>
              <w:top w:val="single" w:sz="4" w:space="0" w:color="auto"/>
              <w:left w:val="nil"/>
              <w:bottom w:val="single" w:sz="4" w:space="0" w:color="auto"/>
              <w:right w:val="nil"/>
            </w:tcBorders>
          </w:tcPr>
          <w:p w14:paraId="5EC7D320" w14:textId="3C6C39DD" w:rsidR="00374192" w:rsidRPr="00F649B5" w:rsidRDefault="00B12C44" w:rsidP="00F649B5">
            <w:pPr>
              <w:pStyle w:val="EIRTableText"/>
              <w:spacing w:before="60" w:after="60"/>
              <w:rPr>
                <w:sz w:val="16"/>
                <w:szCs w:val="16"/>
              </w:rPr>
            </w:pPr>
            <w:r w:rsidRPr="00F649B5">
              <w:rPr>
                <w:sz w:val="16"/>
                <w:szCs w:val="16"/>
              </w:rPr>
              <w:t xml:space="preserve">Source: City of Mountain View 2012a </w:t>
            </w:r>
          </w:p>
        </w:tc>
      </w:tr>
    </w:tbl>
    <w:p w14:paraId="0A91288E" w14:textId="4FD52981" w:rsidR="00B538E5" w:rsidRDefault="00883F9B" w:rsidP="00F649B5">
      <w:pPr>
        <w:pStyle w:val="bodyafter"/>
      </w:pPr>
      <w:r>
        <w:t>The project would be consistent with the Mountain View 2030 General Plan and the City’s MTA Handbook. Impacts would be less than significant.</w:t>
      </w:r>
    </w:p>
    <w:p w14:paraId="5849CA24" w14:textId="77777777" w:rsidR="00C96493" w:rsidRPr="00C96493" w:rsidRDefault="00817BC5" w:rsidP="009D2D5C">
      <w:pPr>
        <w:pStyle w:val="BulletLtrManAFTER"/>
        <w:rPr>
          <w:rStyle w:val="DropdownList"/>
          <w:i w:val="0"/>
          <w:iCs/>
        </w:rPr>
      </w:pPr>
      <w:sdt>
        <w:sdtPr>
          <w:rPr>
            <w:rStyle w:val="DropdownList"/>
            <w:i w:val="0"/>
            <w:iCs/>
          </w:rPr>
          <w:alias w:val="1a"/>
          <w:tag w:val="dropdown"/>
          <w:id w:val="-1744630664"/>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rPr>
        </w:sdtEndPr>
        <w:sdtContent>
          <w:r w:rsidR="00883F9B" w:rsidRPr="00C96493">
            <w:rPr>
              <w:rStyle w:val="DropdownList"/>
              <w:i w:val="0"/>
              <w:iCs/>
            </w:rPr>
            <w:t>Less Than Significant Impact</w:t>
          </w:r>
        </w:sdtContent>
      </w:sdt>
    </w:p>
    <w:p w14:paraId="014D068A" w14:textId="4AC08F64" w:rsidR="009D2D5C" w:rsidRDefault="00E60C6A" w:rsidP="00294A6D">
      <w:pPr>
        <w:pStyle w:val="BulletLtrManAFTER"/>
      </w:pPr>
      <w:r w:rsidRPr="00883F9B">
        <w:t>b.</w:t>
      </w:r>
      <w:r w:rsidRPr="00883F9B">
        <w:tab/>
        <w:t xml:space="preserve">Would the project conflict or be inconsistent with CEQA Guidelines </w:t>
      </w:r>
      <w:r w:rsidR="008F723F">
        <w:t>S</w:t>
      </w:r>
      <w:r w:rsidRPr="00883F9B">
        <w:t>ection 15064.3, subdivision (b)?</w:t>
      </w:r>
    </w:p>
    <w:p w14:paraId="6D511FC4" w14:textId="77777777" w:rsidR="0053631C" w:rsidRDefault="009D2D5C" w:rsidP="0053631C">
      <w:pPr>
        <w:pStyle w:val="BodyText"/>
      </w:pPr>
      <w:bookmarkStart w:id="327" w:name="_Hlk93672958"/>
      <w:r>
        <w:t xml:space="preserve">As described under </w:t>
      </w:r>
      <w:r w:rsidRPr="009D2D5C">
        <w:rPr>
          <w:i/>
          <w:iCs/>
        </w:rPr>
        <w:t>Setting</w:t>
      </w:r>
      <w:r w:rsidRPr="009D2D5C">
        <w:t xml:space="preserve">, </w:t>
      </w:r>
      <w:r w:rsidR="00404CB1">
        <w:rPr>
          <w:i/>
          <w:iCs/>
        </w:rPr>
        <w:t xml:space="preserve">CEQA Guidelines </w:t>
      </w:r>
      <w:r w:rsidR="00404CB1">
        <w:t xml:space="preserve">Section 15064.3 identifies VMT </w:t>
      </w:r>
      <w:r w:rsidRPr="009D2D5C">
        <w:t>as the most appropriate criteria to evaluate a project’s transportation impacts.</w:t>
      </w:r>
      <w:r w:rsidR="00404CB1">
        <w:t xml:space="preserve"> The City of Mountain View established VMT as the methodology for evaluating transportation impacts in June 2020. As described under </w:t>
      </w:r>
      <w:r w:rsidR="00404CB1">
        <w:rPr>
          <w:i/>
          <w:iCs/>
        </w:rPr>
        <w:t xml:space="preserve">Specific Thresholds of Significance, </w:t>
      </w:r>
      <w:r w:rsidR="00404CB1">
        <w:t xml:space="preserve">the project would have to produce less than 13.03 VMT per employee in order to have less than significant impacts. </w:t>
      </w:r>
      <w:r w:rsidR="0053631C">
        <w:t xml:space="preserve">The estimated 13.03 VMT per employee multiplied by a projected 120 trips per day results in an equivalent threshold of 1,564 VMT per day. </w:t>
      </w:r>
    </w:p>
    <w:p w14:paraId="5C3CA2EE" w14:textId="77777777" w:rsidR="0053631C" w:rsidRDefault="0053631C" w:rsidP="0053631C">
      <w:pPr>
        <w:pStyle w:val="BodyText"/>
      </w:pPr>
      <w:r>
        <w:t>The Multi-Modal Transportation Analysis determined that without a TDM program or trip reduction measures, the project would generate 17.05 VMT per employee and 120 daily trips. Accordingly, without a TDM program or trip reduction measures, the project would generate 2,046 VMT daily. However, with the TDM program proposed, the project would reduce total VMT by 482, or a 24 percent decrease in total trips taken. The reductions are summarized as follows.</w:t>
      </w:r>
    </w:p>
    <w:p w14:paraId="1D4360B3" w14:textId="77777777" w:rsidR="0053631C" w:rsidRDefault="0053631C" w:rsidP="0053631C">
      <w:pPr>
        <w:pStyle w:val="BodyText"/>
        <w:numPr>
          <w:ilvl w:val="0"/>
          <w:numId w:val="122"/>
        </w:numPr>
      </w:pPr>
      <w:r w:rsidRPr="001338A1">
        <w:t>Sidewalk improvements and additional pedestrian access</w:t>
      </w:r>
      <w:r>
        <w:t>, such as those proposed by the applicant,</w:t>
      </w:r>
      <w:r w:rsidRPr="001338A1">
        <w:t xml:space="preserve"> </w:t>
      </w:r>
      <w:r>
        <w:t>could</w:t>
      </w:r>
      <w:r w:rsidRPr="00133799">
        <w:t xml:space="preserve"> provide up to 5.7</w:t>
      </w:r>
      <w:r>
        <w:t xml:space="preserve"> percent</w:t>
      </w:r>
      <w:r w:rsidRPr="001338A1">
        <w:t xml:space="preserve"> VMT reduction, </w:t>
      </w:r>
      <w:r>
        <w:t>according to CARB’s</w:t>
      </w:r>
      <w:r w:rsidRPr="001338A1">
        <w:t xml:space="preserve"> 2014 report </w:t>
      </w:r>
      <w:r w:rsidRPr="001338A1">
        <w:rPr>
          <w:i/>
          <w:iCs/>
        </w:rPr>
        <w:t>Impacts of Pedestrian Strategies on Passenger Vehicle Use and Greenhouse Gas Emissions</w:t>
      </w:r>
      <w:r>
        <w:rPr>
          <w:i/>
          <w:iCs/>
        </w:rPr>
        <w:t xml:space="preserve"> </w:t>
      </w:r>
      <w:r>
        <w:t>(Appendix TRA)</w:t>
      </w:r>
      <w:r w:rsidRPr="001338A1">
        <w:rPr>
          <w:i/>
          <w:iCs/>
        </w:rPr>
        <w:t>.</w:t>
      </w:r>
    </w:p>
    <w:p w14:paraId="3CE17D82" w14:textId="77777777" w:rsidR="0053631C" w:rsidRDefault="0053631C" w:rsidP="0053631C">
      <w:pPr>
        <w:pStyle w:val="BodyText"/>
        <w:numPr>
          <w:ilvl w:val="0"/>
          <w:numId w:val="122"/>
        </w:numPr>
      </w:pPr>
      <w:r w:rsidRPr="001338A1">
        <w:t xml:space="preserve">An addition of improved bus service on Shoreline </w:t>
      </w:r>
      <w:r>
        <w:t>Boulevard</w:t>
      </w:r>
      <w:r w:rsidRPr="001338A1">
        <w:t xml:space="preserve"> near</w:t>
      </w:r>
      <w:r>
        <w:t xml:space="preserve"> </w:t>
      </w:r>
      <w:r w:rsidRPr="001338A1">
        <w:t xml:space="preserve">the project </w:t>
      </w:r>
      <w:r>
        <w:t>would</w:t>
      </w:r>
      <w:r w:rsidRPr="00133799">
        <w:t xml:space="preserve"> also potentially decrease VMT by 6.3</w:t>
      </w:r>
      <w:r>
        <w:t xml:space="preserve"> percent</w:t>
      </w:r>
      <w:r w:rsidRPr="001338A1">
        <w:t>, as</w:t>
      </w:r>
      <w:r>
        <w:t xml:space="preserve"> </w:t>
      </w:r>
      <w:r w:rsidRPr="001338A1">
        <w:t xml:space="preserve">referenced in </w:t>
      </w:r>
      <w:r>
        <w:t xml:space="preserve">CARB’s 2013 Report </w:t>
      </w:r>
      <w:r w:rsidRPr="001338A1">
        <w:rPr>
          <w:i/>
          <w:iCs/>
        </w:rPr>
        <w:t>Impacts of Transit Service Strategies on Passenger Vehicle Use and Greenhouse Gas Emissions</w:t>
      </w:r>
      <w:r>
        <w:t xml:space="preserve"> (Appendix TRA). </w:t>
      </w:r>
    </w:p>
    <w:p w14:paraId="3198ACD5" w14:textId="77777777" w:rsidR="0053631C" w:rsidRDefault="0053631C" w:rsidP="0053631C">
      <w:pPr>
        <w:pStyle w:val="BodyText"/>
        <w:numPr>
          <w:ilvl w:val="0"/>
          <w:numId w:val="122"/>
        </w:numPr>
      </w:pPr>
      <w:r>
        <w:t>S</w:t>
      </w:r>
      <w:r w:rsidRPr="001338A1">
        <w:t>idewalk</w:t>
      </w:r>
      <w:r>
        <w:t xml:space="preserve"> improvements</w:t>
      </w:r>
      <w:r w:rsidRPr="001338A1">
        <w:t xml:space="preserve"> associated with </w:t>
      </w:r>
      <w:r>
        <w:t xml:space="preserve">other </w:t>
      </w:r>
      <w:r w:rsidRPr="001338A1">
        <w:t xml:space="preserve">projects in the vicinity </w:t>
      </w:r>
      <w:r>
        <w:t>include</w:t>
      </w:r>
      <w:r w:rsidRPr="001338A1">
        <w:t xml:space="preserve"> 1075 Terra Bella Ave (completed)</w:t>
      </w:r>
      <w:r>
        <w:t>,</w:t>
      </w:r>
      <w:r w:rsidRPr="001338A1">
        <w:t xml:space="preserve"> 1001 Shoreline Blvd (under construction), 1020-1040 Terra Bella Ave (under review), and 1110 Terra Bella Ave-</w:t>
      </w:r>
      <w:r>
        <w:t xml:space="preserve"> </w:t>
      </w:r>
      <w:r w:rsidRPr="001338A1">
        <w:t xml:space="preserve">1012 Linda Vista Ave (under review). </w:t>
      </w:r>
    </w:p>
    <w:p w14:paraId="492B4198" w14:textId="77777777" w:rsidR="0053631C" w:rsidRDefault="0053631C" w:rsidP="00294A6D">
      <w:pPr>
        <w:pStyle w:val="bodyafter"/>
      </w:pPr>
      <w:r w:rsidRPr="001338A1">
        <w:t>Taken together, sidewalk and transit improvements c</w:t>
      </w:r>
      <w:r>
        <w:t xml:space="preserve">ould </w:t>
      </w:r>
      <w:r w:rsidRPr="001338A1">
        <w:t>potentially reduce trips by 12</w:t>
      </w:r>
      <w:r>
        <w:t xml:space="preserve"> percent (Appendix TRA). </w:t>
      </w:r>
    </w:p>
    <w:p w14:paraId="1B80325F" w14:textId="77777777" w:rsidR="0053631C" w:rsidRDefault="0053631C" w:rsidP="0053631C">
      <w:pPr>
        <w:pStyle w:val="BodyText"/>
      </w:pPr>
      <w:r w:rsidRPr="001338A1">
        <w:t>The project applicant would</w:t>
      </w:r>
      <w:r>
        <w:t xml:space="preserve"> also</w:t>
      </w:r>
      <w:r w:rsidRPr="001338A1">
        <w:t xml:space="preserve"> be required to implement a Transportation Demand Management Plan. The </w:t>
      </w:r>
      <w:r w:rsidRPr="00192A0C">
        <w:t xml:space="preserve">Transportation Demand Management Plan (Appendix TDM) includes recommended measures to reduce </w:t>
      </w:r>
      <w:r>
        <w:t xml:space="preserve">trips that would be </w:t>
      </w:r>
      <w:r w:rsidRPr="00192A0C">
        <w:t>generated by the project. Measures recommended for the project include</w:t>
      </w:r>
      <w:r>
        <w:t>,</w:t>
      </w:r>
      <w:r w:rsidRPr="00192A0C">
        <w:t xml:space="preserve"> but are not limited to</w:t>
      </w:r>
      <w:r>
        <w:t>,</w:t>
      </w:r>
      <w:r w:rsidRPr="00192A0C">
        <w:t xml:space="preserve"> appointing a transportation demand management coordinator for the project, who would be responsible for managing the transportation demand management plan; maintaining an online information page which would include information about transit maps and schedules; preparing a transportation information packet to be distributed to employees; offering a telecommute or flexible work schedule for project site employees; and subsidizing transit passes for project site employees. Implementation of the Transportation Demand Management Plan</w:t>
      </w:r>
      <w:r>
        <w:t xml:space="preserve"> would </w:t>
      </w:r>
      <w:r w:rsidRPr="001338A1">
        <w:t>provide an additional 12</w:t>
      </w:r>
      <w:r>
        <w:t xml:space="preserve"> percent reduction in trips</w:t>
      </w:r>
      <w:r w:rsidRPr="001338A1">
        <w:t xml:space="preserve"> </w:t>
      </w:r>
      <w:r>
        <w:t>for a total of a 24 percent reduction in trips.</w:t>
      </w:r>
      <w:r w:rsidRPr="001338A1">
        <w:t xml:space="preserve"> Thus, the total number of daily trips for the project w</w:t>
      </w:r>
      <w:r>
        <w:t>ould</w:t>
      </w:r>
      <w:r w:rsidRPr="00133799">
        <w:t xml:space="preserve"> be reduced from 120 to 92 trips.</w:t>
      </w:r>
      <w:r>
        <w:t xml:space="preserve"> </w:t>
      </w:r>
      <w:r w:rsidRPr="003B4A76">
        <w:t xml:space="preserve">92 trips multiplied by the estimated 13.03 VMT per employee would result in an overall project VMT of 1,199 VMT, which would be below the </w:t>
      </w:r>
      <w:r w:rsidRPr="003B4A76">
        <w:rPr>
          <w:rFonts w:ascii="SegoeUI" w:hAnsi="SegoeUI"/>
          <w:color w:val="242021"/>
          <w:sz w:val="20"/>
          <w:szCs w:val="20"/>
        </w:rPr>
        <w:t xml:space="preserve">1,564 </w:t>
      </w:r>
      <w:r w:rsidRPr="003B4A76">
        <w:t>VMT per day threshold.</w:t>
      </w:r>
    </w:p>
    <w:p w14:paraId="439CB8ED" w14:textId="77777777" w:rsidR="00150DF9" w:rsidRDefault="0053631C" w:rsidP="00150DF9">
      <w:pPr>
        <w:pStyle w:val="BodyText"/>
      </w:pPr>
      <w:r w:rsidRPr="001338A1">
        <w:t xml:space="preserve">With implementation of the proposed TDM measures, the project </w:t>
      </w:r>
      <w:r>
        <w:t xml:space="preserve">would be </w:t>
      </w:r>
      <w:r w:rsidRPr="001338A1">
        <w:t xml:space="preserve">consistent with the City’s VMT policy </w:t>
      </w:r>
      <w:r>
        <w:t xml:space="preserve">and </w:t>
      </w:r>
      <w:r>
        <w:rPr>
          <w:i/>
          <w:iCs/>
        </w:rPr>
        <w:t xml:space="preserve">CEQA Guidelines </w:t>
      </w:r>
      <w:r>
        <w:t xml:space="preserve">Section 15064.3, subdivision (b). Impacts would be less than significant. </w:t>
      </w:r>
      <w:bookmarkEnd w:id="327"/>
    </w:p>
    <w:p w14:paraId="2B469AF4" w14:textId="36A06DB0" w:rsidR="00E60C6A" w:rsidRPr="000E45CD" w:rsidRDefault="00817BC5" w:rsidP="00E60C6A">
      <w:pPr>
        <w:spacing w:before="120"/>
        <w:rPr>
          <w:rStyle w:val="DropdownList"/>
          <w:highlight w:val="lightGray"/>
        </w:rPr>
      </w:pPr>
      <w:sdt>
        <w:sdtPr>
          <w:rPr>
            <w:rStyle w:val="DropdownList"/>
            <w:highlight w:val="lightGray"/>
          </w:rPr>
          <w:alias w:val="1a"/>
          <w:tag w:val="dropdown"/>
          <w:id w:val="-1694990491"/>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highlight w:val="none"/>
          </w:rPr>
        </w:sdtEndPr>
        <w:sdtContent>
          <w:r w:rsidR="000E45CD" w:rsidRPr="000E45CD">
            <w:rPr>
              <w:rStyle w:val="DropdownList"/>
            </w:rPr>
            <w:t>Less Than Significant Impact</w:t>
          </w:r>
        </w:sdtContent>
      </w:sdt>
    </w:p>
    <w:p w14:paraId="4EB359B5" w14:textId="58AF3CDF" w:rsidR="00E60C6A" w:rsidRDefault="00E60C6A" w:rsidP="00294A6D">
      <w:pPr>
        <w:pStyle w:val="BulletLtrManAFTER"/>
        <w:pageBreakBefore/>
      </w:pPr>
      <w:r w:rsidRPr="009D2D5C">
        <w:t>c.</w:t>
      </w:r>
      <w:r w:rsidRPr="009D2D5C">
        <w:tab/>
        <w:t>Would the project substantially increase hazards due to a geometric design feature (e.g., sharp curves or dangerous intersections) or incompatible use (e.g., farm equipment)?</w:t>
      </w:r>
    </w:p>
    <w:p w14:paraId="1252BB20" w14:textId="3BA69EC7" w:rsidR="003851AC" w:rsidRDefault="004610C4" w:rsidP="00294A6D">
      <w:pPr>
        <w:pStyle w:val="BodyText"/>
      </w:pPr>
      <w:r>
        <w:t xml:space="preserve">Vehicle access to the project site would be available via an existing </w:t>
      </w:r>
      <w:r w:rsidR="003851AC">
        <w:t xml:space="preserve">two-way </w:t>
      </w:r>
      <w:r>
        <w:t xml:space="preserve">driveway on the northeastern corner of the site, which would lead directly to the surface parking lot. </w:t>
      </w:r>
      <w:r w:rsidR="003851AC">
        <w:t xml:space="preserve">The parking lot would provide 75 parking spaces along a loop, with parking spaces located in the center and on the perimeter of the loop. Emergency vehicles would be able to enter the project site via the existing driveway and, if necessary, circulate through the parking lot to turn around. The project would </w:t>
      </w:r>
      <w:r w:rsidR="008818AD">
        <w:t xml:space="preserve">also </w:t>
      </w:r>
      <w:r w:rsidR="003851AC">
        <w:t xml:space="preserve">increase the existing five-foot-wide sidewalk along Terra Bella Avenue to a nine-foot-wide sidewalk. The proposed office structure would be accessed via pedestrian walkways from the parking lot and walkways that connect to the sidewalk along Terra Bella Avenue. The project would not involve geometric design features or incompatible uses that would substantially increase hazards at the project site. Impacts would be less than significant. </w:t>
      </w:r>
    </w:p>
    <w:p w14:paraId="758CEA9C" w14:textId="5795E445" w:rsidR="00E60C6A" w:rsidRPr="000E45CD" w:rsidRDefault="00817BC5" w:rsidP="00E60C6A">
      <w:pPr>
        <w:spacing w:before="120"/>
        <w:rPr>
          <w:rStyle w:val="DropdownList"/>
          <w:highlight w:val="lightGray"/>
        </w:rPr>
      </w:pPr>
      <w:sdt>
        <w:sdtPr>
          <w:rPr>
            <w:rStyle w:val="DropdownList"/>
          </w:rPr>
          <w:alias w:val="1a"/>
          <w:tag w:val="dropdown"/>
          <w:id w:val="-2109260498"/>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rPr>
        </w:sdtEndPr>
        <w:sdtContent>
          <w:r w:rsidR="003851AC" w:rsidRPr="008818AD">
            <w:rPr>
              <w:rStyle w:val="DropdownList"/>
            </w:rPr>
            <w:t>Less Than Significant Impact</w:t>
          </w:r>
        </w:sdtContent>
      </w:sdt>
    </w:p>
    <w:p w14:paraId="09CE547C" w14:textId="7A3EA2B5" w:rsidR="008A08DA" w:rsidRPr="008A08DA" w:rsidRDefault="008A08DA" w:rsidP="00F649B5">
      <w:pPr>
        <w:pStyle w:val="BulletLtrManAFTER"/>
      </w:pPr>
      <w:r w:rsidRPr="008A08DA">
        <w:t>d.</w:t>
      </w:r>
      <w:r w:rsidR="00F649B5">
        <w:tab/>
        <w:t>W</w:t>
      </w:r>
      <w:r w:rsidRPr="008A08DA">
        <w:t xml:space="preserve">ould the project result in inadequate emergency access? </w:t>
      </w:r>
    </w:p>
    <w:p w14:paraId="4B8BC5C7" w14:textId="101C06D7" w:rsidR="008A08DA" w:rsidRDefault="008A08DA" w:rsidP="00294A6D">
      <w:pPr>
        <w:pStyle w:val="BodyText"/>
      </w:pPr>
      <w:r>
        <w:t xml:space="preserve">The project would not require lane or road closures during construction. During operation, emergency access to the project site would available via a proposed two-way driveway on the northeastern corner of the site, which would lead directly to the surface parking lot. The parking lot is directly east of the proposed office structure and would provide adequate emergency access to the building. If necessary, emergency vehicles would be able to circulate through the parking lot to turn around and exit onto Terra Bella Avenue. The project would provide adequate emergency access, and impacts would be less than significant. </w:t>
      </w:r>
    </w:p>
    <w:p w14:paraId="581A9CC8" w14:textId="77777777" w:rsidR="008A08DA" w:rsidRPr="000E45CD" w:rsidRDefault="00817BC5" w:rsidP="008A08DA">
      <w:pPr>
        <w:spacing w:before="120"/>
        <w:rPr>
          <w:rStyle w:val="DropdownList"/>
          <w:highlight w:val="lightGray"/>
        </w:rPr>
      </w:pPr>
      <w:sdt>
        <w:sdtPr>
          <w:rPr>
            <w:rStyle w:val="DropdownList"/>
          </w:rPr>
          <w:alias w:val="1a"/>
          <w:tag w:val="dropdown"/>
          <w:id w:val="-22025673"/>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rPr>
        </w:sdtEndPr>
        <w:sdtContent>
          <w:r w:rsidR="008A08DA" w:rsidRPr="008818AD">
            <w:rPr>
              <w:rStyle w:val="DropdownList"/>
            </w:rPr>
            <w:t>Less Than Significant Impact</w:t>
          </w:r>
        </w:sdtContent>
      </w:sdt>
    </w:p>
    <w:p w14:paraId="0A19D25C" w14:textId="77777777" w:rsidR="00A134D1" w:rsidRDefault="00A134D1" w:rsidP="00294A6D">
      <w:pPr>
        <w:pStyle w:val="BodyText"/>
      </w:pPr>
    </w:p>
    <w:p w14:paraId="12E61377" w14:textId="77777777" w:rsidR="00542725" w:rsidRPr="00A13310" w:rsidRDefault="00542725" w:rsidP="00275B75">
      <w:pPr>
        <w:pStyle w:val="Heading3CEQA"/>
      </w:pPr>
      <w:bookmarkStart w:id="328" w:name="_Toc475630726"/>
      <w:bookmarkStart w:id="329" w:name="_Toc112942443"/>
      <w:bookmarkStart w:id="330" w:name="_Hlk92185866"/>
      <w:bookmarkStart w:id="331" w:name="_Toc453855779"/>
      <w:r w:rsidRPr="00A13310">
        <w:t>Tribal Cultural Resources</w:t>
      </w:r>
      <w:bookmarkEnd w:id="328"/>
      <w:bookmarkEnd w:id="329"/>
    </w:p>
    <w:tbl>
      <w:tblPr>
        <w:tblW w:w="9047" w:type="dxa"/>
        <w:tblLayout w:type="fixed"/>
        <w:tblLook w:val="04A0" w:firstRow="1" w:lastRow="0" w:firstColumn="1" w:lastColumn="0" w:noHBand="0" w:noVBand="1"/>
      </w:tblPr>
      <w:tblGrid>
        <w:gridCol w:w="11"/>
        <w:gridCol w:w="4338"/>
        <w:gridCol w:w="1170"/>
        <w:gridCol w:w="14"/>
        <w:gridCol w:w="1220"/>
        <w:gridCol w:w="38"/>
        <w:gridCol w:w="1072"/>
        <w:gridCol w:w="25"/>
        <w:gridCol w:w="1098"/>
        <w:gridCol w:w="61"/>
      </w:tblGrid>
      <w:tr w:rsidR="00542725" w:rsidRPr="00A13310" w14:paraId="3A499CB8" w14:textId="77777777" w:rsidTr="004821E1">
        <w:trPr>
          <w:tblHeader/>
        </w:trPr>
        <w:tc>
          <w:tcPr>
            <w:tcW w:w="4349" w:type="dxa"/>
            <w:gridSpan w:val="2"/>
            <w:tcBorders>
              <w:bottom w:val="single" w:sz="4" w:space="0" w:color="auto"/>
            </w:tcBorders>
            <w:shd w:val="clear" w:color="auto" w:fill="D9D9D9"/>
            <w:tcMar>
              <w:top w:w="20" w:type="dxa"/>
              <w:left w:w="115" w:type="dxa"/>
              <w:bottom w:w="20" w:type="dxa"/>
              <w:right w:w="115" w:type="dxa"/>
            </w:tcMar>
            <w:vAlign w:val="bottom"/>
          </w:tcPr>
          <w:p w14:paraId="1F857866" w14:textId="77777777" w:rsidR="00542725" w:rsidRPr="00A13310" w:rsidRDefault="00542725" w:rsidP="00FB3B90">
            <w:pPr>
              <w:pStyle w:val="TableHeadings"/>
            </w:pPr>
          </w:p>
        </w:tc>
        <w:tc>
          <w:tcPr>
            <w:tcW w:w="1184" w:type="dxa"/>
            <w:gridSpan w:val="2"/>
            <w:tcBorders>
              <w:bottom w:val="single" w:sz="4" w:space="0" w:color="auto"/>
            </w:tcBorders>
            <w:shd w:val="clear" w:color="auto" w:fill="D9D9D9"/>
            <w:tcMar>
              <w:top w:w="20" w:type="dxa"/>
              <w:left w:w="115" w:type="dxa"/>
              <w:bottom w:w="20" w:type="dxa"/>
              <w:right w:w="115" w:type="dxa"/>
            </w:tcMar>
            <w:vAlign w:val="bottom"/>
            <w:hideMark/>
          </w:tcPr>
          <w:p w14:paraId="5E68B56C" w14:textId="77777777" w:rsidR="00542725" w:rsidRPr="00A13310" w:rsidRDefault="00542725" w:rsidP="00FB3B90">
            <w:pPr>
              <w:pStyle w:val="TableHeadings"/>
              <w:jc w:val="center"/>
            </w:pPr>
            <w:r w:rsidRPr="00A13310">
              <w:t>Potentially Significant Impact</w:t>
            </w:r>
          </w:p>
        </w:tc>
        <w:tc>
          <w:tcPr>
            <w:tcW w:w="1220" w:type="dxa"/>
            <w:tcBorders>
              <w:bottom w:val="single" w:sz="4" w:space="0" w:color="auto"/>
            </w:tcBorders>
            <w:shd w:val="clear" w:color="auto" w:fill="D9D9D9"/>
            <w:tcMar>
              <w:top w:w="20" w:type="dxa"/>
              <w:left w:w="115" w:type="dxa"/>
              <w:bottom w:w="20" w:type="dxa"/>
              <w:right w:w="115" w:type="dxa"/>
            </w:tcMar>
            <w:vAlign w:val="bottom"/>
            <w:hideMark/>
          </w:tcPr>
          <w:p w14:paraId="7204DE4D" w14:textId="77777777" w:rsidR="00542725" w:rsidRPr="00A13310" w:rsidRDefault="00542725" w:rsidP="00FB3B90">
            <w:pPr>
              <w:pStyle w:val="TableHeadings"/>
              <w:jc w:val="center"/>
            </w:pPr>
            <w:r w:rsidRPr="00A13310">
              <w:t>Less than Significant with Mitigation Incorporated</w:t>
            </w:r>
          </w:p>
        </w:tc>
        <w:tc>
          <w:tcPr>
            <w:tcW w:w="1110" w:type="dxa"/>
            <w:gridSpan w:val="2"/>
            <w:tcBorders>
              <w:bottom w:val="single" w:sz="4" w:space="0" w:color="auto"/>
            </w:tcBorders>
            <w:shd w:val="clear" w:color="auto" w:fill="D9D9D9"/>
            <w:tcMar>
              <w:top w:w="20" w:type="dxa"/>
              <w:left w:w="115" w:type="dxa"/>
              <w:bottom w:w="20" w:type="dxa"/>
              <w:right w:w="115" w:type="dxa"/>
            </w:tcMar>
            <w:vAlign w:val="bottom"/>
            <w:hideMark/>
          </w:tcPr>
          <w:p w14:paraId="3FD129A8" w14:textId="77777777" w:rsidR="00542725" w:rsidRPr="00A13310" w:rsidRDefault="00542725" w:rsidP="00FB3B90">
            <w:pPr>
              <w:pStyle w:val="TableHeadings"/>
              <w:jc w:val="center"/>
            </w:pPr>
            <w:r w:rsidRPr="00A13310">
              <w:t>Less than Significant Impact</w:t>
            </w:r>
          </w:p>
        </w:tc>
        <w:tc>
          <w:tcPr>
            <w:tcW w:w="1184" w:type="dxa"/>
            <w:gridSpan w:val="3"/>
            <w:tcBorders>
              <w:bottom w:val="single" w:sz="4" w:space="0" w:color="auto"/>
            </w:tcBorders>
            <w:shd w:val="clear" w:color="auto" w:fill="D9D9D9"/>
            <w:tcMar>
              <w:top w:w="20" w:type="dxa"/>
              <w:left w:w="115" w:type="dxa"/>
              <w:bottom w:w="20" w:type="dxa"/>
              <w:right w:w="115" w:type="dxa"/>
            </w:tcMar>
            <w:vAlign w:val="bottom"/>
            <w:hideMark/>
          </w:tcPr>
          <w:p w14:paraId="5637EB45" w14:textId="77777777" w:rsidR="00542725" w:rsidRPr="00A13310" w:rsidRDefault="00542725" w:rsidP="00FB3B90">
            <w:pPr>
              <w:pStyle w:val="TableHeadings"/>
              <w:jc w:val="center"/>
            </w:pPr>
            <w:r w:rsidRPr="00A13310">
              <w:t>No Impact</w:t>
            </w:r>
          </w:p>
        </w:tc>
      </w:tr>
      <w:tr w:rsidR="00542725" w:rsidRPr="00A13310" w14:paraId="77F58D55" w14:textId="77777777" w:rsidTr="004821E1">
        <w:trPr>
          <w:gridBefore w:val="1"/>
          <w:gridAfter w:val="1"/>
          <w:wBefore w:w="11" w:type="dxa"/>
          <w:wAfter w:w="61" w:type="dxa"/>
        </w:trPr>
        <w:tc>
          <w:tcPr>
            <w:tcW w:w="8975" w:type="dxa"/>
            <w:gridSpan w:val="8"/>
            <w:tcMar>
              <w:top w:w="20" w:type="dxa"/>
              <w:left w:w="115" w:type="dxa"/>
              <w:bottom w:w="20" w:type="dxa"/>
              <w:right w:w="115" w:type="dxa"/>
            </w:tcMar>
            <w:vAlign w:val="bottom"/>
            <w:hideMark/>
          </w:tcPr>
          <w:p w14:paraId="350E12D7" w14:textId="77777777" w:rsidR="00542725" w:rsidRPr="00A13310" w:rsidRDefault="00542725" w:rsidP="001D543B">
            <w:pPr>
              <w:pStyle w:val="BodyText"/>
              <w:spacing w:before="60" w:after="60"/>
              <w:rPr>
                <w:b/>
              </w:rPr>
            </w:pPr>
            <w:r w:rsidRPr="00A13310">
              <w:t>Would the project cause a substantial adverse change in the significance of a tribal cultural resource, defi</w:t>
            </w:r>
            <w:r w:rsidR="00C453DB" w:rsidRPr="00A13310">
              <w:t>ned in a Public Resources Code S</w:t>
            </w:r>
            <w:r w:rsidRPr="00A13310">
              <w:t xml:space="preserve">ection 21074 as either a site, feature, place, </w:t>
            </w:r>
            <w:r w:rsidR="00C453DB" w:rsidRPr="00A13310">
              <w:t xml:space="preserve">or </w:t>
            </w:r>
            <w:r w:rsidRPr="00A13310">
              <w:t>cultural landscape that is geographically defined in terms of the size and scope of the landscape, sacred place, or object with cultural value to a California Native American tribe, and that is:</w:t>
            </w:r>
          </w:p>
        </w:tc>
      </w:tr>
      <w:tr w:rsidR="00595B30" w:rsidRPr="00A13310" w14:paraId="70A00FC7" w14:textId="77777777" w:rsidTr="004821E1">
        <w:trPr>
          <w:gridBefore w:val="1"/>
          <w:gridAfter w:val="1"/>
          <w:wBefore w:w="11" w:type="dxa"/>
          <w:wAfter w:w="61" w:type="dxa"/>
        </w:trPr>
        <w:tc>
          <w:tcPr>
            <w:tcW w:w="4338" w:type="dxa"/>
            <w:tcMar>
              <w:top w:w="20" w:type="dxa"/>
              <w:left w:w="115" w:type="dxa"/>
              <w:bottom w:w="20" w:type="dxa"/>
              <w:right w:w="115" w:type="dxa"/>
            </w:tcMar>
            <w:vAlign w:val="bottom"/>
          </w:tcPr>
          <w:p w14:paraId="223BDDCE" w14:textId="77777777" w:rsidR="00595B30" w:rsidRPr="00A13310" w:rsidRDefault="00595B30" w:rsidP="00595B30">
            <w:pPr>
              <w:pStyle w:val="BulletListLettered"/>
              <w:numPr>
                <w:ilvl w:val="0"/>
                <w:numId w:val="25"/>
              </w:numPr>
            </w:pPr>
            <w:r w:rsidRPr="00A13310">
              <w:t>Listed or eligible for listing in the California Register of Historical Resources, or in a local register of historical resources as defined in Public Resources Code Section 5020.1(k), or</w:t>
            </w:r>
          </w:p>
        </w:tc>
        <w:tc>
          <w:tcPr>
            <w:tcW w:w="1170" w:type="dxa"/>
            <w:tcMar>
              <w:top w:w="20" w:type="dxa"/>
              <w:left w:w="115" w:type="dxa"/>
              <w:bottom w:w="20" w:type="dxa"/>
              <w:right w:w="115" w:type="dxa"/>
            </w:tcMar>
            <w:vAlign w:val="bottom"/>
          </w:tcPr>
          <w:p w14:paraId="6DB8FF46" w14:textId="4615C171" w:rsidR="00595B30" w:rsidRPr="00A13310" w:rsidRDefault="00595B30" w:rsidP="00595B30">
            <w:pPr>
              <w:spacing w:before="60" w:after="60"/>
              <w:jc w:val="center"/>
              <w:rPr>
                <w:sz w:val="28"/>
                <w:szCs w:val="28"/>
              </w:rPr>
            </w:pPr>
            <w:r w:rsidRPr="00A13310">
              <w:rPr>
                <w:rFonts w:ascii="Times New Roman" w:hAnsi="Times New Roman"/>
              </w:rPr>
              <w:t>□</w:t>
            </w:r>
          </w:p>
        </w:tc>
        <w:tc>
          <w:tcPr>
            <w:tcW w:w="1272" w:type="dxa"/>
            <w:gridSpan w:val="3"/>
            <w:tcMar>
              <w:top w:w="20" w:type="dxa"/>
              <w:left w:w="115" w:type="dxa"/>
              <w:bottom w:w="20" w:type="dxa"/>
              <w:right w:w="115" w:type="dxa"/>
            </w:tcMar>
            <w:vAlign w:val="bottom"/>
          </w:tcPr>
          <w:p w14:paraId="6D261FA8" w14:textId="67F8FB6A" w:rsidR="00595B30" w:rsidRPr="00A13310" w:rsidRDefault="00595B30" w:rsidP="00595B30">
            <w:pPr>
              <w:spacing w:before="60" w:after="60"/>
              <w:jc w:val="center"/>
              <w:rPr>
                <w:sz w:val="28"/>
                <w:szCs w:val="28"/>
              </w:rPr>
            </w:pPr>
            <w:r w:rsidRPr="00A13310">
              <w:rPr>
                <w:rFonts w:ascii="Times New Roman" w:hAnsi="Times New Roman"/>
              </w:rPr>
              <w:t>□</w:t>
            </w:r>
          </w:p>
        </w:tc>
        <w:tc>
          <w:tcPr>
            <w:tcW w:w="1097" w:type="dxa"/>
            <w:gridSpan w:val="2"/>
            <w:tcMar>
              <w:top w:w="20" w:type="dxa"/>
              <w:left w:w="115" w:type="dxa"/>
              <w:bottom w:w="20" w:type="dxa"/>
              <w:right w:w="115" w:type="dxa"/>
            </w:tcMar>
            <w:vAlign w:val="bottom"/>
          </w:tcPr>
          <w:p w14:paraId="6A995A5A" w14:textId="55D20C9D" w:rsidR="00595B30" w:rsidRPr="00A13310" w:rsidRDefault="00595B30" w:rsidP="00595B30">
            <w:pPr>
              <w:spacing w:before="60" w:after="60"/>
              <w:jc w:val="center"/>
              <w:rPr>
                <w:sz w:val="28"/>
                <w:szCs w:val="28"/>
              </w:rPr>
            </w:pPr>
            <w:r w:rsidRPr="00A13310">
              <w:rPr>
                <w:rFonts w:ascii="Times New Roman" w:hAnsi="Times New Roman"/>
              </w:rPr>
              <w:t>■</w:t>
            </w:r>
          </w:p>
        </w:tc>
        <w:tc>
          <w:tcPr>
            <w:tcW w:w="1098" w:type="dxa"/>
            <w:tcMar>
              <w:top w:w="20" w:type="dxa"/>
              <w:left w:w="115" w:type="dxa"/>
              <w:bottom w:w="20" w:type="dxa"/>
              <w:right w:w="115" w:type="dxa"/>
            </w:tcMar>
            <w:vAlign w:val="bottom"/>
          </w:tcPr>
          <w:p w14:paraId="182C254F" w14:textId="09A085DD" w:rsidR="00595B30" w:rsidRPr="00A13310" w:rsidRDefault="00595B30" w:rsidP="00595B30">
            <w:pPr>
              <w:spacing w:before="60" w:after="60"/>
              <w:jc w:val="center"/>
              <w:rPr>
                <w:sz w:val="28"/>
                <w:szCs w:val="28"/>
              </w:rPr>
            </w:pPr>
            <w:r w:rsidRPr="00A13310">
              <w:rPr>
                <w:rFonts w:ascii="Times New Roman" w:hAnsi="Times New Roman"/>
              </w:rPr>
              <w:t>□</w:t>
            </w:r>
          </w:p>
        </w:tc>
      </w:tr>
      <w:tr w:rsidR="00595B30" w:rsidRPr="00A13310" w14:paraId="3FD3617C" w14:textId="77777777" w:rsidTr="004821E1">
        <w:trPr>
          <w:gridBefore w:val="1"/>
          <w:gridAfter w:val="1"/>
          <w:wBefore w:w="11" w:type="dxa"/>
          <w:wAfter w:w="61" w:type="dxa"/>
        </w:trPr>
        <w:tc>
          <w:tcPr>
            <w:tcW w:w="4338" w:type="dxa"/>
            <w:tcBorders>
              <w:bottom w:val="single" w:sz="4" w:space="0" w:color="auto"/>
            </w:tcBorders>
            <w:tcMar>
              <w:top w:w="20" w:type="dxa"/>
              <w:left w:w="115" w:type="dxa"/>
              <w:bottom w:w="20" w:type="dxa"/>
              <w:right w:w="115" w:type="dxa"/>
            </w:tcMar>
            <w:vAlign w:val="bottom"/>
          </w:tcPr>
          <w:p w14:paraId="478A3B74" w14:textId="77777777" w:rsidR="00595B30" w:rsidRPr="00A13310" w:rsidRDefault="00595B30" w:rsidP="00595B30">
            <w:pPr>
              <w:pStyle w:val="BulletListLettered"/>
              <w:numPr>
                <w:ilvl w:val="0"/>
                <w:numId w:val="24"/>
              </w:numPr>
            </w:pPr>
            <w:r w:rsidRPr="00A13310">
              <w:t>A resource determined by the lead agency, in its discretion and supported by substantial evidence, to be significant pursuant to criteria set forth in subdivision (c) of Public Resources Code Section 5024.1. In applying the criteria set forth in subdivision (c) of Public Resources Code Section 5024.1, the lead agency shall consider the significance of the resource to a California Native American tribe.</w:t>
            </w:r>
          </w:p>
        </w:tc>
        <w:tc>
          <w:tcPr>
            <w:tcW w:w="1170" w:type="dxa"/>
            <w:tcBorders>
              <w:bottom w:val="single" w:sz="4" w:space="0" w:color="auto"/>
            </w:tcBorders>
            <w:tcMar>
              <w:top w:w="20" w:type="dxa"/>
              <w:left w:w="115" w:type="dxa"/>
              <w:bottom w:w="20" w:type="dxa"/>
              <w:right w:w="115" w:type="dxa"/>
            </w:tcMar>
            <w:vAlign w:val="bottom"/>
          </w:tcPr>
          <w:p w14:paraId="1D17BC37" w14:textId="2F4F084E" w:rsidR="00595B30" w:rsidRPr="00A13310" w:rsidRDefault="00595B30" w:rsidP="00595B30">
            <w:pPr>
              <w:spacing w:before="60" w:after="60"/>
              <w:jc w:val="center"/>
              <w:rPr>
                <w:sz w:val="28"/>
                <w:szCs w:val="28"/>
              </w:rPr>
            </w:pPr>
            <w:r w:rsidRPr="00A13310">
              <w:rPr>
                <w:rFonts w:ascii="Times New Roman" w:hAnsi="Times New Roman"/>
              </w:rPr>
              <w:t>□</w:t>
            </w:r>
          </w:p>
        </w:tc>
        <w:tc>
          <w:tcPr>
            <w:tcW w:w="1272" w:type="dxa"/>
            <w:gridSpan w:val="3"/>
            <w:tcBorders>
              <w:bottom w:val="single" w:sz="4" w:space="0" w:color="auto"/>
            </w:tcBorders>
            <w:tcMar>
              <w:top w:w="20" w:type="dxa"/>
              <w:left w:w="115" w:type="dxa"/>
              <w:bottom w:w="20" w:type="dxa"/>
              <w:right w:w="115" w:type="dxa"/>
            </w:tcMar>
            <w:vAlign w:val="bottom"/>
          </w:tcPr>
          <w:p w14:paraId="329C531D" w14:textId="763ACD95" w:rsidR="00595B30" w:rsidRPr="00A13310" w:rsidRDefault="00595B30" w:rsidP="00595B30">
            <w:pPr>
              <w:spacing w:before="60" w:after="60"/>
              <w:jc w:val="center"/>
              <w:rPr>
                <w:sz w:val="28"/>
                <w:szCs w:val="28"/>
              </w:rPr>
            </w:pPr>
            <w:r w:rsidRPr="00A13310">
              <w:rPr>
                <w:rFonts w:ascii="Times New Roman" w:hAnsi="Times New Roman"/>
              </w:rPr>
              <w:t>□</w:t>
            </w:r>
          </w:p>
        </w:tc>
        <w:tc>
          <w:tcPr>
            <w:tcW w:w="1097" w:type="dxa"/>
            <w:gridSpan w:val="2"/>
            <w:tcBorders>
              <w:bottom w:val="single" w:sz="4" w:space="0" w:color="auto"/>
            </w:tcBorders>
            <w:tcMar>
              <w:top w:w="20" w:type="dxa"/>
              <w:left w:w="115" w:type="dxa"/>
              <w:bottom w:w="20" w:type="dxa"/>
              <w:right w:w="115" w:type="dxa"/>
            </w:tcMar>
            <w:vAlign w:val="bottom"/>
          </w:tcPr>
          <w:p w14:paraId="322D3DCD" w14:textId="48EDB235" w:rsidR="00595B30" w:rsidRPr="00A13310" w:rsidRDefault="00595B30" w:rsidP="00595B30">
            <w:pPr>
              <w:spacing w:before="60" w:after="60"/>
              <w:jc w:val="center"/>
              <w:rPr>
                <w:sz w:val="28"/>
                <w:szCs w:val="28"/>
              </w:rPr>
            </w:pPr>
            <w:r w:rsidRPr="00A13310">
              <w:rPr>
                <w:rFonts w:ascii="Times New Roman" w:hAnsi="Times New Roman"/>
              </w:rPr>
              <w:t>■</w:t>
            </w:r>
          </w:p>
        </w:tc>
        <w:tc>
          <w:tcPr>
            <w:tcW w:w="1098" w:type="dxa"/>
            <w:tcBorders>
              <w:bottom w:val="single" w:sz="4" w:space="0" w:color="auto"/>
            </w:tcBorders>
            <w:tcMar>
              <w:top w:w="20" w:type="dxa"/>
              <w:left w:w="115" w:type="dxa"/>
              <w:bottom w:w="20" w:type="dxa"/>
              <w:right w:w="115" w:type="dxa"/>
            </w:tcMar>
            <w:vAlign w:val="bottom"/>
          </w:tcPr>
          <w:p w14:paraId="0CA8B924" w14:textId="2ED1950A" w:rsidR="00595B30" w:rsidRPr="00A13310" w:rsidRDefault="00595B30" w:rsidP="00595B30">
            <w:pPr>
              <w:spacing w:before="60" w:after="60"/>
              <w:jc w:val="center"/>
              <w:rPr>
                <w:sz w:val="28"/>
                <w:szCs w:val="28"/>
              </w:rPr>
            </w:pPr>
            <w:r w:rsidRPr="00A13310">
              <w:rPr>
                <w:rFonts w:ascii="Times New Roman" w:hAnsi="Times New Roman"/>
              </w:rPr>
              <w:t>□</w:t>
            </w:r>
          </w:p>
        </w:tc>
      </w:tr>
    </w:tbl>
    <w:p w14:paraId="212029A4" w14:textId="61FE8738" w:rsidR="005B257D" w:rsidRDefault="00F211A9" w:rsidP="005B257D">
      <w:pPr>
        <w:keepNext/>
        <w:tabs>
          <w:tab w:val="left" w:pos="468"/>
        </w:tabs>
        <w:spacing w:before="240"/>
        <w:outlineLvl w:val="4"/>
        <w:rPr>
          <w:rFonts w:ascii="Century Gothic" w:hAnsi="Century Gothic"/>
          <w:b/>
          <w:sz w:val="24"/>
          <w:szCs w:val="18"/>
        </w:rPr>
      </w:pPr>
      <w:r>
        <w:rPr>
          <w:rFonts w:ascii="Century Gothic" w:hAnsi="Century Gothic"/>
          <w:b/>
          <w:sz w:val="24"/>
          <w:szCs w:val="18"/>
        </w:rPr>
        <w:t xml:space="preserve">Regulatory Setting </w:t>
      </w:r>
    </w:p>
    <w:p w14:paraId="7C965B50" w14:textId="4094AB57" w:rsidR="00F211A9" w:rsidRPr="005B257D" w:rsidRDefault="00F211A9" w:rsidP="00F211A9">
      <w:pPr>
        <w:pStyle w:val="Heading6"/>
      </w:pPr>
      <w:r>
        <w:t xml:space="preserve">Assembly Bill 52 </w:t>
      </w:r>
    </w:p>
    <w:p w14:paraId="69EA46F3" w14:textId="77777777" w:rsidR="005B257D" w:rsidRPr="005B257D" w:rsidRDefault="005B257D" w:rsidP="005B257D">
      <w:pPr>
        <w:spacing w:before="240"/>
        <w:rPr>
          <w:rFonts w:ascii="Calibri" w:hAnsi="Calibri"/>
          <w:sz w:val="22"/>
          <w:szCs w:val="22"/>
        </w:rPr>
      </w:pPr>
      <w:r w:rsidRPr="005B257D">
        <w:rPr>
          <w:rFonts w:ascii="Calibri" w:hAnsi="Calibri"/>
          <w:sz w:val="22"/>
          <w:szCs w:val="22"/>
        </w:rPr>
        <w:t xml:space="preserve">As of July 1, 2015, California Assembly Bill 52 of 2014 (AB 52) was enacted and expands CEQA by defining a new resource category, “tribal cultural resources.” AB 52 establishes that “A project with an effect that may cause a substantial adverse change in the significance of a tribal cultural resource is a project that may have a significant effect on the environment” (PRC Section 21084.2). It further states that the lead agency shall establish measures to avoid impacts that would alter the significant characteristics of a tribal cultural resource, when feasible (PRC Section 21084.3). </w:t>
      </w:r>
    </w:p>
    <w:p w14:paraId="5BB0D854" w14:textId="77777777" w:rsidR="005B257D" w:rsidRPr="005B257D" w:rsidRDefault="005B257D" w:rsidP="005B257D">
      <w:pPr>
        <w:spacing w:before="120"/>
        <w:rPr>
          <w:rFonts w:ascii="Calibri" w:hAnsi="Calibri"/>
          <w:sz w:val="22"/>
          <w:szCs w:val="22"/>
        </w:rPr>
      </w:pPr>
      <w:r w:rsidRPr="005B257D">
        <w:rPr>
          <w:rFonts w:ascii="Calibri" w:hAnsi="Calibri"/>
          <w:sz w:val="22"/>
          <w:szCs w:val="22"/>
        </w:rPr>
        <w:t>PRC Section 21074 (a)(1)(A) and (B) defines tribal cultural resources as “sites, features, places, cultural landscapes, sacred places, and objects with cultural value to a California Native American tribe” and is:</w:t>
      </w:r>
    </w:p>
    <w:p w14:paraId="2A67F89E" w14:textId="77777777" w:rsidR="005B257D" w:rsidRPr="005B257D" w:rsidRDefault="005B257D" w:rsidP="00294A6D">
      <w:pPr>
        <w:pageBreakBefore/>
        <w:numPr>
          <w:ilvl w:val="0"/>
          <w:numId w:val="27"/>
        </w:numPr>
        <w:spacing w:before="60" w:after="60"/>
        <w:ind w:left="720"/>
        <w:rPr>
          <w:rFonts w:ascii="Calibri" w:hAnsi="Calibri"/>
          <w:sz w:val="22"/>
          <w:szCs w:val="22"/>
        </w:rPr>
      </w:pPr>
      <w:r w:rsidRPr="005B257D">
        <w:rPr>
          <w:rFonts w:ascii="Calibri" w:hAnsi="Calibri"/>
          <w:sz w:val="22"/>
          <w:szCs w:val="22"/>
        </w:rPr>
        <w:t>Listed or eligible for listing in the California Register of Historical Resources, or in a local register of historical resources as defined in Public Resources Code section 5020.1(k), or</w:t>
      </w:r>
    </w:p>
    <w:p w14:paraId="71B980AA" w14:textId="77777777" w:rsidR="005B257D" w:rsidRPr="005B257D" w:rsidRDefault="005B257D" w:rsidP="005B257D">
      <w:pPr>
        <w:numPr>
          <w:ilvl w:val="0"/>
          <w:numId w:val="27"/>
        </w:numPr>
        <w:spacing w:before="60" w:after="60"/>
        <w:ind w:left="720"/>
        <w:rPr>
          <w:rFonts w:ascii="Calibri" w:hAnsi="Calibri"/>
          <w:sz w:val="22"/>
          <w:szCs w:val="22"/>
        </w:rPr>
      </w:pPr>
      <w:r w:rsidRPr="005B257D">
        <w:rPr>
          <w:rFonts w:ascii="Calibri" w:hAnsi="Calibri"/>
          <w:sz w:val="22"/>
          <w:szCs w:val="22"/>
        </w:rPr>
        <w:t>A resource determined by the lead agency, in its discretion and supported by substantial evidence, to be significant pursuant to criteria set forth in subdivision (c) of Public Resources Code Section 5024.1. In applying these criteria, the lead agency shall consider the significance of the resource to a California Native American tribe.</w:t>
      </w:r>
    </w:p>
    <w:p w14:paraId="7489ED98" w14:textId="61DA7671" w:rsidR="005B257D" w:rsidRPr="005B257D" w:rsidRDefault="00FC4B63" w:rsidP="00294A6D">
      <w:pPr>
        <w:pStyle w:val="bodyafter"/>
      </w:pPr>
      <w:r>
        <w:t>AB 52</w:t>
      </w:r>
      <w:r w:rsidR="005B257D" w:rsidRPr="005B257D">
        <w:t xml:space="preserve"> establishes a formal consultation process for California Tribes regarding those resources. The consultation process must be completed before a CEQA document can be certified. Under AB 52, lead agencies are required to “begin consultation with a California Native American Tribe that is traditionally and culturally affiliated with the geographic area of the proposed project.” Native American tribes to be included in the process are those that have requested notice of projects proposed within the jurisdiction of the lead agency. </w:t>
      </w:r>
    </w:p>
    <w:p w14:paraId="6A6CD987" w14:textId="6D63432D" w:rsidR="005B257D" w:rsidRPr="005B257D" w:rsidRDefault="005B257D" w:rsidP="00F211A9">
      <w:pPr>
        <w:spacing w:before="120"/>
      </w:pPr>
      <w:bookmarkStart w:id="332" w:name="_Hlk86914282"/>
      <w:r w:rsidRPr="005B257D">
        <w:rPr>
          <w:rFonts w:asciiTheme="minorHAnsi" w:eastAsia="Calibri" w:hAnsiTheme="minorHAnsi"/>
          <w:sz w:val="22"/>
          <w:szCs w:val="22"/>
        </w:rPr>
        <w:t xml:space="preserve">On </w:t>
      </w:r>
      <w:r w:rsidR="00FD4E7D">
        <w:rPr>
          <w:rFonts w:asciiTheme="minorHAnsi" w:eastAsia="Calibri" w:hAnsiTheme="minorHAnsi"/>
          <w:sz w:val="22"/>
          <w:szCs w:val="22"/>
        </w:rPr>
        <w:t>November 5,</w:t>
      </w:r>
      <w:r w:rsidRPr="005B257D">
        <w:rPr>
          <w:rFonts w:asciiTheme="minorHAnsi" w:eastAsia="Calibri" w:hAnsiTheme="minorHAnsi"/>
          <w:sz w:val="22"/>
          <w:szCs w:val="22"/>
        </w:rPr>
        <w:t xml:space="preserve"> 2021, the City of </w:t>
      </w:r>
      <w:r w:rsidR="00FD4E7D">
        <w:rPr>
          <w:rFonts w:asciiTheme="minorHAnsi" w:eastAsia="Calibri" w:hAnsiTheme="minorHAnsi"/>
          <w:sz w:val="22"/>
          <w:szCs w:val="22"/>
        </w:rPr>
        <w:t>Mountain View</w:t>
      </w:r>
      <w:r w:rsidRPr="005B257D">
        <w:rPr>
          <w:rFonts w:asciiTheme="minorHAnsi" w:eastAsia="Calibri" w:hAnsiTheme="minorHAnsi"/>
          <w:sz w:val="22"/>
          <w:szCs w:val="22"/>
        </w:rPr>
        <w:t>, pursuant to Public Resources 21080.3.1 and AB</w:t>
      </w:r>
      <w:r w:rsidR="00F649B5">
        <w:rPr>
          <w:rFonts w:asciiTheme="minorHAnsi" w:eastAsia="Calibri" w:hAnsiTheme="minorHAnsi"/>
          <w:sz w:val="22"/>
          <w:szCs w:val="22"/>
        </w:rPr>
        <w:t> </w:t>
      </w:r>
      <w:r w:rsidRPr="005B257D">
        <w:rPr>
          <w:rFonts w:asciiTheme="minorHAnsi" w:eastAsia="Calibri" w:hAnsiTheme="minorHAnsi"/>
          <w:sz w:val="22"/>
          <w:szCs w:val="22"/>
        </w:rPr>
        <w:t>52, sent via</w:t>
      </w:r>
      <w:r w:rsidR="00FD4E7D">
        <w:rPr>
          <w:rFonts w:asciiTheme="minorHAnsi" w:eastAsia="Calibri" w:hAnsiTheme="minorHAnsi"/>
          <w:sz w:val="22"/>
          <w:szCs w:val="22"/>
        </w:rPr>
        <w:t xml:space="preserve"> email and a </w:t>
      </w:r>
      <w:r w:rsidRPr="005B257D">
        <w:rPr>
          <w:rFonts w:asciiTheme="minorHAnsi" w:eastAsia="Calibri" w:hAnsiTheme="minorHAnsi"/>
          <w:sz w:val="22"/>
          <w:szCs w:val="22"/>
        </w:rPr>
        <w:t>certified mail notification letter</w:t>
      </w:r>
      <w:r w:rsidR="00FD4E7D">
        <w:rPr>
          <w:rFonts w:asciiTheme="minorHAnsi" w:eastAsia="Calibri" w:hAnsiTheme="minorHAnsi"/>
          <w:sz w:val="22"/>
          <w:szCs w:val="22"/>
        </w:rPr>
        <w:t xml:space="preserve"> to the Tamien Nation </w:t>
      </w:r>
      <w:r w:rsidR="007D448A">
        <w:rPr>
          <w:rFonts w:asciiTheme="minorHAnsi" w:eastAsia="Calibri" w:hAnsiTheme="minorHAnsi"/>
          <w:sz w:val="22"/>
          <w:szCs w:val="22"/>
        </w:rPr>
        <w:t xml:space="preserve">as </w:t>
      </w:r>
      <w:r w:rsidR="00FD4E7D">
        <w:rPr>
          <w:rFonts w:asciiTheme="minorHAnsi" w:eastAsia="Calibri" w:hAnsiTheme="minorHAnsi"/>
          <w:sz w:val="22"/>
          <w:szCs w:val="22"/>
        </w:rPr>
        <w:t>they</w:t>
      </w:r>
      <w:r w:rsidRPr="005B257D">
        <w:rPr>
          <w:rFonts w:asciiTheme="minorHAnsi" w:eastAsia="Calibri" w:hAnsiTheme="minorHAnsi"/>
          <w:sz w:val="22"/>
          <w:szCs w:val="22"/>
        </w:rPr>
        <w:t xml:space="preserve"> </w:t>
      </w:r>
      <w:r w:rsidR="007D448A">
        <w:rPr>
          <w:rFonts w:asciiTheme="minorHAnsi" w:eastAsia="Calibri" w:hAnsiTheme="minorHAnsi"/>
          <w:sz w:val="22"/>
          <w:szCs w:val="22"/>
        </w:rPr>
        <w:t xml:space="preserve">are </w:t>
      </w:r>
      <w:r w:rsidRPr="005B257D">
        <w:rPr>
          <w:rFonts w:asciiTheme="minorHAnsi" w:eastAsia="Calibri" w:hAnsiTheme="minorHAnsi"/>
          <w:sz w:val="22"/>
          <w:szCs w:val="22"/>
        </w:rPr>
        <w:t>traditionally and culturally affiliated with the project area</w:t>
      </w:r>
      <w:r w:rsidRPr="00F211A9">
        <w:rPr>
          <w:rFonts w:asciiTheme="minorHAnsi" w:eastAsia="Calibri" w:hAnsiTheme="minorHAnsi"/>
          <w:sz w:val="22"/>
          <w:szCs w:val="22"/>
        </w:rPr>
        <w:t>.</w:t>
      </w:r>
      <w:r w:rsidR="007D448A">
        <w:rPr>
          <w:rFonts w:asciiTheme="minorHAnsi" w:eastAsia="Calibri" w:hAnsiTheme="minorHAnsi"/>
          <w:sz w:val="22"/>
          <w:szCs w:val="22"/>
        </w:rPr>
        <w:t xml:space="preserve"> No other Tribes were contacted p</w:t>
      </w:r>
      <w:r w:rsidR="0086255B">
        <w:rPr>
          <w:rFonts w:asciiTheme="minorHAnsi" w:eastAsia="Calibri" w:hAnsiTheme="minorHAnsi"/>
          <w:sz w:val="22"/>
          <w:szCs w:val="22"/>
        </w:rPr>
        <w:t xml:space="preserve">ursuant to </w:t>
      </w:r>
      <w:r w:rsidR="007D448A">
        <w:rPr>
          <w:rFonts w:asciiTheme="minorHAnsi" w:eastAsia="Calibri" w:hAnsiTheme="minorHAnsi"/>
          <w:sz w:val="22"/>
          <w:szCs w:val="22"/>
        </w:rPr>
        <w:t>guidelines set by the City of Mountain View.</w:t>
      </w:r>
      <w:r w:rsidRPr="005B257D">
        <w:rPr>
          <w:rFonts w:asciiTheme="minorHAnsi" w:eastAsia="Calibri" w:hAnsiTheme="minorHAnsi"/>
          <w:sz w:val="22"/>
          <w:szCs w:val="22"/>
        </w:rPr>
        <w:t xml:space="preserve"> </w:t>
      </w:r>
      <w:r w:rsidR="00F9550C">
        <w:rPr>
          <w:rFonts w:asciiTheme="minorHAnsi" w:eastAsia="Calibri" w:hAnsiTheme="minorHAnsi"/>
          <w:sz w:val="22"/>
          <w:szCs w:val="22"/>
        </w:rPr>
        <w:t xml:space="preserve">On December 29, 2021, the City received a request for tribal consultation from the Tamien Nation. </w:t>
      </w:r>
      <w:r w:rsidR="00AE5F55">
        <w:rPr>
          <w:rFonts w:asciiTheme="minorHAnsi" w:eastAsia="Calibri" w:hAnsiTheme="minorHAnsi"/>
          <w:sz w:val="22"/>
          <w:szCs w:val="22"/>
        </w:rPr>
        <w:t>The City contacted the Tamien Nation via email on January 3, January 26, and February 15, 2022. The City did not receive any additional correspondence from the Tamien Nation or other requests for tribal consultation, and tribal consultation was deemed co</w:t>
      </w:r>
      <w:r w:rsidR="00BB5E91">
        <w:rPr>
          <w:rFonts w:asciiTheme="minorHAnsi" w:eastAsia="Calibri" w:hAnsiTheme="minorHAnsi"/>
          <w:sz w:val="22"/>
          <w:szCs w:val="22"/>
        </w:rPr>
        <w:t xml:space="preserve">ncluded </w:t>
      </w:r>
      <w:r w:rsidR="00AE5F55">
        <w:rPr>
          <w:rFonts w:asciiTheme="minorHAnsi" w:eastAsia="Calibri" w:hAnsiTheme="minorHAnsi"/>
          <w:sz w:val="22"/>
          <w:szCs w:val="22"/>
        </w:rPr>
        <w:t xml:space="preserve">on February 15, 2022. </w:t>
      </w:r>
    </w:p>
    <w:bookmarkEnd w:id="332"/>
    <w:p w14:paraId="6CE1ECE0" w14:textId="77777777" w:rsidR="005B257D" w:rsidRPr="005B257D" w:rsidRDefault="005B257D" w:rsidP="005B257D">
      <w:pPr>
        <w:keepNext/>
        <w:tabs>
          <w:tab w:val="left" w:pos="468"/>
        </w:tabs>
        <w:spacing w:before="240"/>
        <w:outlineLvl w:val="4"/>
        <w:rPr>
          <w:rFonts w:ascii="Century Gothic" w:hAnsi="Century Gothic"/>
          <w:b/>
          <w:sz w:val="24"/>
          <w:szCs w:val="18"/>
        </w:rPr>
      </w:pPr>
      <w:r w:rsidRPr="005B257D">
        <w:rPr>
          <w:rFonts w:ascii="Century Gothic" w:hAnsi="Century Gothic"/>
          <w:b/>
          <w:sz w:val="24"/>
          <w:szCs w:val="18"/>
        </w:rPr>
        <w:t>Impact Analysis</w:t>
      </w:r>
    </w:p>
    <w:p w14:paraId="32494F9A" w14:textId="77777777" w:rsidR="005B257D" w:rsidRPr="005B257D" w:rsidRDefault="005B257D" w:rsidP="005B257D">
      <w:pPr>
        <w:keepNext/>
        <w:keepLines/>
        <w:spacing w:before="240"/>
        <w:ind w:left="461" w:hanging="461"/>
        <w:jc w:val="both"/>
        <w:rPr>
          <w:rFonts w:ascii="Calibri" w:hAnsi="Calibri"/>
          <w:i/>
          <w:sz w:val="22"/>
          <w:szCs w:val="22"/>
        </w:rPr>
      </w:pPr>
      <w:r w:rsidRPr="005B257D">
        <w:rPr>
          <w:rFonts w:ascii="Calibri" w:hAnsi="Calibri"/>
          <w:i/>
          <w:sz w:val="22"/>
          <w:szCs w:val="22"/>
        </w:rPr>
        <w:t>a.</w:t>
      </w:r>
      <w:r w:rsidRPr="005B257D">
        <w:rPr>
          <w:rFonts w:ascii="Calibri" w:hAnsi="Calibri"/>
          <w:i/>
          <w:sz w:val="22"/>
          <w:szCs w:val="22"/>
        </w:rPr>
        <w:tab/>
        <w:t>Would the project cause a substantial adverse change in the significance of a tribal cultural resource as defined in Public Resources Code Section 21074 that is listed or eligible for listing in the California Register of Historical Resources, or in a local register of historical resources as defined in Public Resources Code Section 5020.1(k)?</w:t>
      </w:r>
    </w:p>
    <w:p w14:paraId="417F9519" w14:textId="77777777" w:rsidR="005B257D" w:rsidRPr="005B257D" w:rsidRDefault="005B257D" w:rsidP="005B257D">
      <w:pPr>
        <w:spacing w:before="120"/>
        <w:ind w:left="461" w:hanging="461"/>
        <w:jc w:val="both"/>
        <w:rPr>
          <w:rFonts w:ascii="Calibri" w:hAnsi="Calibri"/>
          <w:i/>
          <w:sz w:val="22"/>
          <w:szCs w:val="22"/>
        </w:rPr>
      </w:pPr>
      <w:r w:rsidRPr="005B257D">
        <w:rPr>
          <w:rFonts w:ascii="Calibri" w:hAnsi="Calibri"/>
          <w:i/>
          <w:sz w:val="22"/>
          <w:szCs w:val="22"/>
        </w:rPr>
        <w:t>b.</w:t>
      </w:r>
      <w:r w:rsidRPr="005B257D">
        <w:rPr>
          <w:rFonts w:ascii="Calibri" w:hAnsi="Calibri"/>
          <w:i/>
          <w:sz w:val="22"/>
          <w:szCs w:val="22"/>
        </w:rPr>
        <w:tab/>
        <w:t>Would the project cause a substantial adverse change in the significance of a tribal cultural resource as defined in Public Resources Code Section 21074 that is a resource determined by the lead agency, in its discretion and supported by substantial evidence, to be significant pursuant to criteria set forth in subdivision (c) of Public Resources Code Section 5024.1?</w:t>
      </w:r>
    </w:p>
    <w:p w14:paraId="712FDFE0" w14:textId="23D873E6" w:rsidR="008774FB" w:rsidRPr="009E00D5" w:rsidRDefault="005B257D" w:rsidP="008774FB">
      <w:pPr>
        <w:pStyle w:val="body0"/>
      </w:pPr>
      <w:r w:rsidRPr="005B257D">
        <w:t>At the time of this reporting, AB 52 consultation is ongoing. Neither the cultural resources records search nor Sacred Lands File search identified cultural resources listed on or eligible for listing on the CRHR or a local register within the project site. However, there is always potential to uncover buried archaeological and Tribal cultural resources during ground disturbing activities, which could potentially be considered Tribal cultural resources eligible for listing in the CRHR or a local register or be considered tribal cultural resources. Should project construction activities encounter and damage or destroy a Tribal cultural resource or resources, impacts would be potentially significant.</w:t>
      </w:r>
      <w:r w:rsidR="00335A9D">
        <w:t xml:space="preserve"> </w:t>
      </w:r>
      <w:r w:rsidR="008774FB">
        <w:t xml:space="preserve">The project would </w:t>
      </w:r>
      <w:r w:rsidR="0093281C">
        <w:t xml:space="preserve">be required to </w:t>
      </w:r>
      <w:r w:rsidR="008774FB">
        <w:t xml:space="preserve">implement measures </w:t>
      </w:r>
      <w:r w:rsidR="0093281C">
        <w:t xml:space="preserve">contained in the City’s standard conditions of approval, below, </w:t>
      </w:r>
      <w:r w:rsidR="008774FB">
        <w:t xml:space="preserve">to ensure that ensure that unanticipated Tribal cultural resources </w:t>
      </w:r>
      <w:r w:rsidR="0093281C">
        <w:t>would</w:t>
      </w:r>
      <w:r w:rsidR="008774FB">
        <w:t xml:space="preserve"> be </w:t>
      </w:r>
      <w:r w:rsidR="0093281C">
        <w:t>protected</w:t>
      </w:r>
      <w:r w:rsidR="008774FB">
        <w:t xml:space="preserve">. </w:t>
      </w:r>
    </w:p>
    <w:p w14:paraId="54AC910E" w14:textId="55FD4C88" w:rsidR="008774FB" w:rsidRPr="008D2BC5" w:rsidRDefault="008774FB" w:rsidP="00294A6D">
      <w:pPr>
        <w:keepNext/>
        <w:pageBreakBefore/>
        <w:spacing w:before="240"/>
        <w:ind w:left="1008" w:hanging="1008"/>
        <w:jc w:val="both"/>
        <w:outlineLvl w:val="5"/>
        <w:rPr>
          <w:rFonts w:ascii="Century Gothic" w:hAnsi="Century Gothic"/>
          <w:i/>
          <w:sz w:val="22"/>
          <w:szCs w:val="22"/>
        </w:rPr>
      </w:pPr>
      <w:r>
        <w:rPr>
          <w:rFonts w:ascii="Century Gothic" w:hAnsi="Century Gothic"/>
          <w:i/>
          <w:sz w:val="22"/>
          <w:szCs w:val="22"/>
        </w:rPr>
        <w:t>Standard Condition of Approva</w:t>
      </w:r>
      <w:r w:rsidR="008818AD">
        <w:rPr>
          <w:rFonts w:ascii="Century Gothic" w:hAnsi="Century Gothic"/>
          <w:i/>
          <w:sz w:val="22"/>
          <w:szCs w:val="22"/>
        </w:rPr>
        <w:t>l PL-194</w:t>
      </w:r>
      <w:r>
        <w:rPr>
          <w:rFonts w:ascii="Century Gothic" w:hAnsi="Century Gothic"/>
          <w:i/>
          <w:sz w:val="22"/>
          <w:szCs w:val="22"/>
        </w:rPr>
        <w:t xml:space="preserve">: Discovery of Archaeological Resources </w:t>
      </w:r>
    </w:p>
    <w:p w14:paraId="7B45A983" w14:textId="1643FDEE" w:rsidR="008774FB" w:rsidRDefault="008774FB" w:rsidP="008774FB">
      <w:pPr>
        <w:pStyle w:val="BodyText0"/>
      </w:pPr>
      <w:r w:rsidRPr="00934914">
        <w:t>If prehistoric or historic-period cultural materials</w:t>
      </w:r>
      <w:r>
        <w:t xml:space="preserve"> </w:t>
      </w:r>
      <w:r w:rsidRPr="00934914">
        <w:t>are unearthed during ground-disturbing activities, it is recommended that all work within 100’ of the find</w:t>
      </w:r>
      <w:r>
        <w:t xml:space="preserve"> </w:t>
      </w:r>
      <w:r w:rsidRPr="00934914">
        <w:t>be halted until a qualified archaeologist and Native American representative can assess the significance of</w:t>
      </w:r>
      <w:r>
        <w:t xml:space="preserve"> </w:t>
      </w:r>
      <w:r w:rsidRPr="00934914">
        <w:t>the find. Prehistoric materials might include obsidian and chert-flaked stone tools (e.g., projectile points,</w:t>
      </w:r>
      <w:r>
        <w:t xml:space="preserve"> </w:t>
      </w:r>
      <w:r w:rsidRPr="00934914">
        <w:t>knives, scrapers) or tool-making debris; culturally darkened soil (“midden”) containing heat-affected rocks</w:t>
      </w:r>
      <w:r>
        <w:t xml:space="preserve"> </w:t>
      </w:r>
      <w:r w:rsidRPr="00934914">
        <w:t>and artifacts; stone milling equipment (e.g., mortars, pestles, hand</w:t>
      </w:r>
      <w:r>
        <w:t xml:space="preserve"> </w:t>
      </w:r>
      <w:r w:rsidRPr="00934914">
        <w:t>stones, or milling slabs); and battered</w:t>
      </w:r>
      <w:r>
        <w:t xml:space="preserve"> </w:t>
      </w:r>
      <w:r w:rsidRPr="00934914">
        <w:t>stone tools, such as hammerstones and</w:t>
      </w:r>
      <w:r>
        <w:t xml:space="preserve"> </w:t>
      </w:r>
      <w:r w:rsidRPr="00934914">
        <w:t>pitted stones. Historic-period materials might include stone,</w:t>
      </w:r>
      <w:r>
        <w:t xml:space="preserve"> </w:t>
      </w:r>
      <w:r w:rsidRPr="00934914">
        <w:t>concrete, or adobe footings and walls; filled</w:t>
      </w:r>
      <w:r>
        <w:t xml:space="preserve"> </w:t>
      </w:r>
      <w:r w:rsidRPr="00934914">
        <w:t>wells or privies; and deposits of metal, glass, and/or ceramic</w:t>
      </w:r>
      <w:r>
        <w:t xml:space="preserve"> </w:t>
      </w:r>
      <w:r w:rsidRPr="00934914">
        <w:t>refuse. If the find is determined to be potentially significant, the archaeologist, in consultation with the</w:t>
      </w:r>
      <w:r>
        <w:t xml:space="preserve"> </w:t>
      </w:r>
      <w:r w:rsidRPr="00934914">
        <w:t>Native American representative, will develop a treatment plan that could include site avoidance, capping,</w:t>
      </w:r>
      <w:r>
        <w:t xml:space="preserve"> </w:t>
      </w:r>
      <w:r w:rsidRPr="00934914">
        <w:t xml:space="preserve">or data recovery. </w:t>
      </w:r>
    </w:p>
    <w:p w14:paraId="7C1BF43A" w14:textId="77777777" w:rsidR="00ED059D" w:rsidRDefault="00ED059D" w:rsidP="00ED059D">
      <w:pPr>
        <w:pStyle w:val="Heading6"/>
      </w:pPr>
      <w:r>
        <w:t>Standard Condition Approval PL-202: Cultural Sensitivity Training</w:t>
      </w:r>
    </w:p>
    <w:p w14:paraId="5775612F" w14:textId="77777777" w:rsidR="00ED059D" w:rsidRDefault="00ED059D" w:rsidP="00ED059D">
      <w:pPr>
        <w:pStyle w:val="BodyText"/>
      </w:pPr>
      <w:r>
        <w:t xml:space="preserve">As requested during the Tribal Consultation process for the project, Cultural Sensitivity Training shall be provided to the construction crews at the beginning of the project to aid those involved in the project to become familiar with the indigenous history of peoples in the vicinity of the project site. </w:t>
      </w:r>
    </w:p>
    <w:p w14:paraId="4D1E3BB0" w14:textId="77777777" w:rsidR="00ED059D" w:rsidRDefault="00ED059D" w:rsidP="00ED059D">
      <w:pPr>
        <w:pStyle w:val="Heading6"/>
      </w:pPr>
      <w:r>
        <w:t>Standard Condition Approval PL-203: Native American Archaeological Monitor</w:t>
      </w:r>
    </w:p>
    <w:p w14:paraId="497157B8" w14:textId="7F4962CB" w:rsidR="00ED059D" w:rsidRDefault="00ED059D" w:rsidP="00ED059D">
      <w:pPr>
        <w:pStyle w:val="BodyText"/>
      </w:pPr>
      <w:r>
        <w:t xml:space="preserve">A Native American archaeological monitor shall be present for all ground-disturbing activities throughout the project construction process. </w:t>
      </w:r>
    </w:p>
    <w:p w14:paraId="3501153F" w14:textId="3C31078F" w:rsidR="008774FB" w:rsidRDefault="008774FB" w:rsidP="008774FB">
      <w:pPr>
        <w:pStyle w:val="body0"/>
        <w:rPr>
          <w:rFonts w:ascii="Calibri" w:hAnsi="Calibri"/>
        </w:rPr>
      </w:pPr>
      <w:r>
        <w:rPr>
          <w:rFonts w:ascii="Calibri" w:hAnsi="Calibri"/>
        </w:rPr>
        <w:t>Implementation of standard condition</w:t>
      </w:r>
      <w:r w:rsidR="00ED059D">
        <w:rPr>
          <w:rFonts w:ascii="Calibri" w:hAnsi="Calibri"/>
        </w:rPr>
        <w:t>s</w:t>
      </w:r>
      <w:r>
        <w:rPr>
          <w:rFonts w:ascii="Calibri" w:hAnsi="Calibri"/>
        </w:rPr>
        <w:t xml:space="preserve"> of approval </w:t>
      </w:r>
      <w:r w:rsidR="00ED059D">
        <w:rPr>
          <w:rFonts w:ascii="Calibri" w:hAnsi="Calibri"/>
        </w:rPr>
        <w:t xml:space="preserve">PL-194, PL-202, and PL-203 </w:t>
      </w:r>
      <w:r>
        <w:rPr>
          <w:rFonts w:ascii="Calibri" w:hAnsi="Calibri"/>
        </w:rPr>
        <w:t xml:space="preserve">would ensure that potential impacts to Tribal cultural resources are less than significant. </w:t>
      </w:r>
    </w:p>
    <w:p w14:paraId="6D798733" w14:textId="2EB01ACE" w:rsidR="00335A9D" w:rsidRPr="008D2BC5" w:rsidRDefault="00817BC5" w:rsidP="008774FB">
      <w:pPr>
        <w:pStyle w:val="body0"/>
        <w:rPr>
          <w:rFonts w:ascii="Calibri" w:hAnsi="Calibri"/>
          <w:b/>
          <w:caps/>
        </w:rPr>
      </w:pPr>
      <w:sdt>
        <w:sdtPr>
          <w:rPr>
            <w:rFonts w:ascii="Calibri" w:hAnsi="Calibri"/>
            <w:b/>
            <w:caps/>
          </w:rPr>
          <w:alias w:val="1a"/>
          <w:tag w:val="dropdown"/>
          <w:id w:val="-714190601"/>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sdtContent>
          <w:r w:rsidR="00335A9D">
            <w:rPr>
              <w:rFonts w:ascii="Calibri" w:hAnsi="Calibri"/>
              <w:b/>
              <w:caps/>
            </w:rPr>
            <w:t>Less Than Significant Impact</w:t>
          </w:r>
        </w:sdtContent>
      </w:sdt>
    </w:p>
    <w:bookmarkEnd w:id="330"/>
    <w:p w14:paraId="5ACC5B70" w14:textId="0386A35D" w:rsidR="004821E1" w:rsidRPr="000E45CD" w:rsidRDefault="004821E1" w:rsidP="000C7CF4">
      <w:pPr>
        <w:pStyle w:val="BlankIntentionally"/>
        <w:rPr>
          <w:highlight w:val="lightGray"/>
        </w:rPr>
      </w:pPr>
    </w:p>
    <w:p w14:paraId="6CDCAEE7" w14:textId="20634F10" w:rsidR="004821E1" w:rsidRPr="00B74D7D" w:rsidRDefault="004821E1" w:rsidP="00E614CC">
      <w:pPr>
        <w:pStyle w:val="BlankIntentionally"/>
      </w:pPr>
      <w:r w:rsidRPr="00B74D7D">
        <w:t>This page intentionally left blank.</w:t>
      </w:r>
    </w:p>
    <w:p w14:paraId="16F22993" w14:textId="77777777" w:rsidR="00542725" w:rsidRPr="00F211A9" w:rsidRDefault="00542725" w:rsidP="00275B75">
      <w:pPr>
        <w:pStyle w:val="Heading3CEQA"/>
      </w:pPr>
      <w:bookmarkStart w:id="333" w:name="_Toc475630727"/>
      <w:bookmarkStart w:id="334" w:name="_Toc112942444"/>
      <w:r w:rsidRPr="00F211A9">
        <w:t>Utilities and Service Systems</w:t>
      </w:r>
      <w:bookmarkEnd w:id="331"/>
      <w:bookmarkEnd w:id="333"/>
      <w:bookmarkEnd w:id="334"/>
    </w:p>
    <w:tbl>
      <w:tblPr>
        <w:tblW w:w="9047" w:type="dxa"/>
        <w:tblLayout w:type="fixed"/>
        <w:tblLook w:val="04A0" w:firstRow="1" w:lastRow="0" w:firstColumn="1" w:lastColumn="0" w:noHBand="0" w:noVBand="1"/>
      </w:tblPr>
      <w:tblGrid>
        <w:gridCol w:w="11"/>
        <w:gridCol w:w="4338"/>
        <w:gridCol w:w="1170"/>
        <w:gridCol w:w="14"/>
        <w:gridCol w:w="1220"/>
        <w:gridCol w:w="38"/>
        <w:gridCol w:w="1072"/>
        <w:gridCol w:w="25"/>
        <w:gridCol w:w="1098"/>
        <w:gridCol w:w="61"/>
      </w:tblGrid>
      <w:tr w:rsidR="00542725" w:rsidRPr="00E5753A" w14:paraId="57171F5A" w14:textId="77777777" w:rsidTr="004821E1">
        <w:trPr>
          <w:tblHeader/>
        </w:trPr>
        <w:tc>
          <w:tcPr>
            <w:tcW w:w="4349" w:type="dxa"/>
            <w:gridSpan w:val="2"/>
            <w:tcBorders>
              <w:bottom w:val="single" w:sz="4" w:space="0" w:color="auto"/>
            </w:tcBorders>
            <w:shd w:val="clear" w:color="auto" w:fill="D9D9D9"/>
            <w:tcMar>
              <w:top w:w="20" w:type="dxa"/>
              <w:left w:w="115" w:type="dxa"/>
              <w:bottom w:w="20" w:type="dxa"/>
              <w:right w:w="115" w:type="dxa"/>
            </w:tcMar>
            <w:vAlign w:val="bottom"/>
          </w:tcPr>
          <w:p w14:paraId="6331B4C8" w14:textId="77777777" w:rsidR="00542725" w:rsidRPr="00F211A9" w:rsidRDefault="00542725" w:rsidP="00FB3B90">
            <w:pPr>
              <w:pStyle w:val="TableHeadings"/>
            </w:pPr>
          </w:p>
        </w:tc>
        <w:tc>
          <w:tcPr>
            <w:tcW w:w="1184" w:type="dxa"/>
            <w:gridSpan w:val="2"/>
            <w:tcBorders>
              <w:bottom w:val="single" w:sz="4" w:space="0" w:color="auto"/>
            </w:tcBorders>
            <w:shd w:val="clear" w:color="auto" w:fill="D9D9D9"/>
            <w:tcMar>
              <w:top w:w="20" w:type="dxa"/>
              <w:left w:w="115" w:type="dxa"/>
              <w:bottom w:w="20" w:type="dxa"/>
              <w:right w:w="115" w:type="dxa"/>
            </w:tcMar>
            <w:vAlign w:val="bottom"/>
            <w:hideMark/>
          </w:tcPr>
          <w:p w14:paraId="04F14855" w14:textId="77777777" w:rsidR="00542725" w:rsidRPr="00F211A9" w:rsidRDefault="00542725" w:rsidP="00FB3B90">
            <w:pPr>
              <w:pStyle w:val="TableHeadings"/>
              <w:jc w:val="center"/>
            </w:pPr>
            <w:r w:rsidRPr="00F211A9">
              <w:t>Potentially Significant Impact</w:t>
            </w:r>
          </w:p>
        </w:tc>
        <w:tc>
          <w:tcPr>
            <w:tcW w:w="1220" w:type="dxa"/>
            <w:tcBorders>
              <w:bottom w:val="single" w:sz="4" w:space="0" w:color="auto"/>
            </w:tcBorders>
            <w:shd w:val="clear" w:color="auto" w:fill="D9D9D9"/>
            <w:tcMar>
              <w:top w:w="20" w:type="dxa"/>
              <w:left w:w="115" w:type="dxa"/>
              <w:bottom w:w="20" w:type="dxa"/>
              <w:right w:w="115" w:type="dxa"/>
            </w:tcMar>
            <w:vAlign w:val="bottom"/>
            <w:hideMark/>
          </w:tcPr>
          <w:p w14:paraId="37709908" w14:textId="77777777" w:rsidR="00542725" w:rsidRPr="00F211A9" w:rsidRDefault="00542725" w:rsidP="00FB3B90">
            <w:pPr>
              <w:pStyle w:val="TableHeadings"/>
              <w:jc w:val="center"/>
            </w:pPr>
            <w:r w:rsidRPr="00F211A9">
              <w:t>Less than Significant with Mitigation Incorporated</w:t>
            </w:r>
          </w:p>
        </w:tc>
        <w:tc>
          <w:tcPr>
            <w:tcW w:w="1110" w:type="dxa"/>
            <w:gridSpan w:val="2"/>
            <w:tcBorders>
              <w:bottom w:val="single" w:sz="4" w:space="0" w:color="auto"/>
            </w:tcBorders>
            <w:shd w:val="clear" w:color="auto" w:fill="D9D9D9"/>
            <w:tcMar>
              <w:top w:w="20" w:type="dxa"/>
              <w:left w:w="115" w:type="dxa"/>
              <w:bottom w:w="20" w:type="dxa"/>
              <w:right w:w="115" w:type="dxa"/>
            </w:tcMar>
            <w:vAlign w:val="bottom"/>
            <w:hideMark/>
          </w:tcPr>
          <w:p w14:paraId="75AB8B90" w14:textId="77777777" w:rsidR="00542725" w:rsidRPr="00F211A9" w:rsidRDefault="00542725" w:rsidP="00FB3B90">
            <w:pPr>
              <w:pStyle w:val="TableHeadings"/>
              <w:jc w:val="center"/>
            </w:pPr>
            <w:r w:rsidRPr="00F211A9">
              <w:t>Less than Significant Impact</w:t>
            </w:r>
          </w:p>
        </w:tc>
        <w:tc>
          <w:tcPr>
            <w:tcW w:w="1184" w:type="dxa"/>
            <w:gridSpan w:val="3"/>
            <w:tcBorders>
              <w:bottom w:val="single" w:sz="4" w:space="0" w:color="auto"/>
            </w:tcBorders>
            <w:shd w:val="clear" w:color="auto" w:fill="D9D9D9"/>
            <w:tcMar>
              <w:top w:w="20" w:type="dxa"/>
              <w:left w:w="115" w:type="dxa"/>
              <w:bottom w:w="20" w:type="dxa"/>
              <w:right w:w="115" w:type="dxa"/>
            </w:tcMar>
            <w:vAlign w:val="bottom"/>
            <w:hideMark/>
          </w:tcPr>
          <w:p w14:paraId="51161457" w14:textId="77777777" w:rsidR="00542725" w:rsidRPr="00F211A9" w:rsidRDefault="00542725" w:rsidP="00FB3B90">
            <w:pPr>
              <w:pStyle w:val="TableHeadings"/>
              <w:jc w:val="center"/>
            </w:pPr>
            <w:r w:rsidRPr="00F211A9">
              <w:t>No Impact</w:t>
            </w:r>
          </w:p>
        </w:tc>
      </w:tr>
      <w:tr w:rsidR="00542725" w:rsidRPr="00E5753A" w14:paraId="717B0330" w14:textId="77777777" w:rsidTr="004821E1">
        <w:trPr>
          <w:gridBefore w:val="1"/>
          <w:gridAfter w:val="1"/>
          <w:wBefore w:w="11" w:type="dxa"/>
          <w:wAfter w:w="61" w:type="dxa"/>
        </w:trPr>
        <w:tc>
          <w:tcPr>
            <w:tcW w:w="8975" w:type="dxa"/>
            <w:gridSpan w:val="8"/>
            <w:tcMar>
              <w:top w:w="20" w:type="dxa"/>
              <w:left w:w="115" w:type="dxa"/>
              <w:bottom w:w="20" w:type="dxa"/>
              <w:right w:w="115" w:type="dxa"/>
            </w:tcMar>
            <w:vAlign w:val="bottom"/>
            <w:hideMark/>
          </w:tcPr>
          <w:p w14:paraId="2D1AA00E" w14:textId="77777777" w:rsidR="00542725" w:rsidRPr="00F211A9" w:rsidRDefault="00542725" w:rsidP="001D543B">
            <w:pPr>
              <w:pStyle w:val="BodyText"/>
              <w:spacing w:before="60" w:after="60"/>
              <w:rPr>
                <w:b/>
              </w:rPr>
            </w:pPr>
            <w:r w:rsidRPr="00F211A9">
              <w:t>Would the project:</w:t>
            </w:r>
          </w:p>
        </w:tc>
      </w:tr>
      <w:tr w:rsidR="00542725" w:rsidRPr="00E5753A" w14:paraId="7A53D0F3" w14:textId="77777777" w:rsidTr="004821E1">
        <w:trPr>
          <w:gridBefore w:val="1"/>
          <w:gridAfter w:val="1"/>
          <w:wBefore w:w="11" w:type="dxa"/>
          <w:wAfter w:w="61" w:type="dxa"/>
        </w:trPr>
        <w:tc>
          <w:tcPr>
            <w:tcW w:w="4338" w:type="dxa"/>
            <w:tcMar>
              <w:top w:w="20" w:type="dxa"/>
              <w:left w:w="115" w:type="dxa"/>
              <w:bottom w:w="20" w:type="dxa"/>
              <w:right w:w="115" w:type="dxa"/>
            </w:tcMar>
            <w:vAlign w:val="bottom"/>
          </w:tcPr>
          <w:p w14:paraId="17363AEE" w14:textId="77777777" w:rsidR="00542725" w:rsidRPr="00F211A9" w:rsidRDefault="00542725" w:rsidP="00051996">
            <w:pPr>
              <w:pStyle w:val="BulletListLettered"/>
              <w:numPr>
                <w:ilvl w:val="0"/>
                <w:numId w:val="31"/>
              </w:numPr>
            </w:pPr>
            <w:r w:rsidRPr="00F211A9">
              <w:t xml:space="preserve">Require or result in the </w:t>
            </w:r>
            <w:r w:rsidR="00F3748A" w:rsidRPr="00F211A9">
              <w:t xml:space="preserve">relocation or </w:t>
            </w:r>
            <w:r w:rsidRPr="00F211A9">
              <w:t xml:space="preserve">construction of new </w:t>
            </w:r>
            <w:r w:rsidR="00F3748A" w:rsidRPr="00F211A9">
              <w:t xml:space="preserve">or expanded water, </w:t>
            </w:r>
            <w:r w:rsidRPr="00F211A9">
              <w:t xml:space="preserve">wastewater treatment </w:t>
            </w:r>
            <w:r w:rsidR="00F3748A" w:rsidRPr="00F211A9">
              <w:t xml:space="preserve">or storm water drainage, electric power, natural gas, or telecommunications </w:t>
            </w:r>
            <w:r w:rsidRPr="00F211A9">
              <w:t>facilities, the construction</w:t>
            </w:r>
            <w:r w:rsidR="00F3748A" w:rsidRPr="00F211A9">
              <w:t xml:space="preserve"> or relocation</w:t>
            </w:r>
            <w:r w:rsidRPr="00F211A9">
              <w:t xml:space="preserve"> of which could cause significant environmental effects?</w:t>
            </w:r>
          </w:p>
        </w:tc>
        <w:tc>
          <w:tcPr>
            <w:tcW w:w="1170" w:type="dxa"/>
            <w:tcMar>
              <w:top w:w="20" w:type="dxa"/>
              <w:left w:w="115" w:type="dxa"/>
              <w:bottom w:w="20" w:type="dxa"/>
              <w:right w:w="115" w:type="dxa"/>
            </w:tcMar>
            <w:vAlign w:val="bottom"/>
          </w:tcPr>
          <w:p w14:paraId="167F84EB" w14:textId="6D2CB43A" w:rsidR="00542725" w:rsidRPr="00F211A9" w:rsidRDefault="001E48FB" w:rsidP="001D543B">
            <w:pPr>
              <w:spacing w:before="60" w:after="60"/>
              <w:jc w:val="center"/>
              <w:rPr>
                <w:sz w:val="28"/>
                <w:szCs w:val="28"/>
              </w:rPr>
            </w:pPr>
            <w:r w:rsidRPr="00F211A9">
              <w:rPr>
                <w:rFonts w:ascii="Times New Roman" w:hAnsi="Times New Roman"/>
              </w:rPr>
              <w:t>□</w:t>
            </w:r>
          </w:p>
        </w:tc>
        <w:tc>
          <w:tcPr>
            <w:tcW w:w="1272" w:type="dxa"/>
            <w:gridSpan w:val="3"/>
            <w:tcMar>
              <w:top w:w="20" w:type="dxa"/>
              <w:left w:w="115" w:type="dxa"/>
              <w:bottom w:w="20" w:type="dxa"/>
              <w:right w:w="115" w:type="dxa"/>
            </w:tcMar>
            <w:vAlign w:val="bottom"/>
          </w:tcPr>
          <w:p w14:paraId="351AF7A6" w14:textId="4713B283" w:rsidR="00542725" w:rsidRPr="00F211A9" w:rsidRDefault="00542725" w:rsidP="001D543B">
            <w:pPr>
              <w:spacing w:before="60" w:after="60"/>
              <w:jc w:val="center"/>
              <w:rPr>
                <w:sz w:val="28"/>
                <w:szCs w:val="28"/>
              </w:rPr>
            </w:pPr>
            <w:r w:rsidRPr="00F211A9">
              <w:rPr>
                <w:rFonts w:ascii="Times New Roman" w:hAnsi="Times New Roman"/>
              </w:rPr>
              <w:t>□</w:t>
            </w:r>
          </w:p>
        </w:tc>
        <w:tc>
          <w:tcPr>
            <w:tcW w:w="1097" w:type="dxa"/>
            <w:gridSpan w:val="2"/>
            <w:tcMar>
              <w:top w:w="20" w:type="dxa"/>
              <w:left w:w="115" w:type="dxa"/>
              <w:bottom w:w="20" w:type="dxa"/>
              <w:right w:w="115" w:type="dxa"/>
            </w:tcMar>
            <w:vAlign w:val="bottom"/>
          </w:tcPr>
          <w:p w14:paraId="669B71B2" w14:textId="206E6C81" w:rsidR="00542725" w:rsidRPr="00F211A9" w:rsidRDefault="00A71D89" w:rsidP="001D543B">
            <w:pPr>
              <w:spacing w:before="60" w:after="60"/>
              <w:jc w:val="center"/>
              <w:rPr>
                <w:sz w:val="28"/>
                <w:szCs w:val="28"/>
              </w:rPr>
            </w:pPr>
            <w:r w:rsidRPr="00F211A9">
              <w:rPr>
                <w:rFonts w:ascii="Times New Roman" w:hAnsi="Times New Roman"/>
              </w:rPr>
              <w:t>■</w:t>
            </w:r>
          </w:p>
        </w:tc>
        <w:tc>
          <w:tcPr>
            <w:tcW w:w="1098" w:type="dxa"/>
            <w:tcMar>
              <w:top w:w="20" w:type="dxa"/>
              <w:left w:w="115" w:type="dxa"/>
              <w:bottom w:w="20" w:type="dxa"/>
              <w:right w:w="115" w:type="dxa"/>
            </w:tcMar>
            <w:vAlign w:val="bottom"/>
          </w:tcPr>
          <w:p w14:paraId="7465A40F" w14:textId="728617BB" w:rsidR="00542725" w:rsidRPr="00F211A9" w:rsidRDefault="00A71D89" w:rsidP="001D543B">
            <w:pPr>
              <w:spacing w:before="60" w:after="60"/>
              <w:jc w:val="center"/>
              <w:rPr>
                <w:sz w:val="28"/>
                <w:szCs w:val="28"/>
              </w:rPr>
            </w:pPr>
            <w:r w:rsidRPr="00F211A9">
              <w:rPr>
                <w:rFonts w:ascii="Times New Roman" w:hAnsi="Times New Roman"/>
              </w:rPr>
              <w:t>□</w:t>
            </w:r>
          </w:p>
        </w:tc>
      </w:tr>
      <w:tr w:rsidR="00542725" w:rsidRPr="00E5753A" w14:paraId="356F123C" w14:textId="77777777" w:rsidTr="004821E1">
        <w:trPr>
          <w:gridBefore w:val="1"/>
          <w:gridAfter w:val="1"/>
          <w:wBefore w:w="11" w:type="dxa"/>
          <w:wAfter w:w="61" w:type="dxa"/>
        </w:trPr>
        <w:tc>
          <w:tcPr>
            <w:tcW w:w="4338" w:type="dxa"/>
            <w:tcMar>
              <w:top w:w="20" w:type="dxa"/>
              <w:left w:w="115" w:type="dxa"/>
              <w:bottom w:w="20" w:type="dxa"/>
              <w:right w:w="115" w:type="dxa"/>
            </w:tcMar>
            <w:vAlign w:val="bottom"/>
          </w:tcPr>
          <w:p w14:paraId="7C840411" w14:textId="77777777" w:rsidR="00542725" w:rsidRPr="00F211A9" w:rsidRDefault="00542725" w:rsidP="00F6307A">
            <w:pPr>
              <w:pStyle w:val="BulletListLettered"/>
              <w:numPr>
                <w:ilvl w:val="0"/>
                <w:numId w:val="25"/>
              </w:numPr>
            </w:pPr>
            <w:r w:rsidRPr="00F211A9">
              <w:t xml:space="preserve">Have sufficient water supplies available to serve the project </w:t>
            </w:r>
            <w:r w:rsidR="00F3748A" w:rsidRPr="00F211A9">
              <w:t>and reasonably foreseeable future development during normal, dry and multiple dry years</w:t>
            </w:r>
            <w:r w:rsidRPr="00F211A9">
              <w:t>?</w:t>
            </w:r>
          </w:p>
        </w:tc>
        <w:tc>
          <w:tcPr>
            <w:tcW w:w="1170" w:type="dxa"/>
            <w:tcMar>
              <w:top w:w="20" w:type="dxa"/>
              <w:left w:w="115" w:type="dxa"/>
              <w:bottom w:w="20" w:type="dxa"/>
              <w:right w:w="115" w:type="dxa"/>
            </w:tcMar>
            <w:vAlign w:val="bottom"/>
          </w:tcPr>
          <w:p w14:paraId="6F9D01E0" w14:textId="413779BA" w:rsidR="00542725" w:rsidRPr="00F211A9" w:rsidRDefault="001E48FB" w:rsidP="001D543B">
            <w:pPr>
              <w:spacing w:before="60" w:after="60"/>
              <w:jc w:val="center"/>
              <w:rPr>
                <w:sz w:val="28"/>
                <w:szCs w:val="28"/>
              </w:rPr>
            </w:pPr>
            <w:r w:rsidRPr="00F211A9">
              <w:rPr>
                <w:rFonts w:ascii="Times New Roman" w:hAnsi="Times New Roman"/>
              </w:rPr>
              <w:t>□</w:t>
            </w:r>
          </w:p>
        </w:tc>
        <w:tc>
          <w:tcPr>
            <w:tcW w:w="1272" w:type="dxa"/>
            <w:gridSpan w:val="3"/>
            <w:tcMar>
              <w:top w:w="20" w:type="dxa"/>
              <w:left w:w="115" w:type="dxa"/>
              <w:bottom w:w="20" w:type="dxa"/>
              <w:right w:w="115" w:type="dxa"/>
            </w:tcMar>
            <w:vAlign w:val="bottom"/>
          </w:tcPr>
          <w:p w14:paraId="755DD865" w14:textId="10A27881" w:rsidR="00542725" w:rsidRPr="00F211A9" w:rsidRDefault="00542725" w:rsidP="001D543B">
            <w:pPr>
              <w:spacing w:before="60" w:after="60"/>
              <w:jc w:val="center"/>
              <w:rPr>
                <w:sz w:val="28"/>
                <w:szCs w:val="28"/>
              </w:rPr>
            </w:pPr>
            <w:r w:rsidRPr="00F211A9">
              <w:rPr>
                <w:rFonts w:ascii="Times New Roman" w:hAnsi="Times New Roman"/>
              </w:rPr>
              <w:t>□</w:t>
            </w:r>
          </w:p>
        </w:tc>
        <w:tc>
          <w:tcPr>
            <w:tcW w:w="1097" w:type="dxa"/>
            <w:gridSpan w:val="2"/>
            <w:tcMar>
              <w:top w:w="20" w:type="dxa"/>
              <w:left w:w="115" w:type="dxa"/>
              <w:bottom w:w="20" w:type="dxa"/>
              <w:right w:w="115" w:type="dxa"/>
            </w:tcMar>
            <w:vAlign w:val="bottom"/>
          </w:tcPr>
          <w:p w14:paraId="2C439BCB" w14:textId="7905B76C" w:rsidR="00542725" w:rsidRPr="00F211A9" w:rsidRDefault="00A71D89" w:rsidP="001D543B">
            <w:pPr>
              <w:spacing w:before="60" w:after="60"/>
              <w:jc w:val="center"/>
              <w:rPr>
                <w:sz w:val="28"/>
                <w:szCs w:val="28"/>
              </w:rPr>
            </w:pPr>
            <w:r w:rsidRPr="00F211A9">
              <w:rPr>
                <w:rFonts w:ascii="Times New Roman" w:hAnsi="Times New Roman"/>
              </w:rPr>
              <w:t>■</w:t>
            </w:r>
          </w:p>
        </w:tc>
        <w:tc>
          <w:tcPr>
            <w:tcW w:w="1098" w:type="dxa"/>
            <w:tcMar>
              <w:top w:w="20" w:type="dxa"/>
              <w:left w:w="115" w:type="dxa"/>
              <w:bottom w:w="20" w:type="dxa"/>
              <w:right w:w="115" w:type="dxa"/>
            </w:tcMar>
            <w:vAlign w:val="bottom"/>
          </w:tcPr>
          <w:p w14:paraId="38BC9363" w14:textId="77F3EF9D" w:rsidR="00542725" w:rsidRPr="00F211A9" w:rsidRDefault="00A71D89" w:rsidP="001D543B">
            <w:pPr>
              <w:spacing w:before="60" w:after="60"/>
              <w:jc w:val="center"/>
              <w:rPr>
                <w:sz w:val="28"/>
                <w:szCs w:val="28"/>
              </w:rPr>
            </w:pPr>
            <w:r w:rsidRPr="00F211A9">
              <w:rPr>
                <w:rFonts w:ascii="Times New Roman" w:hAnsi="Times New Roman"/>
              </w:rPr>
              <w:t>□</w:t>
            </w:r>
          </w:p>
        </w:tc>
      </w:tr>
      <w:tr w:rsidR="00542725" w:rsidRPr="00E5753A" w14:paraId="727EE738" w14:textId="77777777" w:rsidTr="004821E1">
        <w:trPr>
          <w:gridBefore w:val="1"/>
          <w:gridAfter w:val="1"/>
          <w:wBefore w:w="11" w:type="dxa"/>
          <w:wAfter w:w="61" w:type="dxa"/>
        </w:trPr>
        <w:tc>
          <w:tcPr>
            <w:tcW w:w="4338" w:type="dxa"/>
            <w:tcMar>
              <w:top w:w="20" w:type="dxa"/>
              <w:left w:w="115" w:type="dxa"/>
              <w:bottom w:w="20" w:type="dxa"/>
              <w:right w:w="115" w:type="dxa"/>
            </w:tcMar>
            <w:vAlign w:val="bottom"/>
          </w:tcPr>
          <w:p w14:paraId="011B5667" w14:textId="77777777" w:rsidR="00542725" w:rsidRPr="00F211A9" w:rsidRDefault="00542725" w:rsidP="00F6307A">
            <w:pPr>
              <w:pStyle w:val="BulletListLettered"/>
              <w:numPr>
                <w:ilvl w:val="0"/>
                <w:numId w:val="25"/>
              </w:numPr>
            </w:pPr>
            <w:r w:rsidRPr="00F211A9">
              <w:t>Result in a determination by the wastewater treatment provider which serves or may serve the project that it has adequate capacity to serve the project’s projected demand in addition to the provider’s existing commitments?</w:t>
            </w:r>
          </w:p>
        </w:tc>
        <w:tc>
          <w:tcPr>
            <w:tcW w:w="1170" w:type="dxa"/>
            <w:tcMar>
              <w:top w:w="20" w:type="dxa"/>
              <w:left w:w="115" w:type="dxa"/>
              <w:bottom w:w="20" w:type="dxa"/>
              <w:right w:w="115" w:type="dxa"/>
            </w:tcMar>
            <w:vAlign w:val="bottom"/>
          </w:tcPr>
          <w:p w14:paraId="10CE4F4A" w14:textId="1EC52AF9" w:rsidR="00542725" w:rsidRPr="00F211A9" w:rsidRDefault="001E48FB" w:rsidP="001D543B">
            <w:pPr>
              <w:spacing w:before="60" w:after="60"/>
              <w:jc w:val="center"/>
              <w:rPr>
                <w:sz w:val="28"/>
                <w:szCs w:val="28"/>
              </w:rPr>
            </w:pPr>
            <w:r w:rsidRPr="00F211A9">
              <w:rPr>
                <w:rFonts w:ascii="Times New Roman" w:hAnsi="Times New Roman"/>
              </w:rPr>
              <w:t>□</w:t>
            </w:r>
          </w:p>
        </w:tc>
        <w:tc>
          <w:tcPr>
            <w:tcW w:w="1272" w:type="dxa"/>
            <w:gridSpan w:val="3"/>
            <w:tcMar>
              <w:top w:w="20" w:type="dxa"/>
              <w:left w:w="115" w:type="dxa"/>
              <w:bottom w:w="20" w:type="dxa"/>
              <w:right w:w="115" w:type="dxa"/>
            </w:tcMar>
            <w:vAlign w:val="bottom"/>
          </w:tcPr>
          <w:p w14:paraId="55C48141" w14:textId="21DA13CA" w:rsidR="00542725" w:rsidRPr="00F211A9" w:rsidRDefault="00542725" w:rsidP="001D543B">
            <w:pPr>
              <w:spacing w:before="60" w:after="60"/>
              <w:jc w:val="center"/>
              <w:rPr>
                <w:sz w:val="28"/>
                <w:szCs w:val="28"/>
              </w:rPr>
            </w:pPr>
            <w:r w:rsidRPr="00F211A9">
              <w:rPr>
                <w:rFonts w:ascii="Times New Roman" w:hAnsi="Times New Roman"/>
              </w:rPr>
              <w:t>□</w:t>
            </w:r>
          </w:p>
        </w:tc>
        <w:tc>
          <w:tcPr>
            <w:tcW w:w="1097" w:type="dxa"/>
            <w:gridSpan w:val="2"/>
            <w:tcMar>
              <w:top w:w="20" w:type="dxa"/>
              <w:left w:w="115" w:type="dxa"/>
              <w:bottom w:w="20" w:type="dxa"/>
              <w:right w:w="115" w:type="dxa"/>
            </w:tcMar>
            <w:vAlign w:val="bottom"/>
          </w:tcPr>
          <w:p w14:paraId="6E9F88DE" w14:textId="6307E2CC" w:rsidR="00542725" w:rsidRPr="00F211A9" w:rsidRDefault="00A71D89" w:rsidP="001D543B">
            <w:pPr>
              <w:spacing w:before="60" w:after="60"/>
              <w:jc w:val="center"/>
              <w:rPr>
                <w:sz w:val="28"/>
                <w:szCs w:val="28"/>
              </w:rPr>
            </w:pPr>
            <w:r w:rsidRPr="00F211A9">
              <w:rPr>
                <w:rFonts w:ascii="Times New Roman" w:hAnsi="Times New Roman"/>
              </w:rPr>
              <w:t>■</w:t>
            </w:r>
          </w:p>
        </w:tc>
        <w:tc>
          <w:tcPr>
            <w:tcW w:w="1098" w:type="dxa"/>
            <w:tcMar>
              <w:top w:w="20" w:type="dxa"/>
              <w:left w:w="115" w:type="dxa"/>
              <w:bottom w:w="20" w:type="dxa"/>
              <w:right w:w="115" w:type="dxa"/>
            </w:tcMar>
            <w:vAlign w:val="bottom"/>
          </w:tcPr>
          <w:p w14:paraId="7952A488" w14:textId="1E9A1147" w:rsidR="00542725" w:rsidRPr="00F211A9" w:rsidRDefault="00A71D89" w:rsidP="001D543B">
            <w:pPr>
              <w:spacing w:before="60" w:after="60"/>
              <w:jc w:val="center"/>
              <w:rPr>
                <w:sz w:val="28"/>
                <w:szCs w:val="28"/>
              </w:rPr>
            </w:pPr>
            <w:r w:rsidRPr="00F211A9">
              <w:rPr>
                <w:rFonts w:ascii="Times New Roman" w:hAnsi="Times New Roman"/>
              </w:rPr>
              <w:t>□</w:t>
            </w:r>
          </w:p>
        </w:tc>
      </w:tr>
      <w:tr w:rsidR="00542725" w:rsidRPr="00E5753A" w14:paraId="6B4DA0F8" w14:textId="77777777" w:rsidTr="004821E1">
        <w:trPr>
          <w:gridBefore w:val="1"/>
          <w:gridAfter w:val="1"/>
          <w:wBefore w:w="11" w:type="dxa"/>
          <w:wAfter w:w="61" w:type="dxa"/>
        </w:trPr>
        <w:tc>
          <w:tcPr>
            <w:tcW w:w="4338" w:type="dxa"/>
            <w:tcMar>
              <w:top w:w="20" w:type="dxa"/>
              <w:left w:w="115" w:type="dxa"/>
              <w:bottom w:w="20" w:type="dxa"/>
              <w:right w:w="115" w:type="dxa"/>
            </w:tcMar>
            <w:vAlign w:val="bottom"/>
            <w:hideMark/>
          </w:tcPr>
          <w:p w14:paraId="09794C41" w14:textId="77777777" w:rsidR="00542725" w:rsidRPr="00F211A9" w:rsidRDefault="00F3748A" w:rsidP="00F6307A">
            <w:pPr>
              <w:pStyle w:val="BulletListLettered"/>
              <w:numPr>
                <w:ilvl w:val="0"/>
                <w:numId w:val="25"/>
              </w:numPr>
            </w:pPr>
            <w:r w:rsidRPr="00F211A9">
              <w:t>Generate solid waste in excess of State or local standards, or in excess of the capacity of local infrastructure, or otherwise impair the attainment of solid waste reduction goals?</w:t>
            </w:r>
          </w:p>
        </w:tc>
        <w:tc>
          <w:tcPr>
            <w:tcW w:w="1170" w:type="dxa"/>
            <w:tcMar>
              <w:top w:w="20" w:type="dxa"/>
              <w:left w:w="115" w:type="dxa"/>
              <w:bottom w:w="20" w:type="dxa"/>
              <w:right w:w="115" w:type="dxa"/>
            </w:tcMar>
            <w:vAlign w:val="bottom"/>
          </w:tcPr>
          <w:p w14:paraId="0D6F054D" w14:textId="2A43D1B7" w:rsidR="00542725" w:rsidRPr="00F211A9" w:rsidRDefault="001E48FB" w:rsidP="001D543B">
            <w:pPr>
              <w:spacing w:before="60" w:after="60"/>
              <w:jc w:val="center"/>
              <w:rPr>
                <w:sz w:val="28"/>
                <w:szCs w:val="28"/>
              </w:rPr>
            </w:pPr>
            <w:r w:rsidRPr="00F211A9">
              <w:rPr>
                <w:rFonts w:ascii="Times New Roman" w:hAnsi="Times New Roman"/>
              </w:rPr>
              <w:t>□</w:t>
            </w:r>
          </w:p>
        </w:tc>
        <w:tc>
          <w:tcPr>
            <w:tcW w:w="1272" w:type="dxa"/>
            <w:gridSpan w:val="3"/>
            <w:tcMar>
              <w:top w:w="20" w:type="dxa"/>
              <w:left w:w="115" w:type="dxa"/>
              <w:bottom w:w="20" w:type="dxa"/>
              <w:right w:w="115" w:type="dxa"/>
            </w:tcMar>
            <w:vAlign w:val="bottom"/>
          </w:tcPr>
          <w:p w14:paraId="772B0A79" w14:textId="62645B03" w:rsidR="00542725" w:rsidRPr="00F211A9" w:rsidRDefault="00542725" w:rsidP="001D543B">
            <w:pPr>
              <w:spacing w:before="60" w:after="60"/>
              <w:jc w:val="center"/>
              <w:rPr>
                <w:sz w:val="28"/>
                <w:szCs w:val="28"/>
              </w:rPr>
            </w:pPr>
            <w:r w:rsidRPr="00F211A9">
              <w:rPr>
                <w:rFonts w:ascii="Times New Roman" w:hAnsi="Times New Roman"/>
              </w:rPr>
              <w:t>□</w:t>
            </w:r>
          </w:p>
        </w:tc>
        <w:tc>
          <w:tcPr>
            <w:tcW w:w="1097" w:type="dxa"/>
            <w:gridSpan w:val="2"/>
            <w:tcMar>
              <w:top w:w="20" w:type="dxa"/>
              <w:left w:w="115" w:type="dxa"/>
              <w:bottom w:w="20" w:type="dxa"/>
              <w:right w:w="115" w:type="dxa"/>
            </w:tcMar>
            <w:vAlign w:val="bottom"/>
          </w:tcPr>
          <w:p w14:paraId="493DCA4E" w14:textId="7BF133CC" w:rsidR="00542725" w:rsidRPr="00F211A9" w:rsidRDefault="00A71D89" w:rsidP="001D543B">
            <w:pPr>
              <w:spacing w:before="60" w:after="60"/>
              <w:jc w:val="center"/>
              <w:rPr>
                <w:sz w:val="28"/>
                <w:szCs w:val="28"/>
              </w:rPr>
            </w:pPr>
            <w:r w:rsidRPr="00F211A9">
              <w:rPr>
                <w:rFonts w:ascii="Times New Roman" w:hAnsi="Times New Roman"/>
              </w:rPr>
              <w:t>■</w:t>
            </w:r>
          </w:p>
        </w:tc>
        <w:tc>
          <w:tcPr>
            <w:tcW w:w="1098" w:type="dxa"/>
            <w:tcMar>
              <w:top w:w="20" w:type="dxa"/>
              <w:left w:w="115" w:type="dxa"/>
              <w:bottom w:w="20" w:type="dxa"/>
              <w:right w:w="115" w:type="dxa"/>
            </w:tcMar>
            <w:vAlign w:val="bottom"/>
          </w:tcPr>
          <w:p w14:paraId="6286E009" w14:textId="5B379C03" w:rsidR="00542725" w:rsidRPr="00F211A9" w:rsidRDefault="00A71D89" w:rsidP="001D543B">
            <w:pPr>
              <w:spacing w:before="60" w:after="60"/>
              <w:jc w:val="center"/>
              <w:rPr>
                <w:sz w:val="28"/>
                <w:szCs w:val="28"/>
              </w:rPr>
            </w:pPr>
            <w:r w:rsidRPr="00F211A9">
              <w:rPr>
                <w:rFonts w:ascii="Times New Roman" w:hAnsi="Times New Roman"/>
              </w:rPr>
              <w:t>□</w:t>
            </w:r>
          </w:p>
        </w:tc>
      </w:tr>
      <w:tr w:rsidR="00542725" w:rsidRPr="00E5753A" w14:paraId="641BB9CB" w14:textId="77777777" w:rsidTr="004821E1">
        <w:trPr>
          <w:gridBefore w:val="1"/>
          <w:gridAfter w:val="1"/>
          <w:wBefore w:w="11" w:type="dxa"/>
          <w:wAfter w:w="61" w:type="dxa"/>
        </w:trPr>
        <w:tc>
          <w:tcPr>
            <w:tcW w:w="4338" w:type="dxa"/>
            <w:tcBorders>
              <w:bottom w:val="single" w:sz="4" w:space="0" w:color="auto"/>
            </w:tcBorders>
            <w:tcMar>
              <w:top w:w="20" w:type="dxa"/>
              <w:left w:w="115" w:type="dxa"/>
              <w:bottom w:w="20" w:type="dxa"/>
              <w:right w:w="115" w:type="dxa"/>
            </w:tcMar>
            <w:vAlign w:val="bottom"/>
            <w:hideMark/>
          </w:tcPr>
          <w:p w14:paraId="1C2532EC" w14:textId="77777777" w:rsidR="00542725" w:rsidRPr="00F211A9" w:rsidRDefault="00542725" w:rsidP="00F6307A">
            <w:pPr>
              <w:pStyle w:val="BulletListLettered"/>
              <w:numPr>
                <w:ilvl w:val="0"/>
                <w:numId w:val="25"/>
              </w:numPr>
            </w:pPr>
            <w:r w:rsidRPr="00F211A9">
              <w:t xml:space="preserve">Comply with federal, state, and local </w:t>
            </w:r>
            <w:r w:rsidR="00F3748A" w:rsidRPr="00F211A9">
              <w:t xml:space="preserve">management and reduction </w:t>
            </w:r>
            <w:r w:rsidRPr="00F211A9">
              <w:t>statutes and regulations related to solid waste?</w:t>
            </w:r>
          </w:p>
        </w:tc>
        <w:tc>
          <w:tcPr>
            <w:tcW w:w="1170" w:type="dxa"/>
            <w:tcBorders>
              <w:bottom w:val="single" w:sz="4" w:space="0" w:color="auto"/>
            </w:tcBorders>
            <w:tcMar>
              <w:top w:w="20" w:type="dxa"/>
              <w:left w:w="115" w:type="dxa"/>
              <w:bottom w:w="20" w:type="dxa"/>
              <w:right w:w="115" w:type="dxa"/>
            </w:tcMar>
            <w:vAlign w:val="bottom"/>
          </w:tcPr>
          <w:p w14:paraId="5A1F3FB4" w14:textId="7645B933" w:rsidR="00542725" w:rsidRPr="00F211A9" w:rsidRDefault="001E48FB" w:rsidP="001D543B">
            <w:pPr>
              <w:spacing w:before="60" w:after="60"/>
              <w:jc w:val="center"/>
              <w:rPr>
                <w:sz w:val="28"/>
                <w:szCs w:val="28"/>
              </w:rPr>
            </w:pPr>
            <w:r w:rsidRPr="00F211A9">
              <w:rPr>
                <w:rFonts w:ascii="Times New Roman" w:hAnsi="Times New Roman"/>
              </w:rPr>
              <w:t>□</w:t>
            </w:r>
          </w:p>
        </w:tc>
        <w:tc>
          <w:tcPr>
            <w:tcW w:w="1272" w:type="dxa"/>
            <w:gridSpan w:val="3"/>
            <w:tcBorders>
              <w:bottom w:val="single" w:sz="4" w:space="0" w:color="auto"/>
            </w:tcBorders>
            <w:tcMar>
              <w:top w:w="20" w:type="dxa"/>
              <w:left w:w="115" w:type="dxa"/>
              <w:bottom w:w="20" w:type="dxa"/>
              <w:right w:w="115" w:type="dxa"/>
            </w:tcMar>
            <w:vAlign w:val="bottom"/>
          </w:tcPr>
          <w:p w14:paraId="7BDBD087" w14:textId="5CD5CB40" w:rsidR="00542725" w:rsidRPr="00F211A9" w:rsidRDefault="00542725" w:rsidP="001D543B">
            <w:pPr>
              <w:spacing w:before="60" w:after="60"/>
              <w:jc w:val="center"/>
              <w:rPr>
                <w:sz w:val="28"/>
                <w:szCs w:val="28"/>
              </w:rPr>
            </w:pPr>
            <w:r w:rsidRPr="00F211A9">
              <w:rPr>
                <w:rFonts w:ascii="Times New Roman" w:hAnsi="Times New Roman"/>
              </w:rPr>
              <w:t>□</w:t>
            </w:r>
          </w:p>
        </w:tc>
        <w:tc>
          <w:tcPr>
            <w:tcW w:w="1097" w:type="dxa"/>
            <w:gridSpan w:val="2"/>
            <w:tcBorders>
              <w:bottom w:val="single" w:sz="4" w:space="0" w:color="auto"/>
            </w:tcBorders>
            <w:tcMar>
              <w:top w:w="20" w:type="dxa"/>
              <w:left w:w="115" w:type="dxa"/>
              <w:bottom w:w="20" w:type="dxa"/>
              <w:right w:w="115" w:type="dxa"/>
            </w:tcMar>
            <w:vAlign w:val="bottom"/>
          </w:tcPr>
          <w:p w14:paraId="3ADBB9B6" w14:textId="5F8F877D" w:rsidR="00542725" w:rsidRPr="00F211A9" w:rsidRDefault="00A71D89" w:rsidP="001D543B">
            <w:pPr>
              <w:spacing w:before="60" w:after="60"/>
              <w:jc w:val="center"/>
              <w:rPr>
                <w:sz w:val="28"/>
                <w:szCs w:val="28"/>
              </w:rPr>
            </w:pPr>
            <w:r w:rsidRPr="00F211A9">
              <w:rPr>
                <w:rFonts w:ascii="Times New Roman" w:hAnsi="Times New Roman"/>
              </w:rPr>
              <w:t>■</w:t>
            </w:r>
          </w:p>
        </w:tc>
        <w:tc>
          <w:tcPr>
            <w:tcW w:w="1098" w:type="dxa"/>
            <w:tcBorders>
              <w:bottom w:val="single" w:sz="4" w:space="0" w:color="auto"/>
            </w:tcBorders>
            <w:tcMar>
              <w:top w:w="20" w:type="dxa"/>
              <w:left w:w="115" w:type="dxa"/>
              <w:bottom w:w="20" w:type="dxa"/>
              <w:right w:w="115" w:type="dxa"/>
            </w:tcMar>
            <w:vAlign w:val="bottom"/>
          </w:tcPr>
          <w:p w14:paraId="1A705FE6" w14:textId="04A1E47C" w:rsidR="00542725" w:rsidRPr="00F211A9" w:rsidRDefault="00A71D89" w:rsidP="001D543B">
            <w:pPr>
              <w:spacing w:before="60" w:after="60"/>
              <w:jc w:val="center"/>
              <w:rPr>
                <w:sz w:val="28"/>
                <w:szCs w:val="28"/>
              </w:rPr>
            </w:pPr>
            <w:r w:rsidRPr="00F211A9">
              <w:rPr>
                <w:rFonts w:ascii="Times New Roman" w:hAnsi="Times New Roman"/>
              </w:rPr>
              <w:t>□</w:t>
            </w:r>
          </w:p>
        </w:tc>
      </w:tr>
    </w:tbl>
    <w:p w14:paraId="1538453C" w14:textId="30170412" w:rsidR="00443CDB" w:rsidRDefault="00443CDB" w:rsidP="00443CDB">
      <w:pPr>
        <w:pStyle w:val="Heading5"/>
      </w:pPr>
      <w:bookmarkStart w:id="335" w:name="_Hlk93572462"/>
      <w:r w:rsidRPr="00F211A9">
        <w:t>Setting</w:t>
      </w:r>
    </w:p>
    <w:p w14:paraId="7E040372" w14:textId="73B21415" w:rsidR="00F9550C" w:rsidRPr="00F9550C" w:rsidRDefault="00894599" w:rsidP="00F9550C">
      <w:pPr>
        <w:pStyle w:val="BodyText"/>
      </w:pPr>
      <w:r>
        <w:t xml:space="preserve">The information and analysis included in this section is based upon a Utility Impact Study prepared by Schaaf and Wheeler Consulting Civil Engineers in December 2021 (Appendix UIS). </w:t>
      </w:r>
    </w:p>
    <w:p w14:paraId="2AC4CE0A" w14:textId="77777777" w:rsidR="00443CDB" w:rsidRPr="00F211A9" w:rsidRDefault="00443CDB" w:rsidP="00443CDB">
      <w:pPr>
        <w:pStyle w:val="EIRHeading6"/>
      </w:pPr>
      <w:r w:rsidRPr="00F211A9">
        <w:t>Potable Water</w:t>
      </w:r>
    </w:p>
    <w:p w14:paraId="049E8196" w14:textId="7F2B1F09" w:rsidR="006F30C4" w:rsidRDefault="00564A1E" w:rsidP="00443CDB">
      <w:pPr>
        <w:pStyle w:val="BodyText"/>
        <w:rPr>
          <w:highlight w:val="lightGray"/>
        </w:rPr>
      </w:pPr>
      <w:r>
        <w:t>Potable water would be provided to the project by the City of Mountain View</w:t>
      </w:r>
      <w:r w:rsidR="00EE5B33">
        <w:t>, which receives its water supply from three sources</w:t>
      </w:r>
      <w:r>
        <w:t xml:space="preserve">. </w:t>
      </w:r>
      <w:r w:rsidR="006F30C4">
        <w:t xml:space="preserve">The San Francisco Public Utilities Commission (SFPUC) provides 87 percent of Mountain View’s water supply. </w:t>
      </w:r>
      <w:r>
        <w:t xml:space="preserve">According to SFPUC, </w:t>
      </w:r>
      <w:r w:rsidR="00EE5B33">
        <w:t>most of its</w:t>
      </w:r>
      <w:r>
        <w:t xml:space="preserve"> water is sourced from Sierra Nevada Mountains snowmelt. Other sources include the Hetch Hetchy Regional Water System, located in Yosemite National Park; regional watersheds, including Alameda, Peninsula, and Upper Tuolumne; and various groundwater sources (SFPUC 2021). </w:t>
      </w:r>
      <w:r w:rsidR="006F30C4">
        <w:t>Remaining supply is provided by the Santa Clara Valley Water District</w:t>
      </w:r>
      <w:r w:rsidR="00386B12">
        <w:t xml:space="preserve"> </w:t>
      </w:r>
      <w:r w:rsidR="006F30C4">
        <w:t xml:space="preserve">(SCVWD) (10 percent) and local groundwater sources (3 percent). Small parts of the City receive water supplied by California Water </w:t>
      </w:r>
      <w:r w:rsidR="006F30C4" w:rsidRPr="00B844C4">
        <w:t>Company (City of Mountain View 2013).</w:t>
      </w:r>
      <w:r w:rsidR="00386B12">
        <w:t xml:space="preserve"> The project site is located within</w:t>
      </w:r>
      <w:r w:rsidR="00627E81">
        <w:t xml:space="preserve"> Pressure</w:t>
      </w:r>
      <w:r w:rsidR="00386B12">
        <w:t xml:space="preserve"> Zone 1 of the City’s water supply system, in which water is provided by SFPUC</w:t>
      </w:r>
      <w:r w:rsidR="00627E81">
        <w:t xml:space="preserve"> via one turnout</w:t>
      </w:r>
      <w:r w:rsidR="00386B12">
        <w:t xml:space="preserve">. </w:t>
      </w:r>
      <w:r w:rsidR="00627E81">
        <w:t xml:space="preserve">Pressure Zone 1 currently experiences an average daily demand of 7.98 million gallons per day (mgd) and a peak hour demand of 22.26 mgd. </w:t>
      </w:r>
      <w:r w:rsidR="006D549A">
        <w:t xml:space="preserve">The total capacity for Pressure Zone 1 is 16.56 mgd. Because the demand in Pressure Zone 1 cannot be sufficiently supplied by the current supply operation, surplus supply from Pressure Zone 2 is routed to Pressure Zone 1. </w:t>
      </w:r>
    </w:p>
    <w:p w14:paraId="5371D7F5" w14:textId="77777777" w:rsidR="00EE5B33" w:rsidRDefault="00386B12" w:rsidP="00443CDB">
      <w:pPr>
        <w:pStyle w:val="BodyText"/>
      </w:pPr>
      <w:r w:rsidRPr="00386B12">
        <w:t>Accordi</w:t>
      </w:r>
      <w:r>
        <w:t>ng to the City’s 2020 Urban Water Management Plan (UWMP)</w:t>
      </w:r>
      <w:r w:rsidR="00180B94">
        <w:t>, the City’s service population is 79,772 residents. The City’s municipal water system consists of three pressure zones with three wholesale water turnouts, as well as four reservoirs, three pump stations, four active groundwater supply wells, and over 188 miles of water conveyance pipelines. The UWMP forecasts future water demand</w:t>
      </w:r>
      <w:r w:rsidR="00EE5B33">
        <w:t xml:space="preserve"> for the year 2045</w:t>
      </w:r>
      <w:r w:rsidR="00180B94">
        <w:t>, which is projected to be 15,894 acre</w:t>
      </w:r>
      <w:r w:rsidR="00EE5B33">
        <w:t>-</w:t>
      </w:r>
      <w:r w:rsidR="00180B94">
        <w:t xml:space="preserve">feet per year (AFY) in a base-case scenario or 13,361 AFY with improvements to plumbing codes and conservation efforts. </w:t>
      </w:r>
      <w:r w:rsidR="00EE5B33">
        <w:t xml:space="preserve">The UWMP also forecasts that commercial, industrial, and institutional buildings will have a projected demand of 2,411 AFY in 2045 (City of Mountain View 2020b). </w:t>
      </w:r>
    </w:p>
    <w:p w14:paraId="1EA41952" w14:textId="190179A0" w:rsidR="001E1611" w:rsidRDefault="00EE5B33" w:rsidP="00443CDB">
      <w:pPr>
        <w:pStyle w:val="BodyText"/>
      </w:pPr>
      <w:r>
        <w:t xml:space="preserve">The 2020 UWMP analyzed </w:t>
      </w:r>
      <w:r w:rsidR="00C92C81">
        <w:t>water supply scenarios for three different hydrological conditions to determine the long-term reliability of water supplies: normal year, single dry year, and multiple dry years. The UWMP projects that supply from SCVWD treated water, groundwater, and recycled water will be fully available in each scenario through 2045.</w:t>
      </w:r>
      <w:r w:rsidR="005F7BDF">
        <w:t xml:space="preserve"> Water sourced from SFPUC is projected to experience supply shortfalls in single and multiple dry years, and will likely experience rationing between 36 to 54 percent. SFPUC is currently developing</w:t>
      </w:r>
      <w:r w:rsidR="001E1611">
        <w:t xml:space="preserve"> an Alternative Supply Program to address projected shortfalls. </w:t>
      </w:r>
      <w:r w:rsidR="001E1611">
        <w:fldChar w:fldCharType="begin"/>
      </w:r>
      <w:r w:rsidR="001E1611">
        <w:instrText xml:space="preserve"> REF _Ref89866946 \h </w:instrText>
      </w:r>
      <w:r w:rsidR="001E1611">
        <w:fldChar w:fldCharType="separate"/>
      </w:r>
      <w:r w:rsidR="00FA55F1">
        <w:t xml:space="preserve">Table </w:t>
      </w:r>
      <w:r w:rsidR="00FA55F1">
        <w:rPr>
          <w:noProof/>
        </w:rPr>
        <w:t>34</w:t>
      </w:r>
      <w:r w:rsidR="001E1611">
        <w:fldChar w:fldCharType="end"/>
      </w:r>
      <w:r w:rsidR="001E1611">
        <w:t xml:space="preserve"> summarizes the projected water demand</w:t>
      </w:r>
      <w:r w:rsidR="006501C3">
        <w:t xml:space="preserve"> </w:t>
      </w:r>
      <w:r w:rsidR="001E1611">
        <w:t xml:space="preserve">of Mountain View and </w:t>
      </w:r>
      <w:r w:rsidR="006501C3">
        <w:t xml:space="preserve">the combined </w:t>
      </w:r>
      <w:r w:rsidR="001E1611">
        <w:t xml:space="preserve">projected </w:t>
      </w:r>
      <w:r w:rsidR="006501C3">
        <w:t xml:space="preserve">water </w:t>
      </w:r>
      <w:r w:rsidR="001E1611">
        <w:t>supply</w:t>
      </w:r>
      <w:r w:rsidR="006501C3">
        <w:t xml:space="preserve"> </w:t>
      </w:r>
      <w:r w:rsidR="001E1611">
        <w:t>of the City’s three water sources</w:t>
      </w:r>
      <w:r w:rsidR="006501C3">
        <w:t>. Projections are summarized</w:t>
      </w:r>
      <w:r w:rsidR="001E1611">
        <w:t xml:space="preserve"> across the different water supply scenarios through </w:t>
      </w:r>
      <w:r w:rsidR="006501C3">
        <w:t xml:space="preserve">the year </w:t>
      </w:r>
      <w:r w:rsidR="001E1611">
        <w:t>2045</w:t>
      </w:r>
      <w:r w:rsidR="006501C3">
        <w:t>, in acre-feet per year</w:t>
      </w:r>
      <w:r w:rsidR="001E1611">
        <w:t xml:space="preserve">. </w:t>
      </w:r>
    </w:p>
    <w:p w14:paraId="37A5139B" w14:textId="5D21BE96" w:rsidR="005F7BDF" w:rsidRDefault="001E1611" w:rsidP="001E1611">
      <w:pPr>
        <w:pStyle w:val="TableCaption"/>
      </w:pPr>
      <w:bookmarkStart w:id="336" w:name="_Ref89866946"/>
      <w:bookmarkStart w:id="337" w:name="_Ref89936525"/>
      <w:bookmarkStart w:id="338" w:name="_Toc112942483"/>
      <w:r>
        <w:t xml:space="preserve">Table </w:t>
      </w:r>
      <w:fldSimple w:instr=" SEQ Table \* ARABIC ">
        <w:r w:rsidR="00FA55F1">
          <w:rPr>
            <w:noProof/>
          </w:rPr>
          <w:t>34</w:t>
        </w:r>
      </w:fldSimple>
      <w:bookmarkEnd w:id="336"/>
      <w:r w:rsidR="001D4BBB">
        <w:tab/>
      </w:r>
      <w:r>
        <w:t>2045 Projected Water Supply and Demand Comparison</w:t>
      </w:r>
      <w:bookmarkEnd w:id="337"/>
      <w:bookmarkEnd w:id="338"/>
      <w:r>
        <w:t xml:space="preserve"> </w:t>
      </w:r>
    </w:p>
    <w:tbl>
      <w:tblPr>
        <w:tblStyle w:val="TableGrid"/>
        <w:tblW w:w="90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0"/>
        <w:gridCol w:w="1503"/>
        <w:gridCol w:w="1504"/>
        <w:gridCol w:w="1503"/>
        <w:gridCol w:w="1504"/>
        <w:gridCol w:w="1504"/>
      </w:tblGrid>
      <w:tr w:rsidR="001E1611" w:rsidRPr="001E1611" w14:paraId="1D4EC3D1" w14:textId="77777777" w:rsidTr="00A07BB6">
        <w:tc>
          <w:tcPr>
            <w:tcW w:w="1510" w:type="dxa"/>
            <w:shd w:val="clear" w:color="auto" w:fill="000000" w:themeFill="text1"/>
          </w:tcPr>
          <w:p w14:paraId="7DADD116" w14:textId="77777777" w:rsidR="001E1611" w:rsidRPr="001E1611" w:rsidRDefault="001E1611" w:rsidP="0086255B">
            <w:pPr>
              <w:pStyle w:val="ISTableColumnHeadings"/>
              <w:spacing w:before="80" w:after="80"/>
              <w:rPr>
                <w:color w:val="auto"/>
              </w:rPr>
            </w:pPr>
          </w:p>
        </w:tc>
        <w:tc>
          <w:tcPr>
            <w:tcW w:w="1503" w:type="dxa"/>
            <w:shd w:val="clear" w:color="auto" w:fill="000000" w:themeFill="text1"/>
            <w:vAlign w:val="bottom"/>
          </w:tcPr>
          <w:p w14:paraId="103B2AA9" w14:textId="101F9A92" w:rsidR="001E1611" w:rsidRPr="001E1611" w:rsidRDefault="004B3F91" w:rsidP="0086255B">
            <w:pPr>
              <w:pStyle w:val="ISTableColumnHeadings"/>
              <w:spacing w:before="80" w:after="80"/>
              <w:jc w:val="center"/>
              <w:rPr>
                <w:color w:val="auto"/>
              </w:rPr>
            </w:pPr>
            <w:r>
              <w:rPr>
                <w:color w:val="auto"/>
              </w:rPr>
              <w:t>2025</w:t>
            </w:r>
          </w:p>
        </w:tc>
        <w:tc>
          <w:tcPr>
            <w:tcW w:w="1504" w:type="dxa"/>
            <w:shd w:val="clear" w:color="auto" w:fill="000000" w:themeFill="text1"/>
            <w:vAlign w:val="bottom"/>
          </w:tcPr>
          <w:p w14:paraId="48E05E00" w14:textId="3EF4DC52" w:rsidR="001E1611" w:rsidRPr="001E1611" w:rsidRDefault="004B3F91" w:rsidP="0086255B">
            <w:pPr>
              <w:pStyle w:val="ISTableColumnHeadings"/>
              <w:spacing w:before="80" w:after="80"/>
              <w:jc w:val="center"/>
              <w:rPr>
                <w:color w:val="auto"/>
              </w:rPr>
            </w:pPr>
            <w:r>
              <w:rPr>
                <w:color w:val="auto"/>
              </w:rPr>
              <w:t>2030</w:t>
            </w:r>
          </w:p>
        </w:tc>
        <w:tc>
          <w:tcPr>
            <w:tcW w:w="1503" w:type="dxa"/>
            <w:shd w:val="clear" w:color="auto" w:fill="000000" w:themeFill="text1"/>
            <w:vAlign w:val="bottom"/>
          </w:tcPr>
          <w:p w14:paraId="62830036" w14:textId="2B74E787" w:rsidR="001E1611" w:rsidRPr="001E1611" w:rsidRDefault="004B3F91" w:rsidP="0086255B">
            <w:pPr>
              <w:pStyle w:val="ISTableColumnHeadings"/>
              <w:spacing w:before="80" w:after="80"/>
              <w:jc w:val="center"/>
              <w:rPr>
                <w:color w:val="auto"/>
              </w:rPr>
            </w:pPr>
            <w:r>
              <w:rPr>
                <w:color w:val="auto"/>
              </w:rPr>
              <w:t>2035</w:t>
            </w:r>
          </w:p>
        </w:tc>
        <w:tc>
          <w:tcPr>
            <w:tcW w:w="1504" w:type="dxa"/>
            <w:shd w:val="clear" w:color="auto" w:fill="000000" w:themeFill="text1"/>
            <w:vAlign w:val="bottom"/>
          </w:tcPr>
          <w:p w14:paraId="56AC0C21" w14:textId="7D612559" w:rsidR="001E1611" w:rsidRPr="001E1611" w:rsidRDefault="004B3F91" w:rsidP="0086255B">
            <w:pPr>
              <w:pStyle w:val="ISTableColumnHeadings"/>
              <w:spacing w:before="80" w:after="80"/>
              <w:jc w:val="center"/>
              <w:rPr>
                <w:color w:val="auto"/>
              </w:rPr>
            </w:pPr>
            <w:r>
              <w:rPr>
                <w:color w:val="auto"/>
              </w:rPr>
              <w:t>2040</w:t>
            </w:r>
          </w:p>
        </w:tc>
        <w:tc>
          <w:tcPr>
            <w:tcW w:w="1504" w:type="dxa"/>
            <w:shd w:val="clear" w:color="auto" w:fill="000000" w:themeFill="text1"/>
            <w:vAlign w:val="bottom"/>
          </w:tcPr>
          <w:p w14:paraId="215A3923" w14:textId="38F3DB88" w:rsidR="001E1611" w:rsidRPr="001E1611" w:rsidRDefault="004B3F91" w:rsidP="0086255B">
            <w:pPr>
              <w:pStyle w:val="ISTableColumnHeadings"/>
              <w:spacing w:before="80" w:after="80"/>
              <w:jc w:val="center"/>
              <w:rPr>
                <w:color w:val="auto"/>
              </w:rPr>
            </w:pPr>
            <w:r>
              <w:rPr>
                <w:color w:val="auto"/>
              </w:rPr>
              <w:t>2045</w:t>
            </w:r>
          </w:p>
        </w:tc>
      </w:tr>
      <w:tr w:rsidR="001E1611" w:rsidRPr="00294A6D" w14:paraId="2914808C" w14:textId="77777777" w:rsidTr="00A07BB6">
        <w:tc>
          <w:tcPr>
            <w:tcW w:w="1510" w:type="dxa"/>
            <w:shd w:val="clear" w:color="auto" w:fill="D9D9D9" w:themeFill="background1" w:themeFillShade="D9"/>
          </w:tcPr>
          <w:p w14:paraId="5EDC7929" w14:textId="204E515C" w:rsidR="001E1611" w:rsidRPr="00294A6D" w:rsidRDefault="004B3F91" w:rsidP="0086255B">
            <w:pPr>
              <w:pStyle w:val="ISTableText"/>
              <w:spacing w:before="60" w:after="60"/>
              <w:rPr>
                <w:rFonts w:asciiTheme="minorHAnsi" w:hAnsiTheme="minorHAnsi" w:cstheme="minorHAnsi"/>
                <w:b/>
                <w:bCs w:val="0"/>
                <w:szCs w:val="18"/>
              </w:rPr>
            </w:pPr>
            <w:r w:rsidRPr="00294A6D">
              <w:rPr>
                <w:rFonts w:asciiTheme="minorHAnsi" w:hAnsiTheme="minorHAnsi" w:cstheme="minorHAnsi"/>
                <w:b/>
                <w:bCs w:val="0"/>
                <w:szCs w:val="18"/>
              </w:rPr>
              <w:t>Normal Year</w:t>
            </w:r>
          </w:p>
        </w:tc>
        <w:tc>
          <w:tcPr>
            <w:tcW w:w="1503" w:type="dxa"/>
            <w:shd w:val="clear" w:color="auto" w:fill="D9D9D9" w:themeFill="background1" w:themeFillShade="D9"/>
            <w:vAlign w:val="bottom"/>
          </w:tcPr>
          <w:p w14:paraId="4B2109C3" w14:textId="77777777" w:rsidR="001E1611" w:rsidRPr="00294A6D" w:rsidRDefault="001E1611" w:rsidP="0086255B">
            <w:pPr>
              <w:pStyle w:val="ISTableText"/>
              <w:spacing w:before="60" w:after="60"/>
              <w:ind w:right="397"/>
              <w:jc w:val="right"/>
              <w:rPr>
                <w:rFonts w:asciiTheme="minorHAnsi" w:hAnsiTheme="minorHAnsi" w:cstheme="minorHAnsi"/>
                <w:szCs w:val="18"/>
              </w:rPr>
            </w:pPr>
          </w:p>
        </w:tc>
        <w:tc>
          <w:tcPr>
            <w:tcW w:w="1504" w:type="dxa"/>
            <w:shd w:val="clear" w:color="auto" w:fill="D9D9D9" w:themeFill="background1" w:themeFillShade="D9"/>
            <w:vAlign w:val="bottom"/>
          </w:tcPr>
          <w:p w14:paraId="4D805EF2" w14:textId="77777777" w:rsidR="001E1611" w:rsidRPr="00294A6D" w:rsidRDefault="001E1611" w:rsidP="0086255B">
            <w:pPr>
              <w:pStyle w:val="ISTableText"/>
              <w:spacing w:before="60" w:after="60"/>
              <w:ind w:right="397"/>
              <w:jc w:val="right"/>
              <w:rPr>
                <w:rFonts w:asciiTheme="minorHAnsi" w:hAnsiTheme="minorHAnsi" w:cstheme="minorHAnsi"/>
                <w:szCs w:val="18"/>
              </w:rPr>
            </w:pPr>
          </w:p>
        </w:tc>
        <w:tc>
          <w:tcPr>
            <w:tcW w:w="1503" w:type="dxa"/>
            <w:shd w:val="clear" w:color="auto" w:fill="D9D9D9" w:themeFill="background1" w:themeFillShade="D9"/>
            <w:vAlign w:val="bottom"/>
          </w:tcPr>
          <w:p w14:paraId="50C75356" w14:textId="77777777" w:rsidR="001E1611" w:rsidRPr="00294A6D" w:rsidRDefault="001E1611" w:rsidP="0086255B">
            <w:pPr>
              <w:pStyle w:val="ISTableText"/>
              <w:spacing w:before="60" w:after="60"/>
              <w:ind w:right="397"/>
              <w:jc w:val="right"/>
              <w:rPr>
                <w:rFonts w:asciiTheme="minorHAnsi" w:hAnsiTheme="minorHAnsi" w:cstheme="minorHAnsi"/>
                <w:szCs w:val="18"/>
              </w:rPr>
            </w:pPr>
          </w:p>
        </w:tc>
        <w:tc>
          <w:tcPr>
            <w:tcW w:w="1504" w:type="dxa"/>
            <w:shd w:val="clear" w:color="auto" w:fill="D9D9D9" w:themeFill="background1" w:themeFillShade="D9"/>
            <w:vAlign w:val="bottom"/>
          </w:tcPr>
          <w:p w14:paraId="09D4F9E4" w14:textId="77777777" w:rsidR="001E1611" w:rsidRPr="00294A6D" w:rsidRDefault="001E1611" w:rsidP="0086255B">
            <w:pPr>
              <w:pStyle w:val="ISTableText"/>
              <w:spacing w:before="60" w:after="60"/>
              <w:ind w:right="397"/>
              <w:jc w:val="right"/>
              <w:rPr>
                <w:rFonts w:asciiTheme="minorHAnsi" w:hAnsiTheme="minorHAnsi" w:cstheme="minorHAnsi"/>
                <w:szCs w:val="18"/>
              </w:rPr>
            </w:pPr>
          </w:p>
        </w:tc>
        <w:tc>
          <w:tcPr>
            <w:tcW w:w="1504" w:type="dxa"/>
            <w:shd w:val="clear" w:color="auto" w:fill="D9D9D9" w:themeFill="background1" w:themeFillShade="D9"/>
            <w:vAlign w:val="bottom"/>
          </w:tcPr>
          <w:p w14:paraId="4A8345AB" w14:textId="77777777" w:rsidR="001E1611" w:rsidRPr="00294A6D" w:rsidRDefault="001E1611" w:rsidP="0086255B">
            <w:pPr>
              <w:pStyle w:val="ISTableText"/>
              <w:spacing w:before="60" w:after="60"/>
              <w:ind w:right="397"/>
              <w:jc w:val="right"/>
              <w:rPr>
                <w:rFonts w:asciiTheme="minorHAnsi" w:hAnsiTheme="minorHAnsi" w:cstheme="minorHAnsi"/>
                <w:szCs w:val="18"/>
              </w:rPr>
            </w:pPr>
          </w:p>
        </w:tc>
      </w:tr>
      <w:tr w:rsidR="001E1611" w:rsidRPr="00294A6D" w14:paraId="0080E36D" w14:textId="77777777" w:rsidTr="00A07BB6">
        <w:tc>
          <w:tcPr>
            <w:tcW w:w="1510" w:type="dxa"/>
          </w:tcPr>
          <w:p w14:paraId="71BAE311" w14:textId="77777777" w:rsidR="001E1611" w:rsidRPr="00294A6D" w:rsidRDefault="001E1611" w:rsidP="0086255B">
            <w:pPr>
              <w:pStyle w:val="ISTableText"/>
              <w:spacing w:before="60" w:after="60"/>
              <w:rPr>
                <w:rFonts w:asciiTheme="minorHAnsi" w:hAnsiTheme="minorHAnsi" w:cstheme="minorHAnsi"/>
                <w:szCs w:val="18"/>
              </w:rPr>
            </w:pPr>
            <w:r w:rsidRPr="00294A6D">
              <w:rPr>
                <w:rFonts w:asciiTheme="minorHAnsi" w:hAnsiTheme="minorHAnsi" w:cstheme="minorHAnsi"/>
                <w:szCs w:val="18"/>
              </w:rPr>
              <w:t>Supply Total</w:t>
            </w:r>
          </w:p>
        </w:tc>
        <w:tc>
          <w:tcPr>
            <w:tcW w:w="1503" w:type="dxa"/>
            <w:vAlign w:val="bottom"/>
          </w:tcPr>
          <w:p w14:paraId="29A60195" w14:textId="0DD241BA" w:rsidR="00D3230E" w:rsidRPr="00294A6D" w:rsidRDefault="00D3230E" w:rsidP="00D3230E">
            <w:pPr>
              <w:pStyle w:val="ISTableText"/>
              <w:spacing w:before="60" w:after="60"/>
              <w:ind w:right="397"/>
              <w:jc w:val="right"/>
              <w:rPr>
                <w:rFonts w:asciiTheme="minorHAnsi" w:hAnsiTheme="minorHAnsi" w:cstheme="minorHAnsi"/>
                <w:szCs w:val="18"/>
              </w:rPr>
            </w:pPr>
            <w:r w:rsidRPr="00294A6D">
              <w:rPr>
                <w:rFonts w:asciiTheme="minorHAnsi" w:hAnsiTheme="minorHAnsi" w:cstheme="minorHAnsi"/>
                <w:szCs w:val="18"/>
              </w:rPr>
              <w:t>12,058</w:t>
            </w:r>
          </w:p>
        </w:tc>
        <w:tc>
          <w:tcPr>
            <w:tcW w:w="1504" w:type="dxa"/>
            <w:vAlign w:val="bottom"/>
          </w:tcPr>
          <w:p w14:paraId="60977516" w14:textId="0EDF08AA" w:rsidR="001E1611" w:rsidRPr="00294A6D" w:rsidRDefault="00D3230E" w:rsidP="0086255B">
            <w:pPr>
              <w:pStyle w:val="ISTableText"/>
              <w:spacing w:before="60" w:after="60"/>
              <w:ind w:right="397"/>
              <w:jc w:val="right"/>
              <w:rPr>
                <w:rFonts w:asciiTheme="minorHAnsi" w:hAnsiTheme="minorHAnsi" w:cstheme="minorHAnsi"/>
                <w:szCs w:val="18"/>
              </w:rPr>
            </w:pPr>
            <w:r w:rsidRPr="00294A6D">
              <w:rPr>
                <w:rFonts w:asciiTheme="minorHAnsi" w:hAnsiTheme="minorHAnsi" w:cstheme="minorHAnsi"/>
                <w:szCs w:val="18"/>
              </w:rPr>
              <w:t>12,548</w:t>
            </w:r>
          </w:p>
        </w:tc>
        <w:tc>
          <w:tcPr>
            <w:tcW w:w="1503" w:type="dxa"/>
            <w:vAlign w:val="bottom"/>
          </w:tcPr>
          <w:p w14:paraId="2D73C388" w14:textId="786AF6BA" w:rsidR="001E1611" w:rsidRPr="00294A6D" w:rsidRDefault="00D3230E" w:rsidP="0086255B">
            <w:pPr>
              <w:pStyle w:val="ISTableText"/>
              <w:spacing w:before="60" w:after="60"/>
              <w:ind w:right="397"/>
              <w:jc w:val="right"/>
              <w:rPr>
                <w:rFonts w:asciiTheme="minorHAnsi" w:hAnsiTheme="minorHAnsi" w:cstheme="minorHAnsi"/>
                <w:szCs w:val="18"/>
              </w:rPr>
            </w:pPr>
            <w:r w:rsidRPr="00294A6D">
              <w:rPr>
                <w:rFonts w:asciiTheme="minorHAnsi" w:hAnsiTheme="minorHAnsi" w:cstheme="minorHAnsi"/>
                <w:szCs w:val="18"/>
              </w:rPr>
              <w:t>13,064</w:t>
            </w:r>
          </w:p>
        </w:tc>
        <w:tc>
          <w:tcPr>
            <w:tcW w:w="1504" w:type="dxa"/>
            <w:vAlign w:val="bottom"/>
          </w:tcPr>
          <w:p w14:paraId="4D20F985" w14:textId="3A5011EB" w:rsidR="001E1611" w:rsidRPr="00294A6D" w:rsidRDefault="006501C3" w:rsidP="0086255B">
            <w:pPr>
              <w:pStyle w:val="ISTableText"/>
              <w:spacing w:before="60" w:after="60"/>
              <w:ind w:right="397"/>
              <w:jc w:val="right"/>
              <w:rPr>
                <w:rFonts w:asciiTheme="minorHAnsi" w:hAnsiTheme="minorHAnsi" w:cstheme="minorHAnsi"/>
                <w:szCs w:val="18"/>
              </w:rPr>
            </w:pPr>
            <w:r w:rsidRPr="00294A6D">
              <w:rPr>
                <w:rFonts w:asciiTheme="minorHAnsi" w:hAnsiTheme="minorHAnsi" w:cstheme="minorHAnsi"/>
                <w:szCs w:val="18"/>
              </w:rPr>
              <w:t>13,607</w:t>
            </w:r>
          </w:p>
        </w:tc>
        <w:tc>
          <w:tcPr>
            <w:tcW w:w="1504" w:type="dxa"/>
            <w:vAlign w:val="bottom"/>
          </w:tcPr>
          <w:p w14:paraId="0511373D" w14:textId="1425C518" w:rsidR="001E1611" w:rsidRPr="00294A6D" w:rsidRDefault="006501C3" w:rsidP="0086255B">
            <w:pPr>
              <w:pStyle w:val="ISTableText"/>
              <w:spacing w:before="60" w:after="60"/>
              <w:ind w:right="397"/>
              <w:jc w:val="right"/>
              <w:rPr>
                <w:rFonts w:asciiTheme="minorHAnsi" w:hAnsiTheme="minorHAnsi" w:cstheme="minorHAnsi"/>
                <w:szCs w:val="18"/>
              </w:rPr>
            </w:pPr>
            <w:r w:rsidRPr="00294A6D">
              <w:rPr>
                <w:rFonts w:asciiTheme="minorHAnsi" w:hAnsiTheme="minorHAnsi" w:cstheme="minorHAnsi"/>
                <w:szCs w:val="18"/>
              </w:rPr>
              <w:t>14,163</w:t>
            </w:r>
          </w:p>
        </w:tc>
      </w:tr>
      <w:tr w:rsidR="001E1611" w:rsidRPr="00294A6D" w14:paraId="431B76BF" w14:textId="77777777" w:rsidTr="00A07BB6">
        <w:tc>
          <w:tcPr>
            <w:tcW w:w="1510" w:type="dxa"/>
            <w:tcBorders>
              <w:bottom w:val="single" w:sz="4" w:space="0" w:color="BFBFBF" w:themeColor="background1" w:themeShade="BF"/>
            </w:tcBorders>
          </w:tcPr>
          <w:p w14:paraId="6BA16BEA" w14:textId="77777777" w:rsidR="001E1611" w:rsidRPr="00294A6D" w:rsidRDefault="001E1611" w:rsidP="0086255B">
            <w:pPr>
              <w:pStyle w:val="ISTableText"/>
              <w:spacing w:before="60" w:after="60"/>
              <w:rPr>
                <w:rFonts w:asciiTheme="minorHAnsi" w:hAnsiTheme="minorHAnsi" w:cstheme="minorHAnsi"/>
                <w:szCs w:val="18"/>
              </w:rPr>
            </w:pPr>
            <w:r w:rsidRPr="00294A6D">
              <w:rPr>
                <w:rFonts w:asciiTheme="minorHAnsi" w:hAnsiTheme="minorHAnsi" w:cstheme="minorHAnsi"/>
                <w:szCs w:val="18"/>
              </w:rPr>
              <w:t>Demand Total</w:t>
            </w:r>
          </w:p>
        </w:tc>
        <w:tc>
          <w:tcPr>
            <w:tcW w:w="1503" w:type="dxa"/>
            <w:tcBorders>
              <w:bottom w:val="single" w:sz="4" w:space="0" w:color="BFBFBF" w:themeColor="background1" w:themeShade="BF"/>
            </w:tcBorders>
            <w:vAlign w:val="bottom"/>
          </w:tcPr>
          <w:p w14:paraId="2AB5ED5E" w14:textId="61464BDD" w:rsidR="001E1611" w:rsidRPr="00294A6D" w:rsidRDefault="00D3230E" w:rsidP="0086255B">
            <w:pPr>
              <w:pStyle w:val="ISTableText"/>
              <w:spacing w:before="60" w:after="60"/>
              <w:ind w:right="397"/>
              <w:jc w:val="right"/>
              <w:rPr>
                <w:rFonts w:asciiTheme="minorHAnsi" w:hAnsiTheme="minorHAnsi" w:cstheme="minorHAnsi"/>
                <w:szCs w:val="18"/>
              </w:rPr>
            </w:pPr>
            <w:r w:rsidRPr="00294A6D">
              <w:rPr>
                <w:rFonts w:asciiTheme="minorHAnsi" w:hAnsiTheme="minorHAnsi" w:cstheme="minorHAnsi"/>
                <w:szCs w:val="18"/>
              </w:rPr>
              <w:t>12,058</w:t>
            </w:r>
          </w:p>
        </w:tc>
        <w:tc>
          <w:tcPr>
            <w:tcW w:w="1504" w:type="dxa"/>
            <w:tcBorders>
              <w:bottom w:val="single" w:sz="4" w:space="0" w:color="BFBFBF" w:themeColor="background1" w:themeShade="BF"/>
            </w:tcBorders>
            <w:vAlign w:val="bottom"/>
          </w:tcPr>
          <w:p w14:paraId="205FE9D2" w14:textId="5E2FEC31" w:rsidR="001E1611" w:rsidRPr="00294A6D" w:rsidRDefault="00D3230E" w:rsidP="0086255B">
            <w:pPr>
              <w:pStyle w:val="ISTableText"/>
              <w:spacing w:before="60" w:after="60"/>
              <w:ind w:right="397"/>
              <w:jc w:val="right"/>
              <w:rPr>
                <w:rFonts w:asciiTheme="minorHAnsi" w:hAnsiTheme="minorHAnsi" w:cstheme="minorHAnsi"/>
                <w:szCs w:val="18"/>
              </w:rPr>
            </w:pPr>
            <w:r w:rsidRPr="00294A6D">
              <w:rPr>
                <w:rFonts w:asciiTheme="minorHAnsi" w:hAnsiTheme="minorHAnsi" w:cstheme="minorHAnsi"/>
                <w:szCs w:val="18"/>
              </w:rPr>
              <w:t>12,548</w:t>
            </w:r>
          </w:p>
        </w:tc>
        <w:tc>
          <w:tcPr>
            <w:tcW w:w="1503" w:type="dxa"/>
            <w:tcBorders>
              <w:bottom w:val="single" w:sz="4" w:space="0" w:color="BFBFBF" w:themeColor="background1" w:themeShade="BF"/>
            </w:tcBorders>
            <w:vAlign w:val="bottom"/>
          </w:tcPr>
          <w:p w14:paraId="1A99D962" w14:textId="2EF6B52B" w:rsidR="001E1611" w:rsidRPr="00294A6D" w:rsidRDefault="00D3230E" w:rsidP="0086255B">
            <w:pPr>
              <w:pStyle w:val="ISTableText"/>
              <w:spacing w:before="60" w:after="60"/>
              <w:ind w:right="397"/>
              <w:jc w:val="right"/>
              <w:rPr>
                <w:rFonts w:asciiTheme="minorHAnsi" w:hAnsiTheme="minorHAnsi" w:cstheme="minorHAnsi"/>
                <w:szCs w:val="18"/>
              </w:rPr>
            </w:pPr>
            <w:r w:rsidRPr="00294A6D">
              <w:rPr>
                <w:rFonts w:asciiTheme="minorHAnsi" w:hAnsiTheme="minorHAnsi" w:cstheme="minorHAnsi"/>
                <w:szCs w:val="18"/>
              </w:rPr>
              <w:t>13,064</w:t>
            </w:r>
          </w:p>
        </w:tc>
        <w:tc>
          <w:tcPr>
            <w:tcW w:w="1504" w:type="dxa"/>
            <w:tcBorders>
              <w:bottom w:val="single" w:sz="4" w:space="0" w:color="BFBFBF" w:themeColor="background1" w:themeShade="BF"/>
            </w:tcBorders>
            <w:vAlign w:val="bottom"/>
          </w:tcPr>
          <w:p w14:paraId="1B355201" w14:textId="3057DC8E" w:rsidR="001E1611" w:rsidRPr="00294A6D" w:rsidRDefault="006501C3" w:rsidP="0086255B">
            <w:pPr>
              <w:pStyle w:val="ISTableText"/>
              <w:spacing w:before="60" w:after="60"/>
              <w:ind w:right="397"/>
              <w:jc w:val="right"/>
              <w:rPr>
                <w:rFonts w:asciiTheme="minorHAnsi" w:hAnsiTheme="minorHAnsi" w:cstheme="minorHAnsi"/>
                <w:szCs w:val="18"/>
              </w:rPr>
            </w:pPr>
            <w:r w:rsidRPr="00294A6D">
              <w:rPr>
                <w:rFonts w:asciiTheme="minorHAnsi" w:hAnsiTheme="minorHAnsi" w:cstheme="minorHAnsi"/>
                <w:szCs w:val="18"/>
              </w:rPr>
              <w:t>13,607</w:t>
            </w:r>
          </w:p>
        </w:tc>
        <w:tc>
          <w:tcPr>
            <w:tcW w:w="1504" w:type="dxa"/>
            <w:tcBorders>
              <w:bottom w:val="single" w:sz="4" w:space="0" w:color="BFBFBF" w:themeColor="background1" w:themeShade="BF"/>
            </w:tcBorders>
            <w:vAlign w:val="bottom"/>
          </w:tcPr>
          <w:p w14:paraId="6797BC30" w14:textId="3E5574C3" w:rsidR="001E1611" w:rsidRPr="00294A6D" w:rsidRDefault="006501C3" w:rsidP="0086255B">
            <w:pPr>
              <w:pStyle w:val="ISTableText"/>
              <w:spacing w:before="60" w:after="60"/>
              <w:ind w:right="397"/>
              <w:jc w:val="right"/>
              <w:rPr>
                <w:rFonts w:asciiTheme="minorHAnsi" w:hAnsiTheme="minorHAnsi" w:cstheme="minorHAnsi"/>
                <w:szCs w:val="18"/>
              </w:rPr>
            </w:pPr>
            <w:r w:rsidRPr="00294A6D">
              <w:rPr>
                <w:rFonts w:asciiTheme="minorHAnsi" w:hAnsiTheme="minorHAnsi" w:cstheme="minorHAnsi"/>
                <w:szCs w:val="18"/>
              </w:rPr>
              <w:t>14,163</w:t>
            </w:r>
          </w:p>
        </w:tc>
      </w:tr>
      <w:tr w:rsidR="001E1611" w:rsidRPr="00294A6D" w14:paraId="735AB2AC" w14:textId="77777777" w:rsidTr="00A07BB6">
        <w:tc>
          <w:tcPr>
            <w:tcW w:w="1510" w:type="dxa"/>
            <w:tcBorders>
              <w:top w:val="single" w:sz="4" w:space="0" w:color="BFBFBF" w:themeColor="background1" w:themeShade="BF"/>
            </w:tcBorders>
          </w:tcPr>
          <w:p w14:paraId="0FA75A27" w14:textId="77777777" w:rsidR="001E1611" w:rsidRPr="00294A6D" w:rsidRDefault="001E1611" w:rsidP="0086255B">
            <w:pPr>
              <w:pStyle w:val="ISTableText"/>
              <w:spacing w:before="60" w:after="60"/>
              <w:rPr>
                <w:rFonts w:asciiTheme="minorHAnsi" w:hAnsiTheme="minorHAnsi" w:cstheme="minorHAnsi"/>
                <w:b/>
                <w:bCs w:val="0"/>
                <w:szCs w:val="18"/>
              </w:rPr>
            </w:pPr>
            <w:r w:rsidRPr="00294A6D">
              <w:rPr>
                <w:rFonts w:asciiTheme="minorHAnsi" w:hAnsiTheme="minorHAnsi" w:cstheme="minorHAnsi"/>
                <w:b/>
                <w:bCs w:val="0"/>
                <w:szCs w:val="18"/>
              </w:rPr>
              <w:t>Difference</w:t>
            </w:r>
          </w:p>
        </w:tc>
        <w:tc>
          <w:tcPr>
            <w:tcW w:w="1503" w:type="dxa"/>
            <w:tcBorders>
              <w:top w:val="single" w:sz="4" w:space="0" w:color="BFBFBF" w:themeColor="background1" w:themeShade="BF"/>
            </w:tcBorders>
            <w:vAlign w:val="bottom"/>
          </w:tcPr>
          <w:p w14:paraId="223A38B3" w14:textId="0B59C7EF" w:rsidR="001E1611" w:rsidRPr="00294A6D" w:rsidRDefault="00D3230E" w:rsidP="0086255B">
            <w:pPr>
              <w:pStyle w:val="ISTableText"/>
              <w:spacing w:before="60" w:after="60"/>
              <w:ind w:right="397"/>
              <w:jc w:val="right"/>
              <w:rPr>
                <w:rFonts w:asciiTheme="minorHAnsi" w:hAnsiTheme="minorHAnsi" w:cstheme="minorHAnsi"/>
                <w:b/>
                <w:bCs w:val="0"/>
                <w:szCs w:val="18"/>
              </w:rPr>
            </w:pPr>
            <w:r w:rsidRPr="00294A6D">
              <w:rPr>
                <w:rFonts w:asciiTheme="minorHAnsi" w:hAnsiTheme="minorHAnsi" w:cstheme="minorHAnsi"/>
                <w:b/>
                <w:bCs w:val="0"/>
                <w:szCs w:val="18"/>
              </w:rPr>
              <w:t>0</w:t>
            </w:r>
          </w:p>
        </w:tc>
        <w:tc>
          <w:tcPr>
            <w:tcW w:w="1504" w:type="dxa"/>
            <w:tcBorders>
              <w:top w:val="single" w:sz="4" w:space="0" w:color="BFBFBF" w:themeColor="background1" w:themeShade="BF"/>
            </w:tcBorders>
            <w:vAlign w:val="bottom"/>
          </w:tcPr>
          <w:p w14:paraId="2E9DFD26" w14:textId="0CA6D353" w:rsidR="001E1611" w:rsidRPr="00294A6D" w:rsidRDefault="00D3230E" w:rsidP="0086255B">
            <w:pPr>
              <w:pStyle w:val="ISTableText"/>
              <w:spacing w:before="60" w:after="60"/>
              <w:ind w:right="397"/>
              <w:jc w:val="right"/>
              <w:rPr>
                <w:rFonts w:asciiTheme="minorHAnsi" w:hAnsiTheme="minorHAnsi" w:cstheme="minorHAnsi"/>
                <w:b/>
                <w:bCs w:val="0"/>
                <w:szCs w:val="18"/>
              </w:rPr>
            </w:pPr>
            <w:r w:rsidRPr="00294A6D">
              <w:rPr>
                <w:rFonts w:asciiTheme="minorHAnsi" w:hAnsiTheme="minorHAnsi" w:cstheme="minorHAnsi"/>
                <w:b/>
                <w:bCs w:val="0"/>
                <w:szCs w:val="18"/>
              </w:rPr>
              <w:t>0</w:t>
            </w:r>
          </w:p>
        </w:tc>
        <w:tc>
          <w:tcPr>
            <w:tcW w:w="1503" w:type="dxa"/>
            <w:tcBorders>
              <w:top w:val="single" w:sz="4" w:space="0" w:color="BFBFBF" w:themeColor="background1" w:themeShade="BF"/>
            </w:tcBorders>
            <w:vAlign w:val="bottom"/>
          </w:tcPr>
          <w:p w14:paraId="7E0577A3" w14:textId="2F5D9BF1" w:rsidR="001E1611" w:rsidRPr="00294A6D" w:rsidRDefault="00D3230E" w:rsidP="0086255B">
            <w:pPr>
              <w:pStyle w:val="ISTableText"/>
              <w:spacing w:before="60" w:after="60"/>
              <w:ind w:right="397"/>
              <w:jc w:val="right"/>
              <w:rPr>
                <w:rFonts w:asciiTheme="minorHAnsi" w:hAnsiTheme="minorHAnsi" w:cstheme="minorHAnsi"/>
                <w:b/>
                <w:bCs w:val="0"/>
                <w:szCs w:val="18"/>
              </w:rPr>
            </w:pPr>
            <w:r w:rsidRPr="00294A6D">
              <w:rPr>
                <w:rFonts w:asciiTheme="minorHAnsi" w:hAnsiTheme="minorHAnsi" w:cstheme="minorHAnsi"/>
                <w:b/>
                <w:bCs w:val="0"/>
                <w:szCs w:val="18"/>
              </w:rPr>
              <w:t>0</w:t>
            </w:r>
          </w:p>
        </w:tc>
        <w:tc>
          <w:tcPr>
            <w:tcW w:w="1504" w:type="dxa"/>
            <w:tcBorders>
              <w:top w:val="single" w:sz="4" w:space="0" w:color="BFBFBF" w:themeColor="background1" w:themeShade="BF"/>
            </w:tcBorders>
            <w:vAlign w:val="bottom"/>
          </w:tcPr>
          <w:p w14:paraId="32CBAA71" w14:textId="1181D136" w:rsidR="001E1611" w:rsidRPr="00294A6D" w:rsidRDefault="006501C3" w:rsidP="0086255B">
            <w:pPr>
              <w:pStyle w:val="ISTableText"/>
              <w:spacing w:before="60" w:after="60"/>
              <w:ind w:right="397"/>
              <w:jc w:val="right"/>
              <w:rPr>
                <w:rFonts w:asciiTheme="minorHAnsi" w:hAnsiTheme="minorHAnsi" w:cstheme="minorHAnsi"/>
                <w:b/>
                <w:bCs w:val="0"/>
                <w:szCs w:val="18"/>
              </w:rPr>
            </w:pPr>
            <w:r w:rsidRPr="00294A6D">
              <w:rPr>
                <w:rFonts w:asciiTheme="minorHAnsi" w:hAnsiTheme="minorHAnsi" w:cstheme="minorHAnsi"/>
                <w:b/>
                <w:bCs w:val="0"/>
                <w:szCs w:val="18"/>
              </w:rPr>
              <w:t>0</w:t>
            </w:r>
          </w:p>
        </w:tc>
        <w:tc>
          <w:tcPr>
            <w:tcW w:w="1504" w:type="dxa"/>
            <w:tcBorders>
              <w:top w:val="single" w:sz="4" w:space="0" w:color="BFBFBF" w:themeColor="background1" w:themeShade="BF"/>
            </w:tcBorders>
            <w:vAlign w:val="bottom"/>
          </w:tcPr>
          <w:p w14:paraId="4A567F33" w14:textId="2F37DAE9" w:rsidR="001E1611" w:rsidRPr="00294A6D" w:rsidRDefault="006501C3" w:rsidP="0086255B">
            <w:pPr>
              <w:pStyle w:val="ISTableText"/>
              <w:spacing w:before="60" w:after="60"/>
              <w:ind w:right="397"/>
              <w:jc w:val="right"/>
              <w:rPr>
                <w:rFonts w:asciiTheme="minorHAnsi" w:hAnsiTheme="minorHAnsi" w:cstheme="minorHAnsi"/>
                <w:b/>
                <w:bCs w:val="0"/>
                <w:szCs w:val="18"/>
              </w:rPr>
            </w:pPr>
            <w:r w:rsidRPr="00294A6D">
              <w:rPr>
                <w:rFonts w:asciiTheme="minorHAnsi" w:hAnsiTheme="minorHAnsi" w:cstheme="minorHAnsi"/>
                <w:b/>
                <w:bCs w:val="0"/>
                <w:szCs w:val="18"/>
              </w:rPr>
              <w:t>0</w:t>
            </w:r>
          </w:p>
        </w:tc>
      </w:tr>
      <w:tr w:rsidR="004B3F91" w:rsidRPr="00294A6D" w14:paraId="06733AAC" w14:textId="77777777" w:rsidTr="00A07BB6">
        <w:tc>
          <w:tcPr>
            <w:tcW w:w="1510" w:type="dxa"/>
            <w:shd w:val="clear" w:color="auto" w:fill="D9D9D9" w:themeFill="background1" w:themeFillShade="D9"/>
          </w:tcPr>
          <w:p w14:paraId="295D9048" w14:textId="2912CBF6" w:rsidR="004B3F91" w:rsidRPr="00294A6D" w:rsidRDefault="004B3F91" w:rsidP="0086255B">
            <w:pPr>
              <w:pStyle w:val="ISTableText"/>
              <w:spacing w:before="60" w:after="60"/>
              <w:rPr>
                <w:rFonts w:asciiTheme="minorHAnsi" w:hAnsiTheme="minorHAnsi" w:cstheme="minorHAnsi"/>
                <w:b/>
                <w:bCs w:val="0"/>
                <w:szCs w:val="18"/>
              </w:rPr>
            </w:pPr>
            <w:r w:rsidRPr="00294A6D">
              <w:rPr>
                <w:rFonts w:asciiTheme="minorHAnsi" w:hAnsiTheme="minorHAnsi" w:cstheme="minorHAnsi"/>
                <w:b/>
                <w:bCs w:val="0"/>
                <w:szCs w:val="18"/>
              </w:rPr>
              <w:t xml:space="preserve">Single Dry Year </w:t>
            </w:r>
          </w:p>
        </w:tc>
        <w:tc>
          <w:tcPr>
            <w:tcW w:w="1503" w:type="dxa"/>
            <w:shd w:val="clear" w:color="auto" w:fill="D9D9D9" w:themeFill="background1" w:themeFillShade="D9"/>
            <w:vAlign w:val="bottom"/>
          </w:tcPr>
          <w:p w14:paraId="0574EEC1" w14:textId="77777777" w:rsidR="004B3F91" w:rsidRPr="00294A6D" w:rsidRDefault="004B3F91" w:rsidP="0086255B">
            <w:pPr>
              <w:pStyle w:val="ISTableText"/>
              <w:spacing w:before="60" w:after="60"/>
              <w:ind w:right="397"/>
              <w:jc w:val="right"/>
              <w:rPr>
                <w:rFonts w:asciiTheme="minorHAnsi" w:hAnsiTheme="minorHAnsi" w:cstheme="minorHAnsi"/>
                <w:szCs w:val="18"/>
              </w:rPr>
            </w:pPr>
          </w:p>
        </w:tc>
        <w:tc>
          <w:tcPr>
            <w:tcW w:w="1504" w:type="dxa"/>
            <w:shd w:val="clear" w:color="auto" w:fill="D9D9D9" w:themeFill="background1" w:themeFillShade="D9"/>
            <w:vAlign w:val="bottom"/>
          </w:tcPr>
          <w:p w14:paraId="71F8185C" w14:textId="77777777" w:rsidR="004B3F91" w:rsidRPr="00294A6D" w:rsidRDefault="004B3F91" w:rsidP="0086255B">
            <w:pPr>
              <w:pStyle w:val="ISTableText"/>
              <w:spacing w:before="60" w:after="60"/>
              <w:ind w:right="397"/>
              <w:jc w:val="right"/>
              <w:rPr>
                <w:rFonts w:asciiTheme="minorHAnsi" w:hAnsiTheme="minorHAnsi" w:cstheme="minorHAnsi"/>
                <w:szCs w:val="18"/>
              </w:rPr>
            </w:pPr>
          </w:p>
        </w:tc>
        <w:tc>
          <w:tcPr>
            <w:tcW w:w="1503" w:type="dxa"/>
            <w:shd w:val="clear" w:color="auto" w:fill="D9D9D9" w:themeFill="background1" w:themeFillShade="D9"/>
            <w:vAlign w:val="bottom"/>
          </w:tcPr>
          <w:p w14:paraId="55CB6EBE" w14:textId="77777777" w:rsidR="004B3F91" w:rsidRPr="00294A6D" w:rsidRDefault="004B3F91" w:rsidP="0086255B">
            <w:pPr>
              <w:pStyle w:val="ISTableText"/>
              <w:spacing w:before="60" w:after="60"/>
              <w:ind w:right="397"/>
              <w:jc w:val="right"/>
              <w:rPr>
                <w:rFonts w:asciiTheme="minorHAnsi" w:hAnsiTheme="minorHAnsi" w:cstheme="minorHAnsi"/>
                <w:szCs w:val="18"/>
              </w:rPr>
            </w:pPr>
          </w:p>
        </w:tc>
        <w:tc>
          <w:tcPr>
            <w:tcW w:w="1504" w:type="dxa"/>
            <w:shd w:val="clear" w:color="auto" w:fill="D9D9D9" w:themeFill="background1" w:themeFillShade="D9"/>
            <w:vAlign w:val="bottom"/>
          </w:tcPr>
          <w:p w14:paraId="78644975" w14:textId="77777777" w:rsidR="004B3F91" w:rsidRPr="00294A6D" w:rsidRDefault="004B3F91" w:rsidP="0086255B">
            <w:pPr>
              <w:pStyle w:val="ISTableText"/>
              <w:spacing w:before="60" w:after="60"/>
              <w:ind w:right="397"/>
              <w:jc w:val="right"/>
              <w:rPr>
                <w:rFonts w:asciiTheme="minorHAnsi" w:hAnsiTheme="minorHAnsi" w:cstheme="minorHAnsi"/>
                <w:szCs w:val="18"/>
              </w:rPr>
            </w:pPr>
          </w:p>
        </w:tc>
        <w:tc>
          <w:tcPr>
            <w:tcW w:w="1504" w:type="dxa"/>
            <w:shd w:val="clear" w:color="auto" w:fill="D9D9D9" w:themeFill="background1" w:themeFillShade="D9"/>
            <w:vAlign w:val="bottom"/>
          </w:tcPr>
          <w:p w14:paraId="3A6316EC" w14:textId="77777777" w:rsidR="004B3F91" w:rsidRPr="00294A6D" w:rsidRDefault="004B3F91" w:rsidP="0086255B">
            <w:pPr>
              <w:pStyle w:val="ISTableText"/>
              <w:spacing w:before="60" w:after="60"/>
              <w:ind w:right="397"/>
              <w:jc w:val="right"/>
              <w:rPr>
                <w:rFonts w:asciiTheme="minorHAnsi" w:hAnsiTheme="minorHAnsi" w:cstheme="minorHAnsi"/>
                <w:szCs w:val="18"/>
              </w:rPr>
            </w:pPr>
          </w:p>
        </w:tc>
      </w:tr>
      <w:tr w:rsidR="004B3F91" w:rsidRPr="00294A6D" w14:paraId="4568C14F" w14:textId="77777777" w:rsidTr="00A07BB6">
        <w:tc>
          <w:tcPr>
            <w:tcW w:w="1510" w:type="dxa"/>
          </w:tcPr>
          <w:p w14:paraId="2C1F5D3B" w14:textId="7F2BA443" w:rsidR="004B3F91" w:rsidRPr="00294A6D" w:rsidRDefault="004B3F91" w:rsidP="0086255B">
            <w:pPr>
              <w:pStyle w:val="ISTableText"/>
              <w:spacing w:before="60" w:after="60"/>
              <w:rPr>
                <w:rFonts w:asciiTheme="minorHAnsi" w:hAnsiTheme="minorHAnsi" w:cstheme="minorHAnsi"/>
                <w:szCs w:val="18"/>
              </w:rPr>
            </w:pPr>
            <w:r w:rsidRPr="00294A6D">
              <w:rPr>
                <w:rFonts w:asciiTheme="minorHAnsi" w:hAnsiTheme="minorHAnsi" w:cstheme="minorHAnsi"/>
                <w:szCs w:val="18"/>
              </w:rPr>
              <w:t xml:space="preserve">Supply Total </w:t>
            </w:r>
          </w:p>
        </w:tc>
        <w:tc>
          <w:tcPr>
            <w:tcW w:w="1503" w:type="dxa"/>
            <w:vAlign w:val="bottom"/>
          </w:tcPr>
          <w:p w14:paraId="4A487D32" w14:textId="0BD46D56" w:rsidR="004B3F91" w:rsidRPr="00294A6D" w:rsidRDefault="008B6EC3" w:rsidP="0086255B">
            <w:pPr>
              <w:pStyle w:val="ISTableText"/>
              <w:spacing w:before="60" w:after="60"/>
              <w:ind w:right="397"/>
              <w:jc w:val="right"/>
              <w:rPr>
                <w:rFonts w:asciiTheme="minorHAnsi" w:hAnsiTheme="minorHAnsi" w:cstheme="minorHAnsi"/>
                <w:szCs w:val="18"/>
              </w:rPr>
            </w:pPr>
            <w:r w:rsidRPr="00294A6D">
              <w:rPr>
                <w:rFonts w:asciiTheme="minorHAnsi" w:hAnsiTheme="minorHAnsi" w:cstheme="minorHAnsi"/>
                <w:szCs w:val="18"/>
              </w:rPr>
              <w:t>9,646</w:t>
            </w:r>
          </w:p>
        </w:tc>
        <w:tc>
          <w:tcPr>
            <w:tcW w:w="1504" w:type="dxa"/>
            <w:vAlign w:val="bottom"/>
          </w:tcPr>
          <w:p w14:paraId="59F7BC0E" w14:textId="334E5CD1" w:rsidR="004B3F91" w:rsidRPr="00294A6D" w:rsidRDefault="008B6EC3" w:rsidP="0086255B">
            <w:pPr>
              <w:pStyle w:val="ISTableText"/>
              <w:spacing w:before="60" w:after="60"/>
              <w:ind w:right="397"/>
              <w:jc w:val="right"/>
              <w:rPr>
                <w:rFonts w:asciiTheme="minorHAnsi" w:hAnsiTheme="minorHAnsi" w:cstheme="minorHAnsi"/>
                <w:szCs w:val="18"/>
              </w:rPr>
            </w:pPr>
            <w:r w:rsidRPr="00294A6D">
              <w:rPr>
                <w:rFonts w:asciiTheme="minorHAnsi" w:hAnsiTheme="minorHAnsi" w:cstheme="minorHAnsi"/>
                <w:szCs w:val="18"/>
              </w:rPr>
              <w:t>10,038</w:t>
            </w:r>
          </w:p>
        </w:tc>
        <w:tc>
          <w:tcPr>
            <w:tcW w:w="1503" w:type="dxa"/>
            <w:vAlign w:val="bottom"/>
          </w:tcPr>
          <w:p w14:paraId="0FF65D93" w14:textId="2BB0D823" w:rsidR="004B3F91" w:rsidRPr="00294A6D" w:rsidRDefault="008B6EC3" w:rsidP="0086255B">
            <w:pPr>
              <w:pStyle w:val="ISTableText"/>
              <w:spacing w:before="60" w:after="60"/>
              <w:ind w:right="397"/>
              <w:jc w:val="right"/>
              <w:rPr>
                <w:rFonts w:asciiTheme="minorHAnsi" w:hAnsiTheme="minorHAnsi" w:cstheme="minorHAnsi"/>
                <w:szCs w:val="18"/>
              </w:rPr>
            </w:pPr>
            <w:r w:rsidRPr="00294A6D">
              <w:rPr>
                <w:rFonts w:asciiTheme="minorHAnsi" w:hAnsiTheme="minorHAnsi" w:cstheme="minorHAnsi"/>
                <w:szCs w:val="18"/>
              </w:rPr>
              <w:t>10,451</w:t>
            </w:r>
          </w:p>
        </w:tc>
        <w:tc>
          <w:tcPr>
            <w:tcW w:w="1504" w:type="dxa"/>
            <w:vAlign w:val="bottom"/>
          </w:tcPr>
          <w:p w14:paraId="797086DF" w14:textId="2D94C954" w:rsidR="004B3F91" w:rsidRPr="00294A6D" w:rsidRDefault="008B6EC3" w:rsidP="0086255B">
            <w:pPr>
              <w:pStyle w:val="ISTableText"/>
              <w:spacing w:before="60" w:after="60"/>
              <w:ind w:right="397"/>
              <w:jc w:val="right"/>
              <w:rPr>
                <w:rFonts w:asciiTheme="minorHAnsi" w:hAnsiTheme="minorHAnsi" w:cstheme="minorHAnsi"/>
                <w:szCs w:val="18"/>
              </w:rPr>
            </w:pPr>
            <w:r w:rsidRPr="00294A6D">
              <w:rPr>
                <w:rFonts w:asciiTheme="minorHAnsi" w:hAnsiTheme="minorHAnsi" w:cstheme="minorHAnsi"/>
                <w:szCs w:val="18"/>
              </w:rPr>
              <w:t>10,886</w:t>
            </w:r>
          </w:p>
        </w:tc>
        <w:tc>
          <w:tcPr>
            <w:tcW w:w="1504" w:type="dxa"/>
            <w:vAlign w:val="bottom"/>
          </w:tcPr>
          <w:p w14:paraId="6CF31B3C" w14:textId="5447AB91" w:rsidR="004B3F91" w:rsidRPr="00294A6D" w:rsidRDefault="008B6EC3" w:rsidP="0086255B">
            <w:pPr>
              <w:pStyle w:val="ISTableText"/>
              <w:spacing w:before="60" w:after="60"/>
              <w:ind w:right="397"/>
              <w:jc w:val="right"/>
              <w:rPr>
                <w:rFonts w:asciiTheme="minorHAnsi" w:hAnsiTheme="minorHAnsi" w:cstheme="minorHAnsi"/>
                <w:szCs w:val="18"/>
              </w:rPr>
            </w:pPr>
            <w:r w:rsidRPr="00294A6D">
              <w:rPr>
                <w:rFonts w:asciiTheme="minorHAnsi" w:hAnsiTheme="minorHAnsi" w:cstheme="minorHAnsi"/>
                <w:szCs w:val="18"/>
              </w:rPr>
              <w:t>11,330</w:t>
            </w:r>
          </w:p>
        </w:tc>
      </w:tr>
      <w:tr w:rsidR="006501C3" w:rsidRPr="00294A6D" w14:paraId="12F17F70" w14:textId="77777777" w:rsidTr="00A07BB6">
        <w:tc>
          <w:tcPr>
            <w:tcW w:w="1510" w:type="dxa"/>
            <w:tcBorders>
              <w:bottom w:val="single" w:sz="4" w:space="0" w:color="BFBFBF" w:themeColor="background1" w:themeShade="BF"/>
            </w:tcBorders>
          </w:tcPr>
          <w:p w14:paraId="0148789C" w14:textId="207DB314" w:rsidR="006501C3" w:rsidRPr="00294A6D" w:rsidRDefault="006501C3" w:rsidP="006501C3">
            <w:pPr>
              <w:pStyle w:val="ISTableText"/>
              <w:spacing w:before="60" w:after="60"/>
              <w:rPr>
                <w:rFonts w:asciiTheme="minorHAnsi" w:hAnsiTheme="minorHAnsi" w:cstheme="minorHAnsi"/>
                <w:szCs w:val="18"/>
              </w:rPr>
            </w:pPr>
            <w:r w:rsidRPr="00294A6D">
              <w:rPr>
                <w:rFonts w:asciiTheme="minorHAnsi" w:hAnsiTheme="minorHAnsi" w:cstheme="minorHAnsi"/>
                <w:szCs w:val="18"/>
              </w:rPr>
              <w:t xml:space="preserve">Demand Total </w:t>
            </w:r>
          </w:p>
        </w:tc>
        <w:tc>
          <w:tcPr>
            <w:tcW w:w="1503" w:type="dxa"/>
            <w:tcBorders>
              <w:bottom w:val="single" w:sz="4" w:space="0" w:color="BFBFBF" w:themeColor="background1" w:themeShade="BF"/>
            </w:tcBorders>
            <w:vAlign w:val="bottom"/>
          </w:tcPr>
          <w:p w14:paraId="5447AFF8" w14:textId="73906DBF" w:rsidR="006501C3" w:rsidRPr="00294A6D" w:rsidRDefault="006501C3" w:rsidP="006501C3">
            <w:pPr>
              <w:pStyle w:val="ISTableText"/>
              <w:spacing w:before="60" w:after="60"/>
              <w:ind w:right="397"/>
              <w:jc w:val="right"/>
              <w:rPr>
                <w:rFonts w:asciiTheme="minorHAnsi" w:hAnsiTheme="minorHAnsi" w:cstheme="minorHAnsi"/>
                <w:szCs w:val="18"/>
              </w:rPr>
            </w:pPr>
            <w:r w:rsidRPr="00294A6D">
              <w:rPr>
                <w:rFonts w:asciiTheme="minorHAnsi" w:hAnsiTheme="minorHAnsi" w:cstheme="minorHAnsi"/>
                <w:szCs w:val="18"/>
              </w:rPr>
              <w:t>12,058</w:t>
            </w:r>
          </w:p>
        </w:tc>
        <w:tc>
          <w:tcPr>
            <w:tcW w:w="1504" w:type="dxa"/>
            <w:tcBorders>
              <w:bottom w:val="single" w:sz="4" w:space="0" w:color="BFBFBF" w:themeColor="background1" w:themeShade="BF"/>
            </w:tcBorders>
            <w:vAlign w:val="bottom"/>
          </w:tcPr>
          <w:p w14:paraId="5D3698E1" w14:textId="0E3B61EE" w:rsidR="006501C3" w:rsidRPr="00294A6D" w:rsidRDefault="006501C3" w:rsidP="006501C3">
            <w:pPr>
              <w:pStyle w:val="ISTableText"/>
              <w:spacing w:before="60" w:after="60"/>
              <w:ind w:right="397"/>
              <w:jc w:val="right"/>
              <w:rPr>
                <w:rFonts w:asciiTheme="minorHAnsi" w:hAnsiTheme="minorHAnsi" w:cstheme="minorHAnsi"/>
                <w:szCs w:val="18"/>
              </w:rPr>
            </w:pPr>
            <w:r w:rsidRPr="00294A6D">
              <w:rPr>
                <w:rFonts w:asciiTheme="minorHAnsi" w:hAnsiTheme="minorHAnsi" w:cstheme="minorHAnsi"/>
                <w:szCs w:val="18"/>
              </w:rPr>
              <w:t>12,548</w:t>
            </w:r>
          </w:p>
        </w:tc>
        <w:tc>
          <w:tcPr>
            <w:tcW w:w="1503" w:type="dxa"/>
            <w:tcBorders>
              <w:bottom w:val="single" w:sz="4" w:space="0" w:color="BFBFBF" w:themeColor="background1" w:themeShade="BF"/>
            </w:tcBorders>
            <w:vAlign w:val="bottom"/>
          </w:tcPr>
          <w:p w14:paraId="1293E89A" w14:textId="1728B23E" w:rsidR="006501C3" w:rsidRPr="00294A6D" w:rsidRDefault="006501C3" w:rsidP="006501C3">
            <w:pPr>
              <w:pStyle w:val="ISTableText"/>
              <w:spacing w:before="60" w:after="60"/>
              <w:ind w:right="397"/>
              <w:jc w:val="right"/>
              <w:rPr>
                <w:rFonts w:asciiTheme="minorHAnsi" w:hAnsiTheme="minorHAnsi" w:cstheme="minorHAnsi"/>
                <w:szCs w:val="18"/>
              </w:rPr>
            </w:pPr>
            <w:r w:rsidRPr="00294A6D">
              <w:rPr>
                <w:rFonts w:asciiTheme="minorHAnsi" w:hAnsiTheme="minorHAnsi" w:cstheme="minorHAnsi"/>
                <w:szCs w:val="18"/>
              </w:rPr>
              <w:t>13,064</w:t>
            </w:r>
          </w:p>
        </w:tc>
        <w:tc>
          <w:tcPr>
            <w:tcW w:w="1504" w:type="dxa"/>
            <w:tcBorders>
              <w:bottom w:val="single" w:sz="4" w:space="0" w:color="BFBFBF" w:themeColor="background1" w:themeShade="BF"/>
            </w:tcBorders>
            <w:vAlign w:val="bottom"/>
          </w:tcPr>
          <w:p w14:paraId="4F4F0EE5" w14:textId="0F4AB2A4" w:rsidR="006501C3" w:rsidRPr="00294A6D" w:rsidRDefault="006501C3" w:rsidP="006501C3">
            <w:pPr>
              <w:pStyle w:val="ISTableText"/>
              <w:spacing w:before="60" w:after="60"/>
              <w:ind w:right="397"/>
              <w:jc w:val="right"/>
              <w:rPr>
                <w:rFonts w:asciiTheme="minorHAnsi" w:hAnsiTheme="minorHAnsi" w:cstheme="minorHAnsi"/>
                <w:szCs w:val="18"/>
              </w:rPr>
            </w:pPr>
            <w:r w:rsidRPr="00294A6D">
              <w:rPr>
                <w:rFonts w:asciiTheme="minorHAnsi" w:hAnsiTheme="minorHAnsi" w:cstheme="minorHAnsi"/>
                <w:szCs w:val="18"/>
              </w:rPr>
              <w:t>13,607</w:t>
            </w:r>
          </w:p>
        </w:tc>
        <w:tc>
          <w:tcPr>
            <w:tcW w:w="1504" w:type="dxa"/>
            <w:tcBorders>
              <w:bottom w:val="single" w:sz="4" w:space="0" w:color="BFBFBF" w:themeColor="background1" w:themeShade="BF"/>
            </w:tcBorders>
            <w:vAlign w:val="bottom"/>
          </w:tcPr>
          <w:p w14:paraId="26FB54D0" w14:textId="3FB4074F" w:rsidR="006501C3" w:rsidRPr="00294A6D" w:rsidRDefault="006501C3" w:rsidP="006501C3">
            <w:pPr>
              <w:pStyle w:val="ISTableText"/>
              <w:spacing w:before="60" w:after="60"/>
              <w:ind w:right="397"/>
              <w:jc w:val="right"/>
              <w:rPr>
                <w:rFonts w:asciiTheme="minorHAnsi" w:hAnsiTheme="minorHAnsi" w:cstheme="minorHAnsi"/>
                <w:szCs w:val="18"/>
              </w:rPr>
            </w:pPr>
            <w:r w:rsidRPr="00294A6D">
              <w:rPr>
                <w:rFonts w:asciiTheme="minorHAnsi" w:hAnsiTheme="minorHAnsi" w:cstheme="minorHAnsi"/>
                <w:szCs w:val="18"/>
              </w:rPr>
              <w:t>14,163</w:t>
            </w:r>
          </w:p>
        </w:tc>
      </w:tr>
      <w:tr w:rsidR="00CA2BA8" w:rsidRPr="00294A6D" w14:paraId="1FD76C7E" w14:textId="77777777" w:rsidTr="00A07BB6">
        <w:tc>
          <w:tcPr>
            <w:tcW w:w="1510" w:type="dxa"/>
            <w:tcBorders>
              <w:top w:val="single" w:sz="4" w:space="0" w:color="BFBFBF" w:themeColor="background1" w:themeShade="BF"/>
            </w:tcBorders>
          </w:tcPr>
          <w:p w14:paraId="47FF7AAB" w14:textId="6ECD3E99" w:rsidR="00CA2BA8" w:rsidRPr="00294A6D" w:rsidRDefault="00CA2BA8" w:rsidP="00CA2BA8">
            <w:pPr>
              <w:pStyle w:val="ISTableText"/>
              <w:spacing w:before="60" w:after="60"/>
              <w:rPr>
                <w:rFonts w:asciiTheme="minorHAnsi" w:hAnsiTheme="minorHAnsi" w:cstheme="minorHAnsi"/>
                <w:b/>
                <w:bCs w:val="0"/>
                <w:szCs w:val="18"/>
              </w:rPr>
            </w:pPr>
            <w:r w:rsidRPr="00294A6D">
              <w:rPr>
                <w:rFonts w:asciiTheme="minorHAnsi" w:hAnsiTheme="minorHAnsi" w:cstheme="minorHAnsi"/>
                <w:b/>
                <w:bCs w:val="0"/>
                <w:szCs w:val="18"/>
              </w:rPr>
              <w:t xml:space="preserve">Difference </w:t>
            </w:r>
          </w:p>
        </w:tc>
        <w:tc>
          <w:tcPr>
            <w:tcW w:w="1503" w:type="dxa"/>
            <w:tcBorders>
              <w:top w:val="single" w:sz="4" w:space="0" w:color="BFBFBF" w:themeColor="background1" w:themeShade="BF"/>
            </w:tcBorders>
            <w:vAlign w:val="center"/>
          </w:tcPr>
          <w:p w14:paraId="2F11DAF3" w14:textId="0616E7BF" w:rsidR="00CA2BA8" w:rsidRPr="00294A6D" w:rsidRDefault="00CA2BA8" w:rsidP="00CA2BA8">
            <w:pPr>
              <w:pStyle w:val="ISTableText"/>
              <w:spacing w:before="60" w:after="60"/>
              <w:ind w:right="397"/>
              <w:jc w:val="right"/>
              <w:rPr>
                <w:rFonts w:asciiTheme="minorHAnsi" w:hAnsiTheme="minorHAnsi" w:cstheme="minorHAnsi"/>
                <w:b/>
                <w:bCs w:val="0"/>
                <w:szCs w:val="18"/>
              </w:rPr>
            </w:pPr>
            <w:r w:rsidRPr="00294A6D">
              <w:rPr>
                <w:rFonts w:asciiTheme="minorHAnsi" w:hAnsiTheme="minorHAnsi" w:cstheme="minorHAnsi"/>
                <w:b/>
                <w:bCs w:val="0"/>
                <w:color w:val="000000"/>
                <w:szCs w:val="18"/>
              </w:rPr>
              <w:t>2,412</w:t>
            </w:r>
          </w:p>
        </w:tc>
        <w:tc>
          <w:tcPr>
            <w:tcW w:w="1504" w:type="dxa"/>
            <w:tcBorders>
              <w:top w:val="single" w:sz="4" w:space="0" w:color="BFBFBF" w:themeColor="background1" w:themeShade="BF"/>
            </w:tcBorders>
            <w:vAlign w:val="center"/>
          </w:tcPr>
          <w:p w14:paraId="5B095FA3" w14:textId="37C54368" w:rsidR="00CA2BA8" w:rsidRPr="00294A6D" w:rsidRDefault="00CA2BA8" w:rsidP="00CA2BA8">
            <w:pPr>
              <w:pStyle w:val="ISTableText"/>
              <w:spacing w:before="60" w:after="60"/>
              <w:ind w:right="397"/>
              <w:jc w:val="right"/>
              <w:rPr>
                <w:rFonts w:asciiTheme="minorHAnsi" w:hAnsiTheme="minorHAnsi" w:cstheme="minorHAnsi"/>
                <w:b/>
                <w:bCs w:val="0"/>
                <w:szCs w:val="18"/>
              </w:rPr>
            </w:pPr>
            <w:r w:rsidRPr="00294A6D">
              <w:rPr>
                <w:rFonts w:asciiTheme="minorHAnsi" w:hAnsiTheme="minorHAnsi" w:cstheme="minorHAnsi"/>
                <w:b/>
                <w:bCs w:val="0"/>
                <w:color w:val="000000"/>
                <w:szCs w:val="18"/>
              </w:rPr>
              <w:t>2,510</w:t>
            </w:r>
          </w:p>
        </w:tc>
        <w:tc>
          <w:tcPr>
            <w:tcW w:w="1503" w:type="dxa"/>
            <w:tcBorders>
              <w:top w:val="single" w:sz="4" w:space="0" w:color="BFBFBF" w:themeColor="background1" w:themeShade="BF"/>
            </w:tcBorders>
            <w:vAlign w:val="center"/>
          </w:tcPr>
          <w:p w14:paraId="11A6D55F" w14:textId="25B7CF64" w:rsidR="00CA2BA8" w:rsidRPr="00294A6D" w:rsidRDefault="00CA2BA8" w:rsidP="00CA2BA8">
            <w:pPr>
              <w:pStyle w:val="ISTableText"/>
              <w:spacing w:before="60" w:after="60"/>
              <w:ind w:right="397"/>
              <w:jc w:val="right"/>
              <w:rPr>
                <w:rFonts w:asciiTheme="minorHAnsi" w:hAnsiTheme="minorHAnsi" w:cstheme="minorHAnsi"/>
                <w:b/>
                <w:bCs w:val="0"/>
                <w:szCs w:val="18"/>
              </w:rPr>
            </w:pPr>
            <w:r w:rsidRPr="00294A6D">
              <w:rPr>
                <w:rFonts w:asciiTheme="minorHAnsi" w:hAnsiTheme="minorHAnsi" w:cstheme="minorHAnsi"/>
                <w:b/>
                <w:bCs w:val="0"/>
                <w:color w:val="000000"/>
                <w:szCs w:val="18"/>
              </w:rPr>
              <w:t>2,613</w:t>
            </w:r>
          </w:p>
        </w:tc>
        <w:tc>
          <w:tcPr>
            <w:tcW w:w="1504" w:type="dxa"/>
            <w:tcBorders>
              <w:top w:val="single" w:sz="4" w:space="0" w:color="BFBFBF" w:themeColor="background1" w:themeShade="BF"/>
            </w:tcBorders>
            <w:vAlign w:val="center"/>
          </w:tcPr>
          <w:p w14:paraId="4854593B" w14:textId="179BE44E" w:rsidR="00CA2BA8" w:rsidRPr="00294A6D" w:rsidRDefault="00CA2BA8" w:rsidP="00CA2BA8">
            <w:pPr>
              <w:pStyle w:val="ISTableText"/>
              <w:spacing w:before="60" w:after="60"/>
              <w:ind w:right="397"/>
              <w:jc w:val="right"/>
              <w:rPr>
                <w:rFonts w:asciiTheme="minorHAnsi" w:hAnsiTheme="minorHAnsi" w:cstheme="minorHAnsi"/>
                <w:b/>
                <w:bCs w:val="0"/>
                <w:szCs w:val="18"/>
              </w:rPr>
            </w:pPr>
            <w:r w:rsidRPr="00294A6D">
              <w:rPr>
                <w:rFonts w:asciiTheme="minorHAnsi" w:hAnsiTheme="minorHAnsi" w:cstheme="minorHAnsi"/>
                <w:b/>
                <w:bCs w:val="0"/>
                <w:color w:val="000000"/>
                <w:szCs w:val="18"/>
              </w:rPr>
              <w:t>2,721</w:t>
            </w:r>
          </w:p>
        </w:tc>
        <w:tc>
          <w:tcPr>
            <w:tcW w:w="1504" w:type="dxa"/>
            <w:tcBorders>
              <w:top w:val="single" w:sz="4" w:space="0" w:color="BFBFBF" w:themeColor="background1" w:themeShade="BF"/>
            </w:tcBorders>
            <w:vAlign w:val="center"/>
          </w:tcPr>
          <w:p w14:paraId="66EFFD5B" w14:textId="529247EC" w:rsidR="00CA2BA8" w:rsidRPr="00294A6D" w:rsidRDefault="00CA2BA8" w:rsidP="00CA2BA8">
            <w:pPr>
              <w:pStyle w:val="ISTableText"/>
              <w:spacing w:before="60" w:after="60"/>
              <w:ind w:right="397"/>
              <w:jc w:val="right"/>
              <w:rPr>
                <w:rFonts w:asciiTheme="minorHAnsi" w:hAnsiTheme="minorHAnsi" w:cstheme="minorHAnsi"/>
                <w:b/>
                <w:bCs w:val="0"/>
                <w:szCs w:val="18"/>
              </w:rPr>
            </w:pPr>
            <w:r w:rsidRPr="00294A6D">
              <w:rPr>
                <w:rFonts w:asciiTheme="minorHAnsi" w:hAnsiTheme="minorHAnsi" w:cstheme="minorHAnsi"/>
                <w:b/>
                <w:bCs w:val="0"/>
                <w:color w:val="000000"/>
                <w:szCs w:val="18"/>
              </w:rPr>
              <w:t>2,833</w:t>
            </w:r>
          </w:p>
        </w:tc>
      </w:tr>
      <w:tr w:rsidR="006501C3" w:rsidRPr="00294A6D" w14:paraId="50A2F44B" w14:textId="77777777" w:rsidTr="00A07BB6">
        <w:tc>
          <w:tcPr>
            <w:tcW w:w="6020" w:type="dxa"/>
            <w:gridSpan w:val="4"/>
            <w:shd w:val="clear" w:color="auto" w:fill="D9D9D9" w:themeFill="background1" w:themeFillShade="D9"/>
          </w:tcPr>
          <w:p w14:paraId="14D27975" w14:textId="0E039CAF" w:rsidR="006501C3" w:rsidRPr="00294A6D" w:rsidRDefault="006501C3" w:rsidP="006501C3">
            <w:pPr>
              <w:pStyle w:val="ISTableText"/>
              <w:spacing w:before="60" w:after="60"/>
              <w:ind w:right="397"/>
              <w:rPr>
                <w:rFonts w:asciiTheme="minorHAnsi" w:hAnsiTheme="minorHAnsi" w:cstheme="minorHAnsi"/>
                <w:szCs w:val="18"/>
              </w:rPr>
            </w:pPr>
            <w:r w:rsidRPr="00294A6D">
              <w:rPr>
                <w:rFonts w:asciiTheme="minorHAnsi" w:hAnsiTheme="minorHAnsi" w:cstheme="minorHAnsi"/>
                <w:b/>
                <w:bCs w:val="0"/>
                <w:szCs w:val="18"/>
              </w:rPr>
              <w:t>Five Multiple Dry Years</w:t>
            </w:r>
          </w:p>
        </w:tc>
        <w:tc>
          <w:tcPr>
            <w:tcW w:w="1504" w:type="dxa"/>
            <w:shd w:val="clear" w:color="auto" w:fill="D9D9D9" w:themeFill="background1" w:themeFillShade="D9"/>
            <w:vAlign w:val="bottom"/>
          </w:tcPr>
          <w:p w14:paraId="698A3301" w14:textId="77777777" w:rsidR="006501C3" w:rsidRPr="00294A6D" w:rsidRDefault="006501C3" w:rsidP="006501C3">
            <w:pPr>
              <w:pStyle w:val="ISTableText"/>
              <w:spacing w:before="60" w:after="60"/>
              <w:ind w:right="397"/>
              <w:jc w:val="right"/>
              <w:rPr>
                <w:rFonts w:asciiTheme="minorHAnsi" w:hAnsiTheme="minorHAnsi" w:cstheme="minorHAnsi"/>
                <w:szCs w:val="18"/>
              </w:rPr>
            </w:pPr>
          </w:p>
        </w:tc>
        <w:tc>
          <w:tcPr>
            <w:tcW w:w="1504" w:type="dxa"/>
            <w:shd w:val="clear" w:color="auto" w:fill="D9D9D9" w:themeFill="background1" w:themeFillShade="D9"/>
            <w:vAlign w:val="bottom"/>
          </w:tcPr>
          <w:p w14:paraId="75D3925D" w14:textId="77777777" w:rsidR="006501C3" w:rsidRPr="00294A6D" w:rsidRDefault="006501C3" w:rsidP="006501C3">
            <w:pPr>
              <w:pStyle w:val="ISTableText"/>
              <w:spacing w:before="60" w:after="60"/>
              <w:ind w:right="397"/>
              <w:jc w:val="right"/>
              <w:rPr>
                <w:rFonts w:asciiTheme="minorHAnsi" w:hAnsiTheme="minorHAnsi" w:cstheme="minorHAnsi"/>
                <w:szCs w:val="18"/>
              </w:rPr>
            </w:pPr>
          </w:p>
        </w:tc>
      </w:tr>
      <w:tr w:rsidR="00CA2BA8" w:rsidRPr="00294A6D" w14:paraId="06541B39" w14:textId="77777777" w:rsidTr="00A07BB6">
        <w:tc>
          <w:tcPr>
            <w:tcW w:w="1510" w:type="dxa"/>
          </w:tcPr>
          <w:p w14:paraId="5D2903F0" w14:textId="2727E988" w:rsidR="00CA2BA8" w:rsidRPr="00294A6D" w:rsidRDefault="00CA2BA8" w:rsidP="00CA2BA8">
            <w:pPr>
              <w:pStyle w:val="ISTableText"/>
              <w:spacing w:before="60" w:after="60"/>
              <w:rPr>
                <w:rFonts w:asciiTheme="minorHAnsi" w:hAnsiTheme="minorHAnsi" w:cstheme="minorHAnsi"/>
                <w:szCs w:val="18"/>
              </w:rPr>
            </w:pPr>
            <w:r w:rsidRPr="00294A6D">
              <w:rPr>
                <w:rFonts w:asciiTheme="minorHAnsi" w:hAnsiTheme="minorHAnsi" w:cstheme="minorHAnsi"/>
                <w:szCs w:val="18"/>
              </w:rPr>
              <w:t xml:space="preserve">Supply Total </w:t>
            </w:r>
          </w:p>
        </w:tc>
        <w:tc>
          <w:tcPr>
            <w:tcW w:w="1503" w:type="dxa"/>
            <w:vAlign w:val="bottom"/>
          </w:tcPr>
          <w:p w14:paraId="0988F9DD" w14:textId="71647E23" w:rsidR="00CA2BA8" w:rsidRPr="00294A6D" w:rsidRDefault="00CA2BA8" w:rsidP="00CA2BA8">
            <w:pPr>
              <w:pStyle w:val="ISTableText"/>
              <w:spacing w:before="60" w:after="60"/>
              <w:ind w:right="397"/>
              <w:jc w:val="right"/>
              <w:rPr>
                <w:rFonts w:asciiTheme="minorHAnsi" w:hAnsiTheme="minorHAnsi" w:cstheme="minorHAnsi"/>
                <w:szCs w:val="18"/>
              </w:rPr>
            </w:pPr>
            <w:r w:rsidRPr="00294A6D">
              <w:rPr>
                <w:rFonts w:asciiTheme="minorHAnsi" w:hAnsiTheme="minorHAnsi" w:cstheme="minorHAnsi"/>
                <w:szCs w:val="18"/>
              </w:rPr>
              <w:t>9,646</w:t>
            </w:r>
          </w:p>
        </w:tc>
        <w:tc>
          <w:tcPr>
            <w:tcW w:w="1504" w:type="dxa"/>
            <w:vAlign w:val="bottom"/>
          </w:tcPr>
          <w:p w14:paraId="66E6476F" w14:textId="5E8D38BD" w:rsidR="00CA2BA8" w:rsidRPr="00294A6D" w:rsidRDefault="00CA2BA8" w:rsidP="00CA2BA8">
            <w:pPr>
              <w:pStyle w:val="ISTableText"/>
              <w:spacing w:before="60" w:after="60"/>
              <w:ind w:right="397"/>
              <w:jc w:val="right"/>
              <w:rPr>
                <w:rFonts w:asciiTheme="minorHAnsi" w:hAnsiTheme="minorHAnsi" w:cstheme="minorHAnsi"/>
                <w:szCs w:val="18"/>
              </w:rPr>
            </w:pPr>
            <w:r w:rsidRPr="00294A6D">
              <w:rPr>
                <w:rFonts w:asciiTheme="minorHAnsi" w:hAnsiTheme="minorHAnsi" w:cstheme="minorHAnsi"/>
                <w:szCs w:val="18"/>
              </w:rPr>
              <w:t>10,038</w:t>
            </w:r>
          </w:p>
        </w:tc>
        <w:tc>
          <w:tcPr>
            <w:tcW w:w="1503" w:type="dxa"/>
            <w:vAlign w:val="bottom"/>
          </w:tcPr>
          <w:p w14:paraId="2B4F5759" w14:textId="6AC68D6A" w:rsidR="00CA2BA8" w:rsidRPr="00294A6D" w:rsidRDefault="00CA2BA8" w:rsidP="00CA2BA8">
            <w:pPr>
              <w:pStyle w:val="ISTableText"/>
              <w:spacing w:before="60" w:after="60"/>
              <w:ind w:right="397"/>
              <w:jc w:val="right"/>
              <w:rPr>
                <w:rFonts w:asciiTheme="minorHAnsi" w:hAnsiTheme="minorHAnsi" w:cstheme="minorHAnsi"/>
                <w:szCs w:val="18"/>
              </w:rPr>
            </w:pPr>
            <w:r w:rsidRPr="00294A6D">
              <w:rPr>
                <w:rFonts w:asciiTheme="minorHAnsi" w:hAnsiTheme="minorHAnsi" w:cstheme="minorHAnsi"/>
                <w:szCs w:val="18"/>
              </w:rPr>
              <w:t>10,451</w:t>
            </w:r>
          </w:p>
        </w:tc>
        <w:tc>
          <w:tcPr>
            <w:tcW w:w="1504" w:type="dxa"/>
            <w:vAlign w:val="bottom"/>
          </w:tcPr>
          <w:p w14:paraId="1DD6CBFF" w14:textId="5E2C04C8" w:rsidR="00CA2BA8" w:rsidRPr="00294A6D" w:rsidRDefault="00CA2BA8" w:rsidP="00CA2BA8">
            <w:pPr>
              <w:pStyle w:val="ISTableText"/>
              <w:spacing w:before="60" w:after="60"/>
              <w:ind w:right="397"/>
              <w:jc w:val="right"/>
              <w:rPr>
                <w:rFonts w:asciiTheme="minorHAnsi" w:hAnsiTheme="minorHAnsi" w:cstheme="minorHAnsi"/>
                <w:szCs w:val="18"/>
              </w:rPr>
            </w:pPr>
            <w:r w:rsidRPr="00294A6D">
              <w:rPr>
                <w:rFonts w:asciiTheme="minorHAnsi" w:hAnsiTheme="minorHAnsi" w:cstheme="minorHAnsi"/>
                <w:szCs w:val="18"/>
              </w:rPr>
              <w:t>10,886</w:t>
            </w:r>
          </w:p>
        </w:tc>
        <w:tc>
          <w:tcPr>
            <w:tcW w:w="1504" w:type="dxa"/>
            <w:vAlign w:val="bottom"/>
          </w:tcPr>
          <w:p w14:paraId="545CC73C" w14:textId="59C04E70" w:rsidR="00CA2BA8" w:rsidRPr="00294A6D" w:rsidRDefault="00CA2BA8" w:rsidP="00CA2BA8">
            <w:pPr>
              <w:pStyle w:val="ISTableText"/>
              <w:spacing w:before="60" w:after="60"/>
              <w:ind w:right="397"/>
              <w:jc w:val="right"/>
              <w:rPr>
                <w:rFonts w:asciiTheme="minorHAnsi" w:hAnsiTheme="minorHAnsi" w:cstheme="minorHAnsi"/>
                <w:szCs w:val="18"/>
              </w:rPr>
            </w:pPr>
            <w:r w:rsidRPr="00294A6D">
              <w:rPr>
                <w:rFonts w:asciiTheme="minorHAnsi" w:hAnsiTheme="minorHAnsi" w:cstheme="minorHAnsi"/>
                <w:szCs w:val="18"/>
              </w:rPr>
              <w:t>11,330</w:t>
            </w:r>
          </w:p>
        </w:tc>
      </w:tr>
      <w:tr w:rsidR="006501C3" w:rsidRPr="00294A6D" w14:paraId="518E8AED" w14:textId="77777777" w:rsidTr="00A07BB6">
        <w:tc>
          <w:tcPr>
            <w:tcW w:w="1510" w:type="dxa"/>
            <w:tcBorders>
              <w:bottom w:val="single" w:sz="4" w:space="0" w:color="BFBFBF" w:themeColor="background1" w:themeShade="BF"/>
            </w:tcBorders>
          </w:tcPr>
          <w:p w14:paraId="606C2A06" w14:textId="64748122" w:rsidR="006501C3" w:rsidRPr="00294A6D" w:rsidRDefault="006501C3" w:rsidP="006501C3">
            <w:pPr>
              <w:pStyle w:val="ISTableText"/>
              <w:spacing w:before="60" w:after="60"/>
              <w:rPr>
                <w:rFonts w:asciiTheme="minorHAnsi" w:hAnsiTheme="minorHAnsi" w:cstheme="minorHAnsi"/>
                <w:szCs w:val="18"/>
              </w:rPr>
            </w:pPr>
            <w:r w:rsidRPr="00294A6D">
              <w:rPr>
                <w:rFonts w:asciiTheme="minorHAnsi" w:hAnsiTheme="minorHAnsi" w:cstheme="minorHAnsi"/>
                <w:szCs w:val="18"/>
              </w:rPr>
              <w:t xml:space="preserve">Demand Total </w:t>
            </w:r>
          </w:p>
        </w:tc>
        <w:tc>
          <w:tcPr>
            <w:tcW w:w="1503" w:type="dxa"/>
            <w:tcBorders>
              <w:bottom w:val="single" w:sz="4" w:space="0" w:color="BFBFBF" w:themeColor="background1" w:themeShade="BF"/>
            </w:tcBorders>
            <w:vAlign w:val="bottom"/>
          </w:tcPr>
          <w:p w14:paraId="30950817" w14:textId="321B9032" w:rsidR="006501C3" w:rsidRPr="00294A6D" w:rsidRDefault="006501C3" w:rsidP="006501C3">
            <w:pPr>
              <w:pStyle w:val="ISTableText"/>
              <w:spacing w:before="60" w:after="60"/>
              <w:ind w:right="397"/>
              <w:jc w:val="right"/>
              <w:rPr>
                <w:rFonts w:asciiTheme="minorHAnsi" w:hAnsiTheme="minorHAnsi" w:cstheme="minorHAnsi"/>
                <w:szCs w:val="18"/>
              </w:rPr>
            </w:pPr>
            <w:r w:rsidRPr="00294A6D">
              <w:rPr>
                <w:rFonts w:asciiTheme="minorHAnsi" w:hAnsiTheme="minorHAnsi" w:cstheme="minorHAnsi"/>
                <w:szCs w:val="18"/>
              </w:rPr>
              <w:t>12,058</w:t>
            </w:r>
          </w:p>
        </w:tc>
        <w:tc>
          <w:tcPr>
            <w:tcW w:w="1504" w:type="dxa"/>
            <w:tcBorders>
              <w:bottom w:val="single" w:sz="4" w:space="0" w:color="BFBFBF" w:themeColor="background1" w:themeShade="BF"/>
            </w:tcBorders>
            <w:vAlign w:val="bottom"/>
          </w:tcPr>
          <w:p w14:paraId="60642103" w14:textId="6677A3F4" w:rsidR="006501C3" w:rsidRPr="00294A6D" w:rsidRDefault="006501C3" w:rsidP="006501C3">
            <w:pPr>
              <w:pStyle w:val="ISTableText"/>
              <w:spacing w:before="60" w:after="60"/>
              <w:ind w:right="397"/>
              <w:jc w:val="right"/>
              <w:rPr>
                <w:rFonts w:asciiTheme="minorHAnsi" w:hAnsiTheme="minorHAnsi" w:cstheme="minorHAnsi"/>
                <w:szCs w:val="18"/>
              </w:rPr>
            </w:pPr>
            <w:r w:rsidRPr="00294A6D">
              <w:rPr>
                <w:rFonts w:asciiTheme="minorHAnsi" w:hAnsiTheme="minorHAnsi" w:cstheme="minorHAnsi"/>
                <w:szCs w:val="18"/>
              </w:rPr>
              <w:t>12,548</w:t>
            </w:r>
          </w:p>
        </w:tc>
        <w:tc>
          <w:tcPr>
            <w:tcW w:w="1503" w:type="dxa"/>
            <w:tcBorders>
              <w:bottom w:val="single" w:sz="4" w:space="0" w:color="BFBFBF" w:themeColor="background1" w:themeShade="BF"/>
            </w:tcBorders>
            <w:vAlign w:val="bottom"/>
          </w:tcPr>
          <w:p w14:paraId="7C5354F1" w14:textId="16D9C706" w:rsidR="006501C3" w:rsidRPr="00294A6D" w:rsidRDefault="006501C3" w:rsidP="006501C3">
            <w:pPr>
              <w:pStyle w:val="ISTableText"/>
              <w:spacing w:before="60" w:after="60"/>
              <w:ind w:right="397"/>
              <w:jc w:val="right"/>
              <w:rPr>
                <w:rFonts w:asciiTheme="minorHAnsi" w:hAnsiTheme="minorHAnsi" w:cstheme="minorHAnsi"/>
                <w:szCs w:val="18"/>
              </w:rPr>
            </w:pPr>
            <w:r w:rsidRPr="00294A6D">
              <w:rPr>
                <w:rFonts w:asciiTheme="minorHAnsi" w:hAnsiTheme="minorHAnsi" w:cstheme="minorHAnsi"/>
                <w:szCs w:val="18"/>
              </w:rPr>
              <w:t>13,064</w:t>
            </w:r>
          </w:p>
        </w:tc>
        <w:tc>
          <w:tcPr>
            <w:tcW w:w="1504" w:type="dxa"/>
            <w:tcBorders>
              <w:bottom w:val="single" w:sz="4" w:space="0" w:color="BFBFBF" w:themeColor="background1" w:themeShade="BF"/>
            </w:tcBorders>
            <w:vAlign w:val="bottom"/>
          </w:tcPr>
          <w:p w14:paraId="23EE8E20" w14:textId="3BB4DC90" w:rsidR="006501C3" w:rsidRPr="00294A6D" w:rsidRDefault="006501C3" w:rsidP="006501C3">
            <w:pPr>
              <w:pStyle w:val="ISTableText"/>
              <w:spacing w:before="60" w:after="60"/>
              <w:ind w:right="397"/>
              <w:jc w:val="right"/>
              <w:rPr>
                <w:rFonts w:asciiTheme="minorHAnsi" w:hAnsiTheme="minorHAnsi" w:cstheme="minorHAnsi"/>
                <w:szCs w:val="18"/>
              </w:rPr>
            </w:pPr>
            <w:r w:rsidRPr="00294A6D">
              <w:rPr>
                <w:rFonts w:asciiTheme="minorHAnsi" w:hAnsiTheme="minorHAnsi" w:cstheme="minorHAnsi"/>
                <w:szCs w:val="18"/>
              </w:rPr>
              <w:t>13,607</w:t>
            </w:r>
          </w:p>
        </w:tc>
        <w:tc>
          <w:tcPr>
            <w:tcW w:w="1504" w:type="dxa"/>
            <w:tcBorders>
              <w:bottom w:val="single" w:sz="4" w:space="0" w:color="BFBFBF" w:themeColor="background1" w:themeShade="BF"/>
            </w:tcBorders>
            <w:vAlign w:val="bottom"/>
          </w:tcPr>
          <w:p w14:paraId="11CF1CBF" w14:textId="247E60AC" w:rsidR="006501C3" w:rsidRPr="00294A6D" w:rsidRDefault="006501C3" w:rsidP="006501C3">
            <w:pPr>
              <w:pStyle w:val="ISTableText"/>
              <w:spacing w:before="60" w:after="60"/>
              <w:ind w:right="397"/>
              <w:jc w:val="right"/>
              <w:rPr>
                <w:rFonts w:asciiTheme="minorHAnsi" w:hAnsiTheme="minorHAnsi" w:cstheme="minorHAnsi"/>
                <w:szCs w:val="18"/>
              </w:rPr>
            </w:pPr>
            <w:r w:rsidRPr="00294A6D">
              <w:rPr>
                <w:rFonts w:asciiTheme="minorHAnsi" w:hAnsiTheme="minorHAnsi" w:cstheme="minorHAnsi"/>
                <w:szCs w:val="18"/>
              </w:rPr>
              <w:t>14,163</w:t>
            </w:r>
          </w:p>
        </w:tc>
      </w:tr>
      <w:tr w:rsidR="00CA2BA8" w:rsidRPr="00294A6D" w14:paraId="2A81D0C7" w14:textId="77777777" w:rsidTr="00A07BB6">
        <w:tc>
          <w:tcPr>
            <w:tcW w:w="1510" w:type="dxa"/>
            <w:tcBorders>
              <w:top w:val="single" w:sz="4" w:space="0" w:color="BFBFBF" w:themeColor="background1" w:themeShade="BF"/>
              <w:bottom w:val="single" w:sz="4" w:space="0" w:color="auto"/>
            </w:tcBorders>
          </w:tcPr>
          <w:p w14:paraId="23F48ADD" w14:textId="51333DEE" w:rsidR="00CA2BA8" w:rsidRPr="00294A6D" w:rsidRDefault="00CA2BA8" w:rsidP="00CA2BA8">
            <w:pPr>
              <w:pStyle w:val="ISTableText"/>
              <w:spacing w:before="60" w:after="60"/>
              <w:rPr>
                <w:rFonts w:asciiTheme="minorHAnsi" w:hAnsiTheme="minorHAnsi" w:cstheme="minorHAnsi"/>
                <w:b/>
                <w:bCs w:val="0"/>
                <w:szCs w:val="18"/>
              </w:rPr>
            </w:pPr>
            <w:r w:rsidRPr="00294A6D">
              <w:rPr>
                <w:rFonts w:asciiTheme="minorHAnsi" w:hAnsiTheme="minorHAnsi" w:cstheme="minorHAnsi"/>
                <w:b/>
                <w:bCs w:val="0"/>
                <w:szCs w:val="18"/>
              </w:rPr>
              <w:t xml:space="preserve">Difference </w:t>
            </w:r>
          </w:p>
        </w:tc>
        <w:tc>
          <w:tcPr>
            <w:tcW w:w="1503" w:type="dxa"/>
            <w:tcBorders>
              <w:top w:val="single" w:sz="4" w:space="0" w:color="BFBFBF" w:themeColor="background1" w:themeShade="BF"/>
              <w:bottom w:val="single" w:sz="4" w:space="0" w:color="auto"/>
            </w:tcBorders>
            <w:vAlign w:val="center"/>
          </w:tcPr>
          <w:p w14:paraId="77801720" w14:textId="715253CF" w:rsidR="00CA2BA8" w:rsidRPr="00294A6D" w:rsidRDefault="00CA2BA8" w:rsidP="00CA2BA8">
            <w:pPr>
              <w:pStyle w:val="ISTableText"/>
              <w:spacing w:before="60" w:after="60"/>
              <w:ind w:right="397"/>
              <w:jc w:val="right"/>
              <w:rPr>
                <w:rFonts w:asciiTheme="minorHAnsi" w:hAnsiTheme="minorHAnsi" w:cstheme="minorHAnsi"/>
                <w:b/>
                <w:bCs w:val="0"/>
                <w:szCs w:val="18"/>
              </w:rPr>
            </w:pPr>
            <w:r w:rsidRPr="00294A6D">
              <w:rPr>
                <w:rFonts w:asciiTheme="minorHAnsi" w:hAnsiTheme="minorHAnsi" w:cstheme="minorHAnsi"/>
                <w:b/>
                <w:bCs w:val="0"/>
                <w:color w:val="000000"/>
                <w:szCs w:val="18"/>
              </w:rPr>
              <w:t>2,412</w:t>
            </w:r>
          </w:p>
        </w:tc>
        <w:tc>
          <w:tcPr>
            <w:tcW w:w="1504" w:type="dxa"/>
            <w:tcBorders>
              <w:top w:val="single" w:sz="4" w:space="0" w:color="BFBFBF" w:themeColor="background1" w:themeShade="BF"/>
              <w:bottom w:val="single" w:sz="4" w:space="0" w:color="auto"/>
            </w:tcBorders>
            <w:vAlign w:val="center"/>
          </w:tcPr>
          <w:p w14:paraId="08041479" w14:textId="7E6631F1" w:rsidR="00CA2BA8" w:rsidRPr="00294A6D" w:rsidRDefault="00CA2BA8" w:rsidP="00CA2BA8">
            <w:pPr>
              <w:pStyle w:val="ISTableText"/>
              <w:spacing w:before="60" w:after="60"/>
              <w:ind w:right="397"/>
              <w:jc w:val="right"/>
              <w:rPr>
                <w:rFonts w:asciiTheme="minorHAnsi" w:hAnsiTheme="minorHAnsi" w:cstheme="minorHAnsi"/>
                <w:b/>
                <w:bCs w:val="0"/>
                <w:szCs w:val="18"/>
              </w:rPr>
            </w:pPr>
            <w:r w:rsidRPr="00294A6D">
              <w:rPr>
                <w:rFonts w:asciiTheme="minorHAnsi" w:hAnsiTheme="minorHAnsi" w:cstheme="minorHAnsi"/>
                <w:b/>
                <w:bCs w:val="0"/>
                <w:color w:val="000000"/>
                <w:szCs w:val="18"/>
              </w:rPr>
              <w:t>2,510</w:t>
            </w:r>
          </w:p>
        </w:tc>
        <w:tc>
          <w:tcPr>
            <w:tcW w:w="1503" w:type="dxa"/>
            <w:tcBorders>
              <w:top w:val="single" w:sz="4" w:space="0" w:color="BFBFBF" w:themeColor="background1" w:themeShade="BF"/>
              <w:bottom w:val="single" w:sz="4" w:space="0" w:color="auto"/>
            </w:tcBorders>
            <w:vAlign w:val="center"/>
          </w:tcPr>
          <w:p w14:paraId="1F922486" w14:textId="3196F399" w:rsidR="00CA2BA8" w:rsidRPr="00294A6D" w:rsidRDefault="00CA2BA8" w:rsidP="00CA2BA8">
            <w:pPr>
              <w:pStyle w:val="ISTableText"/>
              <w:spacing w:before="60" w:after="60"/>
              <w:ind w:right="397"/>
              <w:jc w:val="right"/>
              <w:rPr>
                <w:rFonts w:asciiTheme="minorHAnsi" w:hAnsiTheme="minorHAnsi" w:cstheme="minorHAnsi"/>
                <w:b/>
                <w:bCs w:val="0"/>
                <w:szCs w:val="18"/>
              </w:rPr>
            </w:pPr>
            <w:r w:rsidRPr="00294A6D">
              <w:rPr>
                <w:rFonts w:asciiTheme="minorHAnsi" w:hAnsiTheme="minorHAnsi" w:cstheme="minorHAnsi"/>
                <w:b/>
                <w:bCs w:val="0"/>
                <w:color w:val="000000"/>
                <w:szCs w:val="18"/>
              </w:rPr>
              <w:t>2,613</w:t>
            </w:r>
          </w:p>
        </w:tc>
        <w:tc>
          <w:tcPr>
            <w:tcW w:w="1504" w:type="dxa"/>
            <w:tcBorders>
              <w:top w:val="single" w:sz="4" w:space="0" w:color="BFBFBF" w:themeColor="background1" w:themeShade="BF"/>
              <w:bottom w:val="single" w:sz="4" w:space="0" w:color="auto"/>
            </w:tcBorders>
            <w:vAlign w:val="center"/>
          </w:tcPr>
          <w:p w14:paraId="448FF5DB" w14:textId="070BF09A" w:rsidR="00CA2BA8" w:rsidRPr="00294A6D" w:rsidRDefault="00CA2BA8" w:rsidP="00CA2BA8">
            <w:pPr>
              <w:pStyle w:val="ISTableText"/>
              <w:spacing w:before="60" w:after="60"/>
              <w:ind w:right="397"/>
              <w:jc w:val="right"/>
              <w:rPr>
                <w:rFonts w:asciiTheme="minorHAnsi" w:hAnsiTheme="minorHAnsi" w:cstheme="minorHAnsi"/>
                <w:b/>
                <w:bCs w:val="0"/>
                <w:szCs w:val="18"/>
              </w:rPr>
            </w:pPr>
            <w:r w:rsidRPr="00294A6D">
              <w:rPr>
                <w:rFonts w:asciiTheme="minorHAnsi" w:hAnsiTheme="minorHAnsi" w:cstheme="minorHAnsi"/>
                <w:b/>
                <w:bCs w:val="0"/>
                <w:color w:val="000000"/>
                <w:szCs w:val="18"/>
              </w:rPr>
              <w:t>2,721</w:t>
            </w:r>
          </w:p>
        </w:tc>
        <w:tc>
          <w:tcPr>
            <w:tcW w:w="1504" w:type="dxa"/>
            <w:tcBorders>
              <w:top w:val="single" w:sz="4" w:space="0" w:color="BFBFBF" w:themeColor="background1" w:themeShade="BF"/>
              <w:bottom w:val="single" w:sz="4" w:space="0" w:color="auto"/>
            </w:tcBorders>
            <w:vAlign w:val="center"/>
          </w:tcPr>
          <w:p w14:paraId="61D7AFD8" w14:textId="701A0A60" w:rsidR="00CA2BA8" w:rsidRPr="00294A6D" w:rsidRDefault="00CA2BA8" w:rsidP="00CA2BA8">
            <w:pPr>
              <w:pStyle w:val="ISTableText"/>
              <w:spacing w:before="60" w:after="60"/>
              <w:ind w:right="397"/>
              <w:jc w:val="right"/>
              <w:rPr>
                <w:rFonts w:asciiTheme="minorHAnsi" w:hAnsiTheme="minorHAnsi" w:cstheme="minorHAnsi"/>
                <w:b/>
                <w:bCs w:val="0"/>
                <w:szCs w:val="18"/>
              </w:rPr>
            </w:pPr>
            <w:r w:rsidRPr="00294A6D">
              <w:rPr>
                <w:rFonts w:asciiTheme="minorHAnsi" w:hAnsiTheme="minorHAnsi" w:cstheme="minorHAnsi"/>
                <w:b/>
                <w:bCs w:val="0"/>
                <w:color w:val="000000"/>
                <w:szCs w:val="18"/>
              </w:rPr>
              <w:t>2,833</w:t>
            </w:r>
          </w:p>
        </w:tc>
      </w:tr>
      <w:tr w:rsidR="00294A6D" w:rsidRPr="00294A6D" w14:paraId="3EE006F7" w14:textId="77777777" w:rsidTr="0064339F">
        <w:tc>
          <w:tcPr>
            <w:tcW w:w="9028" w:type="dxa"/>
            <w:gridSpan w:val="6"/>
            <w:tcBorders>
              <w:top w:val="single" w:sz="4" w:space="0" w:color="auto"/>
              <w:bottom w:val="single" w:sz="4" w:space="0" w:color="auto"/>
            </w:tcBorders>
          </w:tcPr>
          <w:p w14:paraId="20462AAE" w14:textId="06482A16" w:rsidR="00294A6D" w:rsidRPr="00294A6D" w:rsidRDefault="00294A6D" w:rsidP="00294A6D">
            <w:pPr>
              <w:pStyle w:val="ISTableText"/>
              <w:spacing w:before="60" w:after="60"/>
              <w:ind w:right="397"/>
              <w:rPr>
                <w:rFonts w:ascii="Calibri" w:hAnsi="Calibri" w:cs="Calibri"/>
                <w:color w:val="000000"/>
                <w:sz w:val="16"/>
                <w:szCs w:val="16"/>
              </w:rPr>
            </w:pPr>
            <w:r w:rsidRPr="00294A6D">
              <w:rPr>
                <w:rFonts w:asciiTheme="minorHAnsi" w:hAnsiTheme="minorHAnsi"/>
                <w:sz w:val="16"/>
                <w:szCs w:val="16"/>
              </w:rPr>
              <w:t>Source: City of Mountain View 2020b</w:t>
            </w:r>
          </w:p>
        </w:tc>
      </w:tr>
    </w:tbl>
    <w:p w14:paraId="0C325E5A" w14:textId="77777777" w:rsidR="000373D9" w:rsidRPr="00B17BCF" w:rsidRDefault="000373D9" w:rsidP="000373D9">
      <w:pPr>
        <w:pStyle w:val="EIRHeading6"/>
      </w:pPr>
      <w:r w:rsidRPr="00B17BCF">
        <w:t>Wastewater</w:t>
      </w:r>
    </w:p>
    <w:p w14:paraId="5352EB75" w14:textId="4AB3269E" w:rsidR="00B17BCF" w:rsidRDefault="00721B50" w:rsidP="000373D9">
      <w:pPr>
        <w:pStyle w:val="BodyText"/>
      </w:pPr>
      <w:r>
        <w:t xml:space="preserve">According to the 2018 Sewer System Management Plan (SSMP), the City of Mountain View operates a sanitary sewer system that serves approximately 74,000 residents. The system consists of 159 miles of gravity sewers, 1 mile of force main, and two pump stations. The City’s sewer system also serves the City of Los Altos. </w:t>
      </w:r>
      <w:r w:rsidR="00554506">
        <w:t>W</w:t>
      </w:r>
      <w:r>
        <w:t xml:space="preserve">astewater from the City is conveyed to the Regional Water Quality </w:t>
      </w:r>
      <w:r w:rsidR="00C67A54">
        <w:t>Control Plant</w:t>
      </w:r>
      <w:r w:rsidR="00554506">
        <w:t xml:space="preserve"> (RWQCP) </w:t>
      </w:r>
      <w:r w:rsidR="00C67A54">
        <w:t>in Palo Alto</w:t>
      </w:r>
      <w:r w:rsidR="0093281C">
        <w:t>,</w:t>
      </w:r>
      <w:r w:rsidR="00554506">
        <w:t xml:space="preserve"> located approximately 3.6 miles northwest.</w:t>
      </w:r>
      <w:r w:rsidR="00F171F6">
        <w:t xml:space="preserve"> The RWQCP treats water prior to its discharge into the San Francisco </w:t>
      </w:r>
      <w:r w:rsidR="00314596">
        <w:t>Bay and</w:t>
      </w:r>
      <w:r w:rsidR="00F171F6">
        <w:t xml:space="preserve"> has the capacity to treat 39 million gallons of wastewater per day (</w:t>
      </w:r>
      <w:r w:rsidR="00511C23">
        <w:t>City of Palo Alto 2021</w:t>
      </w:r>
      <w:r w:rsidR="00314596">
        <w:t>).</w:t>
      </w:r>
      <w:r w:rsidR="00275B75">
        <w:t xml:space="preserve"> </w:t>
      </w:r>
    </w:p>
    <w:p w14:paraId="314CC04B" w14:textId="279F2DA9" w:rsidR="00767405" w:rsidRPr="00767405" w:rsidRDefault="000373D9" w:rsidP="00767405">
      <w:pPr>
        <w:pStyle w:val="EIRHeading6"/>
      </w:pPr>
      <w:r w:rsidRPr="00767405">
        <w:t>Stormwater</w:t>
      </w:r>
    </w:p>
    <w:p w14:paraId="57B06ABD" w14:textId="3E0BE0E7" w:rsidR="00767405" w:rsidRDefault="00767405" w:rsidP="00767405">
      <w:pPr>
        <w:pStyle w:val="Body"/>
      </w:pPr>
      <w:r>
        <w:t xml:space="preserve">Stormwater </w:t>
      </w:r>
      <w:r w:rsidR="0093281C">
        <w:t xml:space="preserve">from </w:t>
      </w:r>
      <w:r>
        <w:t xml:space="preserve">the project site drains north to Terra Bella Avenue, where it is collected by storm drains into the City’s stormwater system. </w:t>
      </w:r>
      <w:r w:rsidRPr="00767405">
        <w:t xml:space="preserve">Stormwater runoff is collected and disposed of by an integrated system of storm drains, inlets, curbside gutters, catch basins, drainage ditches, and man-made channels. Ultimately, stormwater that enters the City’s system drains to the </w:t>
      </w:r>
      <w:r>
        <w:t>San Francisco</w:t>
      </w:r>
      <w:r w:rsidRPr="00767405">
        <w:t xml:space="preserve"> Bay</w:t>
      </w:r>
      <w:r w:rsidR="00A65790">
        <w:t xml:space="preserve"> (City of Mountain View 2020c)</w:t>
      </w:r>
      <w:r w:rsidRPr="00767405">
        <w:t>.</w:t>
      </w:r>
      <w:r>
        <w:t xml:space="preserve"> </w:t>
      </w:r>
    </w:p>
    <w:p w14:paraId="2425F304" w14:textId="5E02833A" w:rsidR="000373D9" w:rsidRDefault="000373D9" w:rsidP="000373D9">
      <w:pPr>
        <w:pStyle w:val="EIRHeading6"/>
      </w:pPr>
      <w:r w:rsidRPr="00A65790">
        <w:t>Solid Waste</w:t>
      </w:r>
    </w:p>
    <w:p w14:paraId="1050E269" w14:textId="77777777" w:rsidR="00AC1C51" w:rsidRDefault="00A65790" w:rsidP="00AC1C51">
      <w:pPr>
        <w:pStyle w:val="body0"/>
      </w:pPr>
      <w:r>
        <w:t xml:space="preserve">Recology manages all trash and recycling services in Mountain View. </w:t>
      </w:r>
      <w:r w:rsidR="006676F3">
        <w:t>In 2019, 63,117.04 tons of solid waste was generated in Mountain View and disposed of at a total of 20 different facilities (CalRecycle 2019</w:t>
      </w:r>
      <w:r w:rsidR="00393F57">
        <w:t>a</w:t>
      </w:r>
      <w:r w:rsidR="006676F3">
        <w:t xml:space="preserve">). </w:t>
      </w:r>
      <w:r w:rsidR="00393F57">
        <w:t xml:space="preserve">Approximately 78 percent (49,412.47 tons) of the City’s solid waste was disposed of at Kirby Canyon Recycling and Disposal Facility in Morgan Hill. </w:t>
      </w:r>
    </w:p>
    <w:p w14:paraId="16B5426A" w14:textId="4378E75E" w:rsidR="000373D9" w:rsidRPr="00DC2B57" w:rsidRDefault="000373D9" w:rsidP="000373D9">
      <w:pPr>
        <w:pStyle w:val="EIRHeading6"/>
      </w:pPr>
      <w:r w:rsidRPr="00DC2B57">
        <w:t>Other Utilities</w:t>
      </w:r>
    </w:p>
    <w:p w14:paraId="42C1900F" w14:textId="47E2E765" w:rsidR="000373D9" w:rsidRPr="00894621" w:rsidRDefault="000373D9" w:rsidP="000373D9">
      <w:pPr>
        <w:pStyle w:val="BodyText"/>
      </w:pPr>
      <w:r w:rsidRPr="00DC2B57">
        <w:t xml:space="preserve">Gas and electric utilities to the project site would be provided by </w:t>
      </w:r>
      <w:r w:rsidR="00DC2B57">
        <w:t xml:space="preserve">Silicon Valley Clean Energy (SVCE) using Pacific Gas and Electric Company (PG&amp;E) infrastructure. </w:t>
      </w:r>
      <w:r w:rsidRPr="00894621">
        <w:t xml:space="preserve">Infrastructure capable of supporting gas, electric and telecommunications is present at the project site and in the project vicinity. </w:t>
      </w:r>
    </w:p>
    <w:p w14:paraId="60CF56E9" w14:textId="77777777" w:rsidR="000373D9" w:rsidRPr="00894621" w:rsidRDefault="000373D9" w:rsidP="000373D9">
      <w:pPr>
        <w:pStyle w:val="EIRHeading5"/>
      </w:pPr>
      <w:r w:rsidRPr="00894621">
        <w:t>Regulatory Setting</w:t>
      </w:r>
    </w:p>
    <w:p w14:paraId="0D462122" w14:textId="77777777" w:rsidR="000373D9" w:rsidRPr="00894621" w:rsidRDefault="000373D9" w:rsidP="000373D9">
      <w:pPr>
        <w:pStyle w:val="EIRHeading6"/>
      </w:pPr>
      <w:r w:rsidRPr="00894621">
        <w:t>State of California</w:t>
      </w:r>
    </w:p>
    <w:p w14:paraId="5671CBD3" w14:textId="77777777" w:rsidR="000373D9" w:rsidRPr="00894621" w:rsidRDefault="000373D9" w:rsidP="000373D9">
      <w:pPr>
        <w:pStyle w:val="EIRHeading7"/>
      </w:pPr>
      <w:r w:rsidRPr="00894621">
        <w:t>California Green Building Standards Code</w:t>
      </w:r>
    </w:p>
    <w:p w14:paraId="66A53983" w14:textId="05FDCEB2" w:rsidR="000373D9" w:rsidRPr="00894621" w:rsidRDefault="000373D9" w:rsidP="000373D9">
      <w:pPr>
        <w:pStyle w:val="BodyText"/>
      </w:pPr>
      <w:r w:rsidRPr="00894621">
        <w:t>In January 2020, the state of California adopted C</w:t>
      </w:r>
      <w:r w:rsidR="00872F3C">
        <w:t>al</w:t>
      </w:r>
      <w:r w:rsidRPr="00894621">
        <w:t>Green that establishes mandatory green building standards for all buildings in California. The code covers five categories: planning and design, energy efficiency, water efficiency and conservation, material conservation and resource efficiency, and indoor environmental quality. These standards include a mandatory set of guidelines, as well as more rigorous voluntary measures, for new construction projects to achieve specific green building performance levels</w:t>
      </w:r>
      <w:r w:rsidR="00B12B2D" w:rsidRPr="00894621">
        <w:t>.</w:t>
      </w:r>
    </w:p>
    <w:p w14:paraId="6B9C4AF3" w14:textId="77777777" w:rsidR="000373D9" w:rsidRPr="00894621" w:rsidRDefault="000373D9" w:rsidP="000373D9">
      <w:pPr>
        <w:pStyle w:val="bullet1"/>
      </w:pPr>
      <w:r w:rsidRPr="00894621">
        <w:t>Reducing indoor water use by 20 percent</w:t>
      </w:r>
    </w:p>
    <w:p w14:paraId="65F44FD9" w14:textId="77777777" w:rsidR="000373D9" w:rsidRPr="00894621" w:rsidRDefault="000373D9" w:rsidP="000373D9">
      <w:pPr>
        <w:pStyle w:val="bullet1"/>
      </w:pPr>
      <w:r w:rsidRPr="00894621">
        <w:t>Reducing wastewater by 20 percent</w:t>
      </w:r>
    </w:p>
    <w:p w14:paraId="68A83689" w14:textId="77777777" w:rsidR="000373D9" w:rsidRPr="00894621" w:rsidRDefault="000373D9" w:rsidP="000373D9">
      <w:pPr>
        <w:pStyle w:val="bullet1"/>
      </w:pPr>
      <w:r w:rsidRPr="00894621">
        <w:t>Recycling and/or salvaging 50 percent of nonhazardous construction and demolition debris</w:t>
      </w:r>
    </w:p>
    <w:p w14:paraId="18410588" w14:textId="77777777" w:rsidR="000373D9" w:rsidRPr="00894621" w:rsidRDefault="000373D9" w:rsidP="000373D9">
      <w:pPr>
        <w:pStyle w:val="bullet1"/>
      </w:pPr>
      <w:r w:rsidRPr="00894621">
        <w:t>Providing readily accessible areas for recycling by occupant</w:t>
      </w:r>
    </w:p>
    <w:p w14:paraId="117DEB21" w14:textId="47527D30" w:rsidR="000373D9" w:rsidRPr="00F20F9B" w:rsidRDefault="000373D9" w:rsidP="000373D9">
      <w:pPr>
        <w:pStyle w:val="EIRHeading6"/>
      </w:pPr>
      <w:r w:rsidRPr="00F20F9B">
        <w:t xml:space="preserve">City of </w:t>
      </w:r>
      <w:r w:rsidR="00F20F9B" w:rsidRPr="00F20F9B">
        <w:t>Mountain View</w:t>
      </w:r>
    </w:p>
    <w:p w14:paraId="26B217B9" w14:textId="2DCD727B" w:rsidR="000373D9" w:rsidRPr="00F20F9B" w:rsidRDefault="00F20F9B" w:rsidP="000373D9">
      <w:pPr>
        <w:pStyle w:val="EIRHeading7"/>
      </w:pPr>
      <w:r w:rsidRPr="00F20F9B">
        <w:t>Mountain View 2030</w:t>
      </w:r>
      <w:r w:rsidR="000373D9" w:rsidRPr="00F20F9B">
        <w:t xml:space="preserve"> General Plan </w:t>
      </w:r>
    </w:p>
    <w:p w14:paraId="40FDFC61" w14:textId="756369F0" w:rsidR="00F20F9B" w:rsidRPr="00F20F9B" w:rsidRDefault="000373D9" w:rsidP="000373D9">
      <w:pPr>
        <w:pStyle w:val="BodyText"/>
      </w:pPr>
      <w:r w:rsidRPr="00F20F9B">
        <w:t xml:space="preserve">The </w:t>
      </w:r>
      <w:r w:rsidR="00F20F9B">
        <w:t>Infrastructure and Conservation chapter of the Mountain View 2030 General Plan contains goals, policies, and programs related to utility systems and service. Applicable goals, policies, and programs related to utilities are included below (City of Mountain View 2012</w:t>
      </w:r>
      <w:r w:rsidR="009E65D7">
        <w:t>a</w:t>
      </w:r>
      <w:r w:rsidR="00F20F9B">
        <w:t xml:space="preserve">): </w:t>
      </w:r>
    </w:p>
    <w:p w14:paraId="015F3736" w14:textId="3DA09691" w:rsidR="000373D9" w:rsidRPr="00F20F9B" w:rsidRDefault="00F20F9B" w:rsidP="00A07BB6">
      <w:pPr>
        <w:pStyle w:val="BodyText"/>
        <w:spacing w:before="60" w:after="60"/>
      </w:pPr>
      <w:r>
        <w:rPr>
          <w:b/>
        </w:rPr>
        <w:t>Goal INC</w:t>
      </w:r>
      <w:r w:rsidR="005F3F70">
        <w:rPr>
          <w:b/>
        </w:rPr>
        <w:t>-</w:t>
      </w:r>
      <w:r>
        <w:rPr>
          <w:b/>
        </w:rPr>
        <w:t>1</w:t>
      </w:r>
      <w:r w:rsidR="000373D9" w:rsidRPr="00F20F9B">
        <w:rPr>
          <w:b/>
        </w:rPr>
        <w:t>.</w:t>
      </w:r>
      <w:r w:rsidR="000373D9" w:rsidRPr="00F20F9B">
        <w:t xml:space="preserve"> </w:t>
      </w:r>
      <w:r>
        <w:t xml:space="preserve">Citywide infrastructure </w:t>
      </w:r>
      <w:r w:rsidR="005F3F70">
        <w:t xml:space="preserve">to support existing development and future growth. </w:t>
      </w:r>
    </w:p>
    <w:p w14:paraId="137AEC21" w14:textId="77777777" w:rsidR="005F3F70" w:rsidRDefault="005F3F70" w:rsidP="00A07BB6">
      <w:pPr>
        <w:pStyle w:val="BodyText"/>
        <w:spacing w:before="60" w:after="60"/>
        <w:ind w:left="360"/>
        <w:rPr>
          <w:bCs/>
        </w:rPr>
      </w:pPr>
      <w:r>
        <w:rPr>
          <w:b/>
        </w:rPr>
        <w:t xml:space="preserve">Policy INC 1.1. </w:t>
      </w:r>
      <w:r>
        <w:rPr>
          <w:bCs/>
        </w:rPr>
        <w:t xml:space="preserve">Infrastructure management. Manage the city’s aging infrastructure. </w:t>
      </w:r>
    </w:p>
    <w:p w14:paraId="03E75128" w14:textId="77777777" w:rsidR="005F3F70" w:rsidRDefault="005F3F70" w:rsidP="00A07BB6">
      <w:pPr>
        <w:pStyle w:val="BodyText"/>
        <w:spacing w:before="60" w:after="60"/>
        <w:ind w:left="360"/>
        <w:rPr>
          <w:bCs/>
        </w:rPr>
      </w:pPr>
      <w:r>
        <w:rPr>
          <w:b/>
        </w:rPr>
        <w:t xml:space="preserve">Policy INC 1.3. </w:t>
      </w:r>
      <w:r>
        <w:rPr>
          <w:bCs/>
        </w:rPr>
        <w:t xml:space="preserve">Utilities for new development. Ensure adequate utility service levels before approving new development. </w:t>
      </w:r>
    </w:p>
    <w:p w14:paraId="372E7DB6" w14:textId="469934CC" w:rsidR="005F3F70" w:rsidRPr="005F3F70" w:rsidRDefault="005F3F70" w:rsidP="00A07BB6">
      <w:pPr>
        <w:pStyle w:val="BodyText"/>
        <w:spacing w:before="240" w:after="60"/>
        <w:rPr>
          <w:bCs/>
        </w:rPr>
      </w:pPr>
      <w:r>
        <w:rPr>
          <w:b/>
        </w:rPr>
        <w:t>Goal INC-4</w:t>
      </w:r>
      <w:r>
        <w:rPr>
          <w:bCs/>
        </w:rPr>
        <w:t>. A sustainable water supply with sufficient supply and appropriate demand management.</w:t>
      </w:r>
      <w:r>
        <w:t xml:space="preserve"> </w:t>
      </w:r>
    </w:p>
    <w:p w14:paraId="748FD518" w14:textId="77777777" w:rsidR="005F3F70" w:rsidRDefault="005F3F70" w:rsidP="00A07BB6">
      <w:pPr>
        <w:pStyle w:val="BodyText"/>
        <w:spacing w:before="60" w:after="60"/>
        <w:ind w:left="360"/>
        <w:rPr>
          <w:bCs/>
        </w:rPr>
      </w:pPr>
      <w:r>
        <w:rPr>
          <w:b/>
        </w:rPr>
        <w:t xml:space="preserve">Policy INC 4.1. </w:t>
      </w:r>
      <w:r>
        <w:rPr>
          <w:bCs/>
        </w:rPr>
        <w:t xml:space="preserve">Water supply. Maintain a reliable water supply. </w:t>
      </w:r>
    </w:p>
    <w:p w14:paraId="24D18978" w14:textId="73622A16" w:rsidR="005F3F70" w:rsidRDefault="005F3F70" w:rsidP="00A07BB6">
      <w:pPr>
        <w:pStyle w:val="BodyText"/>
        <w:spacing w:before="60" w:after="60"/>
        <w:ind w:left="360"/>
        <w:rPr>
          <w:bCs/>
        </w:rPr>
      </w:pPr>
      <w:r>
        <w:rPr>
          <w:b/>
        </w:rPr>
        <w:t>Policy INC 4.2</w:t>
      </w:r>
      <w:r>
        <w:rPr>
          <w:bCs/>
        </w:rPr>
        <w:t xml:space="preserve">. Participating in regional organizations. Participate in regional water supply organizations, support their efforts to maintain and improve the water supply, and monitor statewide and regional water supplies. </w:t>
      </w:r>
    </w:p>
    <w:p w14:paraId="644CEA31" w14:textId="6DF52AB3" w:rsidR="00727D54" w:rsidRPr="005F3F70" w:rsidRDefault="00727D54" w:rsidP="00A07BB6">
      <w:pPr>
        <w:pStyle w:val="BodyText"/>
        <w:spacing w:before="240" w:after="60"/>
        <w:rPr>
          <w:bCs/>
        </w:rPr>
      </w:pPr>
      <w:r>
        <w:rPr>
          <w:b/>
        </w:rPr>
        <w:t>Goal INC-5</w:t>
      </w:r>
      <w:r>
        <w:rPr>
          <w:bCs/>
        </w:rPr>
        <w:t>. Effective and comprehensive programs utilizing water use efficiency, water conservation and alternative water supplies to reduce per capita potable water use.</w:t>
      </w:r>
    </w:p>
    <w:p w14:paraId="74B0FAE3" w14:textId="429FBF36" w:rsidR="00727D54" w:rsidRDefault="00727D54" w:rsidP="00A07BB6">
      <w:pPr>
        <w:pStyle w:val="BodyText"/>
        <w:spacing w:before="60" w:after="60"/>
        <w:ind w:left="360"/>
        <w:rPr>
          <w:bCs/>
        </w:rPr>
      </w:pPr>
      <w:r>
        <w:rPr>
          <w:b/>
        </w:rPr>
        <w:t xml:space="preserve">Policy INC 5.2. </w:t>
      </w:r>
      <w:r>
        <w:rPr>
          <w:bCs/>
        </w:rPr>
        <w:t xml:space="preserve">Citywide water conservation. Reduce water waste and implement water conservation and efficiency measures throughout the city. </w:t>
      </w:r>
    </w:p>
    <w:p w14:paraId="05776133" w14:textId="284F9E69" w:rsidR="00727D54" w:rsidRDefault="00727D54" w:rsidP="00A07BB6">
      <w:pPr>
        <w:pStyle w:val="BodyText"/>
        <w:spacing w:before="60" w:after="60"/>
        <w:ind w:left="360"/>
        <w:rPr>
          <w:bCs/>
        </w:rPr>
      </w:pPr>
      <w:r>
        <w:rPr>
          <w:b/>
        </w:rPr>
        <w:t xml:space="preserve">Policy INC 5.5. </w:t>
      </w:r>
      <w:r>
        <w:rPr>
          <w:bCs/>
        </w:rPr>
        <w:t xml:space="preserve">Landscape efficiency. Promote water-efficient landscaping including drought-tolerant and native plants, along with efficient irrigation techniques. </w:t>
      </w:r>
    </w:p>
    <w:p w14:paraId="40D17850" w14:textId="799EE6AC" w:rsidR="00727D54" w:rsidRPr="005F3F70" w:rsidRDefault="00727D54" w:rsidP="00A07BB6">
      <w:pPr>
        <w:pStyle w:val="BodyText"/>
        <w:spacing w:before="240" w:after="60"/>
        <w:rPr>
          <w:bCs/>
        </w:rPr>
      </w:pPr>
      <w:r>
        <w:rPr>
          <w:b/>
        </w:rPr>
        <w:t>Goal INC-6</w:t>
      </w:r>
      <w:r>
        <w:rPr>
          <w:bCs/>
        </w:rPr>
        <w:t xml:space="preserve">. A coordinated wastewater collection system that protects the community’s health and safety. </w:t>
      </w:r>
    </w:p>
    <w:p w14:paraId="117CEEB9" w14:textId="704F31ED" w:rsidR="00727D54" w:rsidRDefault="00727D54" w:rsidP="00A07BB6">
      <w:pPr>
        <w:pStyle w:val="BodyText"/>
        <w:spacing w:before="60" w:after="60"/>
        <w:ind w:left="360"/>
        <w:rPr>
          <w:bCs/>
        </w:rPr>
      </w:pPr>
      <w:r>
        <w:rPr>
          <w:b/>
        </w:rPr>
        <w:t xml:space="preserve">Policy INC 6.1. </w:t>
      </w:r>
      <w:r>
        <w:rPr>
          <w:bCs/>
        </w:rPr>
        <w:t xml:space="preserve">Citywide wastewater. Ensure high-quality wastewater collection services and a well-maintained wastewater system. </w:t>
      </w:r>
    </w:p>
    <w:p w14:paraId="132E3FAC" w14:textId="77777777" w:rsidR="00727D54" w:rsidRDefault="00727D54" w:rsidP="00A07BB6">
      <w:pPr>
        <w:pStyle w:val="BodyText"/>
        <w:spacing w:before="60" w:after="60"/>
        <w:ind w:left="360"/>
      </w:pPr>
      <w:r w:rsidRPr="00727D54">
        <w:rPr>
          <w:b/>
          <w:bCs/>
        </w:rPr>
        <w:t>Policy INC 6.2.</w:t>
      </w:r>
      <w:r>
        <w:t xml:space="preserve"> Pollution source control. Implement an effective and comprehensive industrial pretreatment program and industrial, commercial and residential pollution source control programs. </w:t>
      </w:r>
    </w:p>
    <w:p w14:paraId="293B3D12" w14:textId="0F72F3AB" w:rsidR="00727D54" w:rsidRPr="00727D54" w:rsidRDefault="00727D54" w:rsidP="00A07BB6">
      <w:pPr>
        <w:pStyle w:val="BodyText"/>
        <w:spacing w:before="60" w:after="60"/>
        <w:ind w:left="360"/>
        <w:rPr>
          <w:bCs/>
        </w:rPr>
      </w:pPr>
      <w:r w:rsidRPr="00727D54">
        <w:rPr>
          <w:b/>
          <w:bCs/>
        </w:rPr>
        <w:t>Policy INC 6.3.</w:t>
      </w:r>
      <w:r>
        <w:t xml:space="preserve"> Wastewater treatment partnership. Partner with the Palo Alto Regional Water Quality Control Plant to ensure high-quality water treatment.</w:t>
      </w:r>
    </w:p>
    <w:p w14:paraId="0C47744A" w14:textId="406CF8A3" w:rsidR="00727D54" w:rsidRDefault="00A44E56" w:rsidP="00A07BB6">
      <w:pPr>
        <w:pStyle w:val="BodyText"/>
        <w:spacing w:before="240" w:after="60"/>
      </w:pPr>
      <w:r w:rsidRPr="00A44E56">
        <w:rPr>
          <w:b/>
          <w:bCs/>
        </w:rPr>
        <w:t>Goal INC-8</w:t>
      </w:r>
      <w:r>
        <w:t xml:space="preserve">. An effective and innovative stormwater drainage system that protects properties from flooding and minimizes adverse environmental impacts from stormwater runoff. </w:t>
      </w:r>
    </w:p>
    <w:p w14:paraId="17F59072" w14:textId="6C7425C3" w:rsidR="00727D54" w:rsidRDefault="00A44E56" w:rsidP="00A07BB6">
      <w:pPr>
        <w:pStyle w:val="BodyText"/>
        <w:spacing w:before="60" w:after="60"/>
        <w:ind w:left="360"/>
      </w:pPr>
      <w:r w:rsidRPr="00A44E56">
        <w:rPr>
          <w:b/>
          <w:bCs/>
        </w:rPr>
        <w:t>Policy INC 8.1.</w:t>
      </w:r>
      <w:r>
        <w:t xml:space="preserve"> Citywide stormwater system. Maintain the stormwater system in good condition.</w:t>
      </w:r>
    </w:p>
    <w:p w14:paraId="11A05A15" w14:textId="77777777" w:rsidR="00A44E56" w:rsidRDefault="00A44E56" w:rsidP="00A07BB6">
      <w:pPr>
        <w:pStyle w:val="BodyText"/>
        <w:spacing w:before="60" w:after="60"/>
        <w:ind w:left="360"/>
      </w:pPr>
      <w:r w:rsidRPr="00A44E56">
        <w:rPr>
          <w:b/>
          <w:bCs/>
        </w:rPr>
        <w:t>Policy INC 8.4.</w:t>
      </w:r>
      <w:r>
        <w:t xml:space="preserve"> Runoff pollution prevention. Reduce the amount of stormwater runoff and stormwater pollution entering creeks, water channels and the San Francisco Bay through participation in the Santa Clara Valley Urban Runoff Pollution Prevention Program. </w:t>
      </w:r>
    </w:p>
    <w:p w14:paraId="3ED9A5FF" w14:textId="1464D979" w:rsidR="00A44E56" w:rsidRDefault="00A44E56" w:rsidP="00A07BB6">
      <w:pPr>
        <w:pStyle w:val="BodyText"/>
        <w:spacing w:before="60" w:after="60"/>
        <w:ind w:left="360"/>
        <w:rPr>
          <w:bCs/>
        </w:rPr>
      </w:pPr>
      <w:r>
        <w:rPr>
          <w:b/>
          <w:bCs/>
        </w:rPr>
        <w:t xml:space="preserve">Policy </w:t>
      </w:r>
      <w:r w:rsidRPr="00A44E56">
        <w:rPr>
          <w:b/>
          <w:bCs/>
        </w:rPr>
        <w:t>INC 8.5</w:t>
      </w:r>
      <w:r>
        <w:t>. Site-specific stormwater treatment. Require post-construction stormwater treatment controls consistent with MRP requirements for both new development and redevelopment projects.</w:t>
      </w:r>
    </w:p>
    <w:p w14:paraId="4A1775D4" w14:textId="2C066A67" w:rsidR="00A44E56" w:rsidRDefault="00A44E56" w:rsidP="00A07BB6">
      <w:pPr>
        <w:pStyle w:val="BodyText"/>
        <w:spacing w:before="240" w:after="60"/>
      </w:pPr>
      <w:r w:rsidRPr="00A44E56">
        <w:rPr>
          <w:b/>
          <w:bCs/>
        </w:rPr>
        <w:t>Goal INC-10</w:t>
      </w:r>
      <w:r>
        <w:t xml:space="preserve">. Reduced waste through supply-chain management, advocacy, and outreach to reduce waste. </w:t>
      </w:r>
    </w:p>
    <w:p w14:paraId="420773CE" w14:textId="758DB7F3" w:rsidR="00A44E56" w:rsidRDefault="00A44E56" w:rsidP="00A07BB6">
      <w:pPr>
        <w:pStyle w:val="BodyText"/>
        <w:spacing w:before="60" w:after="60"/>
        <w:ind w:left="360"/>
      </w:pPr>
      <w:r w:rsidRPr="00A44E56">
        <w:rPr>
          <w:b/>
          <w:bCs/>
        </w:rPr>
        <w:t>Policy INC 10.1</w:t>
      </w:r>
      <w:r>
        <w:t>. Zero waste. Pursue a citywide goal of zero waste.</w:t>
      </w:r>
    </w:p>
    <w:p w14:paraId="0D3682EA" w14:textId="215B8B00" w:rsidR="000373D9" w:rsidRPr="006815B0" w:rsidRDefault="000373D9" w:rsidP="000373D9">
      <w:pPr>
        <w:pStyle w:val="Heading7"/>
      </w:pPr>
      <w:r w:rsidRPr="006815B0">
        <w:t xml:space="preserve">City of </w:t>
      </w:r>
      <w:r w:rsidR="00A44E56" w:rsidRPr="006815B0">
        <w:t>Mountain View</w:t>
      </w:r>
      <w:r w:rsidRPr="006815B0">
        <w:t xml:space="preserve"> Municipal Code</w:t>
      </w:r>
    </w:p>
    <w:p w14:paraId="366FB69C" w14:textId="4F9FAE15" w:rsidR="0086429A" w:rsidRDefault="000373D9" w:rsidP="0086429A">
      <w:pPr>
        <w:pStyle w:val="body0"/>
      </w:pPr>
      <w:r w:rsidRPr="006815B0">
        <w:t xml:space="preserve">In addition to the General Plan, </w:t>
      </w:r>
      <w:r w:rsidR="006815B0" w:rsidRPr="006815B0">
        <w:t xml:space="preserve">MVMC </w:t>
      </w:r>
      <w:r w:rsidRPr="006815B0">
        <w:t xml:space="preserve">contains </w:t>
      </w:r>
      <w:r w:rsidR="00B66EAD">
        <w:t>standards</w:t>
      </w:r>
      <w:r w:rsidR="00B66EAD" w:rsidRPr="006815B0">
        <w:t xml:space="preserve"> </w:t>
      </w:r>
      <w:r w:rsidRPr="006815B0">
        <w:t xml:space="preserve">relevant to utility services. </w:t>
      </w:r>
      <w:r w:rsidR="006815B0">
        <w:t>Chapter 16 discusses solid waste, Chapter 34 discusses underground utility systems, and Chapter 35 discusses water and sewage management.</w:t>
      </w:r>
    </w:p>
    <w:bookmarkEnd w:id="335"/>
    <w:p w14:paraId="003309FE" w14:textId="24A0587F" w:rsidR="009C1D64" w:rsidRPr="00506468" w:rsidRDefault="000373D9" w:rsidP="0086429A">
      <w:pPr>
        <w:pStyle w:val="ISHeading4"/>
        <w:rPr>
          <w:rStyle w:val="DropdownList"/>
          <w:rFonts w:ascii="Century Gothic" w:hAnsi="Century Gothic"/>
          <w:b/>
          <w:caps w:val="0"/>
          <w:sz w:val="24"/>
        </w:rPr>
      </w:pPr>
      <w:r w:rsidRPr="00506468">
        <w:t>Impact Analysis</w:t>
      </w:r>
    </w:p>
    <w:p w14:paraId="25FFDDB5" w14:textId="77777777" w:rsidR="00A07BB6" w:rsidRDefault="00F3748A" w:rsidP="00A07BB6">
      <w:pPr>
        <w:pStyle w:val="BulletLtrManAFTER"/>
      </w:pPr>
      <w:r w:rsidRPr="00506468">
        <w:t>a</w:t>
      </w:r>
      <w:r w:rsidR="00542725" w:rsidRPr="00506468">
        <w:t>.</w:t>
      </w:r>
      <w:r w:rsidR="00542725" w:rsidRPr="00506468">
        <w:tab/>
        <w:t xml:space="preserve">Would the project </w:t>
      </w:r>
      <w:r w:rsidRPr="00506468">
        <w:t>require or result in the relocation or construction of new or expanded water, wastewater treatment or storm water drainage, electric power, natural gas, or telecommunications facilities, the construction or relocation of which could cause significant environmental effects?</w:t>
      </w:r>
    </w:p>
    <w:p w14:paraId="0F291405" w14:textId="203A1FC0" w:rsidR="006A1ED3" w:rsidRPr="00A07BB6" w:rsidRDefault="00A07BB6" w:rsidP="00A07BB6">
      <w:pPr>
        <w:pStyle w:val="BulletLtrManAFTER"/>
        <w:spacing w:before="120"/>
      </w:pPr>
      <w:r>
        <w:rPr>
          <w:iCs/>
        </w:rPr>
        <w:t>b.</w:t>
      </w:r>
      <w:r>
        <w:rPr>
          <w:iCs/>
        </w:rPr>
        <w:tab/>
      </w:r>
      <w:r w:rsidR="006A1ED3" w:rsidRPr="0086429A">
        <w:rPr>
          <w:iCs/>
        </w:rPr>
        <w:t>Would the project have sufficient water supplies available to serve the project and reasonably foreseeable future development during normal, dry and multiple dry years?</w:t>
      </w:r>
    </w:p>
    <w:p w14:paraId="26A4982B" w14:textId="77777777" w:rsidR="00B12B2D" w:rsidRPr="00506468" w:rsidRDefault="00B12B2D" w:rsidP="004821E1">
      <w:pPr>
        <w:pStyle w:val="BulletLtrManAFTER"/>
        <w:spacing w:before="120"/>
      </w:pPr>
      <w:r w:rsidRPr="00506468">
        <w:t>c.</w:t>
      </w:r>
      <w:r w:rsidRPr="00506468">
        <w:tab/>
        <w:t>Would the project result in a determination by the wastewater treatment provider which serves or may serve the project that it has adequate capacity to serve the project’s projected demand in addition to the provider’s existing commitments?</w:t>
      </w:r>
    </w:p>
    <w:p w14:paraId="36F29510" w14:textId="77777777" w:rsidR="00B12B2D" w:rsidRPr="008F4E10" w:rsidRDefault="00B12B2D" w:rsidP="00B12B2D">
      <w:pPr>
        <w:pStyle w:val="Heading5"/>
      </w:pPr>
      <w:bookmarkStart w:id="339" w:name="_Toc535575099"/>
      <w:r w:rsidRPr="008F4E10">
        <w:t>Water</w:t>
      </w:r>
    </w:p>
    <w:p w14:paraId="444EB018" w14:textId="0BCA1B50" w:rsidR="00B41962" w:rsidRDefault="00A27D98" w:rsidP="00A27D98">
      <w:pPr>
        <w:pStyle w:val="BodyTextAfterTable"/>
      </w:pPr>
      <w:r w:rsidRPr="008F4E10">
        <w:t xml:space="preserve">The estimated </w:t>
      </w:r>
      <w:r w:rsidR="00441D30">
        <w:t xml:space="preserve">water </w:t>
      </w:r>
      <w:r w:rsidRPr="008F4E10">
        <w:t xml:space="preserve">usage for project operation would be approximately </w:t>
      </w:r>
      <w:r w:rsidR="008F4E10">
        <w:t xml:space="preserve">1,800 gallons per day, or 657,000 gallons per </w:t>
      </w:r>
      <w:r w:rsidR="008F4E10" w:rsidRPr="00B74D7D">
        <w:t>year (Appendix UIS</w:t>
      </w:r>
      <w:r w:rsidR="008F4E10">
        <w:t>). This estimation is based on a water duty factor of 90 gallons per day per 1,000 square feet of office space. In addition, pursuant to the 2019 California Fire Code, the proposed building would require a minimum fire flow of 3,750 gallons per minute.</w:t>
      </w:r>
      <w:r w:rsidR="005E4640">
        <w:t xml:space="preserve"> </w:t>
      </w:r>
      <w:r w:rsidR="006D549A">
        <w:t xml:space="preserve">As described in </w:t>
      </w:r>
      <w:r w:rsidR="006D549A">
        <w:rPr>
          <w:i/>
          <w:iCs/>
        </w:rPr>
        <w:t xml:space="preserve">Setting, </w:t>
      </w:r>
      <w:r w:rsidR="006D549A">
        <w:t>t</w:t>
      </w:r>
      <w:r w:rsidR="00627E81">
        <w:t xml:space="preserve">he project site is located within Zone 1 in the City, which is served by one SFPUC turnout. </w:t>
      </w:r>
      <w:r w:rsidR="006D549A">
        <w:t xml:space="preserve">The project would not significantly change the average daily demand or </w:t>
      </w:r>
      <w:r w:rsidR="0054041C">
        <w:t xml:space="preserve">peak hour demand of Pressure Zone 1, and rerouted surplus supply from Pressure Zone 2 would ensure that the project would not impact the City’s ability to meet total system water demand (Appendix UIS). </w:t>
      </w:r>
    </w:p>
    <w:p w14:paraId="6B827FC1" w14:textId="5454A4DD" w:rsidR="00AC1C51" w:rsidRDefault="00114226" w:rsidP="00AC1C51">
      <w:pPr>
        <w:pStyle w:val="BodyText0"/>
      </w:pPr>
      <w:r>
        <w:t>As discussed in</w:t>
      </w:r>
      <w:r w:rsidR="00B41962">
        <w:t xml:space="preserve"> the utility impact study, the project would incrementally increase </w:t>
      </w:r>
      <w:r w:rsidR="00562F62">
        <w:t xml:space="preserve">future </w:t>
      </w:r>
      <w:r w:rsidR="00B41962">
        <w:t>water demand</w:t>
      </w:r>
      <w:r w:rsidR="00562F62">
        <w:t xml:space="preserve"> at the project site</w:t>
      </w:r>
      <w:r w:rsidR="000B2A61">
        <w:t xml:space="preserve">. A “future baseline” for water demand was modeled based on the existing Mountain View 2030 General Plan land use designations, the City’s InfoWater model, and water supply demands associated with projects in the City that are approved or under review (Appendix UIS). The future baseline determined that by 2030, the project would have a water demand of 1,440 gallons per day. Given that the project would require approximately 1,800 gallons per day, the project would represent a 360 gallon per day </w:t>
      </w:r>
      <w:r w:rsidR="00FF4E06">
        <w:t xml:space="preserve">net </w:t>
      </w:r>
      <w:r w:rsidR="000B2A61">
        <w:t xml:space="preserve">increase </w:t>
      </w:r>
      <w:r>
        <w:t xml:space="preserve">over projected </w:t>
      </w:r>
      <w:r w:rsidR="000B2A61">
        <w:t>future water demand</w:t>
      </w:r>
      <w:r w:rsidR="00A4519C">
        <w:t xml:space="preserve"> (Appendix UIS)</w:t>
      </w:r>
      <w:r w:rsidR="000B2A61">
        <w:t xml:space="preserve">. </w:t>
      </w:r>
      <w:r w:rsidR="00FF4E06">
        <w:t xml:space="preserve">The project’s water demand </w:t>
      </w:r>
      <w:r w:rsidR="00D80812">
        <w:t xml:space="preserve">would </w:t>
      </w:r>
      <w:r w:rsidR="00FF4E06">
        <w:t>also represent</w:t>
      </w:r>
      <w:r w:rsidR="00D80812">
        <w:t xml:space="preserve"> </w:t>
      </w:r>
      <w:r w:rsidR="00FF4E06">
        <w:t>approximately 0.01 percent of annual water demand during single and multiple dry years, and</w:t>
      </w:r>
      <w:r w:rsidR="00D80812">
        <w:t xml:space="preserve"> would</w:t>
      </w:r>
      <w:r w:rsidR="00FF4E06">
        <w:t xml:space="preserve"> represent less than 0.1 percent of the difference between water supply and demand.</w:t>
      </w:r>
      <w:r w:rsidR="00FF4E06" w:rsidRPr="0029150E">
        <w:rPr>
          <w:rStyle w:val="FootnoteReference"/>
          <w:vertAlign w:val="superscript"/>
        </w:rPr>
        <w:footnoteReference w:id="6"/>
      </w:r>
      <w:r w:rsidR="00FF4E06">
        <w:t xml:space="preserve"> SFPUC is currently developing an Alternative Supply Program to address projected shortfalls, in addition to other local and state water supply programs</w:t>
      </w:r>
      <w:r w:rsidR="00A4519C">
        <w:t xml:space="preserve">. (City of Mountain View 2020b, Appendix UIS). </w:t>
      </w:r>
      <w:r w:rsidR="00FF4E06" w:rsidRPr="006700B5">
        <w:t>Therefore, sufficient water supplies are available to serve the project</w:t>
      </w:r>
      <w:r w:rsidR="000B7D0C">
        <w:t>’s incremental increase in water demand via</w:t>
      </w:r>
      <w:r w:rsidR="00FF4E06" w:rsidRPr="006700B5">
        <w:t xml:space="preserve"> existing entitlements and resources. Impacts would be less than significant. </w:t>
      </w:r>
      <w:bookmarkEnd w:id="339"/>
    </w:p>
    <w:p w14:paraId="5DDF5C4C" w14:textId="2E96D552" w:rsidR="00B12B2D" w:rsidRDefault="00B12B2D" w:rsidP="00B12B2D">
      <w:pPr>
        <w:pStyle w:val="Heading5"/>
      </w:pPr>
      <w:r w:rsidRPr="005E4640">
        <w:t>Wastewater</w:t>
      </w:r>
    </w:p>
    <w:p w14:paraId="40B7B937" w14:textId="51B6C9B0" w:rsidR="004561EC" w:rsidRPr="00450869" w:rsidRDefault="005E4640" w:rsidP="00E655C8">
      <w:pPr>
        <w:pStyle w:val="BodyText"/>
      </w:pPr>
      <w:r>
        <w:t xml:space="preserve">The project’s estimated sewer flow would be approximately 1,400 gallons of wastewater per day, or </w:t>
      </w:r>
      <w:r w:rsidR="000962C2">
        <w:t xml:space="preserve">511,000 gallons per year (Appendix UIS). This estimation is based on a sewer duty factor of 70 gallons of wastewater per day per 1,000 square feet of office space. </w:t>
      </w:r>
      <w:r w:rsidR="00511C23">
        <w:t xml:space="preserve">The project would be served by a connection to the municipal sewer system, which directs wastewater to the Regional Water Quality Control Plant (RWQCP) in Palo Alto. The RWQCP has capacity to treat and discharge 39 million gallons of water each day. </w:t>
      </w:r>
      <w:r w:rsidR="00E462B7">
        <w:t xml:space="preserve">In 1968, the City of Mountain View entered into a joint agreement with the cities of Palo Alto and Los Altos (referred to as the Basic Agreement) which determined Mountain </w:t>
      </w:r>
      <w:r w:rsidR="00E655C8">
        <w:t>V</w:t>
      </w:r>
      <w:r w:rsidR="00E462B7">
        <w:t xml:space="preserve">iew’s </w:t>
      </w:r>
      <w:r w:rsidR="00E655C8">
        <w:t xml:space="preserve">capacity rights to the RWQCP. The City is able to discharge 15.1 mgd of wastewater to the RWQCP each year (Appendix UIS). </w:t>
      </w:r>
      <w:r w:rsidR="00511C23">
        <w:t xml:space="preserve">According to the RWQCP 2018 Annual Report, the </w:t>
      </w:r>
      <w:r w:rsidR="005A06C8">
        <w:t xml:space="preserve">maximum daily flow in 2018 was 28.17 million gallons per day. The wastewater generated by the proposed project would represent </w:t>
      </w:r>
      <w:r w:rsidR="006A1ED3">
        <w:t>less than 0.01</w:t>
      </w:r>
      <w:r w:rsidR="005A06C8">
        <w:t xml:space="preserve"> percent of the facility’s remaining capacity at maximum daily flow</w:t>
      </w:r>
      <w:r w:rsidR="00E655C8">
        <w:t>,</w:t>
      </w:r>
      <w:r w:rsidR="005A06C8" w:rsidRPr="005A06C8">
        <w:rPr>
          <w:rStyle w:val="FootnoteReference"/>
          <w:vertAlign w:val="superscript"/>
        </w:rPr>
        <w:footnoteReference w:id="7"/>
      </w:r>
      <w:r w:rsidR="00E655C8">
        <w:rPr>
          <w:vertAlign w:val="superscript"/>
        </w:rPr>
        <w:t xml:space="preserve"> </w:t>
      </w:r>
      <w:r w:rsidR="00E655C8">
        <w:t>and</w:t>
      </w:r>
      <w:r w:rsidR="006A1ED3">
        <w:t xml:space="preserve"> less than 0.01 percent of the City’s capacity rights to the RWQCP.</w:t>
      </w:r>
      <w:r w:rsidR="006A1ED3">
        <w:rPr>
          <w:vertAlign w:val="superscript"/>
        </w:rPr>
        <w:t xml:space="preserve"> </w:t>
      </w:r>
      <w:r w:rsidR="004561EC" w:rsidRPr="00450869">
        <w:t xml:space="preserve">Therefore, the project would not impact the treatment capacity of existing municipal wastewater treatment providers. Impacts to wastewater treatment facilities would be less than significant. </w:t>
      </w:r>
    </w:p>
    <w:p w14:paraId="5765490C" w14:textId="77777777" w:rsidR="004561EC" w:rsidRPr="00450869" w:rsidRDefault="004561EC" w:rsidP="004561EC">
      <w:pPr>
        <w:pStyle w:val="Heading5"/>
      </w:pPr>
      <w:r w:rsidRPr="00450869">
        <w:t>Stormwater</w:t>
      </w:r>
    </w:p>
    <w:p w14:paraId="601FCF32" w14:textId="630F11BE" w:rsidR="00447F33" w:rsidRPr="00450869" w:rsidRDefault="004561EC" w:rsidP="000D7945">
      <w:pPr>
        <w:pStyle w:val="BodyText"/>
      </w:pPr>
      <w:r w:rsidRPr="00450869">
        <w:t xml:space="preserve">The project would continue to connect to the existing storm drain system operated and maintained by the City of </w:t>
      </w:r>
      <w:r w:rsidR="00450869" w:rsidRPr="00450869">
        <w:t>Mountain View</w:t>
      </w:r>
      <w:r w:rsidRPr="00450869">
        <w:t>.</w:t>
      </w:r>
      <w:r w:rsidR="00447F33" w:rsidRPr="00450869">
        <w:t xml:space="preserve"> </w:t>
      </w:r>
      <w:r w:rsidR="00211E50">
        <w:t xml:space="preserve">As discussed in Section 10, </w:t>
      </w:r>
      <w:r w:rsidR="00211E50">
        <w:rPr>
          <w:i/>
          <w:iCs/>
        </w:rPr>
        <w:t xml:space="preserve">Hydrology and Water Quality, </w:t>
      </w:r>
      <w:r w:rsidR="00211E50">
        <w:t>the project would increase the amount of impervious surfaces at the project site compared to existing conditions.</w:t>
      </w:r>
      <w:r w:rsidR="00450869">
        <w:t xml:space="preserve"> However, the proposed stormwater control plan includes </w:t>
      </w:r>
      <w:r w:rsidR="006A1ED3">
        <w:t xml:space="preserve">four </w:t>
      </w:r>
      <w:r w:rsidR="00450869">
        <w:t xml:space="preserve">bioretention treatment areas </w:t>
      </w:r>
      <w:r w:rsidR="006A1ED3">
        <w:t>totaling 2,250 square feet in area,</w:t>
      </w:r>
      <w:r w:rsidR="00450869">
        <w:t xml:space="preserve"> which excee</w:t>
      </w:r>
      <w:r w:rsidR="00450869" w:rsidRPr="00450869">
        <w:t xml:space="preserve">ds the required 2,208 square feet. </w:t>
      </w:r>
      <w:r w:rsidR="00447F33" w:rsidRPr="00450869">
        <w:t xml:space="preserve">The project would be designed and engineered with drainage features appropriate to accommodate the project’s needs. As discussed in Section 10, </w:t>
      </w:r>
      <w:r w:rsidR="00447F33" w:rsidRPr="00450869">
        <w:rPr>
          <w:i/>
          <w:iCs/>
        </w:rPr>
        <w:t>Hydrology and Water Quality</w:t>
      </w:r>
      <w:r w:rsidR="00447F33" w:rsidRPr="00450869">
        <w:t xml:space="preserve">, the project would </w:t>
      </w:r>
      <w:r w:rsidR="002002C4">
        <w:t xml:space="preserve">also </w:t>
      </w:r>
      <w:r w:rsidR="00447F33" w:rsidRPr="00450869">
        <w:t xml:space="preserve">be required to comply with </w:t>
      </w:r>
      <w:r w:rsidR="006A1ED3">
        <w:t>NPDES permit requirements and C.3 Stormwater Handbook requirements</w:t>
      </w:r>
      <w:r w:rsidR="00450869" w:rsidRPr="00450869">
        <w:t xml:space="preserve">. </w:t>
      </w:r>
      <w:r w:rsidR="00447F33" w:rsidRPr="00450869">
        <w:t xml:space="preserve">Impacts would be less than significant. </w:t>
      </w:r>
    </w:p>
    <w:p w14:paraId="279B1A2D" w14:textId="77777777" w:rsidR="000D7945" w:rsidRPr="00450869" w:rsidRDefault="000D7945" w:rsidP="000D7945">
      <w:pPr>
        <w:pStyle w:val="Heading5"/>
      </w:pPr>
      <w:r w:rsidRPr="00450869">
        <w:t>Electricity, Natural Gas, and Telecommunications</w:t>
      </w:r>
    </w:p>
    <w:p w14:paraId="04480073" w14:textId="77777777" w:rsidR="000D7945" w:rsidRPr="00450869" w:rsidRDefault="000D7945" w:rsidP="000D7945">
      <w:pPr>
        <w:pStyle w:val="BodyText"/>
      </w:pPr>
      <w:r w:rsidRPr="00450869">
        <w:t xml:space="preserve">As discussed in Section 6, </w:t>
      </w:r>
      <w:r w:rsidRPr="00450869">
        <w:rPr>
          <w:i/>
          <w:iCs/>
        </w:rPr>
        <w:t>Energy</w:t>
      </w:r>
      <w:r w:rsidRPr="00450869">
        <w:t xml:space="preserve">, the project would not result in the wasteful, inefficient, or unnecessary consumption of energy. In addition, the project would not require the construction of new electric power, natural gas, or telecommunications facilities because it is located in an urban area already served by those utilities and would not require additional capacity. </w:t>
      </w:r>
    </w:p>
    <w:p w14:paraId="317AF01C" w14:textId="44B3258D" w:rsidR="0086429A" w:rsidRPr="00AC1C51" w:rsidRDefault="000D7945" w:rsidP="00AC1C51">
      <w:pPr>
        <w:pStyle w:val="BodyText"/>
        <w:rPr>
          <w:rStyle w:val="DropdownList"/>
          <w:rFonts w:asciiTheme="minorHAnsi" w:hAnsiTheme="minorHAnsi"/>
          <w:b w:val="0"/>
          <w:caps w:val="0"/>
        </w:rPr>
      </w:pPr>
      <w:r w:rsidRPr="00450869">
        <w:t xml:space="preserve">Therefore, the project would not result in significant environmental impacts due to the construction of new utility facilities. Impacts would be less than significant. </w:t>
      </w:r>
    </w:p>
    <w:p w14:paraId="2B85D7C9" w14:textId="7B38A97D" w:rsidR="009C1D64" w:rsidRPr="000E45CD" w:rsidRDefault="00817BC5" w:rsidP="000A29EF">
      <w:pPr>
        <w:spacing w:before="120"/>
        <w:rPr>
          <w:rStyle w:val="DropdownList"/>
          <w:highlight w:val="lightGray"/>
        </w:rPr>
      </w:pPr>
      <w:sdt>
        <w:sdtPr>
          <w:rPr>
            <w:rStyle w:val="DropdownList"/>
            <w:highlight w:val="lightGray"/>
          </w:rPr>
          <w:alias w:val="1a"/>
          <w:tag w:val="dropdown"/>
          <w:id w:val="-934746579"/>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highlight w:val="none"/>
          </w:rPr>
        </w:sdtEndPr>
        <w:sdtContent>
          <w:r w:rsidR="000E45CD" w:rsidRPr="000E45CD">
            <w:rPr>
              <w:rStyle w:val="DropdownList"/>
            </w:rPr>
            <w:t>Less Than Significant Impact</w:t>
          </w:r>
        </w:sdtContent>
      </w:sdt>
    </w:p>
    <w:p w14:paraId="48B3F1C4" w14:textId="1B2F7934" w:rsidR="00542725" w:rsidRPr="006700B5" w:rsidRDefault="00F3748A" w:rsidP="00A07BB6">
      <w:pPr>
        <w:pStyle w:val="BulletLtrManAFTER"/>
        <w:pageBreakBefore/>
      </w:pPr>
      <w:r w:rsidRPr="006700B5">
        <w:t>d</w:t>
      </w:r>
      <w:r w:rsidR="00AA5EA1" w:rsidRPr="006700B5">
        <w:t>.</w:t>
      </w:r>
      <w:r w:rsidR="00AA5EA1" w:rsidRPr="006700B5">
        <w:tab/>
      </w:r>
      <w:r w:rsidR="006860CA" w:rsidRPr="006700B5">
        <w:t>Would the project g</w:t>
      </w:r>
      <w:r w:rsidRPr="006700B5">
        <w:t>enerate solid waste in excess of State or local standards, or in excess of the capacity of local infrastructure, or otherwise impair the attainment of solid waste reduction goals?</w:t>
      </w:r>
    </w:p>
    <w:p w14:paraId="07497FBC" w14:textId="5A86397C" w:rsidR="000A29EF" w:rsidRPr="006700B5" w:rsidRDefault="000A29EF" w:rsidP="00195784">
      <w:pPr>
        <w:pStyle w:val="BulletLtrManAFTER"/>
        <w:spacing w:before="120"/>
      </w:pPr>
      <w:r w:rsidRPr="006700B5">
        <w:t>e.</w:t>
      </w:r>
      <w:r w:rsidRPr="006700B5">
        <w:tab/>
        <w:t>Would the project comply with federal, state, and local management and reduction statutes and regulations related to solid waste?</w:t>
      </w:r>
    </w:p>
    <w:p w14:paraId="29D06C12" w14:textId="5BC577FD" w:rsidR="00A73F3A" w:rsidRPr="004D27BC" w:rsidRDefault="00A73F3A" w:rsidP="005A034E">
      <w:pPr>
        <w:pStyle w:val="BodyText"/>
      </w:pPr>
      <w:r w:rsidRPr="006700B5">
        <w:t xml:space="preserve">The proposed project would generate solid waste during construction and operation. Handling of debris and waste generated during construction would be subject to </w:t>
      </w:r>
      <w:r w:rsidR="006700B5">
        <w:t>MVMC Chapter 16</w:t>
      </w:r>
      <w:r w:rsidR="004D27BC">
        <w:t xml:space="preserve">, which would require the applicant to develop a Construction and Demolition Recycling Report and would also require the project to divert a percentage of construction and demolition waste. </w:t>
      </w:r>
      <w:r w:rsidR="007E46E7" w:rsidRPr="004D27BC">
        <w:t>The 2019 C</w:t>
      </w:r>
      <w:r w:rsidR="00872F3C">
        <w:t>al</w:t>
      </w:r>
      <w:r w:rsidR="007E46E7" w:rsidRPr="004D27BC">
        <w:t xml:space="preserve">Green code requires that 65 percent of construction and demolition debris be diverted. </w:t>
      </w:r>
      <w:r w:rsidR="004D27BC">
        <w:t xml:space="preserve">While demolition of structures on the project site were evaluated in a separate environmental review, </w:t>
      </w:r>
      <w:r w:rsidR="004D27BC" w:rsidRPr="004D27BC">
        <w:t>c</w:t>
      </w:r>
      <w:r w:rsidRPr="004D27BC">
        <w:t>onstruction activities would generate substantial waste</w:t>
      </w:r>
      <w:r w:rsidR="004D27BC" w:rsidRPr="004D27BC">
        <w:t>.</w:t>
      </w:r>
      <w:r w:rsidRPr="004D27BC">
        <w:t xml:space="preserve"> </w:t>
      </w:r>
      <w:r w:rsidR="004D27BC" w:rsidRPr="004D27BC">
        <w:t>H</w:t>
      </w:r>
      <w:r w:rsidRPr="004D27BC">
        <w:t xml:space="preserve">owever, </w:t>
      </w:r>
      <w:r w:rsidR="007E46E7" w:rsidRPr="004D27BC">
        <w:t xml:space="preserve">compliance with </w:t>
      </w:r>
      <w:r w:rsidR="004D27BC" w:rsidRPr="004D27BC">
        <w:t>MVMC</w:t>
      </w:r>
      <w:r w:rsidR="007E46E7" w:rsidRPr="004D27BC">
        <w:t xml:space="preserve"> Chapter 1</w:t>
      </w:r>
      <w:r w:rsidR="004D27BC" w:rsidRPr="004D27BC">
        <w:t xml:space="preserve">6 </w:t>
      </w:r>
      <w:r w:rsidR="007E46E7" w:rsidRPr="004D27BC">
        <w:t xml:space="preserve">would </w:t>
      </w:r>
      <w:r w:rsidR="009B5580" w:rsidRPr="004D27BC">
        <w:t xml:space="preserve">aid in reaching AB 939 goals and the City of </w:t>
      </w:r>
      <w:r w:rsidR="004D27BC" w:rsidRPr="004D27BC">
        <w:t>Mountain View’s</w:t>
      </w:r>
      <w:r w:rsidR="009B5580" w:rsidRPr="004D27BC">
        <w:t xml:space="preserve"> diversion requirement. </w:t>
      </w:r>
      <w:r w:rsidRPr="004D27BC">
        <w:t xml:space="preserve">Therefore, the project would not impair the attainment of solid waste reduction goals. </w:t>
      </w:r>
    </w:p>
    <w:p w14:paraId="7893710D" w14:textId="08413985" w:rsidR="008F1F67" w:rsidRDefault="002002C4" w:rsidP="0034695B">
      <w:pPr>
        <w:pStyle w:val="BodyText"/>
      </w:pPr>
      <w:r>
        <w:t>Solid</w:t>
      </w:r>
      <w:r w:rsidR="000A29EF" w:rsidRPr="004D27BC">
        <w:t xml:space="preserve"> waste from the project site would be collected by </w:t>
      </w:r>
      <w:r w:rsidR="004D27BC" w:rsidRPr="004D27BC">
        <w:t>Recology</w:t>
      </w:r>
      <w:r w:rsidR="000A29EF" w:rsidRPr="004D27BC">
        <w:t xml:space="preserve"> and likely sent to </w:t>
      </w:r>
      <w:r w:rsidR="004D27BC" w:rsidRPr="004D27BC">
        <w:t>Kirby Canyon Recycling and Disposal Facility</w:t>
      </w:r>
      <w:r w:rsidR="000A29EF" w:rsidRPr="004D27BC">
        <w:t>.</w:t>
      </w:r>
      <w:r w:rsidR="00A4519C">
        <w:t xml:space="preserve"> </w:t>
      </w:r>
      <w:r w:rsidR="00A4519C">
        <w:fldChar w:fldCharType="begin"/>
      </w:r>
      <w:r w:rsidR="00A4519C">
        <w:instrText xml:space="preserve"> REF _Ref94088201 \h </w:instrText>
      </w:r>
      <w:r w:rsidR="00A4519C">
        <w:fldChar w:fldCharType="separate"/>
      </w:r>
      <w:r w:rsidR="00FA55F1" w:rsidRPr="00393F57">
        <w:t xml:space="preserve">Table </w:t>
      </w:r>
      <w:r w:rsidR="00FA55F1">
        <w:rPr>
          <w:noProof/>
        </w:rPr>
        <w:t>35</w:t>
      </w:r>
      <w:r w:rsidR="00A4519C">
        <w:fldChar w:fldCharType="end"/>
      </w:r>
      <w:r w:rsidR="008F1F67">
        <w:t xml:space="preserve"> shows the project’s estimated solid waste generation and the remaining capacity of Kirby Canyon (CalRecycle 2019b). </w:t>
      </w:r>
    </w:p>
    <w:p w14:paraId="4B64EBFE" w14:textId="60A660E2" w:rsidR="008F1F67" w:rsidRPr="00393F57" w:rsidRDefault="008F1F67" w:rsidP="008F1F67">
      <w:pPr>
        <w:pStyle w:val="TableCaption"/>
      </w:pPr>
      <w:bookmarkStart w:id="340" w:name="_Ref94088201"/>
      <w:bookmarkStart w:id="341" w:name="_Toc112942484"/>
      <w:r w:rsidRPr="00393F57">
        <w:t xml:space="preserve">Table </w:t>
      </w:r>
      <w:fldSimple w:instr=" SEQ Table \* ARABIC ">
        <w:r w:rsidR="00FA55F1">
          <w:rPr>
            <w:noProof/>
          </w:rPr>
          <w:t>35</w:t>
        </w:r>
      </w:fldSimple>
      <w:bookmarkEnd w:id="340"/>
      <w:r w:rsidR="001D4BBB">
        <w:tab/>
      </w:r>
      <w:r>
        <w:t xml:space="preserve">Generated Solid Waste and </w:t>
      </w:r>
      <w:r w:rsidRPr="00393F57">
        <w:t>Estimated Landfill Capacit</w:t>
      </w:r>
      <w:r>
        <w:t>y</w:t>
      </w:r>
      <w:bookmarkEnd w:id="341"/>
      <w:r>
        <w:t xml:space="preserve"> </w:t>
      </w:r>
    </w:p>
    <w:tbl>
      <w:tblPr>
        <w:tblStyle w:val="TableGrid"/>
        <w:tblW w:w="90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9"/>
        <w:gridCol w:w="1953"/>
        <w:gridCol w:w="2740"/>
        <w:gridCol w:w="2347"/>
      </w:tblGrid>
      <w:tr w:rsidR="0034695B" w:rsidRPr="00E5753A" w14:paraId="4F983036" w14:textId="77777777" w:rsidTr="00294A6D">
        <w:tc>
          <w:tcPr>
            <w:tcW w:w="1989" w:type="dxa"/>
            <w:shd w:val="clear" w:color="auto" w:fill="000000" w:themeFill="text1"/>
            <w:vAlign w:val="bottom"/>
          </w:tcPr>
          <w:p w14:paraId="79BE5B3E" w14:textId="3531BB48" w:rsidR="0034695B" w:rsidRPr="00393F57" w:rsidRDefault="0034695B" w:rsidP="00294A6D">
            <w:pPr>
              <w:pStyle w:val="ISTableColumnHeadings"/>
              <w:rPr>
                <w:color w:val="auto"/>
              </w:rPr>
            </w:pPr>
            <w:r>
              <w:rPr>
                <w:color w:val="auto"/>
              </w:rPr>
              <w:t xml:space="preserve">Project Solid Waste Generation (tons/day) </w:t>
            </w:r>
          </w:p>
        </w:tc>
        <w:tc>
          <w:tcPr>
            <w:tcW w:w="1953" w:type="dxa"/>
            <w:shd w:val="clear" w:color="auto" w:fill="000000" w:themeFill="text1"/>
            <w:vAlign w:val="bottom"/>
          </w:tcPr>
          <w:p w14:paraId="16BF4FEA" w14:textId="7D165874" w:rsidR="0034695B" w:rsidRPr="00393F57" w:rsidRDefault="0034695B" w:rsidP="00294A6D">
            <w:pPr>
              <w:pStyle w:val="ISTableColumnHeadings"/>
              <w:jc w:val="center"/>
              <w:rPr>
                <w:color w:val="auto"/>
              </w:rPr>
            </w:pPr>
            <w:r>
              <w:rPr>
                <w:color w:val="auto"/>
              </w:rPr>
              <w:t>Permitted Throughput (tons/day)</w:t>
            </w:r>
          </w:p>
        </w:tc>
        <w:tc>
          <w:tcPr>
            <w:tcW w:w="2740" w:type="dxa"/>
            <w:shd w:val="clear" w:color="auto" w:fill="000000" w:themeFill="text1"/>
            <w:vAlign w:val="bottom"/>
          </w:tcPr>
          <w:p w14:paraId="4469772F" w14:textId="58A000AE" w:rsidR="0034695B" w:rsidRPr="00393F57" w:rsidRDefault="0034695B" w:rsidP="00294A6D">
            <w:pPr>
              <w:pStyle w:val="ISTableColumnHeadings"/>
              <w:jc w:val="center"/>
              <w:rPr>
                <w:color w:val="auto"/>
              </w:rPr>
            </w:pPr>
            <w:r w:rsidRPr="00393F57">
              <w:rPr>
                <w:color w:val="auto"/>
              </w:rPr>
              <w:t>Remaining Capacity</w:t>
            </w:r>
            <w:r w:rsidR="00A07BB6">
              <w:rPr>
                <w:color w:val="auto"/>
              </w:rPr>
              <w:br/>
            </w:r>
            <w:r>
              <w:rPr>
                <w:color w:val="auto"/>
              </w:rPr>
              <w:t>of</w:t>
            </w:r>
            <w:r w:rsidR="00A07BB6">
              <w:rPr>
                <w:color w:val="auto"/>
              </w:rPr>
              <w:t xml:space="preserve"> </w:t>
            </w:r>
            <w:r>
              <w:rPr>
                <w:color w:val="auto"/>
              </w:rPr>
              <w:t>Kirby Canyon</w:t>
            </w:r>
            <w:r w:rsidRPr="00393F57">
              <w:rPr>
                <w:color w:val="auto"/>
              </w:rPr>
              <w:br/>
              <w:t>(cubic yards)</w:t>
            </w:r>
          </w:p>
        </w:tc>
        <w:tc>
          <w:tcPr>
            <w:tcW w:w="2347" w:type="dxa"/>
            <w:shd w:val="clear" w:color="auto" w:fill="000000" w:themeFill="text1"/>
            <w:vAlign w:val="bottom"/>
          </w:tcPr>
          <w:p w14:paraId="1D0E223D" w14:textId="68D8CBBA" w:rsidR="0034695B" w:rsidRPr="00393F57" w:rsidRDefault="0034695B" w:rsidP="00294A6D">
            <w:pPr>
              <w:pStyle w:val="ISTableColumnHeadings"/>
              <w:jc w:val="center"/>
              <w:rPr>
                <w:color w:val="auto"/>
              </w:rPr>
            </w:pPr>
            <w:r w:rsidRPr="00393F57">
              <w:rPr>
                <w:color w:val="auto"/>
              </w:rPr>
              <w:t>Permitted Capacity</w:t>
            </w:r>
            <w:r w:rsidR="00A07BB6">
              <w:rPr>
                <w:color w:val="auto"/>
              </w:rPr>
              <w:br/>
            </w:r>
            <w:r>
              <w:rPr>
                <w:color w:val="auto"/>
              </w:rPr>
              <w:t>of Kirby Canyon</w:t>
            </w:r>
            <w:r w:rsidRPr="00393F57">
              <w:rPr>
                <w:color w:val="auto"/>
              </w:rPr>
              <w:br/>
              <w:t>(cubic yards)</w:t>
            </w:r>
          </w:p>
        </w:tc>
      </w:tr>
      <w:tr w:rsidR="0034695B" w:rsidRPr="00E5753A" w14:paraId="00743154" w14:textId="77777777" w:rsidTr="00294A6D">
        <w:tc>
          <w:tcPr>
            <w:tcW w:w="1989" w:type="dxa"/>
            <w:tcBorders>
              <w:bottom w:val="single" w:sz="4" w:space="0" w:color="auto"/>
            </w:tcBorders>
            <w:vAlign w:val="center"/>
          </w:tcPr>
          <w:p w14:paraId="1C7E6175" w14:textId="15ACAC7A" w:rsidR="0034695B" w:rsidRPr="00393F57" w:rsidRDefault="0034695B" w:rsidP="00294A6D">
            <w:pPr>
              <w:pStyle w:val="ISTableText"/>
              <w:rPr>
                <w:rFonts w:asciiTheme="minorHAnsi" w:hAnsiTheme="minorHAnsi"/>
              </w:rPr>
            </w:pPr>
            <w:r>
              <w:rPr>
                <w:rFonts w:asciiTheme="minorHAnsi" w:hAnsiTheme="minorHAnsi"/>
              </w:rPr>
              <w:t>0.05</w:t>
            </w:r>
            <w:r w:rsidRPr="00393F57">
              <w:rPr>
                <w:rFonts w:asciiTheme="minorHAnsi" w:hAnsiTheme="minorHAnsi"/>
              </w:rPr>
              <w:t xml:space="preserve"> </w:t>
            </w:r>
          </w:p>
        </w:tc>
        <w:tc>
          <w:tcPr>
            <w:tcW w:w="1953" w:type="dxa"/>
            <w:tcBorders>
              <w:bottom w:val="single" w:sz="4" w:space="0" w:color="auto"/>
            </w:tcBorders>
          </w:tcPr>
          <w:p w14:paraId="376D972D" w14:textId="4EE04803" w:rsidR="0034695B" w:rsidRPr="00393F57" w:rsidRDefault="0034695B" w:rsidP="00294A6D">
            <w:pPr>
              <w:pStyle w:val="ISTableText"/>
              <w:jc w:val="center"/>
              <w:rPr>
                <w:vertAlign w:val="superscript"/>
              </w:rPr>
            </w:pPr>
            <w:r>
              <w:rPr>
                <w:rFonts w:asciiTheme="minorHAnsi" w:hAnsiTheme="minorHAnsi"/>
              </w:rPr>
              <w:t>2,600</w:t>
            </w:r>
          </w:p>
        </w:tc>
        <w:tc>
          <w:tcPr>
            <w:tcW w:w="2740" w:type="dxa"/>
            <w:tcBorders>
              <w:bottom w:val="single" w:sz="4" w:space="0" w:color="auto"/>
            </w:tcBorders>
            <w:vAlign w:val="center"/>
          </w:tcPr>
          <w:p w14:paraId="024D72BE" w14:textId="77777777" w:rsidR="0034695B" w:rsidRPr="00393F57" w:rsidRDefault="0034695B" w:rsidP="00294A6D">
            <w:pPr>
              <w:pStyle w:val="ISTableText"/>
              <w:jc w:val="center"/>
              <w:rPr>
                <w:rFonts w:asciiTheme="minorHAnsi" w:hAnsiTheme="minorHAnsi"/>
                <w:vertAlign w:val="superscript"/>
              </w:rPr>
            </w:pPr>
            <w:r>
              <w:rPr>
                <w:rFonts w:asciiTheme="minorHAnsi" w:hAnsiTheme="minorHAnsi"/>
              </w:rPr>
              <w:t>16,191,600</w:t>
            </w:r>
          </w:p>
        </w:tc>
        <w:tc>
          <w:tcPr>
            <w:tcW w:w="2347" w:type="dxa"/>
            <w:tcBorders>
              <w:bottom w:val="single" w:sz="4" w:space="0" w:color="auto"/>
            </w:tcBorders>
            <w:vAlign w:val="center"/>
          </w:tcPr>
          <w:p w14:paraId="70378AE2" w14:textId="0E9E8EE2" w:rsidR="0034695B" w:rsidRDefault="0034695B" w:rsidP="00294A6D">
            <w:pPr>
              <w:pStyle w:val="ISTableText"/>
              <w:jc w:val="center"/>
              <w:rPr>
                <w:rFonts w:asciiTheme="minorHAnsi" w:hAnsiTheme="minorHAnsi"/>
              </w:rPr>
            </w:pPr>
            <w:r w:rsidRPr="00DC2B57">
              <w:rPr>
                <w:rFonts w:asciiTheme="minorHAnsi" w:hAnsiTheme="minorHAnsi"/>
              </w:rPr>
              <w:t>36,400,000</w:t>
            </w:r>
          </w:p>
        </w:tc>
      </w:tr>
      <w:tr w:rsidR="00493D98" w:rsidRPr="00A07BB6" w14:paraId="1FAA1598" w14:textId="77777777" w:rsidTr="00C34B96">
        <w:tc>
          <w:tcPr>
            <w:tcW w:w="9029" w:type="dxa"/>
            <w:gridSpan w:val="4"/>
            <w:tcBorders>
              <w:top w:val="single" w:sz="4" w:space="0" w:color="auto"/>
              <w:bottom w:val="single" w:sz="4" w:space="0" w:color="auto"/>
            </w:tcBorders>
            <w:vAlign w:val="center"/>
          </w:tcPr>
          <w:p w14:paraId="51680C3B" w14:textId="01D5E89A" w:rsidR="00493D98" w:rsidRPr="00A07BB6" w:rsidRDefault="00493D98" w:rsidP="00493D98">
            <w:pPr>
              <w:pStyle w:val="ISTableText"/>
              <w:spacing w:before="60" w:after="60"/>
              <w:rPr>
                <w:rFonts w:asciiTheme="minorHAnsi" w:hAnsiTheme="minorHAnsi"/>
                <w:sz w:val="16"/>
                <w:szCs w:val="16"/>
              </w:rPr>
            </w:pPr>
            <w:r w:rsidRPr="00A07BB6">
              <w:rPr>
                <w:rFonts w:asciiTheme="minorHAnsi" w:hAnsiTheme="minorHAnsi"/>
                <w:sz w:val="16"/>
                <w:szCs w:val="16"/>
              </w:rPr>
              <w:t>Source: CalRecycle 2019b, Appendix AQ</w:t>
            </w:r>
          </w:p>
        </w:tc>
      </w:tr>
    </w:tbl>
    <w:p w14:paraId="0C21F0F2" w14:textId="1C2210C0" w:rsidR="0034695B" w:rsidRPr="0087444F" w:rsidRDefault="001223B1" w:rsidP="00A07BB6">
      <w:pPr>
        <w:pStyle w:val="bodyafter"/>
      </w:pPr>
      <w:r>
        <w:t xml:space="preserve">Project generated waste would be </w:t>
      </w:r>
      <w:r w:rsidR="0087444F">
        <w:t xml:space="preserve">approximately 0.001 percent of Kirby Canyon’s daily allowable waste limit of 2,600 tons per day </w:t>
      </w:r>
      <w:r w:rsidR="008F1F67">
        <w:t>(CalRecycle 2019b).</w:t>
      </w:r>
      <w:r w:rsidR="00114226">
        <w:t xml:space="preserve"> </w:t>
      </w:r>
      <w:r w:rsidR="009C57F7" w:rsidRPr="0087444F">
        <w:t xml:space="preserve">The project would be required to comply with City and State plans and policies to reduce solid waste generation, including a requirement to divert at least 50 percent of solid waste and recyclables, as required by AB 939 and </w:t>
      </w:r>
      <w:r w:rsidR="0087444F">
        <w:t>MVMC</w:t>
      </w:r>
      <w:r w:rsidR="009C57F7" w:rsidRPr="0087444F">
        <w:t xml:space="preserve"> Chapter 1</w:t>
      </w:r>
      <w:r w:rsidR="0087444F">
        <w:t>6</w:t>
      </w:r>
      <w:r w:rsidR="009C57F7" w:rsidRPr="0087444F">
        <w:t xml:space="preserve">. The project’s incremental increase in solid waste would not adversely affect solid waste facilities. </w:t>
      </w:r>
      <w:r w:rsidR="0087444F">
        <w:t xml:space="preserve">Impacts would be less than significant. </w:t>
      </w:r>
    </w:p>
    <w:p w14:paraId="24655D44" w14:textId="7E3FCEDE" w:rsidR="009C57F7" w:rsidRDefault="00817BC5" w:rsidP="005A034E">
      <w:pPr>
        <w:pStyle w:val="BodyText"/>
        <w:rPr>
          <w:rStyle w:val="DropdownList"/>
        </w:rPr>
      </w:pPr>
      <w:sdt>
        <w:sdtPr>
          <w:rPr>
            <w:rStyle w:val="DropdownList"/>
            <w:highlight w:val="lightGray"/>
          </w:rPr>
          <w:alias w:val="1a"/>
          <w:tag w:val="dropdown"/>
          <w:id w:val="777912158"/>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highlight w:val="none"/>
          </w:rPr>
        </w:sdtEndPr>
        <w:sdtContent>
          <w:r w:rsidR="000E45CD" w:rsidRPr="000E45CD">
            <w:rPr>
              <w:rStyle w:val="DropdownList"/>
            </w:rPr>
            <w:t>Less Than Significant Impact</w:t>
          </w:r>
        </w:sdtContent>
      </w:sdt>
    </w:p>
    <w:p w14:paraId="790ABDB3" w14:textId="77777777" w:rsidR="00A07BB6" w:rsidRPr="00275351" w:rsidRDefault="00A07BB6" w:rsidP="00B95202">
      <w:pPr>
        <w:pStyle w:val="blank0"/>
      </w:pPr>
    </w:p>
    <w:p w14:paraId="2C1C8320" w14:textId="77777777" w:rsidR="00A07BB6" w:rsidRPr="00275351" w:rsidRDefault="00A07BB6" w:rsidP="00B95202">
      <w:pPr>
        <w:pStyle w:val="blank0"/>
      </w:pPr>
      <w:r w:rsidRPr="00275351">
        <w:t>This page intentionally left blank.</w:t>
      </w:r>
    </w:p>
    <w:p w14:paraId="70F0238A" w14:textId="29DC0724" w:rsidR="00A07BB6" w:rsidRPr="000E45CD" w:rsidRDefault="00A07BB6" w:rsidP="005A034E">
      <w:pPr>
        <w:pStyle w:val="BodyText"/>
        <w:rPr>
          <w:highlight w:val="lightGray"/>
        </w:rPr>
      </w:pPr>
    </w:p>
    <w:p w14:paraId="1DBBE206" w14:textId="77777777" w:rsidR="008C6662" w:rsidRPr="00CC2AF5" w:rsidRDefault="008C6662" w:rsidP="00275B75">
      <w:pPr>
        <w:pStyle w:val="Heading3CEQA"/>
      </w:pPr>
      <w:bookmarkStart w:id="342" w:name="_Toc112942445"/>
      <w:bookmarkStart w:id="343" w:name="_Toc453855780"/>
      <w:bookmarkStart w:id="344" w:name="_Toc475630728"/>
      <w:r w:rsidRPr="00CC2AF5">
        <w:t>Wildfire</w:t>
      </w:r>
      <w:bookmarkEnd w:id="342"/>
    </w:p>
    <w:tbl>
      <w:tblPr>
        <w:tblW w:w="9047" w:type="dxa"/>
        <w:tblBorders>
          <w:bottom w:val="single" w:sz="4" w:space="0" w:color="auto"/>
        </w:tblBorders>
        <w:tblLayout w:type="fixed"/>
        <w:tblLook w:val="04A0" w:firstRow="1" w:lastRow="0" w:firstColumn="1" w:lastColumn="0" w:noHBand="0" w:noVBand="1"/>
      </w:tblPr>
      <w:tblGrid>
        <w:gridCol w:w="10"/>
        <w:gridCol w:w="4331"/>
        <w:gridCol w:w="1188"/>
        <w:gridCol w:w="1220"/>
        <w:gridCol w:w="1110"/>
        <w:gridCol w:w="1124"/>
        <w:gridCol w:w="64"/>
      </w:tblGrid>
      <w:tr w:rsidR="008C6662" w:rsidRPr="00E5753A" w14:paraId="76C74998" w14:textId="77777777" w:rsidTr="00EE55E2">
        <w:trPr>
          <w:tblHeader/>
        </w:trPr>
        <w:tc>
          <w:tcPr>
            <w:tcW w:w="4341" w:type="dxa"/>
            <w:gridSpan w:val="2"/>
            <w:tcBorders>
              <w:bottom w:val="single" w:sz="4" w:space="0" w:color="auto"/>
            </w:tcBorders>
            <w:shd w:val="clear" w:color="auto" w:fill="D9D9D9"/>
            <w:tcMar>
              <w:top w:w="20" w:type="dxa"/>
              <w:left w:w="115" w:type="dxa"/>
              <w:bottom w:w="20" w:type="dxa"/>
              <w:right w:w="115" w:type="dxa"/>
            </w:tcMar>
            <w:vAlign w:val="bottom"/>
          </w:tcPr>
          <w:p w14:paraId="4BDACBA2" w14:textId="77777777" w:rsidR="008C6662" w:rsidRPr="000E45CD" w:rsidRDefault="008C6662" w:rsidP="006E704D">
            <w:pPr>
              <w:pStyle w:val="TableHeadings"/>
              <w:rPr>
                <w:highlight w:val="lightGray"/>
              </w:rPr>
            </w:pPr>
          </w:p>
        </w:tc>
        <w:tc>
          <w:tcPr>
            <w:tcW w:w="1188" w:type="dxa"/>
            <w:tcBorders>
              <w:bottom w:val="single" w:sz="4" w:space="0" w:color="auto"/>
            </w:tcBorders>
            <w:shd w:val="clear" w:color="auto" w:fill="D9D9D9"/>
            <w:tcMar>
              <w:top w:w="20" w:type="dxa"/>
              <w:left w:w="115" w:type="dxa"/>
              <w:bottom w:w="20" w:type="dxa"/>
              <w:right w:w="115" w:type="dxa"/>
            </w:tcMar>
            <w:vAlign w:val="bottom"/>
            <w:hideMark/>
          </w:tcPr>
          <w:p w14:paraId="23C2DC52" w14:textId="77777777" w:rsidR="008C6662" w:rsidRPr="00CC2AF5" w:rsidRDefault="008C6662" w:rsidP="006E704D">
            <w:pPr>
              <w:pStyle w:val="TableHeadings"/>
              <w:jc w:val="center"/>
            </w:pPr>
            <w:r w:rsidRPr="00CC2AF5">
              <w:t>Potentially Significant Impact</w:t>
            </w:r>
          </w:p>
        </w:tc>
        <w:tc>
          <w:tcPr>
            <w:tcW w:w="1220" w:type="dxa"/>
            <w:tcBorders>
              <w:bottom w:val="single" w:sz="4" w:space="0" w:color="auto"/>
            </w:tcBorders>
            <w:shd w:val="clear" w:color="auto" w:fill="D9D9D9"/>
            <w:tcMar>
              <w:top w:w="20" w:type="dxa"/>
              <w:left w:w="115" w:type="dxa"/>
              <w:bottom w:w="20" w:type="dxa"/>
              <w:right w:w="115" w:type="dxa"/>
            </w:tcMar>
            <w:vAlign w:val="bottom"/>
            <w:hideMark/>
          </w:tcPr>
          <w:p w14:paraId="058B00CC" w14:textId="77777777" w:rsidR="008C6662" w:rsidRPr="00CC2AF5" w:rsidRDefault="008C6662" w:rsidP="006E704D">
            <w:pPr>
              <w:pStyle w:val="TableHeadings"/>
              <w:jc w:val="center"/>
            </w:pPr>
            <w:r w:rsidRPr="00CC2AF5">
              <w:t>Less than Significant with Mitigation Incorporated</w:t>
            </w:r>
          </w:p>
        </w:tc>
        <w:tc>
          <w:tcPr>
            <w:tcW w:w="1110" w:type="dxa"/>
            <w:tcBorders>
              <w:bottom w:val="single" w:sz="4" w:space="0" w:color="auto"/>
            </w:tcBorders>
            <w:shd w:val="clear" w:color="auto" w:fill="D9D9D9"/>
            <w:tcMar>
              <w:top w:w="20" w:type="dxa"/>
              <w:left w:w="115" w:type="dxa"/>
              <w:bottom w:w="20" w:type="dxa"/>
              <w:right w:w="115" w:type="dxa"/>
            </w:tcMar>
            <w:vAlign w:val="bottom"/>
            <w:hideMark/>
          </w:tcPr>
          <w:p w14:paraId="40AA3EC4" w14:textId="77777777" w:rsidR="008C6662" w:rsidRPr="00CC2AF5" w:rsidRDefault="008C6662" w:rsidP="006E704D">
            <w:pPr>
              <w:pStyle w:val="TableHeadings"/>
              <w:jc w:val="center"/>
            </w:pPr>
            <w:r w:rsidRPr="00CC2AF5">
              <w:t>Less than Significant Impact</w:t>
            </w:r>
          </w:p>
        </w:tc>
        <w:tc>
          <w:tcPr>
            <w:tcW w:w="1188" w:type="dxa"/>
            <w:gridSpan w:val="2"/>
            <w:tcBorders>
              <w:bottom w:val="single" w:sz="4" w:space="0" w:color="auto"/>
            </w:tcBorders>
            <w:shd w:val="clear" w:color="auto" w:fill="D9D9D9"/>
            <w:tcMar>
              <w:top w:w="20" w:type="dxa"/>
              <w:left w:w="115" w:type="dxa"/>
              <w:bottom w:w="20" w:type="dxa"/>
              <w:right w:w="115" w:type="dxa"/>
            </w:tcMar>
            <w:vAlign w:val="bottom"/>
            <w:hideMark/>
          </w:tcPr>
          <w:p w14:paraId="5E36C8EE" w14:textId="77777777" w:rsidR="008C6662" w:rsidRPr="00CC2AF5" w:rsidRDefault="008C6662" w:rsidP="006E704D">
            <w:pPr>
              <w:pStyle w:val="TableHeadings"/>
              <w:jc w:val="center"/>
            </w:pPr>
            <w:r w:rsidRPr="00CC2AF5">
              <w:t>No Impact</w:t>
            </w:r>
          </w:p>
        </w:tc>
      </w:tr>
      <w:tr w:rsidR="008C6662" w:rsidRPr="00CC2AF5" w14:paraId="1FE9E9A8" w14:textId="77777777" w:rsidTr="00EE55E2">
        <w:trPr>
          <w:gridBefore w:val="1"/>
          <w:gridAfter w:val="1"/>
          <w:wBefore w:w="10" w:type="dxa"/>
          <w:wAfter w:w="64" w:type="dxa"/>
        </w:trPr>
        <w:tc>
          <w:tcPr>
            <w:tcW w:w="8973" w:type="dxa"/>
            <w:gridSpan w:val="5"/>
            <w:tcMar>
              <w:top w:w="20" w:type="dxa"/>
              <w:left w:w="115" w:type="dxa"/>
              <w:bottom w:w="20" w:type="dxa"/>
              <w:right w:w="115" w:type="dxa"/>
            </w:tcMar>
            <w:vAlign w:val="bottom"/>
            <w:hideMark/>
          </w:tcPr>
          <w:p w14:paraId="565F4514" w14:textId="77777777" w:rsidR="008C6662" w:rsidRPr="00CC2AF5" w:rsidRDefault="008C6662" w:rsidP="008C6662">
            <w:pPr>
              <w:pStyle w:val="BodyText"/>
              <w:spacing w:before="60" w:after="60"/>
            </w:pPr>
            <w:r w:rsidRPr="00CC2AF5">
              <w:t>If located in or near state responsibility areas or lands classified as very high fire hazard severity zones, would the project:</w:t>
            </w:r>
          </w:p>
        </w:tc>
      </w:tr>
      <w:tr w:rsidR="008C6662" w:rsidRPr="00CC2AF5" w14:paraId="1CB7A43C" w14:textId="77777777" w:rsidTr="00EE55E2">
        <w:trPr>
          <w:gridBefore w:val="1"/>
          <w:wBefore w:w="10" w:type="dxa"/>
        </w:trPr>
        <w:tc>
          <w:tcPr>
            <w:tcW w:w="4331" w:type="dxa"/>
            <w:tcMar>
              <w:top w:w="20" w:type="dxa"/>
              <w:left w:w="115" w:type="dxa"/>
              <w:bottom w:w="20" w:type="dxa"/>
              <w:right w:w="115" w:type="dxa"/>
            </w:tcMar>
            <w:vAlign w:val="bottom"/>
          </w:tcPr>
          <w:p w14:paraId="6BB5A041" w14:textId="77777777" w:rsidR="008C6662" w:rsidRPr="00CC2AF5" w:rsidRDefault="008C6662" w:rsidP="00051996">
            <w:pPr>
              <w:pStyle w:val="BulletListLettered"/>
              <w:numPr>
                <w:ilvl w:val="0"/>
                <w:numId w:val="32"/>
              </w:numPr>
            </w:pPr>
            <w:r w:rsidRPr="00CC2AF5">
              <w:t>Substantially impair an adopted emergency response plan or emergency evacuation plan?</w:t>
            </w:r>
          </w:p>
        </w:tc>
        <w:tc>
          <w:tcPr>
            <w:tcW w:w="1188" w:type="dxa"/>
            <w:tcMar>
              <w:top w:w="20" w:type="dxa"/>
              <w:left w:w="115" w:type="dxa"/>
              <w:bottom w:w="20" w:type="dxa"/>
              <w:right w:w="115" w:type="dxa"/>
            </w:tcMar>
            <w:vAlign w:val="bottom"/>
          </w:tcPr>
          <w:p w14:paraId="31D1CFBB" w14:textId="13805DA6" w:rsidR="008C6662" w:rsidRPr="00CC2AF5" w:rsidRDefault="008C6662" w:rsidP="006E704D">
            <w:pPr>
              <w:spacing w:before="60" w:after="60"/>
              <w:jc w:val="center"/>
              <w:rPr>
                <w:sz w:val="28"/>
                <w:szCs w:val="28"/>
              </w:rPr>
            </w:pPr>
            <w:r w:rsidRPr="00CC2AF5">
              <w:rPr>
                <w:rFonts w:ascii="Times New Roman" w:hAnsi="Times New Roman"/>
              </w:rPr>
              <w:t>□</w:t>
            </w:r>
          </w:p>
        </w:tc>
        <w:tc>
          <w:tcPr>
            <w:tcW w:w="1220" w:type="dxa"/>
            <w:tcMar>
              <w:top w:w="20" w:type="dxa"/>
              <w:left w:w="115" w:type="dxa"/>
              <w:bottom w:w="20" w:type="dxa"/>
              <w:right w:w="115" w:type="dxa"/>
            </w:tcMar>
            <w:vAlign w:val="bottom"/>
          </w:tcPr>
          <w:p w14:paraId="591B04FC" w14:textId="4B9E3170" w:rsidR="008C6662" w:rsidRPr="00CC2AF5" w:rsidRDefault="008C6662" w:rsidP="006E704D">
            <w:pPr>
              <w:spacing w:before="60" w:after="60"/>
              <w:jc w:val="center"/>
              <w:rPr>
                <w:sz w:val="28"/>
                <w:szCs w:val="28"/>
              </w:rPr>
            </w:pPr>
            <w:r w:rsidRPr="00CC2AF5">
              <w:rPr>
                <w:rFonts w:ascii="Times New Roman" w:hAnsi="Times New Roman"/>
              </w:rPr>
              <w:t>□</w:t>
            </w:r>
          </w:p>
        </w:tc>
        <w:tc>
          <w:tcPr>
            <w:tcW w:w="1110" w:type="dxa"/>
            <w:tcMar>
              <w:top w:w="20" w:type="dxa"/>
              <w:left w:w="115" w:type="dxa"/>
              <w:bottom w:w="20" w:type="dxa"/>
              <w:right w:w="115" w:type="dxa"/>
            </w:tcMar>
            <w:vAlign w:val="bottom"/>
          </w:tcPr>
          <w:p w14:paraId="7C9B1F65" w14:textId="505BEB1E" w:rsidR="008C6662" w:rsidRPr="00CC2AF5" w:rsidRDefault="008C6662" w:rsidP="006E704D">
            <w:pPr>
              <w:spacing w:before="60" w:after="60"/>
              <w:jc w:val="center"/>
              <w:rPr>
                <w:sz w:val="28"/>
                <w:szCs w:val="28"/>
              </w:rPr>
            </w:pPr>
            <w:r w:rsidRPr="00CC2AF5">
              <w:rPr>
                <w:rFonts w:ascii="Times New Roman" w:hAnsi="Times New Roman"/>
              </w:rPr>
              <w:t>□</w:t>
            </w:r>
          </w:p>
        </w:tc>
        <w:tc>
          <w:tcPr>
            <w:tcW w:w="1188" w:type="dxa"/>
            <w:gridSpan w:val="2"/>
            <w:tcMar>
              <w:top w:w="20" w:type="dxa"/>
              <w:left w:w="115" w:type="dxa"/>
              <w:bottom w:w="20" w:type="dxa"/>
              <w:right w:w="115" w:type="dxa"/>
            </w:tcMar>
            <w:vAlign w:val="bottom"/>
          </w:tcPr>
          <w:p w14:paraId="66105C73" w14:textId="3636E24F" w:rsidR="008C6662" w:rsidRPr="00CC2AF5" w:rsidRDefault="008C6662" w:rsidP="006E704D">
            <w:pPr>
              <w:spacing w:before="60" w:after="60"/>
              <w:jc w:val="center"/>
              <w:rPr>
                <w:sz w:val="28"/>
                <w:szCs w:val="28"/>
              </w:rPr>
            </w:pPr>
            <w:r w:rsidRPr="00CC2AF5">
              <w:rPr>
                <w:rFonts w:ascii="Times New Roman" w:hAnsi="Times New Roman"/>
              </w:rPr>
              <w:t>■</w:t>
            </w:r>
          </w:p>
        </w:tc>
      </w:tr>
      <w:tr w:rsidR="008C6662" w:rsidRPr="00CC2AF5" w14:paraId="719AB7E7" w14:textId="77777777" w:rsidTr="00EE55E2">
        <w:trPr>
          <w:gridBefore w:val="1"/>
          <w:wBefore w:w="10" w:type="dxa"/>
        </w:trPr>
        <w:tc>
          <w:tcPr>
            <w:tcW w:w="4331" w:type="dxa"/>
            <w:tcMar>
              <w:top w:w="20" w:type="dxa"/>
              <w:left w:w="115" w:type="dxa"/>
              <w:bottom w:w="20" w:type="dxa"/>
              <w:right w:w="115" w:type="dxa"/>
            </w:tcMar>
            <w:vAlign w:val="bottom"/>
          </w:tcPr>
          <w:p w14:paraId="4C246052" w14:textId="77777777" w:rsidR="008C6662" w:rsidRPr="00CC2AF5" w:rsidRDefault="008C6662" w:rsidP="00F6307A">
            <w:pPr>
              <w:pStyle w:val="BulletListLettered"/>
            </w:pPr>
            <w:r w:rsidRPr="00CC2AF5">
              <w:t>Due to slope, prevailing winds, and other fac</w:t>
            </w:r>
            <w:r w:rsidR="00C453DB" w:rsidRPr="00CC2AF5">
              <w:t>tors, exacerbate wildfire risks</w:t>
            </w:r>
            <w:r w:rsidRPr="00CC2AF5">
              <w:t xml:space="preserve"> and ther</w:t>
            </w:r>
            <w:r w:rsidR="00C453DB" w:rsidRPr="00CC2AF5">
              <w:t>eby expose project occupants to</w:t>
            </w:r>
            <w:r w:rsidRPr="00CC2AF5">
              <w:t xml:space="preserve"> pollutant concentrations from a wildfire or the uncontrolled spread of a wildfire?</w:t>
            </w:r>
          </w:p>
        </w:tc>
        <w:tc>
          <w:tcPr>
            <w:tcW w:w="1188" w:type="dxa"/>
            <w:tcMar>
              <w:top w:w="20" w:type="dxa"/>
              <w:left w:w="115" w:type="dxa"/>
              <w:bottom w:w="20" w:type="dxa"/>
              <w:right w:w="115" w:type="dxa"/>
            </w:tcMar>
            <w:vAlign w:val="bottom"/>
          </w:tcPr>
          <w:p w14:paraId="2A90116B" w14:textId="630277DF" w:rsidR="008C6662" w:rsidRPr="00CC2AF5" w:rsidRDefault="008C6662" w:rsidP="006E704D">
            <w:pPr>
              <w:spacing w:before="60" w:after="60"/>
              <w:jc w:val="center"/>
              <w:rPr>
                <w:sz w:val="28"/>
                <w:szCs w:val="28"/>
              </w:rPr>
            </w:pPr>
            <w:r w:rsidRPr="00CC2AF5">
              <w:rPr>
                <w:rFonts w:ascii="Times New Roman" w:hAnsi="Times New Roman"/>
              </w:rPr>
              <w:t>□</w:t>
            </w:r>
          </w:p>
        </w:tc>
        <w:tc>
          <w:tcPr>
            <w:tcW w:w="1220" w:type="dxa"/>
            <w:tcMar>
              <w:top w:w="20" w:type="dxa"/>
              <w:left w:w="115" w:type="dxa"/>
              <w:bottom w:w="20" w:type="dxa"/>
              <w:right w:w="115" w:type="dxa"/>
            </w:tcMar>
            <w:vAlign w:val="bottom"/>
          </w:tcPr>
          <w:p w14:paraId="73F8F15C" w14:textId="439ED4F6" w:rsidR="008C6662" w:rsidRPr="00CC2AF5" w:rsidRDefault="008C6662" w:rsidP="006E704D">
            <w:pPr>
              <w:spacing w:before="60" w:after="60"/>
              <w:jc w:val="center"/>
              <w:rPr>
                <w:sz w:val="28"/>
                <w:szCs w:val="28"/>
              </w:rPr>
            </w:pPr>
            <w:r w:rsidRPr="00CC2AF5">
              <w:rPr>
                <w:rFonts w:ascii="Times New Roman" w:hAnsi="Times New Roman"/>
              </w:rPr>
              <w:t>□</w:t>
            </w:r>
          </w:p>
        </w:tc>
        <w:tc>
          <w:tcPr>
            <w:tcW w:w="1110" w:type="dxa"/>
            <w:tcMar>
              <w:top w:w="20" w:type="dxa"/>
              <w:left w:w="115" w:type="dxa"/>
              <w:bottom w:w="20" w:type="dxa"/>
              <w:right w:w="115" w:type="dxa"/>
            </w:tcMar>
            <w:vAlign w:val="bottom"/>
          </w:tcPr>
          <w:p w14:paraId="30505F2B" w14:textId="2DAF95BE" w:rsidR="008C6662" w:rsidRPr="00CC2AF5" w:rsidRDefault="008C6662" w:rsidP="006E704D">
            <w:pPr>
              <w:spacing w:before="60" w:after="60"/>
              <w:jc w:val="center"/>
              <w:rPr>
                <w:sz w:val="28"/>
                <w:szCs w:val="28"/>
              </w:rPr>
            </w:pPr>
            <w:r w:rsidRPr="00CC2AF5">
              <w:rPr>
                <w:rFonts w:ascii="Times New Roman" w:hAnsi="Times New Roman"/>
              </w:rPr>
              <w:t>□</w:t>
            </w:r>
          </w:p>
        </w:tc>
        <w:tc>
          <w:tcPr>
            <w:tcW w:w="1188" w:type="dxa"/>
            <w:gridSpan w:val="2"/>
            <w:tcMar>
              <w:top w:w="20" w:type="dxa"/>
              <w:left w:w="115" w:type="dxa"/>
              <w:bottom w:w="20" w:type="dxa"/>
              <w:right w:w="115" w:type="dxa"/>
            </w:tcMar>
            <w:vAlign w:val="bottom"/>
          </w:tcPr>
          <w:p w14:paraId="165FBB22" w14:textId="154E4C5E" w:rsidR="008C6662" w:rsidRPr="00CC2AF5" w:rsidRDefault="008C6662" w:rsidP="006E704D">
            <w:pPr>
              <w:spacing w:before="60" w:after="60"/>
              <w:jc w:val="center"/>
              <w:rPr>
                <w:sz w:val="28"/>
                <w:szCs w:val="28"/>
              </w:rPr>
            </w:pPr>
            <w:r w:rsidRPr="00CC2AF5">
              <w:rPr>
                <w:rFonts w:ascii="Times New Roman" w:hAnsi="Times New Roman"/>
              </w:rPr>
              <w:t>■</w:t>
            </w:r>
          </w:p>
        </w:tc>
      </w:tr>
      <w:tr w:rsidR="008C6662" w:rsidRPr="00CC2AF5" w14:paraId="1EE3EC14" w14:textId="77777777" w:rsidTr="00EE55E2">
        <w:trPr>
          <w:gridBefore w:val="1"/>
          <w:wBefore w:w="10" w:type="dxa"/>
        </w:trPr>
        <w:tc>
          <w:tcPr>
            <w:tcW w:w="4331" w:type="dxa"/>
            <w:tcMar>
              <w:top w:w="20" w:type="dxa"/>
              <w:left w:w="115" w:type="dxa"/>
              <w:bottom w:w="20" w:type="dxa"/>
              <w:right w:w="115" w:type="dxa"/>
            </w:tcMar>
            <w:vAlign w:val="bottom"/>
          </w:tcPr>
          <w:p w14:paraId="578E0DBB" w14:textId="77777777" w:rsidR="008C6662" w:rsidRPr="00CC2AF5" w:rsidRDefault="008C6662" w:rsidP="00F6307A">
            <w:pPr>
              <w:pStyle w:val="BulletListLettered"/>
            </w:pPr>
            <w:r w:rsidRPr="00CC2AF5">
              <w:t>Require the installation or maintenance of associated infrastructure (such as roads, fuel breaks, emergency water sources, power lines or other utilities) that may exacerbate fire risk or that may result in temporary or ongoing impacts to the environment?</w:t>
            </w:r>
          </w:p>
        </w:tc>
        <w:tc>
          <w:tcPr>
            <w:tcW w:w="1188" w:type="dxa"/>
            <w:tcMar>
              <w:top w:w="20" w:type="dxa"/>
              <w:left w:w="115" w:type="dxa"/>
              <w:bottom w:w="20" w:type="dxa"/>
              <w:right w:w="115" w:type="dxa"/>
            </w:tcMar>
            <w:vAlign w:val="bottom"/>
          </w:tcPr>
          <w:p w14:paraId="7FB19FAA" w14:textId="4C18B8B0" w:rsidR="008C6662" w:rsidRPr="00CC2AF5" w:rsidRDefault="008C6662" w:rsidP="006E704D">
            <w:pPr>
              <w:spacing w:before="60" w:after="60"/>
              <w:jc w:val="center"/>
              <w:rPr>
                <w:sz w:val="28"/>
                <w:szCs w:val="28"/>
              </w:rPr>
            </w:pPr>
            <w:r w:rsidRPr="00CC2AF5">
              <w:rPr>
                <w:rFonts w:ascii="Times New Roman" w:hAnsi="Times New Roman"/>
              </w:rPr>
              <w:t>□</w:t>
            </w:r>
          </w:p>
        </w:tc>
        <w:tc>
          <w:tcPr>
            <w:tcW w:w="1220" w:type="dxa"/>
            <w:tcMar>
              <w:top w:w="20" w:type="dxa"/>
              <w:left w:w="115" w:type="dxa"/>
              <w:bottom w:w="20" w:type="dxa"/>
              <w:right w:w="115" w:type="dxa"/>
            </w:tcMar>
            <w:vAlign w:val="bottom"/>
          </w:tcPr>
          <w:p w14:paraId="5C4729B4" w14:textId="78E68CAC" w:rsidR="008C6662" w:rsidRPr="00CC2AF5" w:rsidRDefault="008C6662" w:rsidP="006E704D">
            <w:pPr>
              <w:spacing w:before="60" w:after="60"/>
              <w:jc w:val="center"/>
              <w:rPr>
                <w:sz w:val="28"/>
                <w:szCs w:val="28"/>
              </w:rPr>
            </w:pPr>
            <w:r w:rsidRPr="00CC2AF5">
              <w:rPr>
                <w:rFonts w:ascii="Times New Roman" w:hAnsi="Times New Roman"/>
              </w:rPr>
              <w:t>□</w:t>
            </w:r>
          </w:p>
        </w:tc>
        <w:tc>
          <w:tcPr>
            <w:tcW w:w="1110" w:type="dxa"/>
            <w:tcMar>
              <w:top w:w="20" w:type="dxa"/>
              <w:left w:w="115" w:type="dxa"/>
              <w:bottom w:w="20" w:type="dxa"/>
              <w:right w:w="115" w:type="dxa"/>
            </w:tcMar>
            <w:vAlign w:val="bottom"/>
          </w:tcPr>
          <w:p w14:paraId="3117BC6D" w14:textId="1E173DC2" w:rsidR="008C6662" w:rsidRPr="00CC2AF5" w:rsidRDefault="008C6662" w:rsidP="006E704D">
            <w:pPr>
              <w:spacing w:before="60" w:after="60"/>
              <w:jc w:val="center"/>
              <w:rPr>
                <w:sz w:val="28"/>
                <w:szCs w:val="28"/>
              </w:rPr>
            </w:pPr>
            <w:r w:rsidRPr="00CC2AF5">
              <w:rPr>
                <w:rFonts w:ascii="Times New Roman" w:hAnsi="Times New Roman"/>
              </w:rPr>
              <w:t>□</w:t>
            </w:r>
          </w:p>
        </w:tc>
        <w:tc>
          <w:tcPr>
            <w:tcW w:w="1188" w:type="dxa"/>
            <w:gridSpan w:val="2"/>
            <w:tcMar>
              <w:top w:w="20" w:type="dxa"/>
              <w:left w:w="115" w:type="dxa"/>
              <w:bottom w:w="20" w:type="dxa"/>
              <w:right w:w="115" w:type="dxa"/>
            </w:tcMar>
            <w:vAlign w:val="bottom"/>
          </w:tcPr>
          <w:p w14:paraId="76A479DC" w14:textId="57B56880" w:rsidR="008C6662" w:rsidRPr="00CC2AF5" w:rsidRDefault="008C6662" w:rsidP="006E704D">
            <w:pPr>
              <w:spacing w:before="60" w:after="60"/>
              <w:jc w:val="center"/>
              <w:rPr>
                <w:sz w:val="28"/>
                <w:szCs w:val="28"/>
              </w:rPr>
            </w:pPr>
            <w:r w:rsidRPr="00CC2AF5">
              <w:rPr>
                <w:rFonts w:ascii="Times New Roman" w:hAnsi="Times New Roman"/>
              </w:rPr>
              <w:t>■</w:t>
            </w:r>
          </w:p>
        </w:tc>
      </w:tr>
      <w:tr w:rsidR="008C6662" w:rsidRPr="00CC2AF5" w14:paraId="1FA2F11E" w14:textId="77777777" w:rsidTr="00EE55E2">
        <w:trPr>
          <w:gridBefore w:val="1"/>
          <w:wBefore w:w="10" w:type="dxa"/>
        </w:trPr>
        <w:tc>
          <w:tcPr>
            <w:tcW w:w="4331" w:type="dxa"/>
            <w:tcMar>
              <w:top w:w="20" w:type="dxa"/>
              <w:left w:w="115" w:type="dxa"/>
              <w:bottom w:w="20" w:type="dxa"/>
              <w:right w:w="115" w:type="dxa"/>
            </w:tcMar>
            <w:vAlign w:val="bottom"/>
          </w:tcPr>
          <w:p w14:paraId="28E4782F" w14:textId="77777777" w:rsidR="008C6662" w:rsidRPr="00CC2AF5" w:rsidRDefault="008C6662" w:rsidP="00F6307A">
            <w:pPr>
              <w:pStyle w:val="BulletListLettered"/>
            </w:pPr>
            <w:r w:rsidRPr="00CC2AF5">
              <w:t>Expose people or structures to significant risks, including downslopes or downstream flooding or landslides, as a result of runoff, post-fire slope instability, or drainage changes?</w:t>
            </w:r>
          </w:p>
        </w:tc>
        <w:tc>
          <w:tcPr>
            <w:tcW w:w="1188" w:type="dxa"/>
            <w:tcMar>
              <w:top w:w="20" w:type="dxa"/>
              <w:left w:w="115" w:type="dxa"/>
              <w:bottom w:w="20" w:type="dxa"/>
              <w:right w:w="115" w:type="dxa"/>
            </w:tcMar>
            <w:vAlign w:val="bottom"/>
          </w:tcPr>
          <w:p w14:paraId="5FE37066" w14:textId="292877CA" w:rsidR="008C6662" w:rsidRPr="00CC2AF5" w:rsidRDefault="008C6662" w:rsidP="006E704D">
            <w:pPr>
              <w:spacing w:before="60" w:after="60"/>
              <w:jc w:val="center"/>
              <w:rPr>
                <w:sz w:val="28"/>
                <w:szCs w:val="28"/>
              </w:rPr>
            </w:pPr>
            <w:r w:rsidRPr="00CC2AF5">
              <w:rPr>
                <w:rFonts w:ascii="Times New Roman" w:hAnsi="Times New Roman"/>
              </w:rPr>
              <w:t>□</w:t>
            </w:r>
          </w:p>
        </w:tc>
        <w:tc>
          <w:tcPr>
            <w:tcW w:w="1220" w:type="dxa"/>
            <w:tcMar>
              <w:top w:w="20" w:type="dxa"/>
              <w:left w:w="115" w:type="dxa"/>
              <w:bottom w:w="20" w:type="dxa"/>
              <w:right w:w="115" w:type="dxa"/>
            </w:tcMar>
            <w:vAlign w:val="bottom"/>
          </w:tcPr>
          <w:p w14:paraId="335BE447" w14:textId="06B6C7E6" w:rsidR="008C6662" w:rsidRPr="00CC2AF5" w:rsidRDefault="008C6662" w:rsidP="006E704D">
            <w:pPr>
              <w:spacing w:before="60" w:after="60"/>
              <w:jc w:val="center"/>
              <w:rPr>
                <w:sz w:val="28"/>
                <w:szCs w:val="28"/>
              </w:rPr>
            </w:pPr>
            <w:r w:rsidRPr="00CC2AF5">
              <w:rPr>
                <w:rFonts w:ascii="Times New Roman" w:hAnsi="Times New Roman"/>
              </w:rPr>
              <w:t>□</w:t>
            </w:r>
          </w:p>
        </w:tc>
        <w:tc>
          <w:tcPr>
            <w:tcW w:w="1110" w:type="dxa"/>
            <w:tcMar>
              <w:top w:w="20" w:type="dxa"/>
              <w:left w:w="115" w:type="dxa"/>
              <w:bottom w:w="20" w:type="dxa"/>
              <w:right w:w="115" w:type="dxa"/>
            </w:tcMar>
            <w:vAlign w:val="bottom"/>
          </w:tcPr>
          <w:p w14:paraId="67514EDC" w14:textId="2F588835" w:rsidR="008C6662" w:rsidRPr="00CC2AF5" w:rsidRDefault="008C6662" w:rsidP="006E704D">
            <w:pPr>
              <w:spacing w:before="60" w:after="60"/>
              <w:jc w:val="center"/>
              <w:rPr>
                <w:sz w:val="28"/>
                <w:szCs w:val="28"/>
              </w:rPr>
            </w:pPr>
            <w:r w:rsidRPr="00CC2AF5">
              <w:rPr>
                <w:rFonts w:ascii="Times New Roman" w:hAnsi="Times New Roman"/>
              </w:rPr>
              <w:t>□</w:t>
            </w:r>
          </w:p>
        </w:tc>
        <w:tc>
          <w:tcPr>
            <w:tcW w:w="1188" w:type="dxa"/>
            <w:gridSpan w:val="2"/>
            <w:tcMar>
              <w:top w:w="20" w:type="dxa"/>
              <w:left w:w="115" w:type="dxa"/>
              <w:bottom w:w="20" w:type="dxa"/>
              <w:right w:w="115" w:type="dxa"/>
            </w:tcMar>
            <w:vAlign w:val="bottom"/>
          </w:tcPr>
          <w:p w14:paraId="354B2A4F" w14:textId="4552A766" w:rsidR="008C6662" w:rsidRPr="00CC2AF5" w:rsidRDefault="008C6662" w:rsidP="006E704D">
            <w:pPr>
              <w:spacing w:before="60" w:after="60"/>
              <w:jc w:val="center"/>
              <w:rPr>
                <w:sz w:val="28"/>
                <w:szCs w:val="28"/>
              </w:rPr>
            </w:pPr>
            <w:r w:rsidRPr="00CC2AF5">
              <w:rPr>
                <w:rFonts w:ascii="Times New Roman" w:hAnsi="Times New Roman"/>
              </w:rPr>
              <w:t>■</w:t>
            </w:r>
          </w:p>
        </w:tc>
      </w:tr>
    </w:tbl>
    <w:p w14:paraId="56FC03AE" w14:textId="7589698C" w:rsidR="00BD55F2" w:rsidRDefault="00BD55F2" w:rsidP="00BD55F2">
      <w:pPr>
        <w:pStyle w:val="Heading5"/>
      </w:pPr>
      <w:r w:rsidRPr="00CC2AF5">
        <w:t>Setting</w:t>
      </w:r>
    </w:p>
    <w:p w14:paraId="564DF924" w14:textId="63BBE0E9" w:rsidR="00BD55F2" w:rsidRDefault="007E6F10" w:rsidP="003474AF">
      <w:pPr>
        <w:pStyle w:val="BodyText"/>
        <w:rPr>
          <w:rFonts w:ascii="Century Gothic" w:hAnsi="Century Gothic"/>
          <w:b/>
          <w:sz w:val="24"/>
          <w:szCs w:val="18"/>
        </w:rPr>
      </w:pPr>
      <w:r>
        <w:t xml:space="preserve">The City of Mountain View is not located within a </w:t>
      </w:r>
      <w:r w:rsidR="001B0AF5">
        <w:t>Fi</w:t>
      </w:r>
      <w:r>
        <w:t xml:space="preserve">re </w:t>
      </w:r>
      <w:r w:rsidR="001B0AF5">
        <w:t>H</w:t>
      </w:r>
      <w:r>
        <w:t xml:space="preserve">azard </w:t>
      </w:r>
      <w:r w:rsidR="001B0AF5">
        <w:t>S</w:t>
      </w:r>
      <w:r>
        <w:t xml:space="preserve">everity </w:t>
      </w:r>
      <w:r w:rsidR="001B0AF5">
        <w:t>Z</w:t>
      </w:r>
      <w:r>
        <w:t>one</w:t>
      </w:r>
      <w:r w:rsidR="001B0AF5">
        <w:t xml:space="preserve"> designated by CALFIRE</w:t>
      </w:r>
      <w:r w:rsidR="00284109">
        <w:t xml:space="preserve">. </w:t>
      </w:r>
      <w:r>
        <w:t xml:space="preserve">The project site is located within an urbanized area of the City and is surrounded by existing commercial, industrial, and residential development. The nearest High Fire Hazard </w:t>
      </w:r>
      <w:r w:rsidR="00284109">
        <w:t>S</w:t>
      </w:r>
      <w:r>
        <w:t xml:space="preserve">everity </w:t>
      </w:r>
      <w:r w:rsidR="00284109">
        <w:t>Z</w:t>
      </w:r>
      <w:r>
        <w:t xml:space="preserve">one is located approximately 6.2 miles west of the project site, and the nearest </w:t>
      </w:r>
      <w:r w:rsidR="00284109">
        <w:t>Very High Fire Hazard Severity Zone is approximately 9 miles west of the project site (CALFIRE 200</w:t>
      </w:r>
      <w:r w:rsidR="003474AF">
        <w:t xml:space="preserve">7). </w:t>
      </w:r>
    </w:p>
    <w:p w14:paraId="39B02F6C" w14:textId="375BB7C5" w:rsidR="003474AF" w:rsidRPr="00284109" w:rsidRDefault="003474AF" w:rsidP="00A07BB6">
      <w:pPr>
        <w:pStyle w:val="ISHeading4"/>
        <w:pageBreakBefore/>
      </w:pPr>
      <w:r>
        <w:t>Impact Analysis</w:t>
      </w:r>
    </w:p>
    <w:p w14:paraId="4908CC43" w14:textId="0121B552" w:rsidR="008C6662" w:rsidRPr="00284109" w:rsidRDefault="008C6662" w:rsidP="008C6662">
      <w:pPr>
        <w:pStyle w:val="BulletLtrManAFTER"/>
      </w:pPr>
      <w:r w:rsidRPr="00284109">
        <w:t>a.</w:t>
      </w:r>
      <w:r w:rsidRPr="00284109">
        <w:tab/>
        <w:t>If located in or near state responsibility areas or lands classified as very high fire hazard severity zones, would the project substantially impair an adopted emergency response plan or emergency evacuation plan?</w:t>
      </w:r>
    </w:p>
    <w:p w14:paraId="0C41DB6E" w14:textId="77777777" w:rsidR="008C6662" w:rsidRPr="00284109" w:rsidRDefault="008C6662" w:rsidP="00A07BB6">
      <w:pPr>
        <w:pStyle w:val="BulletLtrManAFTER"/>
        <w:spacing w:before="120"/>
      </w:pPr>
      <w:r w:rsidRPr="00284109">
        <w:t>b.</w:t>
      </w:r>
      <w:r w:rsidRPr="00284109">
        <w:tab/>
        <w:t>If located in or near state responsibility areas or lands classified as very high fire hazard severity zones, would the project due to slope, prevailing winds, and other fac</w:t>
      </w:r>
      <w:r w:rsidR="00C453DB" w:rsidRPr="00284109">
        <w:t>tors, exacerbate wildfire risks</w:t>
      </w:r>
      <w:r w:rsidRPr="00284109">
        <w:t xml:space="preserve"> and ther</w:t>
      </w:r>
      <w:r w:rsidR="00C453DB" w:rsidRPr="00284109">
        <w:t>eby expose project occupants to</w:t>
      </w:r>
      <w:r w:rsidRPr="00284109">
        <w:t xml:space="preserve"> pollutant concentrations from a wildfire or the uncontrolled spread of a wildfire?</w:t>
      </w:r>
    </w:p>
    <w:p w14:paraId="0B492365" w14:textId="77777777" w:rsidR="008C6662" w:rsidRPr="00284109" w:rsidRDefault="008C6662" w:rsidP="00EE55E2">
      <w:pPr>
        <w:pStyle w:val="BulletLtrManAFTER"/>
        <w:spacing w:before="120"/>
      </w:pPr>
      <w:r w:rsidRPr="00284109">
        <w:t>c.</w:t>
      </w:r>
      <w:r w:rsidRPr="00284109">
        <w:tab/>
        <w:t>If located in or near state responsibility areas or lands classified as very high fire hazard severity zones, would the project require the installation or maintenance of associated infrastructure (such as roads, fuel breaks, emergency water sources, power lines or other utilities) that may exacerbate fire risk or that may result in temporary or ongoing impacts to the environment?</w:t>
      </w:r>
    </w:p>
    <w:p w14:paraId="1973BC43" w14:textId="77777777" w:rsidR="008C6662" w:rsidRPr="00284109" w:rsidRDefault="008C6662" w:rsidP="00EE55E2">
      <w:pPr>
        <w:pStyle w:val="BulletLtrManAFTER"/>
        <w:spacing w:before="120"/>
      </w:pPr>
      <w:r w:rsidRPr="00284109">
        <w:t>d.</w:t>
      </w:r>
      <w:r w:rsidRPr="00284109">
        <w:tab/>
        <w:t>If located in or near state responsibility areas or lands classified as very high fire hazard severity zones, would the project expose people or structures to significant risks, including downslopes or downstream flooding or landslides, as a result of runoff, post-fire slope instability, or drainage changes?</w:t>
      </w:r>
    </w:p>
    <w:p w14:paraId="080A039A" w14:textId="3A761ED2" w:rsidR="008C6662" w:rsidRPr="00284109" w:rsidRDefault="00AF5A52" w:rsidP="008C6662">
      <w:pPr>
        <w:pStyle w:val="BodyText"/>
      </w:pPr>
      <w:r w:rsidRPr="00284109">
        <w:t xml:space="preserve">The project site is not in a CALFIRE designated </w:t>
      </w:r>
      <w:r w:rsidR="00284109" w:rsidRPr="00284109">
        <w:t>Very High Fire Hazard Severity Zone</w:t>
      </w:r>
      <w:r w:rsidRPr="00284109">
        <w:t xml:space="preserve"> and is located approximately </w:t>
      </w:r>
      <w:r w:rsidR="00284109" w:rsidRPr="00284109">
        <w:t>9</w:t>
      </w:r>
      <w:r w:rsidR="008F757B" w:rsidRPr="00284109">
        <w:t xml:space="preserve"> </w:t>
      </w:r>
      <w:r w:rsidR="006A1EE0" w:rsidRPr="00284109">
        <w:t xml:space="preserve">miles east of </w:t>
      </w:r>
      <w:r w:rsidR="008F757B" w:rsidRPr="00284109">
        <w:t xml:space="preserve">the nearest </w:t>
      </w:r>
      <w:r w:rsidR="006A1EE0" w:rsidRPr="00284109">
        <w:t>Very High Fire Hazard Severity Zone</w:t>
      </w:r>
      <w:r w:rsidR="00487357" w:rsidRPr="00284109">
        <w:t xml:space="preserve"> (</w:t>
      </w:r>
      <w:r w:rsidR="00284109" w:rsidRPr="00284109">
        <w:t xml:space="preserve">CALFIRE 2007). </w:t>
      </w:r>
      <w:r w:rsidR="00487357" w:rsidRPr="00284109">
        <w:t xml:space="preserve">As such, project implementation would not impair an adopted emergency response plan or emergency evacuation plan; exacerbate wildfire risks; require the installation or maintenance of associated infrastructure that may exacerbate fire risk; or expose people or structures to significant risks, including downslopes or downstream flooding or landslides, as a result of runoff, post fire slope instability, or drainage changes in or near state responsibility areas or lands classified as very high fire severity zones. No impact would occur. </w:t>
      </w:r>
    </w:p>
    <w:p w14:paraId="0338D356" w14:textId="77777777" w:rsidR="008C6662" w:rsidRPr="000E45CD" w:rsidRDefault="00817BC5" w:rsidP="008C6662">
      <w:pPr>
        <w:spacing w:before="120"/>
        <w:rPr>
          <w:rStyle w:val="DropdownList"/>
          <w:highlight w:val="lightGray"/>
        </w:rPr>
      </w:pPr>
      <w:sdt>
        <w:sdtPr>
          <w:rPr>
            <w:rStyle w:val="DropdownList"/>
            <w:highlight w:val="lightGray"/>
          </w:rPr>
          <w:alias w:val="1a"/>
          <w:tag w:val="dropdown"/>
          <w:id w:val="1828703544"/>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highlight w:val="none"/>
          </w:rPr>
        </w:sdtEndPr>
        <w:sdtContent>
          <w:r w:rsidR="000E45CD" w:rsidRPr="000E45CD">
            <w:rPr>
              <w:rStyle w:val="DropdownList"/>
            </w:rPr>
            <w:t>No Impact</w:t>
          </w:r>
        </w:sdtContent>
      </w:sdt>
    </w:p>
    <w:p w14:paraId="36103A0C" w14:textId="77777777" w:rsidR="00542725" w:rsidRPr="00D344B0" w:rsidRDefault="00542725" w:rsidP="00A07BB6">
      <w:pPr>
        <w:pStyle w:val="Heading3CEQA"/>
      </w:pPr>
      <w:bookmarkStart w:id="345" w:name="_Toc112942446"/>
      <w:r w:rsidRPr="00D344B0">
        <w:t>Mandatory Findings of Significance</w:t>
      </w:r>
      <w:bookmarkEnd w:id="343"/>
      <w:bookmarkEnd w:id="344"/>
      <w:bookmarkEnd w:id="345"/>
    </w:p>
    <w:tbl>
      <w:tblPr>
        <w:tblW w:w="9047" w:type="dxa"/>
        <w:tblBorders>
          <w:bottom w:val="single" w:sz="4" w:space="0" w:color="auto"/>
        </w:tblBorders>
        <w:tblLayout w:type="fixed"/>
        <w:tblLook w:val="04A0" w:firstRow="1" w:lastRow="0" w:firstColumn="1" w:lastColumn="0" w:noHBand="0" w:noVBand="1"/>
      </w:tblPr>
      <w:tblGrid>
        <w:gridCol w:w="10"/>
        <w:gridCol w:w="4331"/>
        <w:gridCol w:w="1188"/>
        <w:gridCol w:w="1220"/>
        <w:gridCol w:w="1110"/>
        <w:gridCol w:w="1124"/>
        <w:gridCol w:w="64"/>
      </w:tblGrid>
      <w:tr w:rsidR="00542725" w:rsidRPr="00D344B0" w14:paraId="3A12EDCD" w14:textId="77777777" w:rsidTr="00EE55E2">
        <w:trPr>
          <w:tblHeader/>
        </w:trPr>
        <w:tc>
          <w:tcPr>
            <w:tcW w:w="4341" w:type="dxa"/>
            <w:gridSpan w:val="2"/>
            <w:tcBorders>
              <w:bottom w:val="single" w:sz="4" w:space="0" w:color="auto"/>
            </w:tcBorders>
            <w:shd w:val="clear" w:color="auto" w:fill="D9D9D9"/>
            <w:tcMar>
              <w:top w:w="20" w:type="dxa"/>
              <w:left w:w="115" w:type="dxa"/>
              <w:bottom w:w="20" w:type="dxa"/>
              <w:right w:w="115" w:type="dxa"/>
            </w:tcMar>
            <w:vAlign w:val="bottom"/>
          </w:tcPr>
          <w:p w14:paraId="278FB3DB" w14:textId="77777777" w:rsidR="00542725" w:rsidRPr="00D344B0" w:rsidRDefault="00542725" w:rsidP="00FB3B90">
            <w:pPr>
              <w:pStyle w:val="TableHeadings"/>
            </w:pPr>
          </w:p>
        </w:tc>
        <w:tc>
          <w:tcPr>
            <w:tcW w:w="1188" w:type="dxa"/>
            <w:tcBorders>
              <w:bottom w:val="single" w:sz="4" w:space="0" w:color="auto"/>
            </w:tcBorders>
            <w:shd w:val="clear" w:color="auto" w:fill="D9D9D9"/>
            <w:tcMar>
              <w:top w:w="20" w:type="dxa"/>
              <w:left w:w="115" w:type="dxa"/>
              <w:bottom w:w="20" w:type="dxa"/>
              <w:right w:w="115" w:type="dxa"/>
            </w:tcMar>
            <w:vAlign w:val="bottom"/>
            <w:hideMark/>
          </w:tcPr>
          <w:p w14:paraId="4EF3ACB4" w14:textId="77777777" w:rsidR="00542725" w:rsidRPr="00D344B0" w:rsidRDefault="00542725" w:rsidP="00FB3B90">
            <w:pPr>
              <w:pStyle w:val="TableHeadings"/>
              <w:jc w:val="center"/>
            </w:pPr>
            <w:r w:rsidRPr="00D344B0">
              <w:t>Potentially Significant Impact</w:t>
            </w:r>
          </w:p>
        </w:tc>
        <w:tc>
          <w:tcPr>
            <w:tcW w:w="1220" w:type="dxa"/>
            <w:tcBorders>
              <w:bottom w:val="single" w:sz="4" w:space="0" w:color="auto"/>
            </w:tcBorders>
            <w:shd w:val="clear" w:color="auto" w:fill="D9D9D9"/>
            <w:tcMar>
              <w:top w:w="20" w:type="dxa"/>
              <w:left w:w="115" w:type="dxa"/>
              <w:bottom w:w="20" w:type="dxa"/>
              <w:right w:w="115" w:type="dxa"/>
            </w:tcMar>
            <w:vAlign w:val="bottom"/>
            <w:hideMark/>
          </w:tcPr>
          <w:p w14:paraId="75354E8D" w14:textId="77777777" w:rsidR="00542725" w:rsidRPr="00D344B0" w:rsidRDefault="00542725" w:rsidP="00FB3B90">
            <w:pPr>
              <w:pStyle w:val="TableHeadings"/>
              <w:jc w:val="center"/>
            </w:pPr>
            <w:r w:rsidRPr="00D344B0">
              <w:t>Less than Significant with Mitigation Incorporated</w:t>
            </w:r>
          </w:p>
        </w:tc>
        <w:tc>
          <w:tcPr>
            <w:tcW w:w="1110" w:type="dxa"/>
            <w:tcBorders>
              <w:bottom w:val="single" w:sz="4" w:space="0" w:color="auto"/>
            </w:tcBorders>
            <w:shd w:val="clear" w:color="auto" w:fill="D9D9D9"/>
            <w:tcMar>
              <w:top w:w="20" w:type="dxa"/>
              <w:left w:w="115" w:type="dxa"/>
              <w:bottom w:w="20" w:type="dxa"/>
              <w:right w:w="115" w:type="dxa"/>
            </w:tcMar>
            <w:vAlign w:val="bottom"/>
            <w:hideMark/>
          </w:tcPr>
          <w:p w14:paraId="19137D46" w14:textId="77777777" w:rsidR="00542725" w:rsidRPr="00D344B0" w:rsidRDefault="00542725" w:rsidP="00FB3B90">
            <w:pPr>
              <w:pStyle w:val="TableHeadings"/>
              <w:jc w:val="center"/>
            </w:pPr>
            <w:r w:rsidRPr="00D344B0">
              <w:t>Less than Significant Impact</w:t>
            </w:r>
          </w:p>
        </w:tc>
        <w:tc>
          <w:tcPr>
            <w:tcW w:w="1188" w:type="dxa"/>
            <w:gridSpan w:val="2"/>
            <w:tcBorders>
              <w:bottom w:val="single" w:sz="4" w:space="0" w:color="auto"/>
            </w:tcBorders>
            <w:shd w:val="clear" w:color="auto" w:fill="D9D9D9"/>
            <w:tcMar>
              <w:top w:w="20" w:type="dxa"/>
              <w:left w:w="115" w:type="dxa"/>
              <w:bottom w:w="20" w:type="dxa"/>
              <w:right w:w="115" w:type="dxa"/>
            </w:tcMar>
            <w:vAlign w:val="bottom"/>
            <w:hideMark/>
          </w:tcPr>
          <w:p w14:paraId="1BB99842" w14:textId="77777777" w:rsidR="00542725" w:rsidRPr="00D344B0" w:rsidRDefault="00542725" w:rsidP="00FB3B90">
            <w:pPr>
              <w:pStyle w:val="TableHeadings"/>
              <w:jc w:val="center"/>
            </w:pPr>
            <w:r w:rsidRPr="00D344B0">
              <w:t>No Impact</w:t>
            </w:r>
          </w:p>
        </w:tc>
      </w:tr>
      <w:tr w:rsidR="00FB3B90" w:rsidRPr="00D344B0" w14:paraId="52B398AB" w14:textId="77777777" w:rsidTr="00EE55E2">
        <w:trPr>
          <w:gridBefore w:val="1"/>
          <w:gridAfter w:val="1"/>
          <w:wBefore w:w="11" w:type="dxa"/>
          <w:wAfter w:w="61" w:type="dxa"/>
        </w:trPr>
        <w:tc>
          <w:tcPr>
            <w:tcW w:w="8975" w:type="dxa"/>
            <w:gridSpan w:val="5"/>
            <w:tcMar>
              <w:top w:w="20" w:type="dxa"/>
              <w:left w:w="115" w:type="dxa"/>
              <w:bottom w:w="20" w:type="dxa"/>
              <w:right w:w="115" w:type="dxa"/>
            </w:tcMar>
            <w:vAlign w:val="bottom"/>
            <w:hideMark/>
          </w:tcPr>
          <w:p w14:paraId="03399271" w14:textId="77777777" w:rsidR="00FB3B90" w:rsidRPr="00D344B0" w:rsidRDefault="00FB3B90" w:rsidP="001D543B">
            <w:pPr>
              <w:pStyle w:val="BodyText"/>
              <w:spacing w:before="60" w:after="60"/>
              <w:rPr>
                <w:b/>
              </w:rPr>
            </w:pPr>
            <w:r w:rsidRPr="00D344B0">
              <w:t>Does the project:</w:t>
            </w:r>
          </w:p>
        </w:tc>
      </w:tr>
      <w:tr w:rsidR="00542725" w:rsidRPr="00D344B0" w14:paraId="7C19CEA6" w14:textId="77777777" w:rsidTr="00EE55E2">
        <w:trPr>
          <w:gridBefore w:val="1"/>
          <w:wBefore w:w="8" w:type="dxa"/>
        </w:trPr>
        <w:tc>
          <w:tcPr>
            <w:tcW w:w="4333" w:type="dxa"/>
            <w:tcMar>
              <w:top w:w="20" w:type="dxa"/>
              <w:left w:w="115" w:type="dxa"/>
              <w:bottom w:w="20" w:type="dxa"/>
              <w:right w:w="115" w:type="dxa"/>
            </w:tcMar>
            <w:vAlign w:val="bottom"/>
          </w:tcPr>
          <w:p w14:paraId="4EF4CAFD" w14:textId="77777777" w:rsidR="00542725" w:rsidRPr="00D344B0" w:rsidRDefault="00FB3B90" w:rsidP="00AA64C7">
            <w:pPr>
              <w:pStyle w:val="BulletListLettered"/>
              <w:numPr>
                <w:ilvl w:val="0"/>
                <w:numId w:val="26"/>
              </w:numPr>
            </w:pPr>
            <w:r w:rsidRPr="00D344B0">
              <w:t>Have</w:t>
            </w:r>
            <w:r w:rsidR="00542725" w:rsidRPr="00D344B0">
              <w:t xml:space="preserve"> the potential to substantially </w:t>
            </w:r>
            <w:r w:rsidR="008C6662" w:rsidRPr="00D344B0">
              <w:t>degrade</w:t>
            </w:r>
            <w:r w:rsidR="00542725" w:rsidRPr="00D344B0">
              <w:t xml:space="preserve"> </w:t>
            </w:r>
            <w:r w:rsidR="008C6662" w:rsidRPr="00D344B0">
              <w:t>the quality of the environment, substantially reduce the habitat of a fish or wildlife species, cause a fish or wildlife population to drop below self-sustaining levels, threaten to eliminate a plant or animal community, substantially reduce the number or restrict the range of a rare or endangered plant or animal or eliminate important examples of the major periods of California history or prehistory?</w:t>
            </w:r>
          </w:p>
        </w:tc>
        <w:tc>
          <w:tcPr>
            <w:tcW w:w="1188" w:type="dxa"/>
            <w:tcMar>
              <w:top w:w="20" w:type="dxa"/>
              <w:left w:w="115" w:type="dxa"/>
              <w:bottom w:w="20" w:type="dxa"/>
              <w:right w:w="115" w:type="dxa"/>
            </w:tcMar>
            <w:vAlign w:val="bottom"/>
          </w:tcPr>
          <w:p w14:paraId="201C27D9" w14:textId="0E0CB621" w:rsidR="00542725" w:rsidRPr="00D344B0" w:rsidRDefault="001E48FB" w:rsidP="001D543B">
            <w:pPr>
              <w:spacing w:before="60" w:after="60"/>
              <w:jc w:val="center"/>
              <w:rPr>
                <w:sz w:val="28"/>
                <w:szCs w:val="28"/>
              </w:rPr>
            </w:pPr>
            <w:r w:rsidRPr="00D344B0">
              <w:rPr>
                <w:rFonts w:ascii="Times New Roman" w:hAnsi="Times New Roman"/>
              </w:rPr>
              <w:t>□</w:t>
            </w:r>
          </w:p>
        </w:tc>
        <w:tc>
          <w:tcPr>
            <w:tcW w:w="1220" w:type="dxa"/>
            <w:tcMar>
              <w:top w:w="20" w:type="dxa"/>
              <w:left w:w="115" w:type="dxa"/>
              <w:bottom w:w="20" w:type="dxa"/>
              <w:right w:w="115" w:type="dxa"/>
            </w:tcMar>
            <w:vAlign w:val="bottom"/>
          </w:tcPr>
          <w:p w14:paraId="733184CC" w14:textId="6A9B6FA5" w:rsidR="00542725" w:rsidRPr="00D344B0" w:rsidRDefault="00A84330" w:rsidP="001D543B">
            <w:pPr>
              <w:spacing w:before="60" w:after="60"/>
              <w:jc w:val="center"/>
              <w:rPr>
                <w:sz w:val="28"/>
                <w:szCs w:val="28"/>
              </w:rPr>
            </w:pPr>
            <w:r w:rsidRPr="00D344B0">
              <w:rPr>
                <w:rFonts w:ascii="Times New Roman" w:hAnsi="Times New Roman"/>
              </w:rPr>
              <w:t>□</w:t>
            </w:r>
          </w:p>
        </w:tc>
        <w:tc>
          <w:tcPr>
            <w:tcW w:w="1110" w:type="dxa"/>
            <w:tcMar>
              <w:top w:w="20" w:type="dxa"/>
              <w:left w:w="115" w:type="dxa"/>
              <w:bottom w:w="20" w:type="dxa"/>
              <w:right w:w="115" w:type="dxa"/>
            </w:tcMar>
            <w:vAlign w:val="bottom"/>
          </w:tcPr>
          <w:p w14:paraId="4DC08590" w14:textId="7A418245" w:rsidR="00542725" w:rsidRPr="00D344B0" w:rsidRDefault="00A84330" w:rsidP="001D543B">
            <w:pPr>
              <w:spacing w:before="60" w:after="60"/>
              <w:jc w:val="center"/>
              <w:rPr>
                <w:sz w:val="28"/>
                <w:szCs w:val="28"/>
              </w:rPr>
            </w:pPr>
            <w:r w:rsidRPr="00D344B0">
              <w:rPr>
                <w:rFonts w:ascii="Times New Roman" w:hAnsi="Times New Roman"/>
              </w:rPr>
              <w:t>■</w:t>
            </w:r>
          </w:p>
        </w:tc>
        <w:tc>
          <w:tcPr>
            <w:tcW w:w="1188" w:type="dxa"/>
            <w:gridSpan w:val="2"/>
            <w:tcMar>
              <w:top w:w="20" w:type="dxa"/>
              <w:left w:w="115" w:type="dxa"/>
              <w:bottom w:w="20" w:type="dxa"/>
              <w:right w:w="115" w:type="dxa"/>
            </w:tcMar>
            <w:vAlign w:val="bottom"/>
          </w:tcPr>
          <w:p w14:paraId="6DD0BE1A" w14:textId="49ADCFD4" w:rsidR="00542725" w:rsidRPr="00D344B0" w:rsidRDefault="002B79C2" w:rsidP="001D543B">
            <w:pPr>
              <w:spacing w:before="60" w:after="60"/>
              <w:jc w:val="center"/>
              <w:rPr>
                <w:sz w:val="28"/>
                <w:szCs w:val="28"/>
              </w:rPr>
            </w:pPr>
            <w:r w:rsidRPr="00D344B0">
              <w:rPr>
                <w:rFonts w:ascii="Times New Roman" w:hAnsi="Times New Roman"/>
              </w:rPr>
              <w:t>□</w:t>
            </w:r>
          </w:p>
        </w:tc>
      </w:tr>
      <w:tr w:rsidR="00542725" w:rsidRPr="00D344B0" w14:paraId="0552470E" w14:textId="77777777" w:rsidTr="00EE55E2">
        <w:trPr>
          <w:gridBefore w:val="1"/>
          <w:wBefore w:w="8" w:type="dxa"/>
        </w:trPr>
        <w:tc>
          <w:tcPr>
            <w:tcW w:w="4333" w:type="dxa"/>
            <w:tcMar>
              <w:top w:w="20" w:type="dxa"/>
              <w:left w:w="115" w:type="dxa"/>
              <w:bottom w:w="20" w:type="dxa"/>
              <w:right w:w="115" w:type="dxa"/>
            </w:tcMar>
            <w:vAlign w:val="bottom"/>
          </w:tcPr>
          <w:p w14:paraId="0519A308" w14:textId="77777777" w:rsidR="00542725" w:rsidRPr="00D344B0" w:rsidRDefault="00FB3B90" w:rsidP="00F6307A">
            <w:pPr>
              <w:pStyle w:val="BulletListLettered"/>
            </w:pPr>
            <w:r w:rsidRPr="00D344B0">
              <w:t>Have</w:t>
            </w:r>
            <w:r w:rsidR="00542725" w:rsidRPr="00D344B0">
              <w:t xml:space="preserve"> impacts that are individually limited, but cumulatively considerable? (“Cumulatively considerable” means that the incremental effects of a project are considerable when viewed in connection with the effects of past projects, the effects of other current projects, and the effects of probable future projects)?</w:t>
            </w:r>
          </w:p>
        </w:tc>
        <w:tc>
          <w:tcPr>
            <w:tcW w:w="1188" w:type="dxa"/>
            <w:tcMar>
              <w:top w:w="20" w:type="dxa"/>
              <w:left w:w="115" w:type="dxa"/>
              <w:bottom w:w="20" w:type="dxa"/>
              <w:right w:w="115" w:type="dxa"/>
            </w:tcMar>
            <w:vAlign w:val="bottom"/>
          </w:tcPr>
          <w:p w14:paraId="43900C99" w14:textId="6B15A22D" w:rsidR="00542725" w:rsidRPr="00D344B0" w:rsidRDefault="001E48FB" w:rsidP="001D543B">
            <w:pPr>
              <w:spacing w:before="60" w:after="60"/>
              <w:jc w:val="center"/>
              <w:rPr>
                <w:sz w:val="28"/>
                <w:szCs w:val="28"/>
              </w:rPr>
            </w:pPr>
            <w:r w:rsidRPr="00D344B0">
              <w:rPr>
                <w:rFonts w:ascii="Times New Roman" w:hAnsi="Times New Roman"/>
              </w:rPr>
              <w:t>□</w:t>
            </w:r>
          </w:p>
        </w:tc>
        <w:tc>
          <w:tcPr>
            <w:tcW w:w="1220" w:type="dxa"/>
            <w:tcMar>
              <w:top w:w="20" w:type="dxa"/>
              <w:left w:w="115" w:type="dxa"/>
              <w:bottom w:w="20" w:type="dxa"/>
              <w:right w:w="115" w:type="dxa"/>
            </w:tcMar>
            <w:vAlign w:val="bottom"/>
          </w:tcPr>
          <w:p w14:paraId="0840273F" w14:textId="720C3D6E" w:rsidR="00542725" w:rsidRPr="00D344B0" w:rsidRDefault="00542725" w:rsidP="001D543B">
            <w:pPr>
              <w:spacing w:before="60" w:after="60"/>
              <w:jc w:val="center"/>
              <w:rPr>
                <w:sz w:val="28"/>
                <w:szCs w:val="28"/>
              </w:rPr>
            </w:pPr>
            <w:r w:rsidRPr="00D344B0">
              <w:rPr>
                <w:rFonts w:ascii="Times New Roman" w:hAnsi="Times New Roman"/>
              </w:rPr>
              <w:t>□</w:t>
            </w:r>
          </w:p>
        </w:tc>
        <w:tc>
          <w:tcPr>
            <w:tcW w:w="1110" w:type="dxa"/>
            <w:tcMar>
              <w:top w:w="20" w:type="dxa"/>
              <w:left w:w="115" w:type="dxa"/>
              <w:bottom w:w="20" w:type="dxa"/>
              <w:right w:w="115" w:type="dxa"/>
            </w:tcMar>
            <w:vAlign w:val="bottom"/>
          </w:tcPr>
          <w:p w14:paraId="202E5150" w14:textId="13D52CAB" w:rsidR="00542725" w:rsidRPr="00D344B0" w:rsidRDefault="00FB0AAC" w:rsidP="001D543B">
            <w:pPr>
              <w:spacing w:before="60" w:after="60"/>
              <w:jc w:val="center"/>
              <w:rPr>
                <w:sz w:val="28"/>
                <w:szCs w:val="28"/>
              </w:rPr>
            </w:pPr>
            <w:r w:rsidRPr="00D344B0">
              <w:rPr>
                <w:rFonts w:ascii="Times New Roman" w:hAnsi="Times New Roman"/>
              </w:rPr>
              <w:t>■</w:t>
            </w:r>
          </w:p>
        </w:tc>
        <w:tc>
          <w:tcPr>
            <w:tcW w:w="1188" w:type="dxa"/>
            <w:gridSpan w:val="2"/>
            <w:tcMar>
              <w:top w:w="20" w:type="dxa"/>
              <w:left w:w="115" w:type="dxa"/>
              <w:bottom w:w="20" w:type="dxa"/>
              <w:right w:w="115" w:type="dxa"/>
            </w:tcMar>
            <w:vAlign w:val="bottom"/>
          </w:tcPr>
          <w:p w14:paraId="2BF23119" w14:textId="3D005C6D" w:rsidR="00542725" w:rsidRPr="00D344B0" w:rsidRDefault="00FB0AAC" w:rsidP="001D543B">
            <w:pPr>
              <w:spacing w:before="60" w:after="60"/>
              <w:jc w:val="center"/>
              <w:rPr>
                <w:sz w:val="28"/>
                <w:szCs w:val="28"/>
              </w:rPr>
            </w:pPr>
            <w:r w:rsidRPr="00D344B0">
              <w:rPr>
                <w:rFonts w:ascii="Times New Roman" w:hAnsi="Times New Roman"/>
              </w:rPr>
              <w:t>□</w:t>
            </w:r>
          </w:p>
        </w:tc>
      </w:tr>
      <w:tr w:rsidR="00542725" w:rsidRPr="00D344B0" w14:paraId="11E57CA9" w14:textId="77777777" w:rsidTr="00EE55E2">
        <w:trPr>
          <w:gridBefore w:val="1"/>
          <w:wBefore w:w="8" w:type="dxa"/>
        </w:trPr>
        <w:tc>
          <w:tcPr>
            <w:tcW w:w="4333" w:type="dxa"/>
            <w:tcMar>
              <w:top w:w="20" w:type="dxa"/>
              <w:left w:w="115" w:type="dxa"/>
              <w:bottom w:w="20" w:type="dxa"/>
              <w:right w:w="115" w:type="dxa"/>
            </w:tcMar>
            <w:vAlign w:val="bottom"/>
          </w:tcPr>
          <w:p w14:paraId="407C95B0" w14:textId="77777777" w:rsidR="00542725" w:rsidRPr="00D344B0" w:rsidRDefault="00FB3B90" w:rsidP="00F6307A">
            <w:pPr>
              <w:pStyle w:val="BulletListLettered"/>
            </w:pPr>
            <w:r w:rsidRPr="00D344B0">
              <w:t>Have</w:t>
            </w:r>
            <w:r w:rsidR="00542725" w:rsidRPr="00D344B0">
              <w:t xml:space="preserve"> environmental effects which will cause substantial adverse effects on human beings, either directly or indirectly?</w:t>
            </w:r>
          </w:p>
        </w:tc>
        <w:tc>
          <w:tcPr>
            <w:tcW w:w="1188" w:type="dxa"/>
            <w:tcMar>
              <w:top w:w="20" w:type="dxa"/>
              <w:left w:w="115" w:type="dxa"/>
              <w:bottom w:w="20" w:type="dxa"/>
              <w:right w:w="115" w:type="dxa"/>
            </w:tcMar>
            <w:vAlign w:val="bottom"/>
          </w:tcPr>
          <w:p w14:paraId="06876439" w14:textId="754FF035" w:rsidR="00542725" w:rsidRPr="00D344B0" w:rsidRDefault="001E48FB" w:rsidP="001D543B">
            <w:pPr>
              <w:spacing w:before="60" w:after="60"/>
              <w:jc w:val="center"/>
              <w:rPr>
                <w:sz w:val="28"/>
                <w:szCs w:val="28"/>
              </w:rPr>
            </w:pPr>
            <w:r w:rsidRPr="00D344B0">
              <w:rPr>
                <w:rFonts w:ascii="Times New Roman" w:hAnsi="Times New Roman"/>
              </w:rPr>
              <w:t>□</w:t>
            </w:r>
          </w:p>
        </w:tc>
        <w:tc>
          <w:tcPr>
            <w:tcW w:w="1220" w:type="dxa"/>
            <w:tcMar>
              <w:top w:w="20" w:type="dxa"/>
              <w:left w:w="115" w:type="dxa"/>
              <w:bottom w:w="20" w:type="dxa"/>
              <w:right w:w="115" w:type="dxa"/>
            </w:tcMar>
            <w:vAlign w:val="bottom"/>
          </w:tcPr>
          <w:p w14:paraId="131C85AC" w14:textId="3E66E9D6" w:rsidR="00542725" w:rsidRPr="00D344B0" w:rsidRDefault="00A84330" w:rsidP="001D543B">
            <w:pPr>
              <w:spacing w:before="60" w:after="60"/>
              <w:jc w:val="center"/>
              <w:rPr>
                <w:sz w:val="28"/>
                <w:szCs w:val="28"/>
              </w:rPr>
            </w:pPr>
            <w:r w:rsidRPr="00D344B0">
              <w:rPr>
                <w:rFonts w:ascii="Times New Roman" w:hAnsi="Times New Roman"/>
              </w:rPr>
              <w:t>□</w:t>
            </w:r>
          </w:p>
        </w:tc>
        <w:tc>
          <w:tcPr>
            <w:tcW w:w="1110" w:type="dxa"/>
            <w:tcMar>
              <w:top w:w="20" w:type="dxa"/>
              <w:left w:w="115" w:type="dxa"/>
              <w:bottom w:w="20" w:type="dxa"/>
              <w:right w:w="115" w:type="dxa"/>
            </w:tcMar>
            <w:vAlign w:val="bottom"/>
          </w:tcPr>
          <w:p w14:paraId="4840DC58" w14:textId="3293B7A9" w:rsidR="00542725" w:rsidRPr="00D344B0" w:rsidRDefault="00A84330" w:rsidP="001D543B">
            <w:pPr>
              <w:spacing w:before="60" w:after="60"/>
              <w:jc w:val="center"/>
              <w:rPr>
                <w:sz w:val="28"/>
                <w:szCs w:val="28"/>
              </w:rPr>
            </w:pPr>
            <w:r w:rsidRPr="00D344B0">
              <w:rPr>
                <w:rFonts w:ascii="Times New Roman" w:hAnsi="Times New Roman"/>
              </w:rPr>
              <w:t>■</w:t>
            </w:r>
          </w:p>
        </w:tc>
        <w:tc>
          <w:tcPr>
            <w:tcW w:w="1188" w:type="dxa"/>
            <w:gridSpan w:val="2"/>
            <w:tcMar>
              <w:top w:w="20" w:type="dxa"/>
              <w:left w:w="115" w:type="dxa"/>
              <w:bottom w:w="20" w:type="dxa"/>
              <w:right w:w="115" w:type="dxa"/>
            </w:tcMar>
            <w:vAlign w:val="bottom"/>
          </w:tcPr>
          <w:p w14:paraId="7B51F308" w14:textId="087E692F" w:rsidR="00542725" w:rsidRPr="00D344B0" w:rsidRDefault="00BD3EBD" w:rsidP="001D543B">
            <w:pPr>
              <w:spacing w:before="60" w:after="60"/>
              <w:jc w:val="center"/>
              <w:rPr>
                <w:sz w:val="28"/>
                <w:szCs w:val="28"/>
              </w:rPr>
            </w:pPr>
            <w:r w:rsidRPr="00D344B0">
              <w:rPr>
                <w:rFonts w:ascii="Times New Roman" w:hAnsi="Times New Roman"/>
              </w:rPr>
              <w:t>□</w:t>
            </w:r>
          </w:p>
        </w:tc>
      </w:tr>
    </w:tbl>
    <w:p w14:paraId="2BEC1186" w14:textId="77777777" w:rsidR="00542725" w:rsidRPr="00D344B0" w:rsidRDefault="00542725" w:rsidP="00C70212">
      <w:pPr>
        <w:pStyle w:val="BulletLtrManAFTER"/>
      </w:pPr>
      <w:r w:rsidRPr="00D344B0">
        <w:t>a</w:t>
      </w:r>
      <w:r w:rsidR="001354E9" w:rsidRPr="00D344B0">
        <w:t>.</w:t>
      </w:r>
      <w:r w:rsidRPr="00D344B0">
        <w:tab/>
        <w:t>Does the project</w:t>
      </w:r>
      <w:r w:rsidR="008C6662" w:rsidRPr="00D344B0">
        <w:t xml:space="preserve"> have the potential to substantially degrade the quality of the environment, substantially reduce the habitat of a fish or wildlife species, cause a fish or wildlife population to drop below self-sustaining levels, threaten to eliminate a plant or animal community, substantially reduce the number or restrict the range of a rare or endangered plant or animal or eliminate important examples of the major periods of California history or prehistory?</w:t>
      </w:r>
    </w:p>
    <w:p w14:paraId="49356A07" w14:textId="60A3E576" w:rsidR="002B79C2" w:rsidRPr="00D344B0" w:rsidRDefault="002B79C2" w:rsidP="002B79C2">
      <w:pPr>
        <w:pStyle w:val="BodyText"/>
      </w:pPr>
      <w:r w:rsidRPr="00D344B0">
        <w:t xml:space="preserve">As discussed in Section 4, </w:t>
      </w:r>
      <w:r w:rsidRPr="00D344B0">
        <w:rPr>
          <w:i/>
        </w:rPr>
        <w:t>Biological Resources</w:t>
      </w:r>
      <w:r w:rsidRPr="00D344B0">
        <w:t>,</w:t>
      </w:r>
      <w:r w:rsidRPr="00D344B0">
        <w:rPr>
          <w:i/>
        </w:rPr>
        <w:t xml:space="preserve"> </w:t>
      </w:r>
      <w:r w:rsidRPr="00D344B0">
        <w:t>the project would not substantially reduce the habitat of a fish or wildlife species; cause a fish or wildlife species population to drop below self-sustaining levels; threaten to eliminate a plant or animal community; or reduce the number or restrict the range of a rare or endangered plant or animal</w:t>
      </w:r>
      <w:r w:rsidR="00A84330">
        <w:t xml:space="preserve">. Implementation of City of Mountain View condition of approval PL-198 </w:t>
      </w:r>
      <w:r w:rsidRPr="00D344B0">
        <w:t>would reduce impacts to bird species to less than significant</w:t>
      </w:r>
      <w:r w:rsidR="00A84330">
        <w:t xml:space="preserve">. </w:t>
      </w:r>
    </w:p>
    <w:p w14:paraId="213163D0" w14:textId="02CD2AF8" w:rsidR="002B79C2" w:rsidRPr="00AC1C51" w:rsidRDefault="002B79C2" w:rsidP="002B79C2">
      <w:pPr>
        <w:pStyle w:val="BodyText"/>
        <w:rPr>
          <w:i/>
          <w:iCs/>
        </w:rPr>
      </w:pPr>
      <w:r w:rsidRPr="00D344B0">
        <w:t xml:space="preserve">As discussed in Section 5, </w:t>
      </w:r>
      <w:r w:rsidRPr="00D344B0">
        <w:rPr>
          <w:i/>
        </w:rPr>
        <w:t>Cultural Resources</w:t>
      </w:r>
      <w:r w:rsidRPr="00D344B0">
        <w:t xml:space="preserve">, and Section 7, </w:t>
      </w:r>
      <w:r w:rsidRPr="00D344B0">
        <w:rPr>
          <w:i/>
          <w:iCs/>
        </w:rPr>
        <w:t xml:space="preserve">Geology and Soils, </w:t>
      </w:r>
      <w:r w:rsidRPr="00D344B0">
        <w:t xml:space="preserve">no historical, archaeological, or paleontological resources were identified on site. Nevertheless, the potential for the recovery of buried cultural materials during development activities remains. </w:t>
      </w:r>
      <w:r w:rsidR="005E3F7D">
        <w:t xml:space="preserve">In addition, as discussed in Section 18, </w:t>
      </w:r>
      <w:r w:rsidR="005E3F7D">
        <w:rPr>
          <w:i/>
          <w:iCs/>
        </w:rPr>
        <w:t xml:space="preserve">Tribal Cultural Resources, </w:t>
      </w:r>
      <w:r w:rsidR="005E3F7D" w:rsidRPr="00D344B0">
        <w:t xml:space="preserve">the potential to discover unanticipated resources during development is a possibility. </w:t>
      </w:r>
      <w:r w:rsidR="005E3F7D">
        <w:t xml:space="preserve">Implementation of </w:t>
      </w:r>
      <w:r w:rsidR="00D014CA">
        <w:t xml:space="preserve">City of Mountain View </w:t>
      </w:r>
      <w:r w:rsidR="005E3F7D">
        <w:t>standard condition</w:t>
      </w:r>
      <w:r w:rsidR="003B71C5">
        <w:t xml:space="preserve">s </w:t>
      </w:r>
      <w:r w:rsidR="005E3F7D">
        <w:t xml:space="preserve">of approval </w:t>
      </w:r>
      <w:r w:rsidR="003B71C5">
        <w:t xml:space="preserve">PL-194, PL-202, and PL-203 </w:t>
      </w:r>
      <w:r w:rsidR="005E3F7D">
        <w:t xml:space="preserve">regarding the discovery of archaeological resources </w:t>
      </w:r>
      <w:r w:rsidRPr="00D344B0">
        <w:t xml:space="preserve">would reduce impacts to previously undiscovered cultural </w:t>
      </w:r>
      <w:r w:rsidR="005E3F7D">
        <w:t xml:space="preserve">and Tribal cultural </w:t>
      </w:r>
      <w:r w:rsidRPr="00D344B0">
        <w:t xml:space="preserve">resources to less than significant </w:t>
      </w:r>
      <w:r w:rsidR="00D014CA">
        <w:t xml:space="preserve">levels </w:t>
      </w:r>
      <w:r w:rsidRPr="00D344B0">
        <w:t>by providing a process for evaluating and, as necessary, avoiding impacts to any resources found during construction. Therefore, impacts to important examples of California history or prehistory would be less than significant</w:t>
      </w:r>
      <w:r w:rsidR="005E3F7D">
        <w:t xml:space="preserve">. </w:t>
      </w:r>
    </w:p>
    <w:p w14:paraId="7ECEF129" w14:textId="2365694F" w:rsidR="002B79C2" w:rsidRPr="00D344B0" w:rsidRDefault="002B79C2" w:rsidP="002B79C2">
      <w:pPr>
        <w:pStyle w:val="BodyText"/>
      </w:pPr>
      <w:r w:rsidRPr="00D344B0">
        <w:t>As noted throughout the Initial Study, other potential environmental impacts related to the quality of environment would be less than significant</w:t>
      </w:r>
      <w:r w:rsidR="005E3F7D">
        <w:t xml:space="preserve">. </w:t>
      </w:r>
    </w:p>
    <w:p w14:paraId="66F72E4E" w14:textId="0485D2FF" w:rsidR="009C1D64" w:rsidRPr="000E45CD" w:rsidRDefault="00817BC5" w:rsidP="009C1D64">
      <w:pPr>
        <w:spacing w:before="120"/>
        <w:rPr>
          <w:rStyle w:val="DropdownList"/>
          <w:highlight w:val="lightGray"/>
        </w:rPr>
      </w:pPr>
      <w:sdt>
        <w:sdtPr>
          <w:rPr>
            <w:rStyle w:val="DropdownList"/>
          </w:rPr>
          <w:alias w:val="1a"/>
          <w:tag w:val="dropdown"/>
          <w:id w:val="661361583"/>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rPr>
        </w:sdtEndPr>
        <w:sdtContent>
          <w:r w:rsidR="005E3F7D" w:rsidRPr="00640244">
            <w:rPr>
              <w:rStyle w:val="DropdownList"/>
            </w:rPr>
            <w:t>Less Than Significant Impact</w:t>
          </w:r>
        </w:sdtContent>
      </w:sdt>
    </w:p>
    <w:p w14:paraId="33B84B1E" w14:textId="77777777" w:rsidR="00542725" w:rsidRPr="00582DE3" w:rsidRDefault="00542725" w:rsidP="00C70212">
      <w:pPr>
        <w:pStyle w:val="BulletLtrManAFTER"/>
      </w:pPr>
      <w:r w:rsidRPr="00582DE3">
        <w:t>b.</w:t>
      </w:r>
      <w:r w:rsidRPr="00582DE3">
        <w:tab/>
        <w:t>Does the project have impacts that are individually limited, but cumulatively considerable? (“Cumulatively considerable” means that the incremental effects of a project are considerable when viewed in connection with the effects of past projects, the effects of other current projects, and the effects of probable future projects)?</w:t>
      </w:r>
    </w:p>
    <w:p w14:paraId="5E38153C" w14:textId="37CB3ECE" w:rsidR="002B79C2" w:rsidRPr="000E45CD" w:rsidRDefault="002B79C2" w:rsidP="002B79C2">
      <w:pPr>
        <w:pStyle w:val="BodyText"/>
        <w:rPr>
          <w:highlight w:val="lightGray"/>
        </w:rPr>
      </w:pPr>
      <w:r w:rsidRPr="00582DE3">
        <w:t>Pursuant to CEQA Guidelines Section 15064(h)(3), cumulative impacts associated with some of the resource areas have been addressed in the individual resource sections above: Air Quality, Greenhouse Gases, Water Supply, and Solid Waste. As discussed in these sections, impacts (including cumulative impacts) would be less than significant or less than significant with mitigation incorporated in the case of air quality. Some of the other resource areas were determined to have no impact in comparison to existing conditions and therefore would not contribute to cumulative impacts, such as mineral resources and agriculture and forestry resources. As such, cumulative impacts in these issue areas would also be less than significant (not cumulatively considerable). Other issues (e.g., aesthetics, hazards and hazardous materials) are site-specific by nature, and impacts at one location do not add to impacts at other locations or create additive impacts. The project would incrementally increase traffic compared to existing conditions</w:t>
      </w:r>
      <w:r w:rsidR="00582DE3">
        <w:t>, but not to a significant l</w:t>
      </w:r>
      <w:r w:rsidR="00582DE3" w:rsidRPr="00582DE3">
        <w:t>evel.</w:t>
      </w:r>
      <w:r w:rsidR="00986624" w:rsidRPr="00582DE3">
        <w:t xml:space="preserve"> </w:t>
      </w:r>
      <w:r w:rsidRPr="00582DE3">
        <w:t xml:space="preserve">Therefore, the project’s impacts would not be cumulatively considerable with implementation of mitigation measures. </w:t>
      </w:r>
    </w:p>
    <w:p w14:paraId="2D866216" w14:textId="394050C7" w:rsidR="009C1D64" w:rsidRPr="000E45CD" w:rsidRDefault="00817BC5" w:rsidP="009C1D64">
      <w:pPr>
        <w:spacing w:before="120"/>
        <w:rPr>
          <w:rStyle w:val="DropdownList"/>
          <w:highlight w:val="lightGray"/>
        </w:rPr>
      </w:pPr>
      <w:sdt>
        <w:sdtPr>
          <w:rPr>
            <w:rStyle w:val="DropdownList"/>
            <w:highlight w:val="lightGray"/>
          </w:rPr>
          <w:alias w:val="1a"/>
          <w:tag w:val="dropdown"/>
          <w:id w:val="1408493933"/>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highlight w:val="none"/>
          </w:rPr>
        </w:sdtEndPr>
        <w:sdtContent>
          <w:r w:rsidR="000E45CD" w:rsidRPr="000E45CD">
            <w:rPr>
              <w:rStyle w:val="DropdownList"/>
            </w:rPr>
            <w:t>Less Than Significant Impact</w:t>
          </w:r>
        </w:sdtContent>
      </w:sdt>
    </w:p>
    <w:p w14:paraId="176DA250" w14:textId="77777777" w:rsidR="00542725" w:rsidRPr="00EE7E20" w:rsidRDefault="00542725" w:rsidP="00C96493">
      <w:pPr>
        <w:pStyle w:val="BulletLtrManAFTER"/>
      </w:pPr>
      <w:r w:rsidRPr="00EE7E20">
        <w:t>c.</w:t>
      </w:r>
      <w:r w:rsidRPr="00EE7E20">
        <w:tab/>
        <w:t xml:space="preserve">Does the project have environmental effects which will cause substantial adverse effects on human beings, either directly or indirectly? </w:t>
      </w:r>
    </w:p>
    <w:p w14:paraId="6644AF0A" w14:textId="1F156A7D" w:rsidR="002B79C2" w:rsidRDefault="002B79C2" w:rsidP="002B79C2">
      <w:pPr>
        <w:pStyle w:val="BodyText"/>
      </w:pPr>
      <w:r w:rsidRPr="00582DE3">
        <w:t xml:space="preserve">In general, impacts to human beings are associated with air quality, hazards and hazardous materials, and noise impacts. As discussed in Section 3, </w:t>
      </w:r>
      <w:r w:rsidRPr="00582DE3">
        <w:rPr>
          <w:i/>
          <w:iCs/>
        </w:rPr>
        <w:t>Air Quality,</w:t>
      </w:r>
      <w:r w:rsidR="0034695B">
        <w:rPr>
          <w:i/>
          <w:iCs/>
        </w:rPr>
        <w:t xml:space="preserve"> </w:t>
      </w:r>
      <w:r w:rsidR="00AC1C51">
        <w:t>t</w:t>
      </w:r>
      <w:r w:rsidR="0034695B" w:rsidRPr="00F036A3">
        <w:t xml:space="preserve">he project would implement BAAQMD </w:t>
      </w:r>
      <w:r w:rsidR="0034695B" w:rsidRPr="00F036A3">
        <w:rPr>
          <w:i/>
        </w:rPr>
        <w:t xml:space="preserve">Basic Construction Mitigation Measures </w:t>
      </w:r>
      <w:r w:rsidR="0034695B">
        <w:rPr>
          <w:iCs/>
        </w:rPr>
        <w:t xml:space="preserve">related to architectural coatings and construction fugitive dust </w:t>
      </w:r>
      <w:r w:rsidR="0034695B" w:rsidRPr="00F036A3">
        <w:rPr>
          <w:iCs/>
        </w:rPr>
        <w:t>as a</w:t>
      </w:r>
      <w:r w:rsidR="003B71C5">
        <w:rPr>
          <w:iCs/>
        </w:rPr>
        <w:t xml:space="preserve"> standard condition of approval (PL-192)</w:t>
      </w:r>
      <w:r w:rsidR="0034695B">
        <w:t xml:space="preserve">. </w:t>
      </w:r>
      <w:r w:rsidRPr="00582DE3">
        <w:t xml:space="preserve">As discussed in Section 9, </w:t>
      </w:r>
      <w:r w:rsidRPr="00582DE3">
        <w:rPr>
          <w:i/>
          <w:iCs/>
        </w:rPr>
        <w:t>Hazards and Hazardous Materials</w:t>
      </w:r>
      <w:r w:rsidRPr="00582DE3">
        <w:t xml:space="preserve">, impacts related to groundwater, vapor, or soil contamination would not be significant as a result of project implementation and would not have a cumulatively considerable contribution to significant cumulative hazards impacts. As discussed in Section 13, </w:t>
      </w:r>
      <w:r w:rsidRPr="00582DE3">
        <w:rPr>
          <w:i/>
          <w:iCs/>
        </w:rPr>
        <w:t>Noise</w:t>
      </w:r>
      <w:r w:rsidR="00113AFC">
        <w:t>, t</w:t>
      </w:r>
      <w:r w:rsidR="00EE7E20">
        <w:t xml:space="preserve">he project would not have significant noise impacts in </w:t>
      </w:r>
      <w:r w:rsidR="00113AFC">
        <w:t xml:space="preserve">construction or </w:t>
      </w:r>
      <w:r w:rsidR="00EE7E20">
        <w:t xml:space="preserve">operation. </w:t>
      </w:r>
      <w:r w:rsidRPr="00EE7E20">
        <w:t xml:space="preserve">Therefore, the project would not cause substantial adverse effects on human beings </w:t>
      </w:r>
      <w:r w:rsidR="00872F3C" w:rsidRPr="00EE7E20">
        <w:t xml:space="preserve">with </w:t>
      </w:r>
      <w:r w:rsidR="00872F3C">
        <w:t>implementation</w:t>
      </w:r>
      <w:r w:rsidR="004571E7">
        <w:t xml:space="preserve"> of City of Mountain View standard conditions of approval</w:t>
      </w:r>
      <w:r w:rsidRPr="00EE7E20">
        <w:t xml:space="preserve">. </w:t>
      </w:r>
    </w:p>
    <w:p w14:paraId="6E5A25FE" w14:textId="77777777" w:rsidR="00A07BB6" w:rsidRPr="000E45CD" w:rsidRDefault="00817BC5" w:rsidP="00A07BB6">
      <w:pPr>
        <w:spacing w:before="120"/>
        <w:rPr>
          <w:rStyle w:val="DropdownList"/>
          <w:highlight w:val="lightGray"/>
        </w:rPr>
      </w:pPr>
      <w:sdt>
        <w:sdtPr>
          <w:rPr>
            <w:rStyle w:val="DropdownList"/>
            <w:highlight w:val="lightGray"/>
          </w:rPr>
          <w:alias w:val="1a"/>
          <w:tag w:val="dropdown"/>
          <w:id w:val="1636911060"/>
          <w:dropDownList>
            <w:listItem w:value="Choose an item."/>
            <w:listItem w:displayText="Potentially Significant Impact" w:value="Potentially Significant Impact"/>
            <w:listItem w:displayText="Less than Significant with Mitigation Incorporated" w:value="Less than Significant with Mitigation Incorporated"/>
            <w:listItem w:displayText="Less Than Significant Impact" w:value="Less Than Significant Impact"/>
            <w:listItem w:displayText="No Impact" w:value="No Impact"/>
          </w:dropDownList>
        </w:sdtPr>
        <w:sdtEndPr>
          <w:rPr>
            <w:rStyle w:val="DropdownList"/>
            <w:highlight w:val="none"/>
          </w:rPr>
        </w:sdtEndPr>
        <w:sdtContent>
          <w:r w:rsidR="00A07BB6" w:rsidRPr="000E45CD">
            <w:rPr>
              <w:rStyle w:val="DropdownList"/>
            </w:rPr>
            <w:t>Less Than Significant Impact</w:t>
          </w:r>
        </w:sdtContent>
      </w:sdt>
    </w:p>
    <w:p w14:paraId="1762366B" w14:textId="77777777" w:rsidR="00EE55E2" w:rsidRPr="000E45CD" w:rsidRDefault="00EE55E2" w:rsidP="00542725">
      <w:pPr>
        <w:rPr>
          <w:highlight w:val="lightGray"/>
        </w:rPr>
      </w:pPr>
    </w:p>
    <w:p w14:paraId="313A000F" w14:textId="77777777" w:rsidR="00542725" w:rsidRPr="000E45CD" w:rsidRDefault="00542725" w:rsidP="00542725">
      <w:pPr>
        <w:rPr>
          <w:highlight w:val="lightGray"/>
        </w:rPr>
        <w:sectPr w:rsidR="00542725" w:rsidRPr="000E45CD" w:rsidSect="00542725">
          <w:headerReference w:type="default" r:id="rId28"/>
          <w:pgSz w:w="12240" w:h="15840"/>
          <w:pgMar w:top="1440" w:right="1627" w:bottom="1440" w:left="1627" w:header="720" w:footer="720" w:gutter="0"/>
          <w:cols w:space="720"/>
          <w:docGrid w:linePitch="360"/>
        </w:sectPr>
      </w:pPr>
    </w:p>
    <w:p w14:paraId="19211731" w14:textId="77777777" w:rsidR="00542725" w:rsidRPr="00C47745" w:rsidRDefault="00542725" w:rsidP="00D316EF">
      <w:pPr>
        <w:pStyle w:val="Heading1"/>
        <w:numPr>
          <w:ilvl w:val="0"/>
          <w:numId w:val="0"/>
        </w:numPr>
        <w:spacing w:before="0"/>
        <w:ind w:left="576" w:hanging="576"/>
      </w:pPr>
      <w:bookmarkStart w:id="346" w:name="_Toc453855781"/>
      <w:bookmarkStart w:id="347" w:name="_Toc475630621"/>
      <w:bookmarkStart w:id="348" w:name="_Toc475630729"/>
      <w:bookmarkStart w:id="349" w:name="_Toc112942447"/>
      <w:r w:rsidRPr="00C47745">
        <w:t>References</w:t>
      </w:r>
      <w:bookmarkEnd w:id="346"/>
      <w:bookmarkEnd w:id="347"/>
      <w:bookmarkEnd w:id="348"/>
      <w:bookmarkEnd w:id="349"/>
    </w:p>
    <w:p w14:paraId="41F89009" w14:textId="2230CD25" w:rsidR="0005133C" w:rsidRPr="00C47745" w:rsidRDefault="00542725" w:rsidP="00EC4AA6">
      <w:pPr>
        <w:pStyle w:val="Heading2-nonumber"/>
      </w:pPr>
      <w:bookmarkStart w:id="350" w:name="_Toc453855353"/>
      <w:bookmarkStart w:id="351" w:name="_Toc453855782"/>
      <w:bookmarkStart w:id="352" w:name="_Toc475630730"/>
      <w:bookmarkStart w:id="353" w:name="_Toc112942448"/>
      <w:r w:rsidRPr="00C47745">
        <w:t>Bibliography</w:t>
      </w:r>
      <w:bookmarkEnd w:id="350"/>
      <w:bookmarkEnd w:id="351"/>
      <w:bookmarkEnd w:id="352"/>
      <w:bookmarkEnd w:id="353"/>
    </w:p>
    <w:p w14:paraId="712366FB" w14:textId="33C5A151" w:rsidR="007C41D8" w:rsidRDefault="007C41D8" w:rsidP="00C47745">
      <w:pPr>
        <w:pStyle w:val="ReferenceEntry"/>
        <w:rPr>
          <w:lang w:val="en-US"/>
        </w:rPr>
      </w:pPr>
      <w:r>
        <w:rPr>
          <w:lang w:val="en-US"/>
        </w:rPr>
        <w:t>Association of Bay Area Governments (ABAG). 2021</w:t>
      </w:r>
      <w:r w:rsidR="00872C02">
        <w:rPr>
          <w:lang w:val="en-US"/>
        </w:rPr>
        <w:t>a</w:t>
      </w:r>
      <w:r>
        <w:rPr>
          <w:lang w:val="en-US"/>
        </w:rPr>
        <w:t xml:space="preserve">. Plan Bay Area 2050. October 2021. </w:t>
      </w:r>
      <w:r w:rsidRPr="009C4603">
        <w:rPr>
          <w:lang w:val="en-US"/>
        </w:rPr>
        <w:t>https://www.planbayarea.org/sites/default/files/documents/Plan_Bay_Area_2050_October_2021.pdf</w:t>
      </w:r>
      <w:r>
        <w:rPr>
          <w:lang w:val="en-US"/>
        </w:rPr>
        <w:t xml:space="preserve"> (accessed December 2021). </w:t>
      </w:r>
    </w:p>
    <w:p w14:paraId="06534570" w14:textId="59915214" w:rsidR="00872C02" w:rsidRDefault="00493D98" w:rsidP="00C47745">
      <w:pPr>
        <w:pStyle w:val="ReferenceEntry"/>
        <w:rPr>
          <w:lang w:val="en-US"/>
        </w:rPr>
      </w:pPr>
      <w:r>
        <w:rPr>
          <w:lang w:val="en-US"/>
        </w:rPr>
        <w:t xml:space="preserve">______. </w:t>
      </w:r>
      <w:r w:rsidR="00872C02">
        <w:rPr>
          <w:lang w:val="en-US"/>
        </w:rPr>
        <w:t xml:space="preserve">2021b. MTC/ABAG Hazard Viewer Map. August 2021. </w:t>
      </w:r>
      <w:r w:rsidR="00872C02" w:rsidRPr="009C4603">
        <w:rPr>
          <w:lang w:val="en-US"/>
        </w:rPr>
        <w:t>https://mtc.maps.arcgis.com/apps/webappviewer/index.html?id=4a6f3f1259df42eab29b35dfcd086fc8</w:t>
      </w:r>
      <w:r w:rsidR="00872C02">
        <w:rPr>
          <w:lang w:val="en-US"/>
        </w:rPr>
        <w:t xml:space="preserve"> (accessed December 2021). </w:t>
      </w:r>
    </w:p>
    <w:p w14:paraId="7341AAA4" w14:textId="2AF1D5A8" w:rsidR="00CE5A2F" w:rsidRPr="00EE7E20" w:rsidRDefault="00CE5A2F" w:rsidP="00EE7E20">
      <w:pPr>
        <w:pStyle w:val="ReferenceEntry"/>
        <w:rPr>
          <w:rFonts w:ascii="Calibri" w:hAnsi="Calibri"/>
          <w:lang w:val="en-US"/>
        </w:rPr>
      </w:pPr>
      <w:r>
        <w:rPr>
          <w:color w:val="auto"/>
          <w:lang w:val="en-US"/>
        </w:rPr>
        <w:t>Association of Environmental Professionals. 2016. Final White Paper - Beyond 2020 and Newhall: A Field Guide to New CEQA Greenhouse Gas Thresholds and Climate Action Plan Targets for California. October 18, 2016.</w:t>
      </w:r>
    </w:p>
    <w:p w14:paraId="50E80C9D" w14:textId="2D0342B8" w:rsidR="00C47745" w:rsidRPr="00C47745" w:rsidRDefault="00C47745" w:rsidP="00C47745">
      <w:pPr>
        <w:pStyle w:val="ReferenceEntry"/>
      </w:pPr>
      <w:r w:rsidRPr="00C47745">
        <w:t xml:space="preserve">Bay Area Air Quality Management District (BAAQMD). 2017a. Spare the Air Cool Climate: A Blueprint for Clean Air and Climate Protection in the Bay Area. Final 2017 Clean Air Plan. Adopted April 19, 2017. https://www.baaqmd.gov/~/media/files/planning-and-research/plans/2017-clean-air-plan/attachment-a_-proposed-final-cap-vol-1-pdf.pdf (accessed </w:t>
      </w:r>
      <w:r>
        <w:rPr>
          <w:lang w:val="en-US"/>
        </w:rPr>
        <w:t>December 2021</w:t>
      </w:r>
      <w:r w:rsidRPr="00C47745">
        <w:t>).</w:t>
      </w:r>
    </w:p>
    <w:p w14:paraId="453ACF98" w14:textId="095197B9" w:rsidR="00C47745" w:rsidRDefault="00493D98" w:rsidP="00C47745">
      <w:pPr>
        <w:pStyle w:val="ReferenceEntry"/>
      </w:pPr>
      <w:r>
        <w:rPr>
          <w:lang w:val="en-US"/>
        </w:rPr>
        <w:t xml:space="preserve">______. </w:t>
      </w:r>
      <w:r w:rsidR="00C47745" w:rsidRPr="00C47745">
        <w:t xml:space="preserve">2017b. California Environmental Quality Act Air Quality Guidelines. San Francisco, CA. May 2017. https://www.baaqmd.gov/~/media/files/planning-and-research/ceqa/ceqa_guidelines_may2017-pdf.pdf?la=en (accessed </w:t>
      </w:r>
      <w:r w:rsidR="00C47745">
        <w:rPr>
          <w:lang w:val="en-US"/>
        </w:rPr>
        <w:t>December 2021</w:t>
      </w:r>
      <w:r w:rsidR="00C47745" w:rsidRPr="00C47745">
        <w:t>).</w:t>
      </w:r>
    </w:p>
    <w:p w14:paraId="1C7F0135" w14:textId="2A50542D" w:rsidR="00C05725" w:rsidRDefault="00493D98" w:rsidP="00C47745">
      <w:pPr>
        <w:pStyle w:val="ReferenceEntry"/>
        <w:rPr>
          <w:lang w:val="en-US"/>
        </w:rPr>
      </w:pPr>
      <w:r>
        <w:rPr>
          <w:lang w:val="en-US"/>
        </w:rPr>
        <w:t xml:space="preserve">______. </w:t>
      </w:r>
      <w:r w:rsidR="00C05725">
        <w:rPr>
          <w:lang w:val="en-US"/>
        </w:rPr>
        <w:t>2017c. BAAQMD Impacted Communities Map.</w:t>
      </w:r>
      <w:r w:rsidR="005626B4">
        <w:rPr>
          <w:lang w:val="en-US"/>
        </w:rPr>
        <w:t xml:space="preserve"> </w:t>
      </w:r>
      <w:r w:rsidR="005626B4" w:rsidRPr="009C4603">
        <w:rPr>
          <w:lang w:val="en-US"/>
        </w:rPr>
        <w:t>https://www.baaqmd.gov/~/media/files/planning-and-research/care-program/revised-2013-care-communities-pdf.pdf?la=en</w:t>
      </w:r>
      <w:r w:rsidR="00C05725">
        <w:rPr>
          <w:lang w:val="en-US"/>
        </w:rPr>
        <w:t xml:space="preserve"> (accessed December 2021). </w:t>
      </w:r>
    </w:p>
    <w:p w14:paraId="1610E6CA" w14:textId="3BDC5DCA" w:rsidR="00CE5A2F" w:rsidRPr="00CE5A2F" w:rsidRDefault="00B66399" w:rsidP="00CE5A2F">
      <w:pPr>
        <w:pStyle w:val="ReferenceEntry"/>
        <w:rPr>
          <w:rFonts w:cstheme="minorHAnsi"/>
          <w:color w:val="auto"/>
        </w:rPr>
      </w:pPr>
      <w:r>
        <w:rPr>
          <w:color w:val="auto"/>
          <w:lang w:val="en-US"/>
        </w:rPr>
        <w:t xml:space="preserve">California Air Resources Board (CARB). </w:t>
      </w:r>
      <w:r>
        <w:rPr>
          <w:rFonts w:cstheme="minorHAnsi"/>
          <w:color w:val="auto"/>
        </w:rPr>
        <w:t xml:space="preserve">2005. Air Quality and Land Use Handbook: A Community Health Perspective. April 2005. </w:t>
      </w:r>
      <w:r w:rsidRPr="009C4603">
        <w:rPr>
          <w:rFonts w:cstheme="minorHAnsi"/>
        </w:rPr>
        <w:t>https://www.arb.ca.gov/ch/handbook.pdf</w:t>
      </w:r>
      <w:r>
        <w:rPr>
          <w:rStyle w:val="Hyperlink"/>
          <w:rFonts w:cstheme="minorHAnsi"/>
          <w:color w:val="auto"/>
          <w:lang w:val="en-US"/>
        </w:rPr>
        <w:t xml:space="preserve"> </w:t>
      </w:r>
      <w:r w:rsidRPr="00B66399">
        <w:rPr>
          <w:rStyle w:val="Hyperlink"/>
          <w:rFonts w:cstheme="minorHAnsi"/>
          <w:color w:val="auto"/>
          <w:u w:val="none"/>
          <w:lang w:val="en-US"/>
        </w:rPr>
        <w:t xml:space="preserve">(accessed </w:t>
      </w:r>
      <w:r>
        <w:rPr>
          <w:rStyle w:val="Hyperlink"/>
          <w:rFonts w:cstheme="minorHAnsi"/>
          <w:color w:val="auto"/>
          <w:u w:val="none"/>
          <w:lang w:val="en-US"/>
        </w:rPr>
        <w:t>December</w:t>
      </w:r>
      <w:r w:rsidRPr="00B66399">
        <w:rPr>
          <w:rStyle w:val="Hyperlink"/>
          <w:rFonts w:cstheme="minorHAnsi"/>
          <w:color w:val="auto"/>
          <w:u w:val="none"/>
          <w:lang w:val="en-US"/>
        </w:rPr>
        <w:t xml:space="preserve"> 2021)</w:t>
      </w:r>
      <w:r w:rsidRPr="00B66399">
        <w:rPr>
          <w:rFonts w:cstheme="minorHAnsi"/>
          <w:color w:val="auto"/>
        </w:rPr>
        <w:t>.</w:t>
      </w:r>
    </w:p>
    <w:p w14:paraId="1C629804" w14:textId="64D5C57E" w:rsidR="00F55D00" w:rsidRDefault="00493D98" w:rsidP="00F55D00">
      <w:pPr>
        <w:pStyle w:val="ReferenceEntry"/>
        <w:rPr>
          <w:color w:val="auto"/>
          <w:lang w:val="en-US"/>
        </w:rPr>
      </w:pPr>
      <w:r>
        <w:rPr>
          <w:lang w:val="en-US"/>
        </w:rPr>
        <w:t xml:space="preserve">______. </w:t>
      </w:r>
      <w:r w:rsidR="00F55D00" w:rsidRPr="0055457A">
        <w:rPr>
          <w:color w:val="auto"/>
          <w:lang w:val="en-US"/>
        </w:rPr>
        <w:t>2016. Ambient Air Quality Standards. May</w:t>
      </w:r>
      <w:r w:rsidR="00F55D00">
        <w:rPr>
          <w:color w:val="auto"/>
          <w:lang w:val="en-US"/>
        </w:rPr>
        <w:t xml:space="preserve"> 2016. </w:t>
      </w:r>
      <w:r w:rsidR="00F55D00" w:rsidRPr="0055457A">
        <w:rPr>
          <w:color w:val="auto"/>
          <w:lang w:val="en-US"/>
        </w:rPr>
        <w:t xml:space="preserve">https://ww2.arb.ca.gov/sites/default/files/2020-07/aaqs2.pdf (accessed </w:t>
      </w:r>
      <w:r w:rsidR="00F55D00">
        <w:rPr>
          <w:color w:val="auto"/>
          <w:lang w:val="en-US"/>
        </w:rPr>
        <w:t xml:space="preserve">December 2021). </w:t>
      </w:r>
    </w:p>
    <w:p w14:paraId="036EA565" w14:textId="74FADDCD" w:rsidR="00CE5A2F" w:rsidRPr="00DE7A09" w:rsidRDefault="00493D98" w:rsidP="00DE7A09">
      <w:pPr>
        <w:pStyle w:val="ReferenceEntry"/>
        <w:rPr>
          <w:rFonts w:ascii="Calibri" w:hAnsi="Calibri"/>
        </w:rPr>
      </w:pPr>
      <w:r>
        <w:rPr>
          <w:lang w:val="en-US"/>
        </w:rPr>
        <w:t xml:space="preserve">______. </w:t>
      </w:r>
      <w:r w:rsidR="00CE5A2F">
        <w:rPr>
          <w:rFonts w:cstheme="minorHAnsi"/>
          <w:color w:val="auto"/>
          <w:lang w:val="en-US"/>
        </w:rPr>
        <w:t xml:space="preserve">2017. </w:t>
      </w:r>
      <w:r w:rsidR="00CE5A2F">
        <w:t xml:space="preserve">California’s 2017 Climate Change Scoping Plan. December 14, 2017. </w:t>
      </w:r>
      <w:r w:rsidR="00CE5A2F" w:rsidRPr="009C4603">
        <w:t>https://www.arb.ca.gov/cc/scopingplan/scoping_plan_2017.pdf</w:t>
      </w:r>
      <w:r w:rsidR="00CE5A2F">
        <w:rPr>
          <w:lang w:val="en-US"/>
        </w:rPr>
        <w:t xml:space="preserve"> </w:t>
      </w:r>
      <w:r w:rsidR="00CE5A2F">
        <w:t xml:space="preserve">(accessed </w:t>
      </w:r>
      <w:r w:rsidR="00CE5A2F">
        <w:rPr>
          <w:lang w:val="en-US"/>
        </w:rPr>
        <w:t>December 2021</w:t>
      </w:r>
      <w:r w:rsidR="00CE5A2F">
        <w:t>).</w:t>
      </w:r>
    </w:p>
    <w:p w14:paraId="5FA74A97" w14:textId="13C7B7FA" w:rsidR="00B66399" w:rsidRPr="00F55D00" w:rsidRDefault="00493D98" w:rsidP="00F55D00">
      <w:pPr>
        <w:pStyle w:val="ReferenceEntry"/>
        <w:rPr>
          <w:color w:val="auto"/>
        </w:rPr>
      </w:pPr>
      <w:r>
        <w:rPr>
          <w:lang w:val="en-US"/>
        </w:rPr>
        <w:t xml:space="preserve">______. </w:t>
      </w:r>
      <w:r w:rsidR="00B66399">
        <w:rPr>
          <w:color w:val="auto"/>
        </w:rPr>
        <w:t xml:space="preserve">2020. “Overview: Diesel Exhaust &amp; Health.” </w:t>
      </w:r>
      <w:r w:rsidR="00B66399" w:rsidRPr="009C4603">
        <w:t>https://ww2.arb.ca.gov/resources/overview-diesel-exhaust-and-health</w:t>
      </w:r>
      <w:r w:rsidR="00B66399">
        <w:rPr>
          <w:color w:val="auto"/>
        </w:rPr>
        <w:t xml:space="preserve"> (accessed </w:t>
      </w:r>
      <w:r w:rsidR="00A73063">
        <w:rPr>
          <w:color w:val="auto"/>
          <w:lang w:val="en-US"/>
        </w:rPr>
        <w:t>December</w:t>
      </w:r>
      <w:r w:rsidR="00B66399">
        <w:rPr>
          <w:color w:val="auto"/>
        </w:rPr>
        <w:t xml:space="preserve"> </w:t>
      </w:r>
      <w:r w:rsidR="00B66399">
        <w:rPr>
          <w:color w:val="auto"/>
          <w:lang w:val="en-US"/>
        </w:rPr>
        <w:t>2021</w:t>
      </w:r>
      <w:r w:rsidR="00B66399">
        <w:rPr>
          <w:color w:val="auto"/>
        </w:rPr>
        <w:t>).</w:t>
      </w:r>
    </w:p>
    <w:p w14:paraId="26154FD2" w14:textId="382496DD" w:rsidR="00B844C4" w:rsidRPr="00816775" w:rsidRDefault="00B844C4" w:rsidP="00816775">
      <w:pPr>
        <w:pStyle w:val="ReferenceEntry"/>
      </w:pPr>
      <w:bookmarkStart w:id="354" w:name="_Toc453855354"/>
      <w:bookmarkStart w:id="355" w:name="_Toc453855783"/>
      <w:bookmarkStart w:id="356" w:name="_Toc475630622"/>
      <w:bookmarkStart w:id="357" w:name="_Toc475630731"/>
      <w:r w:rsidRPr="00892752">
        <w:t xml:space="preserve">CALFIRE. 2007. Fire Hazard Severity Zone Viewer. </w:t>
      </w:r>
      <w:hyperlink r:id="rId29" w:history="1">
        <w:r w:rsidRPr="00892752">
          <w:rPr>
            <w:rStyle w:val="Hyperlink"/>
            <w:color w:val="000000"/>
            <w:u w:val="none"/>
          </w:rPr>
          <w:t>https://egis.fire.ca.gov/FHSZ/</w:t>
        </w:r>
      </w:hyperlink>
      <w:r w:rsidRPr="00892752">
        <w:t xml:space="preserve"> (accessed </w:t>
      </w:r>
      <w:r w:rsidRPr="00816775">
        <w:t xml:space="preserve">November 2021). </w:t>
      </w:r>
    </w:p>
    <w:p w14:paraId="27E527C9" w14:textId="7EF35A82" w:rsidR="00AE303C" w:rsidRPr="00AE303C" w:rsidRDefault="00816775" w:rsidP="00816775">
      <w:pPr>
        <w:pStyle w:val="ReferenceEntry"/>
        <w:rPr>
          <w:lang w:val="en-US"/>
        </w:rPr>
      </w:pPr>
      <w:r w:rsidRPr="00816775">
        <w:t>California Department of Conservation (CDOC)</w:t>
      </w:r>
      <w:r w:rsidR="00AE303C">
        <w:rPr>
          <w:lang w:val="en-US"/>
        </w:rPr>
        <w:t xml:space="preserve">. </w:t>
      </w:r>
      <w:r w:rsidR="00E61D17">
        <w:rPr>
          <w:lang w:val="en-US"/>
        </w:rPr>
        <w:t>1996.</w:t>
      </w:r>
      <w:r w:rsidR="00AE303C">
        <w:rPr>
          <w:lang w:val="en-US"/>
        </w:rPr>
        <w:t xml:space="preserve"> Mineral Land Classification. </w:t>
      </w:r>
      <w:r w:rsidR="00AE303C" w:rsidRPr="009C4603">
        <w:rPr>
          <w:lang w:val="en-US"/>
        </w:rPr>
        <w:t>https://maps.conservation.ca.gov/cgs/informationwarehouse/index.html?map=mlc</w:t>
      </w:r>
      <w:r w:rsidR="00AE303C">
        <w:rPr>
          <w:lang w:val="en-US"/>
        </w:rPr>
        <w:t xml:space="preserve"> (accessed December 2021). </w:t>
      </w:r>
    </w:p>
    <w:p w14:paraId="1EA8B89E" w14:textId="593306F7" w:rsidR="00EB3731" w:rsidRDefault="00493D98" w:rsidP="00816775">
      <w:pPr>
        <w:pStyle w:val="ReferenceEntry"/>
        <w:rPr>
          <w:lang w:val="en-US"/>
        </w:rPr>
      </w:pPr>
      <w:r>
        <w:rPr>
          <w:lang w:val="en-US"/>
        </w:rPr>
        <w:t xml:space="preserve">______. </w:t>
      </w:r>
      <w:r w:rsidR="00EB3731">
        <w:rPr>
          <w:lang w:val="en-US"/>
        </w:rPr>
        <w:t xml:space="preserve">2015. Landslide Inventory. </w:t>
      </w:r>
      <w:r w:rsidR="00EB3731" w:rsidRPr="009C4603">
        <w:rPr>
          <w:lang w:val="en-US"/>
        </w:rPr>
        <w:t>https://maps.conservation.ca.gov/cgs/lsi/</w:t>
      </w:r>
      <w:r w:rsidR="00EB3731">
        <w:rPr>
          <w:lang w:val="en-US"/>
        </w:rPr>
        <w:t xml:space="preserve"> (accessed November 2021). </w:t>
      </w:r>
    </w:p>
    <w:p w14:paraId="2113D4DC" w14:textId="27D6AF90" w:rsidR="00AE303C" w:rsidRPr="00EB3731" w:rsidRDefault="00493D98" w:rsidP="00113AFC">
      <w:pPr>
        <w:pStyle w:val="ReferenceEntry"/>
        <w:rPr>
          <w:lang w:val="en-US"/>
        </w:rPr>
      </w:pPr>
      <w:r>
        <w:rPr>
          <w:lang w:val="en-US"/>
        </w:rPr>
        <w:t xml:space="preserve">______. </w:t>
      </w:r>
      <w:r w:rsidR="00AE303C">
        <w:rPr>
          <w:lang w:val="en-US"/>
        </w:rPr>
        <w:t xml:space="preserve">2016. DLRP Important Farmland Finder. </w:t>
      </w:r>
      <w:r w:rsidR="00AE303C" w:rsidRPr="009C4603">
        <w:rPr>
          <w:lang w:val="en-US"/>
        </w:rPr>
        <w:t>https://maps.conservation.ca.gov/DLRP/CIFF/</w:t>
      </w:r>
      <w:r w:rsidR="00AE303C">
        <w:rPr>
          <w:lang w:val="en-US"/>
        </w:rPr>
        <w:t xml:space="preserve"> (accessed December 2021)</w:t>
      </w:r>
      <w:r w:rsidR="00275B75">
        <w:rPr>
          <w:lang w:val="en-US"/>
        </w:rPr>
        <w:t xml:space="preserve">. </w:t>
      </w:r>
    </w:p>
    <w:p w14:paraId="4C39E1FD" w14:textId="6EBC7CB7" w:rsidR="00EB3731" w:rsidRPr="00816775" w:rsidRDefault="00493D98" w:rsidP="00EB3731">
      <w:pPr>
        <w:pStyle w:val="ReferenceEntry"/>
      </w:pPr>
      <w:r>
        <w:rPr>
          <w:lang w:val="en-US"/>
        </w:rPr>
        <w:t xml:space="preserve">______. </w:t>
      </w:r>
      <w:r w:rsidR="00816775" w:rsidRPr="00816775">
        <w:t xml:space="preserve">2021. Santa Clara County Tsunami Hazard Areas. </w:t>
      </w:r>
      <w:hyperlink r:id="rId30" w:history="1">
        <w:r w:rsidR="00816775" w:rsidRPr="00816775">
          <w:rPr>
            <w:rStyle w:val="Hyperlink"/>
            <w:color w:val="000000"/>
            <w:u w:val="none"/>
          </w:rPr>
          <w:t>https://www.conservation.ca.gov/cgs/tsunami/maps/santa-clara</w:t>
        </w:r>
      </w:hyperlink>
      <w:r w:rsidR="00816775" w:rsidRPr="00816775">
        <w:t xml:space="preserve"> (accessed November 2021). </w:t>
      </w:r>
    </w:p>
    <w:p w14:paraId="0F3B47BD" w14:textId="50096FEA" w:rsidR="0005133C" w:rsidRDefault="0005133C" w:rsidP="00816775">
      <w:pPr>
        <w:pStyle w:val="ReferenceEntry"/>
      </w:pPr>
      <w:r w:rsidRPr="00816775">
        <w:t xml:space="preserve">California Department of Finance (DOF). 2021. City/County Population and Housing Estimates, 1/1/2021. </w:t>
      </w:r>
      <w:hyperlink r:id="rId31" w:history="1">
        <w:r w:rsidRPr="00816775">
          <w:rPr>
            <w:rStyle w:val="Hyperlink"/>
            <w:color w:val="000000"/>
            <w:u w:val="none"/>
          </w:rPr>
          <w:t>https://www.dof.ca.gov/forecasting/demographics/estimates/e-1/</w:t>
        </w:r>
      </w:hyperlink>
      <w:r w:rsidRPr="00816775">
        <w:t xml:space="preserve"> (accessed November 2021). </w:t>
      </w:r>
    </w:p>
    <w:p w14:paraId="01ADB130" w14:textId="5834955D" w:rsidR="001C7EB7" w:rsidRDefault="001C7EB7" w:rsidP="001C7EB7">
      <w:pPr>
        <w:pStyle w:val="ReferenceEntry"/>
        <w:rPr>
          <w:rFonts w:cstheme="minorHAnsi"/>
        </w:rPr>
      </w:pPr>
      <w:r w:rsidRPr="00D027B0">
        <w:rPr>
          <w:rFonts w:cstheme="minorHAnsi"/>
        </w:rPr>
        <w:t xml:space="preserve">California Department of Fish and Wildlife. 2020. NCCP Plan Summaries. Webpage. Last modified October 2017. https://www.wildlife.ca.gov/conservation/planning/nccp/plans. (accessed </w:t>
      </w:r>
      <w:r>
        <w:rPr>
          <w:rFonts w:cstheme="minorHAnsi"/>
          <w:lang w:val="en-US"/>
        </w:rPr>
        <w:t>December 2021</w:t>
      </w:r>
      <w:r w:rsidRPr="00D027B0">
        <w:rPr>
          <w:rFonts w:cstheme="minorHAnsi"/>
        </w:rPr>
        <w:t>).</w:t>
      </w:r>
    </w:p>
    <w:p w14:paraId="7452FD5A" w14:textId="3144F637" w:rsidR="00C800E7" w:rsidRPr="0054726F" w:rsidRDefault="00493D98" w:rsidP="001C7EB7">
      <w:pPr>
        <w:pStyle w:val="ReferenceEntry"/>
        <w:rPr>
          <w:rFonts w:cstheme="minorHAnsi"/>
          <w:lang w:val="en-US"/>
        </w:rPr>
      </w:pPr>
      <w:r>
        <w:rPr>
          <w:lang w:val="en-US"/>
        </w:rPr>
        <w:t xml:space="preserve">______. </w:t>
      </w:r>
      <w:r w:rsidR="00C800E7">
        <w:rPr>
          <w:rFonts w:cstheme="minorHAnsi"/>
          <w:lang w:val="en-US"/>
        </w:rPr>
        <w:t xml:space="preserve">2021. </w:t>
      </w:r>
      <w:r w:rsidR="0054726F">
        <w:rPr>
          <w:rFonts w:cstheme="minorHAnsi"/>
          <w:lang w:val="en-US"/>
        </w:rPr>
        <w:t xml:space="preserve">Timberland Conservation Program. </w:t>
      </w:r>
      <w:r w:rsidR="0054726F" w:rsidRPr="009C4603">
        <w:rPr>
          <w:rFonts w:cstheme="minorHAnsi"/>
          <w:lang w:val="en-US"/>
        </w:rPr>
        <w:t>https://wildlife.ca.gov/Conservation/Timber</w:t>
      </w:r>
      <w:r w:rsidR="0054726F">
        <w:rPr>
          <w:rFonts w:cstheme="minorHAnsi"/>
          <w:lang w:val="en-US"/>
        </w:rPr>
        <w:t xml:space="preserve"> (accessed January 2022) </w:t>
      </w:r>
    </w:p>
    <w:p w14:paraId="627BD8B3" w14:textId="4A09194E" w:rsidR="006676F3" w:rsidRDefault="006676F3" w:rsidP="00816775">
      <w:pPr>
        <w:pStyle w:val="ReferenceEntry"/>
        <w:rPr>
          <w:lang w:val="en-US"/>
        </w:rPr>
      </w:pPr>
      <w:r>
        <w:rPr>
          <w:lang w:val="en-US"/>
        </w:rPr>
        <w:t xml:space="preserve">California Department of Resources Recycling and Recovery (CalRecycle). 2019. Transported Solid Waste. </w:t>
      </w:r>
      <w:r w:rsidRPr="009C4603">
        <w:rPr>
          <w:lang w:val="en-US"/>
        </w:rPr>
        <w:t>https://www2.calrecycle.ca.gov/LGCentral/DisposalReporting/Statewide/TransportedSolidWaste</w:t>
      </w:r>
      <w:r>
        <w:rPr>
          <w:lang w:val="en-US"/>
        </w:rPr>
        <w:t xml:space="preserve"> (accessed December 2021). </w:t>
      </w:r>
    </w:p>
    <w:p w14:paraId="33640ED0" w14:textId="1830CBDA" w:rsidR="00DC2B57" w:rsidRDefault="00493D98" w:rsidP="00816775">
      <w:pPr>
        <w:pStyle w:val="ReferenceEntry"/>
        <w:rPr>
          <w:lang w:val="en-US"/>
        </w:rPr>
      </w:pPr>
      <w:r>
        <w:rPr>
          <w:lang w:val="en-US"/>
        </w:rPr>
        <w:t xml:space="preserve">______. </w:t>
      </w:r>
      <w:r w:rsidR="00DC2B57">
        <w:rPr>
          <w:lang w:val="en-US"/>
        </w:rPr>
        <w:t>2019b. SWIS Facility/Site Activity Details: Kirby Canyon Recycl</w:t>
      </w:r>
      <w:r>
        <w:rPr>
          <w:lang w:val="en-US"/>
        </w:rPr>
        <w:t>e</w:t>
      </w:r>
      <w:r w:rsidR="00DC2B57">
        <w:rPr>
          <w:lang w:val="en-US"/>
        </w:rPr>
        <w:t xml:space="preserve">. &amp; Disp. Facility. </w:t>
      </w:r>
      <w:r w:rsidR="00DC2B57" w:rsidRPr="009C4603">
        <w:rPr>
          <w:lang w:val="en-US"/>
        </w:rPr>
        <w:t>https://www2.calrecycle.ca.gov/SolidWaste/SiteActivity/Details/1370?siteID=3393</w:t>
      </w:r>
      <w:r w:rsidR="00DC2B57">
        <w:rPr>
          <w:lang w:val="en-US"/>
        </w:rPr>
        <w:t xml:space="preserve"> (accessed December 2021). </w:t>
      </w:r>
    </w:p>
    <w:p w14:paraId="5903BAF4" w14:textId="64ADC2CA" w:rsidR="00FB0DAB" w:rsidRDefault="00FB0DAB" w:rsidP="00FB0DAB">
      <w:pPr>
        <w:pStyle w:val="ReferenceEntry"/>
        <w:rPr>
          <w:lang w:val="en-US"/>
        </w:rPr>
      </w:pPr>
      <w:r w:rsidRPr="00FB0DAB">
        <w:rPr>
          <w:lang w:val="en-US"/>
        </w:rPr>
        <w:t xml:space="preserve">California Department of Transportation (Caltrans). 2013. Technical Noise Supplement to the Traffic Noise Analysis Protocol. (CT-HWANP-RT-13-069.25.2) September. http://www.dot.ca.gov/hq/env/noise/pub/TeNS_Sept_2013B.pdf (accessed </w:t>
      </w:r>
      <w:r w:rsidR="00BC5A8F">
        <w:rPr>
          <w:lang w:val="en-US"/>
        </w:rPr>
        <w:t xml:space="preserve">December 2021). </w:t>
      </w:r>
    </w:p>
    <w:p w14:paraId="1AE1D707" w14:textId="0CE4BFC9" w:rsidR="00BC5A8F" w:rsidRPr="00FB0DAB" w:rsidRDefault="00493D98" w:rsidP="0034695B">
      <w:pPr>
        <w:pStyle w:val="ReferenceEntry"/>
        <w:rPr>
          <w:lang w:val="en-US"/>
        </w:rPr>
      </w:pPr>
      <w:r>
        <w:rPr>
          <w:lang w:val="en-US"/>
        </w:rPr>
        <w:t xml:space="preserve">______. </w:t>
      </w:r>
      <w:r w:rsidR="00BC5A8F">
        <w:rPr>
          <w:lang w:val="en-US"/>
        </w:rPr>
        <w:t xml:space="preserve">2020. Transportation and Construction Vibration Guidance Manual. </w:t>
      </w:r>
      <w:r w:rsidR="00BC5A8F" w:rsidRPr="009C4603">
        <w:rPr>
          <w:lang w:val="en-US"/>
        </w:rPr>
        <w:t>https://dot.ca.gov/-/media/dot-media/programs/environmental-analysis/documents/env/tcvgm-apr2020-a11y.pdf</w:t>
      </w:r>
      <w:r w:rsidR="00BC5A8F">
        <w:rPr>
          <w:lang w:val="en-US"/>
        </w:rPr>
        <w:t xml:space="preserve"> (accessed January 2022). </w:t>
      </w:r>
    </w:p>
    <w:p w14:paraId="4CE53DAC" w14:textId="7D504B72" w:rsidR="00FB0DAB" w:rsidRDefault="00493D98" w:rsidP="00816775">
      <w:pPr>
        <w:pStyle w:val="ReferenceEntry"/>
        <w:rPr>
          <w:lang w:val="en-US"/>
        </w:rPr>
      </w:pPr>
      <w:r>
        <w:rPr>
          <w:lang w:val="en-US"/>
        </w:rPr>
        <w:t xml:space="preserve">______. </w:t>
      </w:r>
      <w:r w:rsidR="00FB0DAB">
        <w:rPr>
          <w:lang w:val="en-US"/>
        </w:rPr>
        <w:t xml:space="preserve">2018. State Scenic Highway Map. </w:t>
      </w:r>
      <w:r w:rsidR="00FB0DAB" w:rsidRPr="009C4603">
        <w:rPr>
          <w:lang w:val="en-US"/>
        </w:rPr>
        <w:t>https://caltrans.maps.arcgis.com/apps/webappviewer/index.html?id=465dfd3d807c46cc8e8057116f1aacaa</w:t>
      </w:r>
      <w:r w:rsidR="00FB0DAB">
        <w:rPr>
          <w:lang w:val="en-US"/>
        </w:rPr>
        <w:t xml:space="preserve"> (accessed November 2021). </w:t>
      </w:r>
    </w:p>
    <w:p w14:paraId="3487D2F7" w14:textId="7FE6D105" w:rsidR="0057798E" w:rsidRDefault="0057798E" w:rsidP="0057798E">
      <w:pPr>
        <w:pStyle w:val="ReferenceEntry"/>
        <w:rPr>
          <w:color w:val="auto"/>
          <w:lang w:val="en-US"/>
        </w:rPr>
      </w:pPr>
      <w:bookmarkStart w:id="358" w:name="_Hlk63940691"/>
      <w:r>
        <w:rPr>
          <w:color w:val="auto"/>
          <w:lang w:val="en-US"/>
        </w:rPr>
        <w:t xml:space="preserve">California Energy Commission (CEC). </w:t>
      </w:r>
      <w:bookmarkEnd w:id="358"/>
      <w:r>
        <w:rPr>
          <w:color w:val="auto"/>
          <w:lang w:val="en-US"/>
        </w:rPr>
        <w:t xml:space="preserve">2021a. Total System Electric Generation. </w:t>
      </w:r>
      <w:r w:rsidRPr="009C4603">
        <w:t>https://www.energy.ca.gov/data-reports/energy-almanac/california-electricity-data/2019-total-system-electric-generation</w:t>
      </w:r>
      <w:r>
        <w:rPr>
          <w:color w:val="auto"/>
          <w:lang w:val="en-US"/>
        </w:rPr>
        <w:t xml:space="preserve"> (accessed December 2021).</w:t>
      </w:r>
    </w:p>
    <w:p w14:paraId="797653B0" w14:textId="1B7D9C14" w:rsidR="0057798E" w:rsidRDefault="00493D98" w:rsidP="0057798E">
      <w:pPr>
        <w:pStyle w:val="ReferenceEntry"/>
      </w:pPr>
      <w:r>
        <w:rPr>
          <w:lang w:val="en-US"/>
        </w:rPr>
        <w:t xml:space="preserve">______. </w:t>
      </w:r>
      <w:r w:rsidR="0057798E">
        <w:rPr>
          <w:lang w:val="en-US"/>
        </w:rPr>
        <w:t>2021b</w:t>
      </w:r>
      <w:r w:rsidR="0057798E">
        <w:t>. “Supply and Demand of Natural Gas in California.” https://www.energy.ca.gov/data-reports/energy-almanac/californias-natural-gas-market/supply-and-demand-natural-gas-california (</w:t>
      </w:r>
      <w:r w:rsidR="0057798E">
        <w:rPr>
          <w:lang w:val="en-US"/>
        </w:rPr>
        <w:t>accessed December</w:t>
      </w:r>
      <w:r w:rsidR="0057798E">
        <w:rPr>
          <w:rStyle w:val="BodyTextChar"/>
        </w:rPr>
        <w:t xml:space="preserve"> 2021</w:t>
      </w:r>
      <w:r w:rsidR="0057798E">
        <w:t>).</w:t>
      </w:r>
    </w:p>
    <w:p w14:paraId="298AA98E" w14:textId="2B5EFEB6" w:rsidR="0057798E" w:rsidRDefault="00493D98" w:rsidP="0057798E">
      <w:pPr>
        <w:pStyle w:val="ReferenceEntry"/>
        <w:rPr>
          <w:rStyle w:val="BodyTextChar"/>
        </w:rPr>
      </w:pPr>
      <w:r>
        <w:rPr>
          <w:lang w:val="en-US"/>
        </w:rPr>
        <w:t xml:space="preserve">______. </w:t>
      </w:r>
      <w:r w:rsidR="0057798E">
        <w:rPr>
          <w:rStyle w:val="BodyTextChar"/>
        </w:rPr>
        <w:t>2021</w:t>
      </w:r>
      <w:r w:rsidR="0057798E">
        <w:rPr>
          <w:rStyle w:val="BodyTextChar"/>
          <w:lang w:val="en-US"/>
        </w:rPr>
        <w:t>c</w:t>
      </w:r>
      <w:r w:rsidR="0057798E">
        <w:rPr>
          <w:rStyle w:val="BodyTextChar"/>
        </w:rPr>
        <w:t xml:space="preserve">. </w:t>
      </w:r>
      <w:r w:rsidR="0057798E">
        <w:rPr>
          <w:rStyle w:val="BodyTextChar"/>
          <w:lang w:val="en-US"/>
        </w:rPr>
        <w:t>“</w:t>
      </w:r>
      <w:r w:rsidR="0057798E">
        <w:rPr>
          <w:rStyle w:val="BodyTextChar"/>
        </w:rPr>
        <w:t xml:space="preserve">California Energy </w:t>
      </w:r>
      <w:r w:rsidR="0057798E">
        <w:rPr>
          <w:rStyle w:val="BodyTextChar"/>
          <w:lang w:val="en-US"/>
        </w:rPr>
        <w:t>Consumption Database</w:t>
      </w:r>
      <w:r w:rsidR="0057798E">
        <w:rPr>
          <w:rStyle w:val="BodyTextChar"/>
        </w:rPr>
        <w:t>.</w:t>
      </w:r>
      <w:r w:rsidR="0057798E">
        <w:rPr>
          <w:rStyle w:val="BodyTextChar"/>
          <w:lang w:val="en-US"/>
        </w:rPr>
        <w:t>”</w:t>
      </w:r>
      <w:r w:rsidR="0057798E">
        <w:rPr>
          <w:rStyle w:val="BodyTextChar"/>
        </w:rPr>
        <w:t xml:space="preserve"> https://ecdms.energy.ca.gov/ (accesse</w:t>
      </w:r>
      <w:r w:rsidR="0057798E">
        <w:rPr>
          <w:rStyle w:val="BodyTextChar"/>
          <w:lang w:val="en-US"/>
        </w:rPr>
        <w:t xml:space="preserve">d December </w:t>
      </w:r>
      <w:r w:rsidR="0057798E">
        <w:rPr>
          <w:rStyle w:val="BodyTextChar"/>
        </w:rPr>
        <w:t>2021).</w:t>
      </w:r>
    </w:p>
    <w:p w14:paraId="42D51BD5" w14:textId="65F2BFE1" w:rsidR="0057798E" w:rsidRDefault="00493D98" w:rsidP="0057798E">
      <w:pPr>
        <w:pStyle w:val="ReferenceEntry"/>
        <w:rPr>
          <w:rStyle w:val="Hyperlink"/>
          <w:rFonts w:cstheme="minorHAnsi"/>
          <w:color w:val="auto"/>
          <w:u w:val="none"/>
        </w:rPr>
      </w:pPr>
      <w:bookmarkStart w:id="359" w:name="_Hlk63940673"/>
      <w:r>
        <w:rPr>
          <w:lang w:val="en-US"/>
        </w:rPr>
        <w:t xml:space="preserve">______. </w:t>
      </w:r>
      <w:r w:rsidR="0057798E">
        <w:rPr>
          <w:rFonts w:cstheme="minorHAnsi"/>
          <w:lang w:val="en-US"/>
        </w:rPr>
        <w:t>2021d</w:t>
      </w:r>
      <w:r w:rsidR="0057798E">
        <w:rPr>
          <w:rFonts w:cstheme="minorHAnsi"/>
        </w:rPr>
        <w:t xml:space="preserve">. </w:t>
      </w:r>
      <w:r w:rsidR="0057798E">
        <w:rPr>
          <w:rFonts w:cstheme="minorHAnsi"/>
          <w:lang w:val="en-US"/>
        </w:rPr>
        <w:t>“California’s Petroleum Market.”</w:t>
      </w:r>
      <w:r w:rsidR="0057798E">
        <w:rPr>
          <w:rFonts w:cstheme="minorHAnsi"/>
        </w:rPr>
        <w:t xml:space="preserve"> https://www.energy.ca.gov/data-reports/energy-almanac/californias-petroleum-</w:t>
      </w:r>
      <w:r w:rsidR="0057798E" w:rsidRPr="0057798E">
        <w:rPr>
          <w:rFonts w:cstheme="minorHAnsi"/>
        </w:rPr>
        <w:t>market</w:t>
      </w:r>
      <w:r w:rsidR="0057798E" w:rsidRPr="0057798E">
        <w:rPr>
          <w:rStyle w:val="Hyperlink"/>
          <w:rFonts w:cstheme="minorHAnsi"/>
          <w:u w:val="none"/>
        </w:rPr>
        <w:t xml:space="preserve"> </w:t>
      </w:r>
      <w:r w:rsidR="0057798E" w:rsidRPr="0057798E">
        <w:rPr>
          <w:rStyle w:val="Hyperlink"/>
          <w:rFonts w:cstheme="minorHAnsi"/>
          <w:color w:val="auto"/>
          <w:u w:val="none"/>
        </w:rPr>
        <w:t>(</w:t>
      </w:r>
      <w:r w:rsidR="0057798E">
        <w:rPr>
          <w:rStyle w:val="Hyperlink"/>
          <w:rFonts w:cstheme="minorHAnsi"/>
          <w:color w:val="auto"/>
          <w:u w:val="none"/>
          <w:lang w:val="en-US"/>
        </w:rPr>
        <w:t>accessed December</w:t>
      </w:r>
      <w:r w:rsidR="0057798E" w:rsidRPr="0057798E">
        <w:rPr>
          <w:rStyle w:val="BodyTextChar"/>
        </w:rPr>
        <w:t xml:space="preserve"> 2021</w:t>
      </w:r>
      <w:r w:rsidR="0057798E" w:rsidRPr="0057798E">
        <w:rPr>
          <w:rStyle w:val="Hyperlink"/>
          <w:rFonts w:cstheme="minorHAnsi"/>
          <w:color w:val="auto"/>
          <w:u w:val="none"/>
        </w:rPr>
        <w:t>).</w:t>
      </w:r>
      <w:bookmarkEnd w:id="359"/>
    </w:p>
    <w:p w14:paraId="0AA97159" w14:textId="2C7D155F" w:rsidR="0057798E" w:rsidRPr="00A73063" w:rsidRDefault="00493D98" w:rsidP="00A73063">
      <w:pPr>
        <w:pStyle w:val="ReferenceEntry"/>
        <w:rPr>
          <w:rFonts w:ascii="Calibri" w:hAnsi="Calibri"/>
          <w:lang w:val="en-US"/>
        </w:rPr>
      </w:pPr>
      <w:r>
        <w:rPr>
          <w:lang w:val="en-US"/>
        </w:rPr>
        <w:t xml:space="preserve">______. </w:t>
      </w:r>
      <w:r w:rsidR="0057798E">
        <w:rPr>
          <w:color w:val="auto"/>
          <w:lang w:val="en-US"/>
        </w:rPr>
        <w:t xml:space="preserve">2021e. </w:t>
      </w:r>
      <w:r w:rsidR="0057798E">
        <w:t>“</w:t>
      </w:r>
      <w:r w:rsidR="0057798E">
        <w:rPr>
          <w:color w:val="auto"/>
          <w:lang w:val="en-US"/>
        </w:rPr>
        <w:t xml:space="preserve">California </w:t>
      </w:r>
      <w:r w:rsidR="0057798E">
        <w:t>Retail Fuel Outlet Annual Reporting (CEC-A15) Results</w:t>
      </w:r>
      <w:r w:rsidR="0057798E">
        <w:rPr>
          <w:color w:val="auto"/>
          <w:lang w:val="en-US"/>
        </w:rPr>
        <w:t>.</w:t>
      </w:r>
      <w:r w:rsidR="0057798E">
        <w:t>”</w:t>
      </w:r>
      <w:r w:rsidR="0057798E">
        <w:rPr>
          <w:color w:val="auto"/>
          <w:lang w:val="en-US"/>
        </w:rPr>
        <w:t xml:space="preserve"> </w:t>
      </w:r>
      <w:r w:rsidR="0057798E">
        <w:t xml:space="preserve">https://www.energy.ca.gov/data-reports/energy-almanac/transportation-energy/california-retail-fuel-outlet-annual-reporting (accessed </w:t>
      </w:r>
      <w:r w:rsidR="0057798E">
        <w:rPr>
          <w:rStyle w:val="BodyTextChar"/>
          <w:lang w:val="en-US"/>
        </w:rPr>
        <w:t>December</w:t>
      </w:r>
      <w:r w:rsidR="0057798E">
        <w:rPr>
          <w:rStyle w:val="BodyTextChar"/>
        </w:rPr>
        <w:t xml:space="preserve"> 2021).</w:t>
      </w:r>
    </w:p>
    <w:p w14:paraId="16D44BF7" w14:textId="77777777" w:rsidR="00D93C3B" w:rsidRDefault="00EB3731" w:rsidP="00816775">
      <w:pPr>
        <w:pStyle w:val="ReferenceEntry"/>
      </w:pPr>
      <w:r>
        <w:rPr>
          <w:lang w:val="en-US"/>
        </w:rPr>
        <w:t>California Geological Survey</w:t>
      </w:r>
      <w:r w:rsidR="00D93C3B">
        <w:rPr>
          <w:lang w:val="en-US"/>
        </w:rPr>
        <w:t xml:space="preserve"> (CGS). </w:t>
      </w:r>
      <w:r w:rsidR="00D93C3B" w:rsidRPr="00F859D8">
        <w:t xml:space="preserve">2002. California Geomorphic Provinces, Note 36. </w:t>
      </w:r>
    </w:p>
    <w:p w14:paraId="1237D369" w14:textId="011CBAB2" w:rsidR="00EB3731" w:rsidRDefault="00493D98" w:rsidP="00816775">
      <w:pPr>
        <w:pStyle w:val="ReferenceEntry"/>
        <w:rPr>
          <w:lang w:val="en-US"/>
        </w:rPr>
      </w:pPr>
      <w:r>
        <w:rPr>
          <w:lang w:val="en-US"/>
        </w:rPr>
        <w:t xml:space="preserve">______. </w:t>
      </w:r>
      <w:r w:rsidR="00EB3731">
        <w:rPr>
          <w:lang w:val="en-US"/>
        </w:rPr>
        <w:t xml:space="preserve">2016. Earthquake Zones of Required Investigation. </w:t>
      </w:r>
      <w:r w:rsidR="00EB3731" w:rsidRPr="009C4603">
        <w:rPr>
          <w:lang w:val="en-US"/>
        </w:rPr>
        <w:t>https://maps.conservation.ca.gov/cgs/EQZApp/</w:t>
      </w:r>
      <w:r w:rsidR="00EB3731">
        <w:rPr>
          <w:lang w:val="en-US"/>
        </w:rPr>
        <w:t xml:space="preserve"> (accessed November 2021). </w:t>
      </w:r>
    </w:p>
    <w:p w14:paraId="6F552DF3" w14:textId="7F7D86A0" w:rsidR="00681C5C" w:rsidRPr="00EB3731" w:rsidRDefault="00681C5C" w:rsidP="00816775">
      <w:pPr>
        <w:pStyle w:val="ReferenceEntry"/>
        <w:rPr>
          <w:lang w:val="en-US"/>
        </w:rPr>
      </w:pPr>
      <w:r>
        <w:rPr>
          <w:lang w:val="en-US"/>
        </w:rPr>
        <w:t xml:space="preserve">California Geologic Energy Management Division (CalGEM). 2021. Well Finder. </w:t>
      </w:r>
      <w:r w:rsidRPr="009C4603">
        <w:rPr>
          <w:lang w:val="en-US"/>
        </w:rPr>
        <w:t>https://maps.conservation.ca.gov/doggr/wellfinder/#openModal/-122.06619/37.40782/15</w:t>
      </w:r>
      <w:r>
        <w:rPr>
          <w:lang w:val="en-US"/>
        </w:rPr>
        <w:t xml:space="preserve"> (accessed December 2021). </w:t>
      </w:r>
    </w:p>
    <w:p w14:paraId="7B54B4C7" w14:textId="15175288" w:rsidR="00B844C4" w:rsidRDefault="00B844C4" w:rsidP="00816775">
      <w:pPr>
        <w:pStyle w:val="ReferenceEntry"/>
      </w:pPr>
      <w:r w:rsidRPr="00816775">
        <w:t xml:space="preserve">California’s Groundwater. 2004. Santa Clara Valley Groundwater Basin, Santa Clara Subbasin. </w:t>
      </w:r>
      <w:hyperlink r:id="rId32" w:history="1">
        <w:r w:rsidRPr="00816775">
          <w:rPr>
            <w:rStyle w:val="Hyperlink"/>
            <w:color w:val="000000"/>
            <w:u w:val="none"/>
          </w:rPr>
          <w:t>https://water.ca.gov/-/media/DWR-Website/Web-Pages/Programs/Groundwater-Management/Bulletin-118/Files/2003-Basin-Descriptions/2_009_02_SantaClaraSubbasin.pdf</w:t>
        </w:r>
      </w:hyperlink>
      <w:r w:rsidRPr="00816775">
        <w:t xml:space="preserve"> (accessed November 2021). </w:t>
      </w:r>
    </w:p>
    <w:p w14:paraId="20F5B2DA" w14:textId="672FE943" w:rsidR="00291BCF" w:rsidRDefault="00291BCF" w:rsidP="00291BCF">
      <w:pPr>
        <w:pStyle w:val="ReferenceEntry"/>
      </w:pPr>
      <w:r>
        <w:rPr>
          <w:lang w:val="en-US"/>
        </w:rPr>
        <w:t xml:space="preserve">California, State of. </w:t>
      </w:r>
      <w:r>
        <w:t xml:space="preserve">2018. California’s Fourth Climate Change Assessment Statewide Summary Report. August 27, 2018. </w:t>
      </w:r>
      <w:r w:rsidRPr="009C4603">
        <w:t>http://www.climateassessment.ca.gov/state/</w:t>
      </w:r>
      <w:r>
        <w:t xml:space="preserve"> (accessed </w:t>
      </w:r>
      <w:r>
        <w:rPr>
          <w:lang w:val="en-US"/>
        </w:rPr>
        <w:t>December 2021</w:t>
      </w:r>
      <w:r>
        <w:t>).</w:t>
      </w:r>
    </w:p>
    <w:p w14:paraId="03BBF84A" w14:textId="5D613EC9" w:rsidR="003C774B" w:rsidRPr="003C774B" w:rsidRDefault="003C774B" w:rsidP="003C774B">
      <w:pPr>
        <w:pStyle w:val="ReferenceEntry"/>
        <w:rPr>
          <w:lang w:val="en-US"/>
        </w:rPr>
      </w:pPr>
      <w:r>
        <w:rPr>
          <w:lang w:val="en-US"/>
        </w:rPr>
        <w:t xml:space="preserve">Department of Toxic Substances Control. 2021. EnviroStor Hazardous Site Map. </w:t>
      </w:r>
      <w:r w:rsidRPr="009C4603">
        <w:rPr>
          <w:lang w:val="en-US"/>
        </w:rPr>
        <w:t>https://www.envirostor.dtsc.ca.gov/public/map/?global_id=60002757</w:t>
      </w:r>
      <w:r>
        <w:rPr>
          <w:lang w:val="en-US"/>
        </w:rPr>
        <w:t xml:space="preserve"> (accessed December 2021). </w:t>
      </w:r>
    </w:p>
    <w:p w14:paraId="374FE962" w14:textId="2899FF8D" w:rsidR="00B5201C" w:rsidRDefault="00B5201C" w:rsidP="00816775">
      <w:pPr>
        <w:pStyle w:val="ReferenceEntry"/>
      </w:pPr>
      <w:r w:rsidRPr="00816775">
        <w:t xml:space="preserve">Devcor Partners II, LLC. 2021. 1155 &amp; 1185 Terra Bella Ave Formal Planning Application #3. Las modified August 26, 2021. </w:t>
      </w:r>
    </w:p>
    <w:p w14:paraId="36ED8CAE" w14:textId="13B45A49" w:rsidR="00D93C3B" w:rsidRPr="00AC1C51" w:rsidRDefault="00D93C3B" w:rsidP="00D93C3B">
      <w:pPr>
        <w:pStyle w:val="ReferenceEntry"/>
        <w:rPr>
          <w:lang w:val="en-US"/>
        </w:rPr>
      </w:pPr>
      <w:r>
        <w:rPr>
          <w:lang w:val="en-US"/>
        </w:rPr>
        <w:t>Dibblee, T.W. and Minch, J.A. 2007. Geologic map of the Palo Alto and Mountain View quadrangles, Alameda, San Mateo, and Santa Clara Counties, California. Dibblee Geological Foundation, Dibblee Foundation Map DF-350, scale 1:24,000.</w:t>
      </w:r>
    </w:p>
    <w:p w14:paraId="0DEE3EBF" w14:textId="3AC5DBD0" w:rsidR="004C72FE" w:rsidRDefault="004C72FE" w:rsidP="00816775">
      <w:pPr>
        <w:pStyle w:val="ReferenceEntry"/>
      </w:pPr>
      <w:r w:rsidRPr="00816775">
        <w:t xml:space="preserve">Federal Emergency Management Agency. 2020. National Flood Hazard Layer Viewer. </w:t>
      </w:r>
      <w:hyperlink r:id="rId33" w:history="1">
        <w:r w:rsidRPr="00816775">
          <w:rPr>
            <w:rStyle w:val="Hyperlink"/>
            <w:color w:val="000000"/>
            <w:u w:val="none"/>
          </w:rPr>
          <w:t>https://hazards-fema.maps.arcgis.com/apps/webappviewer/index.html?id=8b0adb51996444d4879338b5529aa9cd&amp;extent=-121.94529102661183,36.5159779735144,-121.90374897338809,36.53322138877889</w:t>
        </w:r>
      </w:hyperlink>
      <w:r w:rsidRPr="00816775">
        <w:t xml:space="preserve"> (accessed November 2021). </w:t>
      </w:r>
    </w:p>
    <w:p w14:paraId="62C318CA" w14:textId="7402D0A0" w:rsidR="00FB0DAB" w:rsidRDefault="00FB0DAB" w:rsidP="00FB0DAB">
      <w:pPr>
        <w:pStyle w:val="ReferenceEntry"/>
        <w:rPr>
          <w:lang w:val="en-US"/>
        </w:rPr>
      </w:pPr>
      <w:r w:rsidRPr="00FB0DAB">
        <w:rPr>
          <w:lang w:val="en-US"/>
        </w:rPr>
        <w:t>Federal Transit Administration (FTA). 2018. Transit Noise and Vibration Impact Assessment Manual. September 2018. https://www.transit.dot.gov/sites/fta.dot.gov/files/docs/research-innovation/118131/transit-noise-and-vibration-impact-assessment-manual-fta-report-no-0123_0.pdf (accessed</w:t>
      </w:r>
      <w:r>
        <w:rPr>
          <w:lang w:val="en-US"/>
        </w:rPr>
        <w:t xml:space="preserve"> December 2021</w:t>
      </w:r>
      <w:r w:rsidRPr="00FB0DAB">
        <w:rPr>
          <w:lang w:val="en-US"/>
        </w:rPr>
        <w:t>).</w:t>
      </w:r>
    </w:p>
    <w:p w14:paraId="0C5CDB9A" w14:textId="77777777" w:rsidR="00CE5A2F" w:rsidRDefault="00CE5A2F" w:rsidP="00CE5A2F">
      <w:pPr>
        <w:pStyle w:val="ReferenceEntry"/>
        <w:rPr>
          <w:rFonts w:ascii="Calibri" w:hAnsi="Calibri"/>
          <w:lang w:val="en-US"/>
        </w:rPr>
      </w:pPr>
      <w:bookmarkStart w:id="360" w:name="_Hlk46304753"/>
      <w:bookmarkStart w:id="361" w:name="_Hlk71625342"/>
      <w:r>
        <w:t>Intergovernmental Panel on Climate Change</w:t>
      </w:r>
      <w:r>
        <w:rPr>
          <w:lang w:val="en-US"/>
        </w:rPr>
        <w:t xml:space="preserve">. </w:t>
      </w:r>
      <w:bookmarkStart w:id="362" w:name="_Hlk46304761"/>
      <w:r>
        <w:t>2007. Summary for Policymakers. In: Climate Change 2007: The Physical Science Basis. Contribution of Working Group I to the Fourth Assessment Report of the Intergovernmental Panel on Climate Change.</w:t>
      </w:r>
      <w:bookmarkEnd w:id="362"/>
    </w:p>
    <w:p w14:paraId="2B0A6EC1" w14:textId="2CAA3469" w:rsidR="00CE5A2F" w:rsidRPr="00291BCF" w:rsidRDefault="00493D98" w:rsidP="00291BCF">
      <w:pPr>
        <w:pStyle w:val="ReferenceEntry"/>
      </w:pPr>
      <w:bookmarkStart w:id="363" w:name="_Hlk80972244"/>
      <w:bookmarkEnd w:id="360"/>
      <w:r>
        <w:rPr>
          <w:lang w:val="en-US"/>
        </w:rPr>
        <w:t xml:space="preserve">______. </w:t>
      </w:r>
      <w:r w:rsidR="00CE5A2F">
        <w:rPr>
          <w:lang w:val="en-US"/>
        </w:rPr>
        <w:t>2021. Climate Change 2021: The Physical Science Basis. Contribution of Working Group I to the Sixth Assessment Report of the Intergovernmental Panel on Climate Change [</w:t>
      </w:r>
      <w:r w:rsidR="00CE5A2F">
        <w:t>Masson-Delmotte, V., P. Zhai, A. Pirani, S. L. Connors, C. Péan, S. Berger, N. Caud, Y. Chen, L. Goldfarb, M. I. Gomis, M. Huang, K. Leitzell, E. Lonnoy, J.B.R. Matthews, T. K. Maycock, T. Waterfield, O. Yelekçi, R. Yu and B. Zhou (eds.)</w:t>
      </w:r>
      <w:r w:rsidR="00CE5A2F">
        <w:rPr>
          <w:lang w:val="en-US"/>
        </w:rPr>
        <w:t xml:space="preserve">] Cambridge University Press. </w:t>
      </w:r>
      <w:r w:rsidR="00CE5A2F" w:rsidRPr="009C4603">
        <w:rPr>
          <w:lang w:val="en-US"/>
        </w:rPr>
        <w:t>https://www.ipcc.ch/report/ar6/wg1/downloads/report/IPCC_AR6_WGI_Full_Report.pdf</w:t>
      </w:r>
      <w:r w:rsidR="00CE5A2F">
        <w:rPr>
          <w:lang w:val="en-US"/>
        </w:rPr>
        <w:t xml:space="preserve"> </w:t>
      </w:r>
      <w:r w:rsidR="00CE5A2F">
        <w:t xml:space="preserve">(accessed </w:t>
      </w:r>
      <w:r w:rsidR="00CE5A2F">
        <w:rPr>
          <w:lang w:val="en-US"/>
        </w:rPr>
        <w:t>December 2021</w:t>
      </w:r>
      <w:r w:rsidR="00CE5A2F">
        <w:t>).</w:t>
      </w:r>
      <w:bookmarkEnd w:id="361"/>
      <w:bookmarkEnd w:id="363"/>
    </w:p>
    <w:p w14:paraId="380F841D" w14:textId="538E7B13" w:rsidR="003124F3" w:rsidRDefault="0047432A" w:rsidP="00816775">
      <w:pPr>
        <w:pStyle w:val="ReferenceEntry"/>
      </w:pPr>
      <w:r w:rsidRPr="00816775">
        <w:t xml:space="preserve">Mountain View, City of. </w:t>
      </w:r>
      <w:r w:rsidR="003124F3" w:rsidRPr="00816775">
        <w:t xml:space="preserve">1996. Bicycle Parking Guidelines. </w:t>
      </w:r>
      <w:hyperlink r:id="rId34" w:history="1">
        <w:r w:rsidR="003124F3" w:rsidRPr="00816775">
          <w:rPr>
            <w:rStyle w:val="Hyperlink"/>
            <w:color w:val="000000"/>
            <w:u w:val="none"/>
          </w:rPr>
          <w:t>https://www.mountainview.gov/civicax/filebank/blobdload.aspx?BlobID=11508</w:t>
        </w:r>
      </w:hyperlink>
      <w:r w:rsidR="003124F3" w:rsidRPr="00816775">
        <w:t xml:space="preserve"> (accessed November 2021). </w:t>
      </w:r>
    </w:p>
    <w:p w14:paraId="53E9EB06" w14:textId="1C1470CE" w:rsidR="00E42AEA" w:rsidRDefault="00493D98" w:rsidP="00E42AEA">
      <w:pPr>
        <w:pStyle w:val="ReferenceEntry"/>
      </w:pPr>
      <w:r>
        <w:rPr>
          <w:lang w:val="en-US"/>
        </w:rPr>
        <w:t xml:space="preserve">______. </w:t>
      </w:r>
      <w:r w:rsidR="00F20F9B" w:rsidRPr="00816775">
        <w:t>2012</w:t>
      </w:r>
      <w:r w:rsidR="00BC3C3E">
        <w:rPr>
          <w:lang w:val="en-US"/>
        </w:rPr>
        <w:t>a</w:t>
      </w:r>
      <w:r w:rsidR="00F20F9B" w:rsidRPr="00816775">
        <w:t xml:space="preserve">. Mountain View 2030 General Plan. Adopted July 10 2012. </w:t>
      </w:r>
      <w:hyperlink r:id="rId35" w:history="1">
        <w:r w:rsidR="00F20F9B" w:rsidRPr="00816775">
          <w:rPr>
            <w:rStyle w:val="Hyperlink"/>
            <w:color w:val="000000"/>
            <w:u w:val="none"/>
          </w:rPr>
          <w:t>https://www.mountainview.gov/civicax/filebank/blobdload.aspx?blobid=10702</w:t>
        </w:r>
      </w:hyperlink>
      <w:r w:rsidR="00F20F9B" w:rsidRPr="00816775">
        <w:t xml:space="preserve"> (accessed September 2021) </w:t>
      </w:r>
    </w:p>
    <w:p w14:paraId="3E71B8C1" w14:textId="57170283" w:rsidR="00BC3C3E" w:rsidRDefault="00493D98" w:rsidP="00E42AEA">
      <w:pPr>
        <w:pStyle w:val="ReferenceEntry"/>
        <w:rPr>
          <w:lang w:val="en-US"/>
        </w:rPr>
      </w:pPr>
      <w:r>
        <w:rPr>
          <w:lang w:val="en-US"/>
        </w:rPr>
        <w:t xml:space="preserve">______. </w:t>
      </w:r>
      <w:r w:rsidR="00BC3C3E">
        <w:rPr>
          <w:lang w:val="en-US"/>
        </w:rPr>
        <w:t xml:space="preserve">2012b. </w:t>
      </w:r>
      <w:r w:rsidR="009E65D7">
        <w:rPr>
          <w:lang w:val="en-US"/>
        </w:rPr>
        <w:t xml:space="preserve">Mountain View Greenhouse Gas Reduction Program. September 2012. </w:t>
      </w:r>
      <w:r w:rsidR="009E65D7" w:rsidRPr="009C4603">
        <w:rPr>
          <w:lang w:val="en-US"/>
        </w:rPr>
        <w:t>https://www.mountainview.gov/civicax/filebank/blobdload.aspx?blobid=10700</w:t>
      </w:r>
      <w:r w:rsidR="009E65D7">
        <w:rPr>
          <w:lang w:val="en-US"/>
        </w:rPr>
        <w:t xml:space="preserve"> (accessed December 2021). </w:t>
      </w:r>
    </w:p>
    <w:p w14:paraId="2DC40606" w14:textId="7F4D46A7" w:rsidR="00827EFD" w:rsidRPr="00BC3C3E" w:rsidRDefault="00493D98" w:rsidP="00E42AEA">
      <w:pPr>
        <w:pStyle w:val="ReferenceEntry"/>
        <w:rPr>
          <w:lang w:val="en-US"/>
        </w:rPr>
      </w:pPr>
      <w:r>
        <w:rPr>
          <w:lang w:val="en-US"/>
        </w:rPr>
        <w:t xml:space="preserve">______. </w:t>
      </w:r>
      <w:r w:rsidR="00827EFD">
        <w:rPr>
          <w:lang w:val="en-US"/>
        </w:rPr>
        <w:t xml:space="preserve">2012c. Mountain View 2030 General Plan Environmental Impact Report. September 2012. </w:t>
      </w:r>
      <w:r w:rsidR="00827EFD" w:rsidRPr="009C4603">
        <w:rPr>
          <w:lang w:val="en-US"/>
        </w:rPr>
        <w:t>https://www.mountainview.gov/civicax/filebank/blobdload.aspx?BlobID=13902</w:t>
      </w:r>
      <w:r w:rsidR="00827EFD">
        <w:rPr>
          <w:lang w:val="en-US"/>
        </w:rPr>
        <w:t xml:space="preserve"> (accessed December 2021). </w:t>
      </w:r>
    </w:p>
    <w:p w14:paraId="0C877E60" w14:textId="57384DB3" w:rsidR="00FE3143" w:rsidRPr="00816775" w:rsidRDefault="00493D98" w:rsidP="00816775">
      <w:pPr>
        <w:pStyle w:val="ReferenceEntry"/>
      </w:pPr>
      <w:r>
        <w:rPr>
          <w:lang w:val="en-US"/>
        </w:rPr>
        <w:t xml:space="preserve">______. </w:t>
      </w:r>
      <w:r w:rsidR="00FE3143" w:rsidRPr="00816775">
        <w:t xml:space="preserve">2013. Our Water Sources. </w:t>
      </w:r>
      <w:hyperlink r:id="rId36" w:history="1">
        <w:r w:rsidR="00FE3143" w:rsidRPr="00816775">
          <w:rPr>
            <w:rStyle w:val="Hyperlink"/>
            <w:color w:val="000000"/>
            <w:u w:val="none"/>
          </w:rPr>
          <w:t>https://www.mountainview.gov/depts/pw/services/water/sources.asp</w:t>
        </w:r>
      </w:hyperlink>
      <w:r w:rsidR="00FE3143" w:rsidRPr="00816775">
        <w:t xml:space="preserve"> (accessed November 2021). </w:t>
      </w:r>
    </w:p>
    <w:p w14:paraId="1FF260CD" w14:textId="2609B514" w:rsidR="003124F3" w:rsidRDefault="00493D98" w:rsidP="00816775">
      <w:pPr>
        <w:pStyle w:val="ReferenceEntry"/>
      </w:pPr>
      <w:r>
        <w:rPr>
          <w:lang w:val="en-US"/>
        </w:rPr>
        <w:t xml:space="preserve">______. </w:t>
      </w:r>
      <w:r w:rsidR="003124F3" w:rsidRPr="00816775">
        <w:t xml:space="preserve">2014. Trash and Recycling Space Guidelines: Commercial, Industrial, and Multi-Family. </w:t>
      </w:r>
      <w:hyperlink r:id="rId37" w:history="1">
        <w:r w:rsidR="003124F3" w:rsidRPr="00816775">
          <w:rPr>
            <w:rStyle w:val="Hyperlink"/>
            <w:color w:val="000000"/>
            <w:u w:val="none"/>
          </w:rPr>
          <w:t>https://www.mountainview.gov/civicax/filebank/blobdload.aspx?BlobID=32975</w:t>
        </w:r>
      </w:hyperlink>
      <w:r w:rsidR="003124F3" w:rsidRPr="00816775">
        <w:t xml:space="preserve"> (accessed November 2021). </w:t>
      </w:r>
    </w:p>
    <w:p w14:paraId="153DE2D6" w14:textId="2107CEB2" w:rsidR="005626B4" w:rsidRPr="005626B4" w:rsidRDefault="00493D98" w:rsidP="00816775">
      <w:pPr>
        <w:pStyle w:val="ReferenceEntry"/>
        <w:rPr>
          <w:lang w:val="en-US"/>
        </w:rPr>
      </w:pPr>
      <w:r>
        <w:rPr>
          <w:lang w:val="en-US"/>
        </w:rPr>
        <w:t xml:space="preserve">______. </w:t>
      </w:r>
      <w:r w:rsidR="005626B4">
        <w:rPr>
          <w:lang w:val="en-US"/>
        </w:rPr>
        <w:t xml:space="preserve">2015. City of Mountain View Climate Protection Roadmap. September 2015. </w:t>
      </w:r>
      <w:r w:rsidR="005626B4" w:rsidRPr="009C4603">
        <w:rPr>
          <w:lang w:val="en-US"/>
        </w:rPr>
        <w:t>https://www.mountainview.gov/civicax/filebank/blobdload.aspx?BlobID=19516</w:t>
      </w:r>
      <w:r w:rsidR="005626B4">
        <w:rPr>
          <w:lang w:val="en-US"/>
        </w:rPr>
        <w:t xml:space="preserve"> (accessed December 2021). </w:t>
      </w:r>
    </w:p>
    <w:p w14:paraId="7E88C02F" w14:textId="5D748D11" w:rsidR="003E74A2" w:rsidRDefault="00493D98" w:rsidP="00816775">
      <w:pPr>
        <w:pStyle w:val="ReferenceEntry"/>
      </w:pPr>
      <w:r>
        <w:rPr>
          <w:lang w:val="en-US"/>
        </w:rPr>
        <w:t xml:space="preserve">______. </w:t>
      </w:r>
      <w:r w:rsidR="003E74A2" w:rsidRPr="00816775">
        <w:t xml:space="preserve">2019. Mountain View City Code Section 8.2529(i): Lighting Requirements. </w:t>
      </w:r>
      <w:hyperlink r:id="rId38" w:history="1">
        <w:r w:rsidR="003E74A2" w:rsidRPr="00816775">
          <w:rPr>
            <w:rStyle w:val="Hyperlink"/>
            <w:color w:val="000000"/>
            <w:u w:val="none"/>
          </w:rPr>
          <w:t>https://library.municode.com/ca/mountain_view/codes/code_of_ordinances?nodeId=PTIITHCO_CH8BU_ARTXIBUSE</w:t>
        </w:r>
      </w:hyperlink>
      <w:r w:rsidR="003E74A2" w:rsidRPr="00816775">
        <w:t xml:space="preserve"> (accessed November 2021). </w:t>
      </w:r>
    </w:p>
    <w:p w14:paraId="1659E2B3" w14:textId="7FA27EFF" w:rsidR="00A0197A" w:rsidRPr="00A0197A" w:rsidRDefault="00493D98" w:rsidP="00816775">
      <w:pPr>
        <w:pStyle w:val="ReferenceEntry"/>
        <w:rPr>
          <w:lang w:val="en-US"/>
        </w:rPr>
      </w:pPr>
      <w:r>
        <w:rPr>
          <w:lang w:val="en-US"/>
        </w:rPr>
        <w:t xml:space="preserve">______. </w:t>
      </w:r>
      <w:r w:rsidR="00A0197A">
        <w:rPr>
          <w:lang w:val="en-US"/>
        </w:rPr>
        <w:t xml:space="preserve">2019b. City of Mountain View Green Building Code. </w:t>
      </w:r>
      <w:r w:rsidR="00A0197A" w:rsidRPr="009C4603">
        <w:rPr>
          <w:lang w:val="en-US"/>
        </w:rPr>
        <w:t>https://www.mountainview.gov/civicax/filebank/blobdload.aspx?BlobID=31899</w:t>
      </w:r>
      <w:r w:rsidR="00A0197A">
        <w:rPr>
          <w:lang w:val="en-US"/>
        </w:rPr>
        <w:t xml:space="preserve"> (accessed January 2022). </w:t>
      </w:r>
    </w:p>
    <w:p w14:paraId="402116EA" w14:textId="5B54A5FB" w:rsidR="0047432A" w:rsidRPr="00816775" w:rsidRDefault="00493D98" w:rsidP="00816775">
      <w:pPr>
        <w:pStyle w:val="ReferenceEntry"/>
      </w:pPr>
      <w:r>
        <w:rPr>
          <w:lang w:val="en-US"/>
        </w:rPr>
        <w:t xml:space="preserve">______. </w:t>
      </w:r>
      <w:r w:rsidR="0047432A" w:rsidRPr="00816775">
        <w:t>2020</w:t>
      </w:r>
      <w:r w:rsidR="00B844C4" w:rsidRPr="00816775">
        <w:t>a</w:t>
      </w:r>
      <w:r w:rsidR="0047432A" w:rsidRPr="00816775">
        <w:t xml:space="preserve">. “City of Mountain View Zoning Map.” Last modified January 2020. </w:t>
      </w:r>
      <w:hyperlink r:id="rId39" w:history="1">
        <w:r w:rsidR="0047432A" w:rsidRPr="00816775">
          <w:rPr>
            <w:rStyle w:val="Hyperlink"/>
            <w:color w:val="000000"/>
            <w:u w:val="none"/>
          </w:rPr>
          <w:t>https://www.mountainview.gov/civicax/filebank/blobdload.aspx?BlobID=10990</w:t>
        </w:r>
      </w:hyperlink>
      <w:r w:rsidR="0047432A" w:rsidRPr="00816775">
        <w:t xml:space="preserve"> (accessed September 2021) </w:t>
      </w:r>
    </w:p>
    <w:p w14:paraId="04E93F69" w14:textId="59708219" w:rsidR="00B844C4" w:rsidRDefault="00493D98" w:rsidP="00816775">
      <w:pPr>
        <w:pStyle w:val="ReferenceEntry"/>
      </w:pPr>
      <w:r>
        <w:rPr>
          <w:lang w:val="en-US"/>
        </w:rPr>
        <w:t xml:space="preserve">______. </w:t>
      </w:r>
      <w:r w:rsidR="00B844C4" w:rsidRPr="00816775">
        <w:t xml:space="preserve">2020b. City of Mountain View 2020 Urban Water Management Plan. June 8, 2021. </w:t>
      </w:r>
      <w:hyperlink r:id="rId40" w:history="1">
        <w:r w:rsidR="00B844C4" w:rsidRPr="00816775">
          <w:rPr>
            <w:rStyle w:val="Hyperlink"/>
            <w:color w:val="000000"/>
            <w:u w:val="none"/>
          </w:rPr>
          <w:t>https://www.mountainview.gov/civicax/filebank/blobdload.aspx?blobID=35844</w:t>
        </w:r>
      </w:hyperlink>
      <w:r w:rsidR="00B844C4" w:rsidRPr="00816775">
        <w:t xml:space="preserve"> (accessed November 2021). </w:t>
      </w:r>
    </w:p>
    <w:p w14:paraId="49B90FBD" w14:textId="6D9CFCFA" w:rsidR="00A65790" w:rsidRPr="00A65790" w:rsidRDefault="00493D98" w:rsidP="00816775">
      <w:pPr>
        <w:pStyle w:val="ReferenceEntry"/>
        <w:rPr>
          <w:lang w:val="en-US"/>
        </w:rPr>
      </w:pPr>
      <w:r>
        <w:rPr>
          <w:lang w:val="en-US"/>
        </w:rPr>
        <w:t xml:space="preserve">______. </w:t>
      </w:r>
      <w:r w:rsidR="00A65790">
        <w:rPr>
          <w:lang w:val="en-US"/>
        </w:rPr>
        <w:t xml:space="preserve">2020c. Environmental Protection – Stormwater. </w:t>
      </w:r>
      <w:r w:rsidR="00A65790" w:rsidRPr="009C4603">
        <w:rPr>
          <w:lang w:val="en-US"/>
        </w:rPr>
        <w:t>https://www.mountainview.gov/depts/fire/environment/protection.asp</w:t>
      </w:r>
      <w:r w:rsidR="00A65790">
        <w:rPr>
          <w:lang w:val="en-US"/>
        </w:rPr>
        <w:t xml:space="preserve"> (accessed December 2021). </w:t>
      </w:r>
    </w:p>
    <w:p w14:paraId="7E36C2F1" w14:textId="4C3BD2D9" w:rsidR="008D7567" w:rsidRDefault="00493D98" w:rsidP="00816775">
      <w:pPr>
        <w:pStyle w:val="ReferenceEntry"/>
      </w:pPr>
      <w:r>
        <w:rPr>
          <w:lang w:val="en-US"/>
        </w:rPr>
        <w:t xml:space="preserve">______. </w:t>
      </w:r>
      <w:r w:rsidR="00942A99" w:rsidRPr="00816775">
        <w:t>2021</w:t>
      </w:r>
      <w:r w:rsidR="00530BAB">
        <w:rPr>
          <w:lang w:val="en-US"/>
        </w:rPr>
        <w:t>a</w:t>
      </w:r>
      <w:r w:rsidR="00942A99" w:rsidRPr="00816775">
        <w:t xml:space="preserve">. “City of Mountain View Municipal Code – Article VI – Industrial Zones.” Last modified July 19, 2021. </w:t>
      </w:r>
      <w:hyperlink r:id="rId41" w:history="1">
        <w:r w:rsidR="00942A99" w:rsidRPr="00816775">
          <w:rPr>
            <w:rStyle w:val="Hyperlink"/>
            <w:color w:val="000000"/>
            <w:u w:val="none"/>
          </w:rPr>
          <w:t>https://library.municode.com/ca/mountain_view/codes/code_of_ordinances?nodeId=PTIITHCO_CH36ZO_ARTVIINZO_DIV5GEINMMZODIST</w:t>
        </w:r>
      </w:hyperlink>
      <w:r w:rsidR="00942A99" w:rsidRPr="00816775">
        <w:t xml:space="preserve"> (accessed September 2021) </w:t>
      </w:r>
    </w:p>
    <w:p w14:paraId="1F4EDA0A" w14:textId="4D4A488F" w:rsidR="00530BAB" w:rsidRDefault="00493D98" w:rsidP="00816775">
      <w:pPr>
        <w:pStyle w:val="ReferenceEntry"/>
        <w:rPr>
          <w:lang w:val="en-US"/>
        </w:rPr>
      </w:pPr>
      <w:r>
        <w:rPr>
          <w:lang w:val="en-US"/>
        </w:rPr>
        <w:t xml:space="preserve">______. </w:t>
      </w:r>
      <w:r w:rsidR="00530BAB">
        <w:rPr>
          <w:lang w:val="en-US"/>
        </w:rPr>
        <w:t xml:space="preserve">2021b. City of Mountain View Community Services. </w:t>
      </w:r>
      <w:r w:rsidR="00530BAB" w:rsidRPr="009C4603">
        <w:rPr>
          <w:lang w:val="en-US"/>
        </w:rPr>
        <w:t>https://www.mountainview.gov/depts/cs/default.asp</w:t>
      </w:r>
      <w:r w:rsidR="00530BAB">
        <w:rPr>
          <w:lang w:val="en-US"/>
        </w:rPr>
        <w:t xml:space="preserve"> (accessed November 2021). </w:t>
      </w:r>
    </w:p>
    <w:p w14:paraId="69B37FE8" w14:textId="509B36EC" w:rsidR="00D838E0" w:rsidRDefault="00493D98" w:rsidP="00816775">
      <w:pPr>
        <w:pStyle w:val="ReferenceEntry"/>
        <w:rPr>
          <w:lang w:val="en-US"/>
        </w:rPr>
      </w:pPr>
      <w:r>
        <w:rPr>
          <w:lang w:val="en-US"/>
        </w:rPr>
        <w:t xml:space="preserve">______. </w:t>
      </w:r>
      <w:r w:rsidR="00D838E0">
        <w:rPr>
          <w:lang w:val="en-US"/>
        </w:rPr>
        <w:t xml:space="preserve">2021c. Park Sites and Facilities Guide. </w:t>
      </w:r>
      <w:r w:rsidR="00D838E0" w:rsidRPr="009C4603">
        <w:rPr>
          <w:lang w:val="en-US"/>
        </w:rPr>
        <w:t>https://www.mountainview.gov/civicax/filebank/blobdload.aspx?BlobID=9827</w:t>
      </w:r>
      <w:r w:rsidR="00D838E0">
        <w:rPr>
          <w:lang w:val="en-US"/>
        </w:rPr>
        <w:t xml:space="preserve"> (accessed November 2021). </w:t>
      </w:r>
    </w:p>
    <w:p w14:paraId="28C66516" w14:textId="5E9A3288" w:rsidR="00D775A0" w:rsidRDefault="00493D98" w:rsidP="00816775">
      <w:pPr>
        <w:pStyle w:val="ReferenceEntry"/>
        <w:rPr>
          <w:lang w:val="en-US"/>
        </w:rPr>
      </w:pPr>
      <w:r>
        <w:rPr>
          <w:lang w:val="en-US"/>
        </w:rPr>
        <w:t xml:space="preserve">______. </w:t>
      </w:r>
      <w:r w:rsidR="00D775A0">
        <w:rPr>
          <w:lang w:val="en-US"/>
        </w:rPr>
        <w:t xml:space="preserve">2021d. Recreation Division Facility Rentals. </w:t>
      </w:r>
      <w:r w:rsidR="00D775A0" w:rsidRPr="009C4603">
        <w:rPr>
          <w:lang w:val="en-US"/>
        </w:rPr>
        <w:t>https://www.mountainview.gov/depts/cs/rec/facilities/default.asp</w:t>
      </w:r>
      <w:r w:rsidR="00D775A0">
        <w:rPr>
          <w:lang w:val="en-US"/>
        </w:rPr>
        <w:t xml:space="preserve"> (accessed November 2021). </w:t>
      </w:r>
    </w:p>
    <w:p w14:paraId="124F8907" w14:textId="0F5C74FD" w:rsidR="00492646" w:rsidRPr="00530BAB" w:rsidRDefault="00493D98" w:rsidP="00816775">
      <w:pPr>
        <w:pStyle w:val="ReferenceEntry"/>
        <w:rPr>
          <w:lang w:val="en-US"/>
        </w:rPr>
      </w:pPr>
      <w:r>
        <w:rPr>
          <w:lang w:val="en-US"/>
        </w:rPr>
        <w:t xml:space="preserve">______. </w:t>
      </w:r>
      <w:r w:rsidR="00492646">
        <w:rPr>
          <w:lang w:val="en-US"/>
        </w:rPr>
        <w:t xml:space="preserve">2021e. Winter 2021 Quarterly CIP Major Project Highlights. </w:t>
      </w:r>
      <w:r w:rsidR="00492646" w:rsidRPr="00492646">
        <w:rPr>
          <w:lang w:val="en-US"/>
        </w:rPr>
        <w:t>https://www.mountainview.gov/civicax/filebank/blobdload.aspx?BlobID=36244</w:t>
      </w:r>
      <w:r w:rsidR="00492646">
        <w:rPr>
          <w:lang w:val="en-US"/>
        </w:rPr>
        <w:t xml:space="preserve"> (accessed March 2022). </w:t>
      </w:r>
    </w:p>
    <w:p w14:paraId="7E077B92" w14:textId="2E149989" w:rsidR="00792927" w:rsidRDefault="007170AD" w:rsidP="007170AD">
      <w:pPr>
        <w:pStyle w:val="ReferenceEntry"/>
      </w:pPr>
      <w:r w:rsidRPr="007170AD">
        <w:t xml:space="preserve">Mountain View Fire Department. 2021. Fire Department Annual Report, Fiscal Year 2021-2020. August 30, 2021. </w:t>
      </w:r>
      <w:hyperlink r:id="rId42" w:history="1">
        <w:r w:rsidRPr="007170AD">
          <w:rPr>
            <w:rStyle w:val="Hyperlink"/>
            <w:color w:val="000000"/>
            <w:u w:val="none"/>
          </w:rPr>
          <w:t>https://www.mountainview.gov/documents/MVFD/Annual%20Report%20FY%2020-21.pdf</w:t>
        </w:r>
      </w:hyperlink>
      <w:r w:rsidRPr="007170AD">
        <w:t xml:space="preserve"> (accessed November 2021). </w:t>
      </w:r>
    </w:p>
    <w:p w14:paraId="3C0170EC" w14:textId="7D1D1E64" w:rsidR="00F60DDF" w:rsidRPr="00F60DDF" w:rsidRDefault="00F60DDF" w:rsidP="007170AD">
      <w:pPr>
        <w:pStyle w:val="ReferenceEntry"/>
        <w:rPr>
          <w:lang w:val="en-US"/>
        </w:rPr>
      </w:pPr>
      <w:r>
        <w:rPr>
          <w:lang w:val="en-US"/>
        </w:rPr>
        <w:t xml:space="preserve">Mountain View Los Altos High School District (MVLA). 2021. Schools. </w:t>
      </w:r>
      <w:r w:rsidRPr="009C4603">
        <w:rPr>
          <w:lang w:val="en-US"/>
        </w:rPr>
        <w:t>https://www.mvla.net/Schools/index.html</w:t>
      </w:r>
      <w:r>
        <w:rPr>
          <w:lang w:val="en-US"/>
        </w:rPr>
        <w:t xml:space="preserve"> (accessed November 2021). </w:t>
      </w:r>
    </w:p>
    <w:p w14:paraId="3D96E7AE" w14:textId="67762B65" w:rsidR="00B647E5" w:rsidRDefault="00B647E5" w:rsidP="007170AD">
      <w:pPr>
        <w:pStyle w:val="ReferenceEntry"/>
        <w:rPr>
          <w:lang w:val="en-US"/>
        </w:rPr>
      </w:pPr>
      <w:r>
        <w:rPr>
          <w:lang w:val="en-US"/>
        </w:rPr>
        <w:t xml:space="preserve">Mountain View Police Department. 2020. 2020 Annual Report. </w:t>
      </w:r>
      <w:r w:rsidRPr="009C4603">
        <w:rPr>
          <w:lang w:val="en-US"/>
        </w:rPr>
        <w:t>https://www.mountainview.gov/civicax/filebank/blobdload.aspx?blobid=36134</w:t>
      </w:r>
      <w:r>
        <w:rPr>
          <w:lang w:val="en-US"/>
        </w:rPr>
        <w:t xml:space="preserve"> (accessed November 2021). </w:t>
      </w:r>
    </w:p>
    <w:p w14:paraId="085A92DD" w14:textId="31CE7655" w:rsidR="00DE7A09" w:rsidRDefault="00F60DDF" w:rsidP="00386B12">
      <w:pPr>
        <w:pStyle w:val="ReferenceEntry"/>
        <w:rPr>
          <w:lang w:val="en-US"/>
        </w:rPr>
      </w:pPr>
      <w:r>
        <w:rPr>
          <w:lang w:val="en-US"/>
        </w:rPr>
        <w:t xml:space="preserve">Mountain View Whisman School District. Facts and Figures. </w:t>
      </w:r>
      <w:r w:rsidRPr="009C4603">
        <w:rPr>
          <w:lang w:val="en-US"/>
        </w:rPr>
        <w:t>https://www.mvwsd.org/about/facts___figures</w:t>
      </w:r>
      <w:r>
        <w:rPr>
          <w:lang w:val="en-US"/>
        </w:rPr>
        <w:t xml:space="preserve"> (accessed November 2021). </w:t>
      </w:r>
    </w:p>
    <w:p w14:paraId="14A04C91" w14:textId="651EC169" w:rsidR="00DE7A09" w:rsidRDefault="00DE7A09" w:rsidP="00386B12">
      <w:pPr>
        <w:pStyle w:val="ReferenceEntry"/>
        <w:rPr>
          <w:lang w:val="en-US"/>
        </w:rPr>
      </w:pPr>
      <w:r>
        <w:rPr>
          <w:lang w:val="en-US"/>
        </w:rPr>
        <w:t xml:space="preserve">Natural Resources Conservation Service. 2018. SoilWeb Map Viewer. </w:t>
      </w:r>
      <w:r w:rsidRPr="009C4603">
        <w:rPr>
          <w:lang w:val="en-US"/>
        </w:rPr>
        <w:t>https://casoilresource.lawr.ucdavis.edu/gmap/</w:t>
      </w:r>
      <w:r>
        <w:rPr>
          <w:lang w:val="en-US"/>
        </w:rPr>
        <w:t xml:space="preserve"> (accessed December 2021). </w:t>
      </w:r>
    </w:p>
    <w:p w14:paraId="795ED22D" w14:textId="07496B4A" w:rsidR="0082235A" w:rsidRDefault="00493D98" w:rsidP="00386B12">
      <w:pPr>
        <w:pStyle w:val="ReferenceEntry"/>
        <w:rPr>
          <w:lang w:val="en-US"/>
        </w:rPr>
      </w:pPr>
      <w:r>
        <w:rPr>
          <w:lang w:val="en-US"/>
        </w:rPr>
        <w:t xml:space="preserve">______. </w:t>
      </w:r>
      <w:r w:rsidR="0082235A">
        <w:rPr>
          <w:lang w:val="en-US"/>
        </w:rPr>
        <w:t xml:space="preserve">2015. Supplement to the Soil Survey of Santa Clara Area, California, Western Part. </w:t>
      </w:r>
      <w:r w:rsidR="0082235A" w:rsidRPr="009C4603">
        <w:rPr>
          <w:lang w:val="en-US"/>
        </w:rPr>
        <w:t>https://www.nrcs.usda.gov/Internet/FSE_MANUSCRIPTS/california/santaclaraCAwest2015/Santa-Clara-CA_West.pdf</w:t>
      </w:r>
      <w:r w:rsidR="0082235A">
        <w:rPr>
          <w:lang w:val="en-US"/>
        </w:rPr>
        <w:t xml:space="preserve"> (accessed December 2021). </w:t>
      </w:r>
    </w:p>
    <w:p w14:paraId="44B8B6B6" w14:textId="6752FA47" w:rsidR="00386B12" w:rsidRDefault="008D7567" w:rsidP="00386B12">
      <w:pPr>
        <w:pStyle w:val="ReferenceEntry"/>
      </w:pPr>
      <w:r w:rsidRPr="00816775">
        <w:t xml:space="preserve">Office of Emergency Services (OES). 2015. MyHazards. </w:t>
      </w:r>
      <w:hyperlink r:id="rId43" w:history="1">
        <w:r w:rsidRPr="00816775">
          <w:rPr>
            <w:rStyle w:val="Hyperlink"/>
            <w:color w:val="000000"/>
            <w:u w:val="none"/>
          </w:rPr>
          <w:t>https://myhazards.caloes.ca.gov/</w:t>
        </w:r>
      </w:hyperlink>
      <w:r w:rsidRPr="00816775">
        <w:t xml:space="preserve"> (accessed November 2021). </w:t>
      </w:r>
    </w:p>
    <w:p w14:paraId="6E14FDE1" w14:textId="20A088F4" w:rsidR="00D93C3B" w:rsidRDefault="00D93C3B" w:rsidP="00AC1C51">
      <w:pPr>
        <w:pStyle w:val="Reference-General"/>
      </w:pPr>
      <w:r w:rsidRPr="000D2566">
        <w:t>Paleobiology Database (PBDB). 202</w:t>
      </w:r>
      <w:r>
        <w:t>2</w:t>
      </w:r>
      <w:r w:rsidRPr="000D2566">
        <w:t xml:space="preserve">. </w:t>
      </w:r>
      <w:r w:rsidRPr="009C4603">
        <w:t>http://paleobiodb.org/</w:t>
      </w:r>
      <w:r w:rsidRPr="000D2566">
        <w:t xml:space="preserve"> (Accessed January 2022)</w:t>
      </w:r>
    </w:p>
    <w:p w14:paraId="52F78675" w14:textId="06EC702F" w:rsidR="00511C23" w:rsidRDefault="00511C23" w:rsidP="00386B12">
      <w:pPr>
        <w:pStyle w:val="ReferenceEntry"/>
        <w:rPr>
          <w:lang w:val="en-US"/>
        </w:rPr>
      </w:pPr>
      <w:r>
        <w:rPr>
          <w:lang w:val="en-US"/>
        </w:rPr>
        <w:t>Palo Alto</w:t>
      </w:r>
      <w:r w:rsidR="003C774B">
        <w:rPr>
          <w:lang w:val="en-US"/>
        </w:rPr>
        <w:t>, City of</w:t>
      </w:r>
      <w:r w:rsidR="00314596">
        <w:rPr>
          <w:lang w:val="en-US"/>
        </w:rPr>
        <w:t>.</w:t>
      </w:r>
      <w:r>
        <w:rPr>
          <w:lang w:val="en-US"/>
        </w:rPr>
        <w:t xml:space="preserve"> 2018. Palo Alto RWQCP 2018 Annual Report. January 30, 2019. </w:t>
      </w:r>
      <w:r w:rsidRPr="009C4603">
        <w:rPr>
          <w:lang w:val="en-US"/>
        </w:rPr>
        <w:t>https://www.cityofpaloalto.org/files/assets/public/public-works/water-quality-control-plant/palo-alto-rwqcp-annual-report-2018.pdf?t=53468.01</w:t>
      </w:r>
      <w:r>
        <w:rPr>
          <w:lang w:val="en-US"/>
        </w:rPr>
        <w:t xml:space="preserve"> (accessed December 2021). </w:t>
      </w:r>
    </w:p>
    <w:p w14:paraId="535F731C" w14:textId="76CE1384" w:rsidR="00314596" w:rsidRPr="00314596" w:rsidRDefault="00493D98" w:rsidP="00386B12">
      <w:pPr>
        <w:pStyle w:val="ReferenceEntry"/>
        <w:rPr>
          <w:lang w:val="en-US"/>
        </w:rPr>
      </w:pPr>
      <w:r>
        <w:rPr>
          <w:lang w:val="en-US"/>
        </w:rPr>
        <w:t xml:space="preserve">______. </w:t>
      </w:r>
      <w:r w:rsidR="00314596">
        <w:rPr>
          <w:lang w:val="en-US"/>
        </w:rPr>
        <w:t xml:space="preserve">2021. Quick Information. </w:t>
      </w:r>
      <w:r w:rsidR="00314596" w:rsidRPr="009C4603">
        <w:rPr>
          <w:lang w:val="en-US"/>
        </w:rPr>
        <w:t>https://cleanbay.org/our-programs/regional-water-quality-control-plant/</w:t>
      </w:r>
      <w:r w:rsidR="00314596">
        <w:rPr>
          <w:lang w:val="en-US"/>
        </w:rPr>
        <w:t xml:space="preserve"> (accessed November 2021). </w:t>
      </w:r>
    </w:p>
    <w:p w14:paraId="270941BD" w14:textId="75586A01" w:rsidR="00FE3143" w:rsidRDefault="00FE3143" w:rsidP="00816775">
      <w:pPr>
        <w:pStyle w:val="ReferenceEntry"/>
      </w:pPr>
      <w:r w:rsidRPr="00816775">
        <w:t xml:space="preserve">San Francisco Bay RWQCB. 2021. San Francisco Bay R2. </w:t>
      </w:r>
      <w:hyperlink r:id="rId44" w:history="1">
        <w:r w:rsidRPr="00816775">
          <w:rPr>
            <w:rStyle w:val="Hyperlink"/>
            <w:color w:val="000000"/>
            <w:u w:val="none"/>
          </w:rPr>
          <w:t>https://www.waterboards.ca.gov/sanfranciscobay/</w:t>
        </w:r>
      </w:hyperlink>
      <w:r w:rsidRPr="00816775">
        <w:t xml:space="preserve"> (accessed November 2021). </w:t>
      </w:r>
    </w:p>
    <w:p w14:paraId="7A925773" w14:textId="6566DD2D" w:rsidR="00386B12" w:rsidRPr="00386B12" w:rsidRDefault="00386B12" w:rsidP="00816775">
      <w:pPr>
        <w:pStyle w:val="ReferenceEntry"/>
        <w:rPr>
          <w:lang w:val="en-US"/>
        </w:rPr>
      </w:pPr>
      <w:r>
        <w:rPr>
          <w:lang w:val="en-US"/>
        </w:rPr>
        <w:t xml:space="preserve">San Francisco Public Utilities Commission (SFPUC). 2021. Water Supply. </w:t>
      </w:r>
      <w:r w:rsidRPr="009C4603">
        <w:rPr>
          <w:lang w:val="en-US"/>
        </w:rPr>
        <w:t>https://sfpuc.org/programs/water-supply</w:t>
      </w:r>
      <w:r>
        <w:rPr>
          <w:lang w:val="en-US"/>
        </w:rPr>
        <w:t xml:space="preserve"> (Accessed December 2021). </w:t>
      </w:r>
    </w:p>
    <w:p w14:paraId="043C1D8D" w14:textId="5BE79E00" w:rsidR="000D3D22" w:rsidRPr="00816775" w:rsidRDefault="000D3D22" w:rsidP="00816775">
      <w:pPr>
        <w:pStyle w:val="ReferenceEntry"/>
      </w:pPr>
      <w:r w:rsidRPr="00816775">
        <w:t xml:space="preserve">Santa Clara County. 2012. Moffett Federal Airfield Comprehensive Land Use Plan. November 2012. </w:t>
      </w:r>
      <w:hyperlink r:id="rId45" w:history="1">
        <w:r w:rsidRPr="00816775">
          <w:rPr>
            <w:rStyle w:val="Hyperlink"/>
            <w:color w:val="000000"/>
            <w:u w:val="none"/>
          </w:rPr>
          <w:t>https://stgenpln.blob.core.windows.net/document/ALUC_NUQ_CLUP.pdf</w:t>
        </w:r>
      </w:hyperlink>
      <w:r w:rsidRPr="00816775">
        <w:t xml:space="preserve"> (accessed November 2021). </w:t>
      </w:r>
    </w:p>
    <w:p w14:paraId="5E3203AC" w14:textId="5FA546BB" w:rsidR="00C300F4" w:rsidRDefault="00C300F4" w:rsidP="00816775">
      <w:pPr>
        <w:pStyle w:val="ReferenceEntry"/>
      </w:pPr>
      <w:r w:rsidRPr="00816775">
        <w:t xml:space="preserve">Santa Clara Valley Urban Runoff Pollution Prevention Plan. 2016. </w:t>
      </w:r>
      <w:hyperlink r:id="rId46" w:history="1">
        <w:r w:rsidRPr="00816775">
          <w:rPr>
            <w:rStyle w:val="Hyperlink"/>
            <w:color w:val="000000"/>
            <w:u w:val="none"/>
          </w:rPr>
          <w:t>https://cleanwater.sccgov.org/sites/g/files/exjcpb461/files/SCVURPPP_C.pdf</w:t>
        </w:r>
      </w:hyperlink>
      <w:r w:rsidRPr="00816775">
        <w:t xml:space="preserve"> (accessed November 2021). </w:t>
      </w:r>
    </w:p>
    <w:p w14:paraId="7E2D8241" w14:textId="60E49C7C" w:rsidR="00394089" w:rsidRDefault="00394089" w:rsidP="00816775">
      <w:pPr>
        <w:pStyle w:val="ReferenceEntry"/>
        <w:rPr>
          <w:lang w:val="en-US"/>
        </w:rPr>
      </w:pPr>
      <w:r>
        <w:rPr>
          <w:lang w:val="en-US"/>
        </w:rPr>
        <w:t>Silicon Valley Clean Power (SVCE). 2021</w:t>
      </w:r>
      <w:r w:rsidR="007C73DB">
        <w:rPr>
          <w:lang w:val="en-US"/>
        </w:rPr>
        <w:t>a</w:t>
      </w:r>
      <w:r>
        <w:rPr>
          <w:lang w:val="en-US"/>
        </w:rPr>
        <w:t xml:space="preserve">. Frequently Asked Questions. </w:t>
      </w:r>
      <w:r w:rsidRPr="009C4603">
        <w:rPr>
          <w:lang w:val="en-US"/>
        </w:rPr>
        <w:t>https://www.svcleanenergy.org/faqs/#1518148887442-e80f984d-3446</w:t>
      </w:r>
      <w:r>
        <w:rPr>
          <w:lang w:val="en-US"/>
        </w:rPr>
        <w:t xml:space="preserve"> (accessed December 2021). </w:t>
      </w:r>
    </w:p>
    <w:p w14:paraId="33F0607F" w14:textId="19C49EAC" w:rsidR="007C73DB" w:rsidRDefault="00493D98" w:rsidP="00816775">
      <w:pPr>
        <w:pStyle w:val="ReferenceEntry"/>
        <w:rPr>
          <w:lang w:val="en-US"/>
        </w:rPr>
      </w:pPr>
      <w:r>
        <w:rPr>
          <w:lang w:val="en-US"/>
        </w:rPr>
        <w:t xml:space="preserve">______. </w:t>
      </w:r>
      <w:r w:rsidR="007C73DB">
        <w:rPr>
          <w:lang w:val="en-US"/>
        </w:rPr>
        <w:t xml:space="preserve">2021b. Offers and Services. </w:t>
      </w:r>
      <w:r w:rsidR="007C73DB" w:rsidRPr="009C4603">
        <w:rPr>
          <w:lang w:val="en-US"/>
        </w:rPr>
        <w:t>https://www.svcleanenergy.org/choices/#GreenStart</w:t>
      </w:r>
      <w:r w:rsidR="007C73DB">
        <w:rPr>
          <w:lang w:val="en-US"/>
        </w:rPr>
        <w:t xml:space="preserve"> (accessed December 2021). </w:t>
      </w:r>
    </w:p>
    <w:p w14:paraId="637D5BFD" w14:textId="488A9C89" w:rsidR="008150C8" w:rsidRDefault="00493D98" w:rsidP="00816775">
      <w:pPr>
        <w:pStyle w:val="ReferenceEntry"/>
        <w:rPr>
          <w:lang w:val="en-US"/>
        </w:rPr>
      </w:pPr>
      <w:r>
        <w:rPr>
          <w:lang w:val="en-US"/>
        </w:rPr>
        <w:t xml:space="preserve">______. </w:t>
      </w:r>
      <w:r w:rsidR="008150C8">
        <w:rPr>
          <w:lang w:val="en-US"/>
        </w:rPr>
        <w:t xml:space="preserve">2021c. </w:t>
      </w:r>
      <w:r w:rsidR="00617CC9">
        <w:rPr>
          <w:lang w:val="en-US"/>
        </w:rPr>
        <w:t>Your Power is Making a Difference</w:t>
      </w:r>
      <w:r w:rsidR="008150C8">
        <w:rPr>
          <w:lang w:val="en-US"/>
        </w:rPr>
        <w:t xml:space="preserve">. </w:t>
      </w:r>
      <w:r w:rsidR="00617CC9" w:rsidRPr="009C4603">
        <w:rPr>
          <w:lang w:val="en-US"/>
        </w:rPr>
        <w:t>https://www.svcleanenergy.org/wp-content/uploads/Residential-PCL_2021-ADA_digital.pdf</w:t>
      </w:r>
      <w:r w:rsidR="00617CC9">
        <w:rPr>
          <w:lang w:val="en-US"/>
        </w:rPr>
        <w:t xml:space="preserve"> (</w:t>
      </w:r>
      <w:r w:rsidR="008150C8">
        <w:rPr>
          <w:lang w:val="en-US"/>
        </w:rPr>
        <w:t xml:space="preserve">accessed December 2021). </w:t>
      </w:r>
    </w:p>
    <w:p w14:paraId="47C454AC" w14:textId="6A6F9ED2" w:rsidR="00D93C3B" w:rsidRPr="00AC1C51" w:rsidRDefault="00D93C3B" w:rsidP="00D93C3B">
      <w:pPr>
        <w:pStyle w:val="ReferenceEntry"/>
      </w:pPr>
      <w:r w:rsidRPr="00F859D8">
        <w:t>Society of Vertebrate Paleontology</w:t>
      </w:r>
      <w:r w:rsidRPr="00F859D8">
        <w:rPr>
          <w:lang w:val="en-US"/>
        </w:rPr>
        <w:t xml:space="preserve"> (SVP).</w:t>
      </w:r>
      <w:r w:rsidRPr="00F859D8">
        <w:t xml:space="preserve"> 2010</w:t>
      </w:r>
      <w:r w:rsidRPr="00F859D8">
        <w:rPr>
          <w:lang w:val="en-US"/>
        </w:rPr>
        <w:t>.</w:t>
      </w:r>
      <w:r w:rsidRPr="00F859D8">
        <w:t xml:space="preserve"> Standard Procedures for the Assessment and Mitigation of Adverse Impacts to Paleontological Resources. Society of Vertebrate Paleontology Impact Mitigation Guidelines Revision Committee.</w:t>
      </w:r>
    </w:p>
    <w:p w14:paraId="564F81B3" w14:textId="3A39D7B2" w:rsidR="003C774B" w:rsidRDefault="003C774B" w:rsidP="00816775">
      <w:pPr>
        <w:pStyle w:val="ReferenceEntry"/>
        <w:rPr>
          <w:lang w:val="en-US"/>
        </w:rPr>
      </w:pPr>
      <w:r>
        <w:rPr>
          <w:lang w:val="en-US"/>
        </w:rPr>
        <w:t xml:space="preserve">State Water Resources Control Board (SWRCB). 2021a. GeoTracker. </w:t>
      </w:r>
      <w:r w:rsidR="00F351D8" w:rsidRPr="00F351D8">
        <w:rPr>
          <w:lang w:val="en-US"/>
        </w:rPr>
        <w:t>https://geotracker.waterboards.ca.gov/</w:t>
      </w:r>
      <w:r>
        <w:rPr>
          <w:lang w:val="en-US"/>
        </w:rPr>
        <w:t xml:space="preserve"> (accessed December 2021). </w:t>
      </w:r>
    </w:p>
    <w:p w14:paraId="1CEFDEDF" w14:textId="1F0A00BB" w:rsidR="00872F3C" w:rsidRPr="00872F3C" w:rsidRDefault="00493D98" w:rsidP="001D07C0">
      <w:pPr>
        <w:pStyle w:val="ReferenceEntry"/>
        <w:rPr>
          <w:rFonts w:cstheme="minorHAnsi"/>
        </w:rPr>
      </w:pPr>
      <w:r>
        <w:rPr>
          <w:lang w:val="en-US"/>
        </w:rPr>
        <w:t xml:space="preserve">______. </w:t>
      </w:r>
      <w:r w:rsidR="001F6589">
        <w:rPr>
          <w:lang w:val="en-US"/>
        </w:rPr>
        <w:t>202</w:t>
      </w:r>
      <w:r w:rsidR="001D07C0">
        <w:rPr>
          <w:lang w:val="en-US"/>
        </w:rPr>
        <w:t>1b</w:t>
      </w:r>
      <w:r w:rsidR="001F6589">
        <w:rPr>
          <w:lang w:val="en-US"/>
        </w:rPr>
        <w:t xml:space="preserve">. California PFAS Investigations. </w:t>
      </w:r>
      <w:r w:rsidR="001F6589" w:rsidRPr="001F6589">
        <w:t>https://www.waterboards.ca.gov/</w:t>
      </w:r>
      <w:r w:rsidR="001F6589" w:rsidRPr="00872F3C">
        <w:t>pfas/</w:t>
      </w:r>
      <w:r w:rsidR="001F6589" w:rsidRPr="00872F3C">
        <w:rPr>
          <w:rStyle w:val="Hyperlink"/>
          <w:color w:val="auto"/>
          <w:u w:val="none"/>
        </w:rPr>
        <w:t xml:space="preserve"> (accessed </w:t>
      </w:r>
      <w:r w:rsidR="001F6589" w:rsidRPr="00872F3C">
        <w:rPr>
          <w:rStyle w:val="Hyperlink"/>
          <w:color w:val="auto"/>
          <w:u w:val="none"/>
          <w:lang w:val="en-US"/>
        </w:rPr>
        <w:t>December 2021</w:t>
      </w:r>
      <w:r w:rsidR="001F6589" w:rsidRPr="00872F3C">
        <w:rPr>
          <w:rStyle w:val="Hyperlink"/>
          <w:color w:val="auto"/>
          <w:u w:val="none"/>
        </w:rPr>
        <w:t>)</w:t>
      </w:r>
      <w:r w:rsidR="001F6589" w:rsidRPr="00872F3C">
        <w:rPr>
          <w:rFonts w:cstheme="minorHAnsi"/>
        </w:rPr>
        <w:t>.</w:t>
      </w:r>
    </w:p>
    <w:p w14:paraId="06D16C33" w14:textId="61CFD669" w:rsidR="001D07C0" w:rsidRDefault="00493D98" w:rsidP="001D07C0">
      <w:pPr>
        <w:pStyle w:val="ReferenceEntry"/>
        <w:rPr>
          <w:lang w:val="en-US"/>
        </w:rPr>
      </w:pPr>
      <w:r>
        <w:rPr>
          <w:lang w:val="en-US"/>
        </w:rPr>
        <w:t xml:space="preserve">______. </w:t>
      </w:r>
      <w:r w:rsidR="001D07C0">
        <w:rPr>
          <w:lang w:val="en-US"/>
        </w:rPr>
        <w:t xml:space="preserve">2021c. GeoTracker PFAS Map. </w:t>
      </w:r>
      <w:r w:rsidR="001D07C0" w:rsidRPr="009C4603">
        <w:rPr>
          <w:lang w:val="en-US"/>
        </w:rPr>
        <w:t>https://geotracker.waterboards.ca.gov/map/pfas_map</w:t>
      </w:r>
      <w:r w:rsidR="001D07C0">
        <w:rPr>
          <w:lang w:val="en-US"/>
        </w:rPr>
        <w:t xml:space="preserve"> (accessed December 2021). </w:t>
      </w:r>
    </w:p>
    <w:p w14:paraId="66CC7F5A" w14:textId="0567B620" w:rsidR="001327B6" w:rsidRDefault="001327B6" w:rsidP="00816775">
      <w:pPr>
        <w:pStyle w:val="ReferenceEntry"/>
        <w:rPr>
          <w:lang w:val="en-US"/>
        </w:rPr>
      </w:pPr>
      <w:r>
        <w:rPr>
          <w:lang w:val="en-US"/>
        </w:rPr>
        <w:t xml:space="preserve">United States Department of Transportation (USDOT). 2021. </w:t>
      </w:r>
      <w:r w:rsidRPr="009C4603">
        <w:rPr>
          <w:lang w:val="en-US"/>
        </w:rPr>
        <w:t>https://pvnpms.phmsa.dot.gov/PublicViewer/</w:t>
      </w:r>
      <w:r>
        <w:rPr>
          <w:lang w:val="en-US"/>
        </w:rPr>
        <w:t xml:space="preserve"> (accessed December 2021). </w:t>
      </w:r>
    </w:p>
    <w:p w14:paraId="5733A912" w14:textId="221080C4" w:rsidR="0057798E" w:rsidRDefault="0057798E" w:rsidP="0030772A">
      <w:pPr>
        <w:pStyle w:val="ReferenceEntry"/>
        <w:rPr>
          <w:color w:val="auto"/>
          <w:lang w:val="en-US"/>
        </w:rPr>
      </w:pPr>
      <w:r>
        <w:rPr>
          <w:iCs/>
          <w:color w:val="auto"/>
          <w:lang w:val="en-US"/>
        </w:rPr>
        <w:t xml:space="preserve">United States Energy Information Administration. 2021. California State Profile and Energy Estimates. February 18, 2021. </w:t>
      </w:r>
      <w:r w:rsidRPr="009C4603">
        <w:t>https://www.eia.gov/state/?sid=CA</w:t>
      </w:r>
      <w:r>
        <w:rPr>
          <w:color w:val="auto"/>
          <w:lang w:val="en-US"/>
        </w:rPr>
        <w:t xml:space="preserve"> (accessed December</w:t>
      </w:r>
      <w:r>
        <w:rPr>
          <w:rStyle w:val="BodyTextChar"/>
        </w:rPr>
        <w:t xml:space="preserve"> 2021</w:t>
      </w:r>
      <w:r>
        <w:rPr>
          <w:color w:val="auto"/>
          <w:lang w:val="en-US"/>
        </w:rPr>
        <w:t>).</w:t>
      </w:r>
    </w:p>
    <w:p w14:paraId="1FEA65EC" w14:textId="68560E08" w:rsidR="001853D5" w:rsidRDefault="001853D5" w:rsidP="00A225D9">
      <w:pPr>
        <w:pStyle w:val="ReferenceEntry"/>
      </w:pPr>
      <w:r>
        <w:rPr>
          <w:color w:val="auto"/>
        </w:rPr>
        <w:t xml:space="preserve">United States Environmental Protection Agency (USEPA). </w:t>
      </w:r>
      <w:r w:rsidR="00A73063">
        <w:rPr>
          <w:color w:val="auto"/>
        </w:rPr>
        <w:t xml:space="preserve">2020. “Outdoor Air Quality Data – Monitor Values Report.” </w:t>
      </w:r>
      <w:r w:rsidR="00A73063" w:rsidRPr="009C4603">
        <w:rPr>
          <w:rFonts w:cstheme="minorHAnsi"/>
          <w:lang w:val="en-US"/>
        </w:rPr>
        <w:t>https://www.epa.gov/outdoor-air-quality-data/monitor-values-report</w:t>
      </w:r>
      <w:r w:rsidR="00A73063">
        <w:t xml:space="preserve"> (accessed </w:t>
      </w:r>
      <w:r w:rsidR="00A73063">
        <w:rPr>
          <w:lang w:val="en-US"/>
        </w:rPr>
        <w:t>December 2021</w:t>
      </w:r>
      <w:r w:rsidR="00A73063">
        <w:t>).</w:t>
      </w:r>
    </w:p>
    <w:p w14:paraId="6081F49D" w14:textId="5FA2E4CC" w:rsidR="00A225D9" w:rsidRPr="00A225D9" w:rsidRDefault="00493D98" w:rsidP="00A225D9">
      <w:pPr>
        <w:pStyle w:val="ReferenceEntry"/>
        <w:rPr>
          <w:color w:val="auto"/>
        </w:rPr>
      </w:pPr>
      <w:r>
        <w:rPr>
          <w:lang w:val="en-US"/>
        </w:rPr>
        <w:t xml:space="preserve">______. </w:t>
      </w:r>
      <w:r w:rsidR="00A225D9">
        <w:rPr>
          <w:color w:val="auto"/>
          <w:lang w:val="en-US"/>
        </w:rPr>
        <w:t>2021a</w:t>
      </w:r>
      <w:r w:rsidR="00A225D9">
        <w:rPr>
          <w:color w:val="auto"/>
        </w:rPr>
        <w:t xml:space="preserve">. “Criteria Air Pollutants.” </w:t>
      </w:r>
      <w:r w:rsidR="00A225D9" w:rsidRPr="009C4603">
        <w:t>https://www.epa.gov/criteria-air-pollutants</w:t>
      </w:r>
      <w:r w:rsidR="00A225D9">
        <w:rPr>
          <w:color w:val="auto"/>
          <w:lang w:val="en-US"/>
        </w:rPr>
        <w:t xml:space="preserve"> (</w:t>
      </w:r>
      <w:r w:rsidR="00A225D9">
        <w:rPr>
          <w:color w:val="auto"/>
        </w:rPr>
        <w:t xml:space="preserve">accessed </w:t>
      </w:r>
      <w:r w:rsidR="00A225D9">
        <w:rPr>
          <w:color w:val="auto"/>
          <w:lang w:val="en-US"/>
        </w:rPr>
        <w:t>December 2021</w:t>
      </w:r>
      <w:r w:rsidR="00A225D9">
        <w:rPr>
          <w:color w:val="auto"/>
        </w:rPr>
        <w:t>).</w:t>
      </w:r>
    </w:p>
    <w:p w14:paraId="3195A420" w14:textId="4B7E3D9E" w:rsidR="00291BCF" w:rsidRDefault="00493D98" w:rsidP="001327B6">
      <w:pPr>
        <w:pStyle w:val="ReferenceEntry"/>
      </w:pPr>
      <w:r>
        <w:rPr>
          <w:lang w:val="en-US"/>
        </w:rPr>
        <w:t xml:space="preserve">______. </w:t>
      </w:r>
      <w:r w:rsidR="00291BCF">
        <w:rPr>
          <w:lang w:val="en-US"/>
        </w:rPr>
        <w:t xml:space="preserve">2021. </w:t>
      </w:r>
      <w:r w:rsidR="00291BCF">
        <w:t xml:space="preserve">“Climate Change Indicators: Atmospheric Concentrations of Greenhouse Gases.” Last modified: </w:t>
      </w:r>
      <w:r w:rsidR="00291BCF">
        <w:rPr>
          <w:lang w:val="en-US"/>
        </w:rPr>
        <w:t>July 21, 2021</w:t>
      </w:r>
      <w:r w:rsidR="00291BCF">
        <w:t xml:space="preserve">. epa.gov/climate-indicators/climate-change-indicators-atmospheric-concentrations-greenhouse-gases (accessed </w:t>
      </w:r>
      <w:r w:rsidR="00291BCF">
        <w:rPr>
          <w:lang w:val="en-US"/>
        </w:rPr>
        <w:t>December</w:t>
      </w:r>
      <w:r w:rsidR="00291BCF">
        <w:t xml:space="preserve"> 2021).</w:t>
      </w:r>
    </w:p>
    <w:p w14:paraId="4D8DCACD" w14:textId="71A58A1F" w:rsidR="00695B16" w:rsidRDefault="00695B16" w:rsidP="001F0C97">
      <w:pPr>
        <w:pStyle w:val="ReferenceEntry"/>
        <w:rPr>
          <w:rFonts w:cstheme="minorHAnsi"/>
        </w:rPr>
      </w:pPr>
      <w:r w:rsidRPr="00D027B0">
        <w:rPr>
          <w:rFonts w:cstheme="minorHAnsi"/>
        </w:rPr>
        <w:t>United States Fish and Wildlife Service (USFWS). 202</w:t>
      </w:r>
      <w:r>
        <w:rPr>
          <w:rFonts w:cstheme="minorHAnsi"/>
          <w:lang w:val="en-US"/>
        </w:rPr>
        <w:t>0</w:t>
      </w:r>
      <w:r w:rsidRPr="00D027B0">
        <w:rPr>
          <w:rFonts w:cstheme="minorHAnsi"/>
        </w:rPr>
        <w:t>. National Wetlands Inventory. https://www.fws.gov/wetlands/data/mapper.html (accessed</w:t>
      </w:r>
      <w:r>
        <w:rPr>
          <w:rFonts w:cstheme="minorHAnsi"/>
          <w:lang w:val="en-US"/>
        </w:rPr>
        <w:t xml:space="preserve"> December 2021</w:t>
      </w:r>
      <w:r w:rsidRPr="00D027B0">
        <w:rPr>
          <w:rFonts w:cstheme="minorHAnsi"/>
        </w:rPr>
        <w:t>).</w:t>
      </w:r>
    </w:p>
    <w:p w14:paraId="76B0B8C6" w14:textId="28451039" w:rsidR="00A47617" w:rsidRPr="0034695B" w:rsidRDefault="00493D98" w:rsidP="001F0C97">
      <w:pPr>
        <w:pStyle w:val="ReferenceEntry"/>
        <w:rPr>
          <w:rFonts w:cstheme="minorHAnsi"/>
          <w:lang w:val="en-US"/>
        </w:rPr>
      </w:pPr>
      <w:r>
        <w:rPr>
          <w:lang w:val="en-US"/>
        </w:rPr>
        <w:t xml:space="preserve">______. </w:t>
      </w:r>
      <w:r w:rsidR="00A47617">
        <w:rPr>
          <w:rFonts w:cstheme="minorHAnsi"/>
          <w:lang w:val="en-US"/>
        </w:rPr>
        <w:t xml:space="preserve">2022. Information for Planning and Consultation. </w:t>
      </w:r>
      <w:r w:rsidR="00A47617" w:rsidRPr="009C4603">
        <w:rPr>
          <w:rFonts w:cstheme="minorHAnsi"/>
          <w:lang w:val="en-US"/>
        </w:rPr>
        <w:t>https://ecos.fws.gov/ipac/location/D2DJWBPHY5ATJCMFBBJ4XECGMQ/resources</w:t>
      </w:r>
      <w:r w:rsidR="00A47617">
        <w:rPr>
          <w:rFonts w:cstheme="minorHAnsi"/>
          <w:lang w:val="en-US"/>
        </w:rPr>
        <w:t xml:space="preserve"> (accessed January 2022). </w:t>
      </w:r>
    </w:p>
    <w:p w14:paraId="6F6D8D04" w14:textId="2BB1C528" w:rsidR="00712663" w:rsidRDefault="00712663" w:rsidP="00712663">
      <w:pPr>
        <w:pStyle w:val="ReferenceEntry"/>
        <w:rPr>
          <w:lang w:val="en-US"/>
        </w:rPr>
      </w:pPr>
      <w:r w:rsidRPr="00712663">
        <w:rPr>
          <w:lang w:val="en-US"/>
        </w:rPr>
        <w:t xml:space="preserve">United States Geological Survey (USGS). 2016. Earthquake Outlook for the San Francisco Bay Region. </w:t>
      </w:r>
      <w:r w:rsidRPr="00712663">
        <w:t>https://pubs.usgs.gov/fs/2016/3020/fs20163020.pdf</w:t>
      </w:r>
      <w:r w:rsidRPr="00712663">
        <w:rPr>
          <w:lang w:val="en-US"/>
        </w:rPr>
        <w:t xml:space="preserve"> (accessed </w:t>
      </w:r>
      <w:r>
        <w:rPr>
          <w:lang w:val="en-US"/>
        </w:rPr>
        <w:t>December 2021</w:t>
      </w:r>
      <w:r w:rsidRPr="00712663">
        <w:rPr>
          <w:lang w:val="en-US"/>
        </w:rPr>
        <w:t xml:space="preserve">). </w:t>
      </w:r>
    </w:p>
    <w:p w14:paraId="5DE558F6" w14:textId="0432308E" w:rsidR="00872C02" w:rsidRPr="00712663" w:rsidRDefault="00493D98" w:rsidP="00712663">
      <w:pPr>
        <w:pStyle w:val="ReferenceEntry"/>
        <w:rPr>
          <w:lang w:val="en-US"/>
        </w:rPr>
      </w:pPr>
      <w:r>
        <w:rPr>
          <w:lang w:val="en-US"/>
        </w:rPr>
        <w:t xml:space="preserve">______. </w:t>
      </w:r>
      <w:r w:rsidR="00872C02">
        <w:rPr>
          <w:lang w:val="en-US"/>
        </w:rPr>
        <w:t xml:space="preserve">2021. Liquefaction Susceptibility. </w:t>
      </w:r>
      <w:r w:rsidR="00872C02" w:rsidRPr="009C4603">
        <w:rPr>
          <w:lang w:val="en-US"/>
        </w:rPr>
        <w:t>https://earthquake.usgs.gov/education/geologicmaps/liquefaction.php</w:t>
      </w:r>
      <w:r w:rsidR="00872C02">
        <w:rPr>
          <w:lang w:val="en-US"/>
        </w:rPr>
        <w:t xml:space="preserve"> (accessed December 2021). </w:t>
      </w:r>
    </w:p>
    <w:p w14:paraId="0B36DFC3" w14:textId="269B8873" w:rsidR="008D0270" w:rsidRPr="001F0C97" w:rsidRDefault="00493D98" w:rsidP="00816775">
      <w:pPr>
        <w:pStyle w:val="ReferenceEntry"/>
      </w:pPr>
      <w:r>
        <w:rPr>
          <w:lang w:val="en-US"/>
        </w:rPr>
        <w:t xml:space="preserve">______. </w:t>
      </w:r>
      <w:r w:rsidR="008D0270" w:rsidRPr="00816775">
        <w:t>2018. Mountain View, CA.</w:t>
      </w:r>
      <w:r w:rsidR="00712663">
        <w:rPr>
          <w:lang w:val="en-US"/>
        </w:rPr>
        <w:t xml:space="preserve"> </w:t>
      </w:r>
      <w:r w:rsidR="008D0270" w:rsidRPr="00816775">
        <w:t xml:space="preserve">Tabular digital data and vector digital data. https://ngmdb.usgs.gov/topoview/viewer/#15/37.4075/-122.0668 (accessed September </w:t>
      </w:r>
      <w:r w:rsidR="008D0270" w:rsidRPr="001F0C97">
        <w:t>2021).</w:t>
      </w:r>
    </w:p>
    <w:p w14:paraId="5D29E50C" w14:textId="2C6274D5" w:rsidR="00D93C3B" w:rsidRPr="000D2566" w:rsidRDefault="00D93C3B" w:rsidP="00D93C3B">
      <w:pPr>
        <w:pStyle w:val="ReferenceEntry"/>
        <w:rPr>
          <w:rFonts w:cstheme="minorHAnsi"/>
        </w:rPr>
      </w:pPr>
      <w:r w:rsidRPr="000D2566">
        <w:rPr>
          <w:rFonts w:cstheme="minorHAnsi"/>
        </w:rPr>
        <w:t>University of California Museum of Paleontology (UCMP). 202</w:t>
      </w:r>
      <w:r>
        <w:rPr>
          <w:rFonts w:cstheme="minorHAnsi"/>
          <w:lang w:val="en-US"/>
        </w:rPr>
        <w:t>2</w:t>
      </w:r>
      <w:r w:rsidRPr="000D2566">
        <w:rPr>
          <w:rFonts w:cstheme="minorHAnsi"/>
        </w:rPr>
        <w:t xml:space="preserve">. UCMP online database specimen search portal, </w:t>
      </w:r>
      <w:r w:rsidRPr="009C4603">
        <w:rPr>
          <w:rFonts w:cstheme="minorHAnsi"/>
        </w:rPr>
        <w:t>http://ucmpdb.berkeley.edu/</w:t>
      </w:r>
      <w:r w:rsidRPr="000D2566">
        <w:rPr>
          <w:rFonts w:cstheme="minorHAnsi"/>
        </w:rPr>
        <w:t xml:space="preserve"> </w:t>
      </w:r>
      <w:r w:rsidRPr="000D2566">
        <w:rPr>
          <w:rFonts w:cstheme="minorHAnsi"/>
          <w:lang w:val="en-US"/>
        </w:rPr>
        <w:t>(Accessed</w:t>
      </w:r>
      <w:r w:rsidRPr="000D2566">
        <w:rPr>
          <w:rFonts w:cstheme="minorHAnsi"/>
        </w:rPr>
        <w:t xml:space="preserve"> </w:t>
      </w:r>
      <w:r w:rsidRPr="000D2566">
        <w:rPr>
          <w:rFonts w:cstheme="minorHAnsi"/>
          <w:lang w:val="en-US"/>
        </w:rPr>
        <w:t>January 2022)</w:t>
      </w:r>
      <w:r w:rsidRPr="000D2566">
        <w:rPr>
          <w:rFonts w:cstheme="minorHAnsi"/>
        </w:rPr>
        <w:t xml:space="preserve"> </w:t>
      </w:r>
    </w:p>
    <w:p w14:paraId="2339C45F" w14:textId="2923BA6A" w:rsidR="00542725" w:rsidRPr="00113AFC" w:rsidRDefault="00542725" w:rsidP="00EC4AA6">
      <w:pPr>
        <w:pStyle w:val="Heading2-nonumber"/>
      </w:pPr>
      <w:bookmarkStart w:id="364" w:name="_Toc112942449"/>
      <w:r w:rsidRPr="00113AFC">
        <w:t>List of Preparers</w:t>
      </w:r>
      <w:bookmarkEnd w:id="354"/>
      <w:bookmarkEnd w:id="355"/>
      <w:bookmarkEnd w:id="356"/>
      <w:bookmarkEnd w:id="357"/>
      <w:bookmarkEnd w:id="364"/>
    </w:p>
    <w:p w14:paraId="7A2F2BC7" w14:textId="607CCD3B" w:rsidR="00542725" w:rsidRPr="00113AFC" w:rsidRDefault="00542725" w:rsidP="000D75C9">
      <w:pPr>
        <w:pStyle w:val="BodyText"/>
        <w:rPr>
          <w:b/>
        </w:rPr>
      </w:pPr>
      <w:r w:rsidRPr="00113AFC">
        <w:t>Rincon Consultants, Inc.</w:t>
      </w:r>
      <w:r w:rsidR="00113AFC">
        <w:t xml:space="preserve">, </w:t>
      </w:r>
      <w:r w:rsidRPr="00113AFC">
        <w:t xml:space="preserve">prepared this IS-MND under contract to the City of </w:t>
      </w:r>
      <w:r w:rsidR="00113AFC">
        <w:t>Mountain View</w:t>
      </w:r>
      <w:r w:rsidRPr="00113AFC">
        <w:t xml:space="preserve">. Persons involved in data gathering analysis, project management, and quality control </w:t>
      </w:r>
      <w:r w:rsidR="000E0662" w:rsidRPr="00113AFC">
        <w:t>are listed below</w:t>
      </w:r>
      <w:r w:rsidRPr="00113AFC">
        <w:t>.</w:t>
      </w:r>
    </w:p>
    <w:p w14:paraId="7EAF6521" w14:textId="77777777" w:rsidR="00542725" w:rsidRPr="00113AFC" w:rsidRDefault="00542725" w:rsidP="001D543B">
      <w:pPr>
        <w:pStyle w:val="Heading7"/>
      </w:pPr>
      <w:r w:rsidRPr="00113AFC">
        <w:t>Rincon Consultants</w:t>
      </w:r>
      <w:r w:rsidR="001D543B" w:rsidRPr="00113AFC">
        <w:t>, Inc.</w:t>
      </w:r>
    </w:p>
    <w:p w14:paraId="39091E6E" w14:textId="7C227E04" w:rsidR="00BE5320" w:rsidRPr="00A07BB6" w:rsidRDefault="00F055B5" w:rsidP="00A07BB6">
      <w:pPr>
        <w:pStyle w:val="BodyText"/>
      </w:pPr>
      <w:r w:rsidRPr="00113AFC">
        <w:t xml:space="preserve">Abe Leider, </w:t>
      </w:r>
      <w:r w:rsidRPr="00A07BB6">
        <w:t>AICP CEP, Principal</w:t>
      </w:r>
      <w:r w:rsidR="00A07BB6">
        <w:t>-</w:t>
      </w:r>
      <w:r w:rsidRPr="00A07BB6">
        <w:t>in</w:t>
      </w:r>
      <w:r w:rsidR="00A07BB6">
        <w:t>-</w:t>
      </w:r>
      <w:r w:rsidRPr="00A07BB6">
        <w:t>Charge</w:t>
      </w:r>
      <w:r w:rsidR="00A07BB6">
        <w:br/>
      </w:r>
      <w:r w:rsidRPr="00A07BB6">
        <w:t xml:space="preserve">Leslie Trejo, </w:t>
      </w:r>
      <w:r w:rsidR="000A48E4" w:rsidRPr="00A07BB6">
        <w:t xml:space="preserve">MUP, </w:t>
      </w:r>
      <w:r w:rsidRPr="00A07BB6">
        <w:t xml:space="preserve">Assistant Project Manager </w:t>
      </w:r>
      <w:r w:rsidR="00A07BB6">
        <w:br/>
      </w:r>
      <w:r w:rsidR="000C1809" w:rsidRPr="00A07BB6">
        <w:t xml:space="preserve">Kayleigh Limbach, Environmental Planner </w:t>
      </w:r>
      <w:r w:rsidR="00A07BB6">
        <w:br/>
      </w:r>
      <w:r w:rsidR="00365FB2" w:rsidRPr="00A07BB6">
        <w:t>Mimi McNamara, Environmental Planner</w:t>
      </w:r>
      <w:r w:rsidR="00A07BB6">
        <w:br/>
      </w:r>
      <w:r w:rsidR="008808DD" w:rsidRPr="00A07BB6">
        <w:t xml:space="preserve">Amanda Harvey, Project Manager </w:t>
      </w:r>
      <w:r w:rsidR="00A07BB6">
        <w:br/>
      </w:r>
      <w:r w:rsidR="008808DD" w:rsidRPr="00A07BB6">
        <w:t>Elaine Foster, Archaeologist</w:t>
      </w:r>
      <w:r w:rsidR="00275B75" w:rsidRPr="00A07BB6">
        <w:t xml:space="preserve"> </w:t>
      </w:r>
      <w:r w:rsidR="00A07BB6">
        <w:br/>
      </w:r>
      <w:r w:rsidR="000C1809" w:rsidRPr="00A07BB6">
        <w:t xml:space="preserve">Milena LaBarbiera, Environmental Scientist </w:t>
      </w:r>
      <w:r w:rsidR="00A07BB6">
        <w:br/>
      </w:r>
      <w:r w:rsidR="000C1809" w:rsidRPr="00A07BB6">
        <w:t xml:space="preserve">Julie Welch, </w:t>
      </w:r>
      <w:r w:rsidR="00831A26" w:rsidRPr="00A07BB6">
        <w:t>Director of Due Diligence</w:t>
      </w:r>
      <w:r w:rsidR="000C1809" w:rsidRPr="00A07BB6">
        <w:t xml:space="preserve"> </w:t>
      </w:r>
      <w:r w:rsidR="00A07BB6">
        <w:br/>
      </w:r>
      <w:r w:rsidR="00365FB2" w:rsidRPr="00A07BB6">
        <w:t xml:space="preserve">Chris Shields, </w:t>
      </w:r>
      <w:r w:rsidR="000C1809" w:rsidRPr="00A07BB6">
        <w:t xml:space="preserve">Senior Environmental Scientist </w:t>
      </w:r>
      <w:r w:rsidR="00A07BB6">
        <w:br/>
      </w:r>
      <w:r w:rsidR="00365FB2" w:rsidRPr="00A07BB6">
        <w:t xml:space="preserve">Audrey Brown, </w:t>
      </w:r>
      <w:r w:rsidR="000C1809" w:rsidRPr="00A07BB6">
        <w:t>GIS Analyst</w:t>
      </w:r>
      <w:r w:rsidR="00A07BB6">
        <w:br/>
      </w:r>
      <w:r w:rsidR="000C1809" w:rsidRPr="00A07BB6">
        <w:t xml:space="preserve">Allysen </w:t>
      </w:r>
      <w:r w:rsidR="00365FB2" w:rsidRPr="00A07BB6">
        <w:t>Valencia</w:t>
      </w:r>
      <w:r w:rsidR="000C1809" w:rsidRPr="00A07BB6">
        <w:t>, GIS Analyst</w:t>
      </w:r>
      <w:r w:rsidR="00CC4879">
        <w:br/>
        <w:t>Luis Apolinar, Publishing Specialist</w:t>
      </w:r>
    </w:p>
    <w:p w14:paraId="69C3EC71" w14:textId="77777777" w:rsidR="001D543B" w:rsidRPr="000E45CD" w:rsidRDefault="001D543B" w:rsidP="001D543B">
      <w:pPr>
        <w:pStyle w:val="Blank"/>
        <w:rPr>
          <w:highlight w:val="lightGray"/>
        </w:rPr>
      </w:pPr>
    </w:p>
    <w:p w14:paraId="2ACE4ACC" w14:textId="77777777" w:rsidR="001D543B" w:rsidRDefault="001D543B" w:rsidP="00AA64C7">
      <w:pPr>
        <w:pStyle w:val="blank0"/>
        <w:rPr>
          <w:rStyle w:val="DropdownList"/>
          <w:i w:val="0"/>
        </w:rPr>
      </w:pPr>
      <w:r w:rsidRPr="001E3A21">
        <w:t>This page intentionally left blank.</w:t>
      </w:r>
    </w:p>
    <w:sectPr w:rsidR="001D543B" w:rsidSect="00540E4A">
      <w:headerReference w:type="default" r:id="rId47"/>
      <w:pgSz w:w="12240" w:h="15840"/>
      <w:pgMar w:top="1440" w:right="1627" w:bottom="1440" w:left="162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21503" w14:textId="77777777" w:rsidR="002002C4" w:rsidRDefault="002002C4" w:rsidP="00511495">
      <w:pPr>
        <w:spacing w:after="0"/>
      </w:pPr>
      <w:r>
        <w:separator/>
      </w:r>
    </w:p>
  </w:endnote>
  <w:endnote w:type="continuationSeparator" w:id="0">
    <w:p w14:paraId="2A3C6FE3" w14:textId="77777777" w:rsidR="002002C4" w:rsidRDefault="002002C4" w:rsidP="00511495">
      <w:pPr>
        <w:spacing w:after="0"/>
      </w:pPr>
      <w:r>
        <w:continuationSeparator/>
      </w:r>
    </w:p>
  </w:endnote>
  <w:endnote w:type="continuationNotice" w:id="1">
    <w:p w14:paraId="08C9CB64" w14:textId="77777777" w:rsidR="002002C4" w:rsidRDefault="002002C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ookAntiqua">
    <w:altName w:val="Cambria"/>
    <w:panose1 w:val="00000000000000000000"/>
    <w:charset w:val="00"/>
    <w:family w:val="auto"/>
    <w:notTrueType/>
    <w:pitch w:val="default"/>
    <w:sig w:usb0="00000003" w:usb1="00000000" w:usb2="00000000" w:usb3="00000000" w:csb0="00000001" w:csb1="00000000"/>
  </w:font>
  <w:font w:name="SegoeUI-BoldItalic">
    <w:altName w:val="Segoe UI"/>
    <w:panose1 w:val="00000000000000000000"/>
    <w:charset w:val="00"/>
    <w:family w:val="roman"/>
    <w:notTrueType/>
    <w:pitch w:val="default"/>
  </w:font>
  <w:font w:name="SegoeUI">
    <w:altName w:val="Segoe UI"/>
    <w:panose1 w:val="00000000000000000000"/>
    <w:charset w:val="00"/>
    <w:family w:val="swiss"/>
    <w:notTrueType/>
    <w:pitch w:val="default"/>
    <w:sig w:usb0="00000003" w:usb1="00000000" w:usb2="00000000" w:usb3="00000000" w:csb0="00000001" w:csb1="00000000"/>
  </w:font>
  <w:font w:name="SymbolMT">
    <w:altName w:val="Malgun Gothic Semilight"/>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Book Antiqua,Bold">
    <w:panose1 w:val="00000000000000000000"/>
    <w:charset w:val="00"/>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C2755" w14:textId="77777777" w:rsidR="002002C4" w:rsidRPr="00B54C7B" w:rsidRDefault="002002C4" w:rsidP="00294746">
    <w:pPr>
      <w:pStyle w:val="Footer"/>
      <w:pBdr>
        <w:top w:val="none" w:sz="0" w:space="0" w:color="auto"/>
      </w:pBdr>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4C6F3" w14:textId="77777777" w:rsidR="002002C4" w:rsidRPr="00FF5496" w:rsidRDefault="002002C4" w:rsidP="004E0909">
    <w:pPr>
      <w:pStyle w:val="Footer"/>
      <w:pBdr>
        <w:top w:val="none" w:sz="0" w:space="0" w:color="auto"/>
      </w:pBdr>
      <w:jc w:val="left"/>
    </w:pPr>
    <w:r>
      <w:rPr>
        <w:noProof/>
      </w:rPr>
      <w:drawing>
        <wp:inline distT="0" distB="0" distL="0" distR="0" wp14:anchorId="289E01AA" wp14:editId="50B299E5">
          <wp:extent cx="2944368" cy="633099"/>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iversary25_Logo_PRINT_Wordmar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44368" cy="633099"/>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C9BAE" w14:textId="77777777" w:rsidR="002002C4" w:rsidRPr="00FF5496" w:rsidRDefault="002002C4" w:rsidP="004E0909">
    <w:pPr>
      <w:pStyle w:val="Footer"/>
      <w:pBdr>
        <w:top w:val="none" w:sz="0" w:space="0" w:color="auto"/>
      </w:pBdr>
      <w:jc w:val="left"/>
    </w:pPr>
    <w:r>
      <w:rPr>
        <w:noProof/>
      </w:rPr>
      <w:drawing>
        <wp:inline distT="0" distB="0" distL="0" distR="0" wp14:anchorId="6EC6B670" wp14:editId="5851D521">
          <wp:extent cx="2944368" cy="633099"/>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iversary25_Logo_PRINT_Wordmark B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44368" cy="633099"/>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39F8E" w14:textId="228FBB3C" w:rsidR="002002C4" w:rsidRPr="004A01EF" w:rsidRDefault="002002C4" w:rsidP="00B95A18">
    <w:pPr>
      <w:pStyle w:val="Footer"/>
      <w:shd w:val="clear" w:color="auto" w:fill="FFFFFF" w:themeFill="background1"/>
      <w:tabs>
        <w:tab w:val="right" w:pos="12960"/>
      </w:tabs>
      <w:jc w:val="left"/>
      <w:rPr>
        <w:color w:val="000000" w:themeColor="text1"/>
      </w:rPr>
    </w:pPr>
    <w:r>
      <w:rPr>
        <w:color w:val="000000" w:themeColor="text1"/>
      </w:rPr>
      <w:br/>
    </w:r>
    <w:r w:rsidRPr="004A01EF">
      <w:rPr>
        <w:color w:val="000000" w:themeColor="text1"/>
      </w:rPr>
      <w:fldChar w:fldCharType="begin"/>
    </w:r>
    <w:r w:rsidRPr="004A01EF">
      <w:rPr>
        <w:color w:val="000000" w:themeColor="text1"/>
      </w:rPr>
      <w:instrText xml:space="preserve"> PAGE   \* MERGEFORMAT </w:instrText>
    </w:r>
    <w:r w:rsidRPr="004A01EF">
      <w:rPr>
        <w:color w:val="000000" w:themeColor="text1"/>
      </w:rPr>
      <w:fldChar w:fldCharType="separate"/>
    </w:r>
    <w:r w:rsidRPr="00695176">
      <w:rPr>
        <w:bCs/>
        <w:noProof/>
        <w:color w:val="000000" w:themeColor="text1"/>
      </w:rPr>
      <w:t>viii</w:t>
    </w:r>
    <w:r w:rsidRPr="004A01EF">
      <w:rPr>
        <w:bCs/>
        <w:noProof/>
        <w:color w:val="000000" w:themeColor="text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DCFB5" w14:textId="30AC29F5" w:rsidR="002002C4" w:rsidRPr="001F2559" w:rsidRDefault="002002C4" w:rsidP="00B54455">
    <w:pPr>
      <w:pStyle w:val="Footer"/>
      <w:shd w:val="clear" w:color="auto" w:fill="FFFFFF" w:themeFill="background1"/>
      <w:tabs>
        <w:tab w:val="right" w:pos="8982"/>
      </w:tabs>
      <w:jc w:val="left"/>
    </w:pPr>
    <w:r>
      <w:br/>
    </w:r>
    <w:r w:rsidR="00817BC5">
      <w:fldChar w:fldCharType="begin"/>
    </w:r>
    <w:r w:rsidR="00817BC5">
      <w:instrText xml:space="preserve"> STYLEREF  CoverSubhead  \* MERGEFORMAT </w:instrText>
    </w:r>
    <w:r w:rsidR="00817BC5">
      <w:fldChar w:fldCharType="separate"/>
    </w:r>
    <w:r w:rsidR="00817BC5">
      <w:rPr>
        <w:noProof/>
      </w:rPr>
      <w:t>Initial Study – Negative Declaration</w:t>
    </w:r>
    <w:r w:rsidR="00817BC5">
      <w:rPr>
        <w:noProof/>
      </w:rPr>
      <w:fldChar w:fldCharType="end"/>
    </w:r>
    <w:r w:rsidRPr="001F2559">
      <w:tab/>
    </w:r>
    <w:r w:rsidRPr="001F2559">
      <w:fldChar w:fldCharType="begin"/>
    </w:r>
    <w:r w:rsidRPr="001F2559">
      <w:instrText xml:space="preserve"> PAGE   \* MERGEFORMAT </w:instrText>
    </w:r>
    <w:r w:rsidRPr="001F2559">
      <w:fldChar w:fldCharType="separate"/>
    </w:r>
    <w:r w:rsidRPr="00695176">
      <w:rPr>
        <w:bCs/>
        <w:noProof/>
      </w:rPr>
      <w:t>iii</w:t>
    </w:r>
    <w:r w:rsidRPr="001F2559">
      <w:rPr>
        <w:bCs/>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099BE" w14:textId="7F31FFD4" w:rsidR="002002C4" w:rsidRPr="001F2559" w:rsidRDefault="002002C4" w:rsidP="00B54455">
    <w:pPr>
      <w:pStyle w:val="Footer"/>
      <w:shd w:val="clear" w:color="auto" w:fill="FFFFFF" w:themeFill="background1"/>
      <w:tabs>
        <w:tab w:val="right" w:pos="8982"/>
      </w:tabs>
      <w:jc w:val="left"/>
    </w:pPr>
    <w:r>
      <w:br/>
    </w:r>
    <w:r w:rsidR="00817BC5">
      <w:fldChar w:fldCharType="begin"/>
    </w:r>
    <w:r w:rsidR="00817BC5">
      <w:instrText xml:space="preserve"> STYLEREF  CoverSubhead  \* MERGEFORMAT </w:instrText>
    </w:r>
    <w:r w:rsidR="00817BC5">
      <w:fldChar w:fldCharType="separate"/>
    </w:r>
    <w:r w:rsidR="00817BC5">
      <w:rPr>
        <w:noProof/>
      </w:rPr>
      <w:t>Initial Study – Negative Declaration</w:t>
    </w:r>
    <w:r w:rsidR="00817BC5">
      <w:rPr>
        <w:noProof/>
      </w:rPr>
      <w:fldChar w:fldCharType="end"/>
    </w:r>
    <w:r w:rsidRPr="001F2559">
      <w:tab/>
    </w:r>
    <w:r w:rsidRPr="001F2559">
      <w:fldChar w:fldCharType="begin"/>
    </w:r>
    <w:r w:rsidRPr="001F2559">
      <w:instrText xml:space="preserve"> PAGE   \* MERGEFORMAT </w:instrText>
    </w:r>
    <w:r w:rsidRPr="001F2559">
      <w:fldChar w:fldCharType="separate"/>
    </w:r>
    <w:r w:rsidRPr="00695176">
      <w:rPr>
        <w:bCs/>
        <w:noProof/>
      </w:rPr>
      <w:t>ix</w:t>
    </w:r>
    <w:r w:rsidRPr="001F2559">
      <w:rPr>
        <w:bCs/>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D882E" w14:textId="23BC89BE" w:rsidR="002002C4" w:rsidRPr="000C7CF4" w:rsidRDefault="002002C4" w:rsidP="0074419F">
    <w:pPr>
      <w:pStyle w:val="Footer"/>
      <w:pBdr>
        <w:top w:val="single" w:sz="4" w:space="0" w:color="auto"/>
      </w:pBdr>
      <w:tabs>
        <w:tab w:val="right" w:pos="8982"/>
      </w:tabs>
      <w:jc w:val="left"/>
    </w:pPr>
    <w:r>
      <w:br/>
    </w:r>
    <w:r w:rsidR="00817BC5">
      <w:fldChar w:fldCharType="begin"/>
    </w:r>
    <w:r w:rsidR="00817BC5">
      <w:instrText xml:space="preserve"> STYLEREF  CoverSubhead  \* MERGEFORMAT </w:instrText>
    </w:r>
    <w:r w:rsidR="00817BC5">
      <w:fldChar w:fldCharType="separate"/>
    </w:r>
    <w:r w:rsidR="00817BC5">
      <w:rPr>
        <w:noProof/>
      </w:rPr>
      <w:t>Initial Study – Negative Declaration</w:t>
    </w:r>
    <w:r w:rsidR="00817BC5">
      <w:rPr>
        <w:noProof/>
      </w:rPr>
      <w:fldChar w:fldCharType="end"/>
    </w:r>
    <w:r w:rsidRPr="001A5D19">
      <w:rPr>
        <w:noProof/>
      </w:rPr>
      <w:ptab w:relativeTo="margin" w:alignment="right" w:leader="none"/>
    </w:r>
    <w:r w:rsidRPr="003847FA">
      <w:rPr>
        <w:noProof/>
      </w:rPr>
      <w:fldChar w:fldCharType="begin"/>
    </w:r>
    <w:r w:rsidRPr="003847FA">
      <w:rPr>
        <w:noProof/>
      </w:rPr>
      <w:instrText xml:space="preserve"> PAGE   \* MERGEFORMAT </w:instrText>
    </w:r>
    <w:r w:rsidRPr="003847FA">
      <w:rPr>
        <w:noProof/>
      </w:rPr>
      <w:fldChar w:fldCharType="separate"/>
    </w:r>
    <w:r>
      <w:rPr>
        <w:noProof/>
      </w:rPr>
      <w:t>3</w:t>
    </w:r>
    <w:r w:rsidRPr="003847FA">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B4AE9" w14:textId="0AF2CDF2" w:rsidR="002002C4" w:rsidRPr="000C7CF4" w:rsidRDefault="002002C4" w:rsidP="0074419F">
    <w:pPr>
      <w:pStyle w:val="Footer"/>
      <w:shd w:val="clear" w:color="auto" w:fill="FFFFFF" w:themeFill="background1"/>
      <w:tabs>
        <w:tab w:val="right" w:pos="12960"/>
      </w:tabs>
      <w:jc w:val="left"/>
    </w:pPr>
    <w:r>
      <w:br/>
    </w:r>
    <w:r w:rsidR="00817BC5">
      <w:fldChar w:fldCharType="begin"/>
    </w:r>
    <w:r w:rsidR="00817BC5">
      <w:instrText xml:space="preserve"> STYLEREF  CoverSubhead  \* MERGEFORMAT </w:instrText>
    </w:r>
    <w:r w:rsidR="00817BC5">
      <w:fldChar w:fldCharType="separate"/>
    </w:r>
    <w:r w:rsidR="00817BC5">
      <w:rPr>
        <w:noProof/>
      </w:rPr>
      <w:t>Initial Study – Negative Declaration</w:t>
    </w:r>
    <w:r w:rsidR="00817BC5">
      <w:rPr>
        <w:noProof/>
      </w:rPr>
      <w:fldChar w:fldCharType="end"/>
    </w:r>
    <w:r w:rsidRPr="001F2559">
      <w:tab/>
    </w:r>
    <w:r w:rsidRPr="001F2559">
      <w:fldChar w:fldCharType="begin"/>
    </w:r>
    <w:r w:rsidRPr="001F2559">
      <w:instrText xml:space="preserve"> PAGE   \* MERGEFORMAT </w:instrText>
    </w:r>
    <w:r w:rsidRPr="001F2559">
      <w:fldChar w:fldCharType="separate"/>
    </w:r>
    <w:r>
      <w:rPr>
        <w:noProof/>
      </w:rPr>
      <w:t>7</w:t>
    </w:r>
    <w:r w:rsidRPr="001F2559">
      <w:rPr>
        <w:bCs/>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99DAA" w14:textId="3F50A08B" w:rsidR="002002C4" w:rsidRPr="001F2559" w:rsidRDefault="002002C4" w:rsidP="00EF1A18">
    <w:pPr>
      <w:pStyle w:val="Footer"/>
      <w:shd w:val="clear" w:color="auto" w:fill="FFFFFF" w:themeFill="background1"/>
      <w:tabs>
        <w:tab w:val="right" w:pos="12960"/>
      </w:tabs>
      <w:jc w:val="left"/>
    </w:pPr>
    <w:r>
      <w:br/>
    </w:r>
    <w:r w:rsidR="00817BC5">
      <w:fldChar w:fldCharType="begin"/>
    </w:r>
    <w:r w:rsidR="00817BC5">
      <w:instrText xml:space="preserve"> STYLEREF  CoverSubhead  \* MERGEFORMAT </w:instrText>
    </w:r>
    <w:r w:rsidR="00817BC5">
      <w:fldChar w:fldCharType="separate"/>
    </w:r>
    <w:r w:rsidR="00817BC5">
      <w:rPr>
        <w:noProof/>
      </w:rPr>
      <w:t>Initial Study – Negative Declaration</w:t>
    </w:r>
    <w:r w:rsidR="00817BC5">
      <w:rPr>
        <w:noProof/>
      </w:rPr>
      <w:fldChar w:fldCharType="end"/>
    </w:r>
    <w:r w:rsidRPr="001F2559">
      <w:tab/>
    </w:r>
    <w:r w:rsidRPr="001F2559">
      <w:fldChar w:fldCharType="begin"/>
    </w:r>
    <w:r w:rsidRPr="001F2559">
      <w:instrText xml:space="preserve"> PAGE   \* MERGEFORMAT </w:instrText>
    </w:r>
    <w:r w:rsidRPr="001F2559">
      <w:fldChar w:fldCharType="separate"/>
    </w:r>
    <w:r w:rsidRPr="00BF360C">
      <w:rPr>
        <w:bCs/>
        <w:noProof/>
      </w:rPr>
      <w:t>147</w:t>
    </w:r>
    <w:r w:rsidRPr="001F2559">
      <w:rPr>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C73BAC" w14:textId="77777777" w:rsidR="002002C4" w:rsidRDefault="002002C4" w:rsidP="00511495">
      <w:pPr>
        <w:spacing w:after="0"/>
      </w:pPr>
      <w:r>
        <w:separator/>
      </w:r>
    </w:p>
  </w:footnote>
  <w:footnote w:type="continuationSeparator" w:id="0">
    <w:p w14:paraId="0771D5D3" w14:textId="77777777" w:rsidR="002002C4" w:rsidRDefault="002002C4" w:rsidP="00511495">
      <w:pPr>
        <w:spacing w:after="0"/>
      </w:pPr>
      <w:r>
        <w:continuationSeparator/>
      </w:r>
    </w:p>
  </w:footnote>
  <w:footnote w:type="continuationNotice" w:id="1">
    <w:p w14:paraId="59696825" w14:textId="77777777" w:rsidR="002002C4" w:rsidRDefault="002002C4">
      <w:pPr>
        <w:spacing w:after="0"/>
      </w:pPr>
    </w:p>
  </w:footnote>
  <w:footnote w:id="2">
    <w:p w14:paraId="1756C69B" w14:textId="021048BC" w:rsidR="001C32EE" w:rsidRDefault="001C32EE">
      <w:pPr>
        <w:pStyle w:val="FootnoteText"/>
      </w:pPr>
      <w:r w:rsidRPr="00275B75">
        <w:rPr>
          <w:rStyle w:val="FootnoteReference"/>
          <w:vertAlign w:val="superscript"/>
        </w:rPr>
        <w:footnoteRef/>
      </w:r>
      <w:r>
        <w:t xml:space="preserve"> Although not shown in Figure 3, the parking spaces located in the center of the surface parking lot would be underneath a photovoltaic solar panel platform. </w:t>
      </w:r>
    </w:p>
  </w:footnote>
  <w:footnote w:id="3">
    <w:p w14:paraId="6FF066B8" w14:textId="77777777" w:rsidR="002002C4" w:rsidRDefault="002002C4" w:rsidP="008873CE">
      <w:pPr>
        <w:pStyle w:val="FootnoteText"/>
      </w:pPr>
      <w:r>
        <w:rPr>
          <w:rStyle w:val="FootnoteReference"/>
          <w:vertAlign w:val="superscript"/>
        </w:rPr>
        <w:footnoteRef/>
      </w:r>
      <w:r>
        <w:t xml:space="preserve"> CARB defines VOC and ROG similarly as, “any compound of carbon excluding carbon monoxide, carbon dioxide, carbonic acid, metallic carbides or carbonates, and ammonium carbonate,” with the exception that VOC are compounds that participate in atmospheric photochemical reactions. </w:t>
      </w:r>
      <w:r w:rsidRPr="00DA360F">
        <w:t>For the purposes of this analysis, ROG and VOC are considered comparable in terms of mass emissions, and the term ROG is used in this IS-MND.</w:t>
      </w:r>
    </w:p>
  </w:footnote>
  <w:footnote w:id="4">
    <w:p w14:paraId="1023C919" w14:textId="77777777" w:rsidR="002002C4" w:rsidRDefault="002002C4" w:rsidP="008873CE">
      <w:pPr>
        <w:pStyle w:val="FootnoteText"/>
        <w:rPr>
          <w:rFonts w:cstheme="minorHAnsi"/>
        </w:rPr>
      </w:pPr>
      <w:r>
        <w:rPr>
          <w:rStyle w:val="FootnoteReference"/>
          <w:rFonts w:cstheme="minorHAnsi"/>
          <w:vertAlign w:val="superscript"/>
        </w:rPr>
        <w:footnoteRef/>
      </w:r>
      <w:r>
        <w:rPr>
          <w:rFonts w:cstheme="minorHAnsi"/>
        </w:rPr>
        <w:t xml:space="preserve"> The Intergovernmental Panel on Climate Change’s (2021) </w:t>
      </w:r>
      <w:r>
        <w:rPr>
          <w:rFonts w:cstheme="minorHAnsi"/>
          <w:i/>
          <w:iCs/>
        </w:rPr>
        <w:t>Sixth Assessment Report</w:t>
      </w:r>
      <w:r>
        <w:rPr>
          <w:rFonts w:cstheme="minorHAnsi"/>
        </w:rPr>
        <w:t xml:space="preserve"> determined that methane has a GWP of 30. </w:t>
      </w:r>
      <w:bookmarkStart w:id="221" w:name="_Hlk80972215"/>
      <w:r>
        <w:rPr>
          <w:rFonts w:cstheme="minorHAnsi"/>
        </w:rPr>
        <w:t xml:space="preserve">However, the 2017 Climate Change Scoping Plan published by the California Air Resources Board uses a GWP of 25 for methane, consistent with the Intergovernmental Panel on Climate Change’s (2007) </w:t>
      </w:r>
      <w:r>
        <w:rPr>
          <w:rFonts w:cstheme="minorHAnsi"/>
          <w:i/>
          <w:iCs/>
        </w:rPr>
        <w:t>Fourth Assessment Report</w:t>
      </w:r>
      <w:r>
        <w:rPr>
          <w:rFonts w:cstheme="minorHAnsi"/>
        </w:rPr>
        <w:t>. Therefore, this analysis utilizes a GWP of 25.</w:t>
      </w:r>
      <w:bookmarkEnd w:id="221"/>
    </w:p>
  </w:footnote>
  <w:footnote w:id="5">
    <w:p w14:paraId="47E5A4F8" w14:textId="1E549876" w:rsidR="004B65B7" w:rsidRDefault="004B65B7">
      <w:pPr>
        <w:pStyle w:val="FootnoteText"/>
      </w:pPr>
      <w:r w:rsidRPr="00AC1C51">
        <w:rPr>
          <w:rStyle w:val="FootnoteReference"/>
          <w:vertAlign w:val="superscript"/>
        </w:rPr>
        <w:footnoteRef/>
      </w:r>
      <w:r>
        <w:t xml:space="preserve"> </w:t>
      </w:r>
      <w:r w:rsidR="003E2FCA">
        <w:t xml:space="preserve">Ponding depth allows for the temporary storage of stormwater before it filters downward through the bioretention area. </w:t>
      </w:r>
    </w:p>
  </w:footnote>
  <w:footnote w:id="6">
    <w:p w14:paraId="1B601B53" w14:textId="77777777" w:rsidR="00FF4E06" w:rsidRDefault="00FF4E06" w:rsidP="00FF4E06">
      <w:pPr>
        <w:pStyle w:val="FootnoteText"/>
      </w:pPr>
      <w:r w:rsidRPr="00A07BB6">
        <w:rPr>
          <w:rStyle w:val="FootnoteReference"/>
          <w:vertAlign w:val="superscript"/>
        </w:rPr>
        <w:footnoteRef/>
      </w:r>
      <w:r>
        <w:t xml:space="preserve"> Calculation: 2.016 acre-feet divided by 2,412 acre-feet (single and multiple dry year difference) multiplied by 100% is 0.0835. </w:t>
      </w:r>
    </w:p>
  </w:footnote>
  <w:footnote w:id="7">
    <w:p w14:paraId="6F135865" w14:textId="72EAD1EE" w:rsidR="002002C4" w:rsidRDefault="002002C4">
      <w:pPr>
        <w:pStyle w:val="FootnoteText"/>
      </w:pPr>
      <w:r w:rsidRPr="00A07BB6">
        <w:rPr>
          <w:rStyle w:val="FootnoteReference"/>
          <w:vertAlign w:val="superscript"/>
        </w:rPr>
        <w:footnoteRef/>
      </w:r>
      <w:r w:rsidRPr="00A07BB6">
        <w:rPr>
          <w:vertAlign w:val="superscript"/>
        </w:rPr>
        <w:t xml:space="preserve"> </w:t>
      </w:r>
      <w:r>
        <w:t xml:space="preserve">Calculation: 39 mgd minus 28.17 mgd is 10.83 mgd of remaining capacity at maximum daily flow; 1,400 gallons divided by 10.83 mgd, multiplied by 100%, is 0.0129.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47248" w14:textId="1BDA7AB4" w:rsidR="002002C4" w:rsidRPr="00332ECB" w:rsidRDefault="002002C4" w:rsidP="00517F1B">
    <w:pPr>
      <w:pStyle w:val="Header"/>
    </w:pPr>
    <w:r w:rsidRPr="00C3727F">
      <w:t xml:space="preserve">City of </w:t>
    </w:r>
    <w:r>
      <w:t>Mountain View</w:t>
    </w:r>
    <w:r w:rsidRPr="00C3727F">
      <w:br/>
    </w:r>
    <w:r>
      <w:rPr>
        <w:b/>
        <w:bCs/>
      </w:rPr>
      <w:t xml:space="preserve">1155 </w:t>
    </w:r>
    <w:r w:rsidR="00275B75">
      <w:rPr>
        <w:b/>
        <w:bCs/>
      </w:rPr>
      <w:t>and</w:t>
    </w:r>
    <w:r>
      <w:rPr>
        <w:b/>
        <w:bCs/>
      </w:rPr>
      <w:t xml:space="preserve"> 1185 Terra Bella Avenue</w:t>
    </w:r>
    <w:r w:rsidR="00F277BB">
      <w:rPr>
        <w:b/>
        <w:bCs/>
      </w:rPr>
      <w:t xml:space="preserve"> Office</w:t>
    </w:r>
    <w:r>
      <w:rPr>
        <w:b/>
        <w:bCs/>
      </w:rPr>
      <w:t xml:space="preserve"> Project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67ABC" w14:textId="0C06109D" w:rsidR="002002C4" w:rsidRPr="00303E4A" w:rsidRDefault="002002C4" w:rsidP="00303E4A">
    <w:pPr>
      <w:pStyle w:val="Header"/>
      <w:jc w:val="right"/>
      <w:rPr>
        <w:color w:val="000000" w:themeColor="text1"/>
      </w:rPr>
    </w:pPr>
    <w:r w:rsidRPr="00303E4A">
      <w:rPr>
        <w:color w:val="000000" w:themeColor="text1"/>
      </w:rPr>
      <w:fldChar w:fldCharType="begin"/>
    </w:r>
    <w:r w:rsidRPr="00303E4A">
      <w:rPr>
        <w:color w:val="000000" w:themeColor="text1"/>
      </w:rPr>
      <w:instrText xml:space="preserve"> STYLEREF  "TOC page title"  \* MERGEFORMAT </w:instrText>
    </w:r>
    <w:r w:rsidRPr="00303E4A">
      <w:rPr>
        <w:color w:val="000000" w:themeColor="text1"/>
      </w:rPr>
      <w:fldChar w:fldCharType="separate"/>
    </w:r>
    <w:r w:rsidR="00817BC5">
      <w:rPr>
        <w:noProof/>
        <w:color w:val="000000" w:themeColor="text1"/>
      </w:rPr>
      <w:t>Table of Contents</w:t>
    </w:r>
    <w:r w:rsidRPr="00303E4A">
      <w:rPr>
        <w:color w:val="000000" w:themeColor="text1"/>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BE503" w14:textId="5313D2B5" w:rsidR="002002C4" w:rsidRPr="004408ED" w:rsidRDefault="00817BC5" w:rsidP="004408ED">
    <w:pPr>
      <w:pStyle w:val="Header"/>
      <w:jc w:val="right"/>
    </w:pPr>
    <w:r>
      <w:fldChar w:fldCharType="begin"/>
    </w:r>
    <w:r>
      <w:instrText xml:space="preserve"> STYLEREF  "Heading 1"  \* MERGEFORMAT </w:instrText>
    </w:r>
    <w:r>
      <w:fldChar w:fldCharType="separate"/>
    </w:r>
    <w:r>
      <w:rPr>
        <w:noProof/>
      </w:rPr>
      <w:t>Environmental Factors Potentially Affected</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E69FC" w14:textId="0ADE202E" w:rsidR="002002C4" w:rsidRPr="00332ECB" w:rsidRDefault="00817BC5" w:rsidP="00542725">
    <w:pPr>
      <w:pStyle w:val="Header"/>
      <w:shd w:val="clear" w:color="auto" w:fill="FFFFFF"/>
      <w:tabs>
        <w:tab w:val="right" w:pos="8982"/>
      </w:tabs>
      <w:spacing w:after="240"/>
      <w:ind w:right="14"/>
      <w:jc w:val="right"/>
      <w:rPr>
        <w:b/>
      </w:rPr>
    </w:pPr>
    <w:r>
      <w:fldChar w:fldCharType="begin"/>
    </w:r>
    <w:r>
      <w:instrText xml:space="preserve"> STYLEREF  "Heading 1"  \* MERGEFORMAT </w:instrText>
    </w:r>
    <w:r>
      <w:fldChar w:fldCharType="separate"/>
    </w:r>
    <w:r>
      <w:rPr>
        <w:noProof/>
      </w:rPr>
      <w:t>Environmental Checklist</w:t>
    </w:r>
    <w:r>
      <w:rPr>
        <w:noProof/>
      </w:rPr>
      <w:fldChar w:fldCharType="end"/>
    </w:r>
    <w:r w:rsidR="002002C4" w:rsidRPr="00702BCE">
      <w:br/>
    </w:r>
    <w:r w:rsidR="002002C4" w:rsidRPr="00702BCE">
      <w:rPr>
        <w:b/>
      </w:rPr>
      <w:fldChar w:fldCharType="begin"/>
    </w:r>
    <w:r w:rsidR="002002C4" w:rsidRPr="00702BCE">
      <w:rPr>
        <w:b/>
      </w:rPr>
      <w:instrText xml:space="preserve"> STYLEREF  "Heading 3 CEQA"  \* MERGEFORMAT </w:instrText>
    </w:r>
    <w:r w:rsidR="002002C4" w:rsidRPr="00702BCE">
      <w:rPr>
        <w:b/>
      </w:rPr>
      <w:fldChar w:fldCharType="separate"/>
    </w:r>
    <w:r>
      <w:rPr>
        <w:b/>
        <w:noProof/>
      </w:rPr>
      <w:t>Energy</w:t>
    </w:r>
    <w:r w:rsidR="002002C4" w:rsidRPr="00702BCE">
      <w:rPr>
        <w:b/>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A151C" w14:textId="2800B52D" w:rsidR="002002C4" w:rsidRPr="002666BD" w:rsidRDefault="00817BC5" w:rsidP="001F2559">
    <w:pPr>
      <w:pStyle w:val="Header"/>
      <w:ind w:right="14"/>
      <w:jc w:val="right"/>
    </w:pPr>
    <w:r>
      <w:fldChar w:fldCharType="begin"/>
    </w:r>
    <w:r>
      <w:instrText xml:space="preserve"> STYLEREF  "Heading 1"  \* MERGEFORMAT </w:instrText>
    </w:r>
    <w:r>
      <w:fldChar w:fldCharType="separate"/>
    </w:r>
    <w:r w:rsidR="00FB4EEF" w:rsidRPr="00FB4EEF">
      <w:rPr>
        <w:bCs/>
        <w:noProof/>
      </w:rPr>
      <w:t>References</w:t>
    </w:r>
    <w:r>
      <w:rPr>
        <w:bCs/>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709D5"/>
    <w:multiLevelType w:val="hybridMultilevel"/>
    <w:tmpl w:val="AC9C4D5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997AD5"/>
    <w:multiLevelType w:val="hybridMultilevel"/>
    <w:tmpl w:val="377851CE"/>
    <w:lvl w:ilvl="0" w:tplc="DECAA9B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BD6972"/>
    <w:multiLevelType w:val="hybridMultilevel"/>
    <w:tmpl w:val="61F69CD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111E99"/>
    <w:multiLevelType w:val="hybridMultilevel"/>
    <w:tmpl w:val="8D3E075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 w15:restartNumberingAfterBreak="0">
    <w:nsid w:val="07295A48"/>
    <w:multiLevelType w:val="multilevel"/>
    <w:tmpl w:val="66A07F40"/>
    <w:lvl w:ilvl="0">
      <w:start w:val="1"/>
      <w:numFmt w:val="decimal"/>
      <w:pStyle w:val="BulletListNumbered1"/>
      <w:lvlText w:val="%1."/>
      <w:lvlJc w:val="left"/>
      <w:pPr>
        <w:ind w:left="360" w:hanging="360"/>
      </w:pPr>
      <w:rPr>
        <w:rFonts w:hint="default"/>
        <w:b w:val="0"/>
        <w:i w:val="0"/>
        <w:color w:val="000000" w:themeColor="text1"/>
        <w:sz w:val="22"/>
        <w:szCs w:val="22"/>
      </w:rPr>
    </w:lvl>
    <w:lvl w:ilvl="1">
      <w:start w:val="1"/>
      <w:numFmt w:val="lowerLetter"/>
      <w:lvlText w:val="%2."/>
      <w:lvlJc w:val="left"/>
      <w:pPr>
        <w:ind w:left="1071" w:hanging="360"/>
      </w:pPr>
      <w:rPr>
        <w:rFonts w:hint="default"/>
      </w:rPr>
    </w:lvl>
    <w:lvl w:ilvl="2">
      <w:start w:val="1"/>
      <w:numFmt w:val="lowerRoman"/>
      <w:lvlText w:val="%3."/>
      <w:lvlJc w:val="right"/>
      <w:pPr>
        <w:ind w:left="1791" w:hanging="180"/>
      </w:pPr>
      <w:rPr>
        <w:rFonts w:hint="default"/>
      </w:rPr>
    </w:lvl>
    <w:lvl w:ilvl="3">
      <w:start w:val="1"/>
      <w:numFmt w:val="decimal"/>
      <w:lvlText w:val="%4."/>
      <w:lvlJc w:val="left"/>
      <w:pPr>
        <w:ind w:left="2511" w:hanging="360"/>
      </w:pPr>
      <w:rPr>
        <w:rFonts w:hint="default"/>
      </w:rPr>
    </w:lvl>
    <w:lvl w:ilvl="4">
      <w:start w:val="1"/>
      <w:numFmt w:val="lowerLetter"/>
      <w:lvlText w:val="%5."/>
      <w:lvlJc w:val="left"/>
      <w:pPr>
        <w:ind w:left="3231" w:hanging="360"/>
      </w:pPr>
      <w:rPr>
        <w:rFonts w:hint="default"/>
      </w:rPr>
    </w:lvl>
    <w:lvl w:ilvl="5">
      <w:start w:val="1"/>
      <w:numFmt w:val="lowerRoman"/>
      <w:lvlText w:val="%6."/>
      <w:lvlJc w:val="right"/>
      <w:pPr>
        <w:ind w:left="3951" w:hanging="180"/>
      </w:pPr>
      <w:rPr>
        <w:rFonts w:hint="default"/>
      </w:rPr>
    </w:lvl>
    <w:lvl w:ilvl="6">
      <w:start w:val="1"/>
      <w:numFmt w:val="decimal"/>
      <w:lvlText w:val="%7."/>
      <w:lvlJc w:val="left"/>
      <w:pPr>
        <w:ind w:left="4671" w:hanging="360"/>
      </w:pPr>
      <w:rPr>
        <w:rFonts w:hint="default"/>
      </w:rPr>
    </w:lvl>
    <w:lvl w:ilvl="7">
      <w:start w:val="1"/>
      <w:numFmt w:val="lowerLetter"/>
      <w:lvlText w:val="%8."/>
      <w:lvlJc w:val="left"/>
      <w:pPr>
        <w:ind w:left="5391" w:hanging="360"/>
      </w:pPr>
      <w:rPr>
        <w:rFonts w:hint="default"/>
      </w:rPr>
    </w:lvl>
    <w:lvl w:ilvl="8">
      <w:start w:val="1"/>
      <w:numFmt w:val="lowerRoman"/>
      <w:lvlText w:val="%9."/>
      <w:lvlJc w:val="right"/>
      <w:pPr>
        <w:ind w:left="6111" w:hanging="180"/>
      </w:pPr>
      <w:rPr>
        <w:rFonts w:hint="default"/>
      </w:rPr>
    </w:lvl>
  </w:abstractNum>
  <w:abstractNum w:abstractNumId="5" w15:restartNumberingAfterBreak="0">
    <w:nsid w:val="087E04E6"/>
    <w:multiLevelType w:val="multilevel"/>
    <w:tmpl w:val="DBF00370"/>
    <w:lvl w:ilvl="0">
      <w:start w:val="1"/>
      <w:numFmt w:val="lowerLetter"/>
      <w:pStyle w:val="ISBulletNumbered"/>
      <w:lvlText w:val="%1. "/>
      <w:lvlJc w:val="left"/>
      <w:pPr>
        <w:ind w:left="0" w:firstLine="0"/>
      </w:pPr>
      <w:rPr>
        <w:rFonts w:ascii="Century Gothic" w:hAnsi="Century Gothic" w:hint="default"/>
        <w:b w:val="0"/>
        <w:caps w:val="0"/>
        <w:strike w:val="0"/>
        <w:sz w:val="20"/>
      </w:rPr>
    </w:lvl>
    <w:lvl w:ilvl="1">
      <w:start w:val="1"/>
      <w:numFmt w:val="decimal"/>
      <w:pStyle w:val="ISBulletNumbered2"/>
      <w:lvlText w:val="a.%2. "/>
      <w:lvlJc w:val="left"/>
      <w:pPr>
        <w:ind w:left="0" w:firstLine="0"/>
      </w:pPr>
      <w:rPr>
        <w:rFonts w:ascii="Century Gothic" w:hAnsi="Century Gothic" w:hint="default"/>
        <w:b w:val="0"/>
        <w:i w:val="0"/>
        <w:sz w:val="2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AD07AE5"/>
    <w:multiLevelType w:val="hybridMultilevel"/>
    <w:tmpl w:val="472CFA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F">
      <w:start w:val="1"/>
      <w:numFmt w:val="decimal"/>
      <w:lvlText w:val="%5."/>
      <w:lvlJc w:val="left"/>
      <w:pPr>
        <w:ind w:left="3600" w:hanging="360"/>
      </w:pPr>
      <w:rPr>
        <w:rFont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516846"/>
    <w:multiLevelType w:val="hybridMultilevel"/>
    <w:tmpl w:val="50346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8613D7"/>
    <w:multiLevelType w:val="hybridMultilevel"/>
    <w:tmpl w:val="80744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4374CA"/>
    <w:multiLevelType w:val="hybridMultilevel"/>
    <w:tmpl w:val="B50C391E"/>
    <w:lvl w:ilvl="0" w:tplc="5412CDB2">
      <w:start w:val="1"/>
      <w:numFmt w:val="decimal"/>
      <w:pStyle w:val="BulletListNumbered"/>
      <w:lvlText w:val="%1."/>
      <w:lvlJc w:val="left"/>
      <w:rPr>
        <w:rFonts w:cs="Times New Roman"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1A81BE5"/>
    <w:multiLevelType w:val="hybridMultilevel"/>
    <w:tmpl w:val="08528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422CA2"/>
    <w:multiLevelType w:val="hybridMultilevel"/>
    <w:tmpl w:val="DD441C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9C2265"/>
    <w:multiLevelType w:val="hybridMultilevel"/>
    <w:tmpl w:val="76948B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8D6BB0"/>
    <w:multiLevelType w:val="hybridMultilevel"/>
    <w:tmpl w:val="01F8071C"/>
    <w:lvl w:ilvl="0" w:tplc="6ADCF00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6932F79"/>
    <w:multiLevelType w:val="hybridMultilevel"/>
    <w:tmpl w:val="900A3C2E"/>
    <w:lvl w:ilvl="0" w:tplc="D9F2C9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5061B2"/>
    <w:multiLevelType w:val="multilevel"/>
    <w:tmpl w:val="4566A6FE"/>
    <w:lvl w:ilvl="0">
      <w:start w:val="1"/>
      <w:numFmt w:val="decimal"/>
      <w:pStyle w:val="MitigationMeasures"/>
      <w:lvlText w:val="CUL-%1"/>
      <w:lvlJc w:val="left"/>
      <w:pPr>
        <w:ind w:left="1008" w:hanging="1008"/>
      </w:pPr>
      <w:rPr>
        <w:rFonts w:ascii="Calibri" w:hAnsi="Calibri" w:hint="default"/>
        <w:b/>
        <w:i w:val="0"/>
        <w:color w:val="000000"/>
        <w:sz w:val="21"/>
      </w:rPr>
    </w:lvl>
    <w:lvl w:ilvl="1">
      <w:start w:val="1"/>
      <w:numFmt w:val="lowerLetter"/>
      <w:lvlText w:val="%2."/>
      <w:lvlJc w:val="left"/>
      <w:pPr>
        <w:ind w:left="1071" w:hanging="360"/>
      </w:pPr>
      <w:rPr>
        <w:rFonts w:hint="default"/>
      </w:rPr>
    </w:lvl>
    <w:lvl w:ilvl="2">
      <w:start w:val="1"/>
      <w:numFmt w:val="lowerRoman"/>
      <w:lvlText w:val="%3."/>
      <w:lvlJc w:val="right"/>
      <w:pPr>
        <w:ind w:left="1791" w:hanging="180"/>
      </w:pPr>
      <w:rPr>
        <w:rFonts w:hint="default"/>
      </w:rPr>
    </w:lvl>
    <w:lvl w:ilvl="3">
      <w:start w:val="1"/>
      <w:numFmt w:val="decimal"/>
      <w:lvlText w:val="%4."/>
      <w:lvlJc w:val="left"/>
      <w:pPr>
        <w:ind w:left="2511" w:hanging="360"/>
      </w:pPr>
      <w:rPr>
        <w:rFonts w:hint="default"/>
      </w:rPr>
    </w:lvl>
    <w:lvl w:ilvl="4">
      <w:start w:val="1"/>
      <w:numFmt w:val="lowerLetter"/>
      <w:lvlText w:val="%5."/>
      <w:lvlJc w:val="left"/>
      <w:pPr>
        <w:ind w:left="3231" w:hanging="360"/>
      </w:pPr>
      <w:rPr>
        <w:rFonts w:hint="default"/>
      </w:rPr>
    </w:lvl>
    <w:lvl w:ilvl="5">
      <w:start w:val="1"/>
      <w:numFmt w:val="lowerRoman"/>
      <w:lvlText w:val="%6."/>
      <w:lvlJc w:val="right"/>
      <w:pPr>
        <w:ind w:left="3951" w:hanging="180"/>
      </w:pPr>
      <w:rPr>
        <w:rFonts w:hint="default"/>
      </w:rPr>
    </w:lvl>
    <w:lvl w:ilvl="6">
      <w:start w:val="1"/>
      <w:numFmt w:val="decimal"/>
      <w:lvlText w:val="%7."/>
      <w:lvlJc w:val="left"/>
      <w:pPr>
        <w:ind w:left="4671" w:hanging="360"/>
      </w:pPr>
      <w:rPr>
        <w:rFonts w:hint="default"/>
      </w:rPr>
    </w:lvl>
    <w:lvl w:ilvl="7">
      <w:start w:val="1"/>
      <w:numFmt w:val="lowerLetter"/>
      <w:lvlText w:val="%8."/>
      <w:lvlJc w:val="left"/>
      <w:pPr>
        <w:ind w:left="5391" w:hanging="360"/>
      </w:pPr>
      <w:rPr>
        <w:rFonts w:hint="default"/>
      </w:rPr>
    </w:lvl>
    <w:lvl w:ilvl="8">
      <w:start w:val="1"/>
      <w:numFmt w:val="lowerRoman"/>
      <w:lvlText w:val="%9."/>
      <w:lvlJc w:val="right"/>
      <w:pPr>
        <w:ind w:left="6111" w:hanging="180"/>
      </w:pPr>
      <w:rPr>
        <w:rFonts w:hint="default"/>
      </w:rPr>
    </w:lvl>
  </w:abstractNum>
  <w:abstractNum w:abstractNumId="16" w15:restartNumberingAfterBreak="0">
    <w:nsid w:val="190D4848"/>
    <w:multiLevelType w:val="hybridMultilevel"/>
    <w:tmpl w:val="61A69854"/>
    <w:lvl w:ilvl="0" w:tplc="6E343E8E">
      <w:start w:val="1"/>
      <w:numFmt w:val="bullet"/>
      <w:pStyle w:val="bullet1"/>
      <w:lvlText w:val=""/>
      <w:lvlJc w:val="left"/>
      <w:pPr>
        <w:ind w:left="720" w:hanging="360"/>
      </w:pPr>
      <w:rPr>
        <w:rFonts w:ascii="Wingdings" w:hAnsi="Wingdings" w:hint="default"/>
      </w:rPr>
    </w:lvl>
    <w:lvl w:ilvl="1" w:tplc="533803BA">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1262C1"/>
    <w:multiLevelType w:val="multilevel"/>
    <w:tmpl w:val="6CCAEF04"/>
    <w:lvl w:ilvl="0">
      <w:start w:val="1"/>
      <w:numFmt w:val="decimal"/>
      <w:pStyle w:val="Heading3CEQA"/>
      <w:lvlText w:val="%1"/>
      <w:lvlJc w:val="left"/>
      <w:pPr>
        <w:ind w:left="5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A696028"/>
    <w:multiLevelType w:val="hybridMultilevel"/>
    <w:tmpl w:val="374A7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C425527"/>
    <w:multiLevelType w:val="hybridMultilevel"/>
    <w:tmpl w:val="F8184B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963246"/>
    <w:multiLevelType w:val="multilevel"/>
    <w:tmpl w:val="8078E468"/>
    <w:lvl w:ilvl="0">
      <w:start w:val="1"/>
      <w:numFmt w:val="decimal"/>
      <w:pStyle w:val="Heading1"/>
      <w:lvlText w:val="%1"/>
      <w:lvlJc w:val="left"/>
      <w:pPr>
        <w:ind w:left="576" w:hanging="576"/>
      </w:pPr>
      <w:rPr>
        <w:rFonts w:hint="default"/>
      </w:rPr>
    </w:lvl>
    <w:lvl w:ilvl="1">
      <w:start w:val="1"/>
      <w:numFmt w:val="decimal"/>
      <w:pStyle w:val="Heading2"/>
      <w:lvlText w:val="%1."/>
      <w:lvlJc w:val="left"/>
      <w:pPr>
        <w:ind w:left="720" w:hanging="720"/>
      </w:pPr>
      <w:rPr>
        <w:rFonts w:hint="default"/>
      </w:rPr>
    </w:lvl>
    <w:lvl w:ilvl="2">
      <w:start w:val="1"/>
      <w:numFmt w:val="decimal"/>
      <w:lvlText w:val="%1.%2.%3"/>
      <w:lvlJc w:val="left"/>
      <w:pPr>
        <w:ind w:left="1008" w:hanging="1008"/>
      </w:pPr>
      <w:rPr>
        <w:rFonts w:hint="default"/>
      </w:rPr>
    </w:lvl>
    <w:lvl w:ilvl="3">
      <w:start w:val="1"/>
      <w:numFmt w:val="decimal"/>
      <w:lvlText w:val="%1.%2.%3.%4"/>
      <w:lvlJc w:val="left"/>
      <w:pPr>
        <w:ind w:left="2142" w:hanging="1152"/>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24F453E8"/>
    <w:multiLevelType w:val="hybridMultilevel"/>
    <w:tmpl w:val="4D60D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4FF7E1E"/>
    <w:multiLevelType w:val="hybridMultilevel"/>
    <w:tmpl w:val="23C6DE8E"/>
    <w:lvl w:ilvl="0" w:tplc="A6349F1E">
      <w:start w:val="1"/>
      <w:numFmt w:val="decimal"/>
      <w:pStyle w:val="indentednumbered"/>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416761"/>
    <w:multiLevelType w:val="hybridMultilevel"/>
    <w:tmpl w:val="5C9E84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69903DE"/>
    <w:multiLevelType w:val="hybridMultilevel"/>
    <w:tmpl w:val="2E0A9C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69E4298"/>
    <w:multiLevelType w:val="hybridMultilevel"/>
    <w:tmpl w:val="918AD98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9352146"/>
    <w:multiLevelType w:val="hybridMultilevel"/>
    <w:tmpl w:val="F99A0F50"/>
    <w:lvl w:ilvl="0" w:tplc="62C81E44">
      <w:start w:val="1"/>
      <w:numFmt w:val="lowerLetter"/>
      <w:pStyle w:val="BulletListLettered"/>
      <w:lvlText w:val="%1."/>
      <w:lvlJc w:val="left"/>
      <w:pPr>
        <w:ind w:left="360" w:hanging="360"/>
      </w:pPr>
      <w:rPr>
        <w:rFonts w:asciiTheme="minorHAnsi" w:eastAsia="Times New Roman" w:hAnsiTheme="minorHAns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C6A0700"/>
    <w:multiLevelType w:val="hybridMultilevel"/>
    <w:tmpl w:val="56BCF4A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C725A6F"/>
    <w:multiLevelType w:val="hybridMultilevel"/>
    <w:tmpl w:val="59EAE5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D820196"/>
    <w:multiLevelType w:val="multilevel"/>
    <w:tmpl w:val="27880C2C"/>
    <w:lvl w:ilvl="0">
      <w:start w:val="1"/>
      <w:numFmt w:val="decimal"/>
      <w:pStyle w:val="Heading9MM"/>
      <w:lvlText w:val="Impact T-%1"/>
      <w:lvlJc w:val="left"/>
      <w:pPr>
        <w:ind w:left="0" w:firstLine="0"/>
      </w:pPr>
      <w:rPr>
        <w:rFonts w:hint="default"/>
        <w:i w:val="0"/>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0" w15:restartNumberingAfterBreak="0">
    <w:nsid w:val="2E164102"/>
    <w:multiLevelType w:val="hybridMultilevel"/>
    <w:tmpl w:val="FC448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F003C41"/>
    <w:multiLevelType w:val="hybridMultilevel"/>
    <w:tmpl w:val="7214CD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00975BE"/>
    <w:multiLevelType w:val="hybridMultilevel"/>
    <w:tmpl w:val="9008FC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23E26B5"/>
    <w:multiLevelType w:val="hybridMultilevel"/>
    <w:tmpl w:val="4CCA390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33F21187"/>
    <w:multiLevelType w:val="hybridMultilevel"/>
    <w:tmpl w:val="A7607B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4BD6509"/>
    <w:multiLevelType w:val="hybridMultilevel"/>
    <w:tmpl w:val="C84247C0"/>
    <w:lvl w:ilvl="0" w:tplc="4810FC38">
      <w:start w:val="1"/>
      <w:numFmt w:val="decimal"/>
      <w:pStyle w:val="numb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34E03A65"/>
    <w:multiLevelType w:val="hybridMultilevel"/>
    <w:tmpl w:val="54EEC9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78826DB"/>
    <w:multiLevelType w:val="hybridMultilevel"/>
    <w:tmpl w:val="DF38E972"/>
    <w:lvl w:ilvl="0" w:tplc="C69CC464">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9011931"/>
    <w:multiLevelType w:val="hybridMultilevel"/>
    <w:tmpl w:val="D2AE11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C2A57C7"/>
    <w:multiLevelType w:val="hybridMultilevel"/>
    <w:tmpl w:val="7A36CF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3C8152DB"/>
    <w:multiLevelType w:val="hybridMultilevel"/>
    <w:tmpl w:val="7CF8CD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3CCB0614"/>
    <w:multiLevelType w:val="hybridMultilevel"/>
    <w:tmpl w:val="9EE2DC96"/>
    <w:lvl w:ilvl="0" w:tplc="04090001">
      <w:start w:val="1"/>
      <w:numFmt w:val="bullet"/>
      <w:lvlText w:val=""/>
      <w:lvlJc w:val="left"/>
      <w:pPr>
        <w:ind w:left="720" w:hanging="360"/>
      </w:pPr>
      <w:rPr>
        <w:rFonts w:ascii="Symbol" w:hAnsi="Symbol" w:hint="default"/>
      </w:rPr>
    </w:lvl>
    <w:lvl w:ilvl="1" w:tplc="0409001B">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DE35C85"/>
    <w:multiLevelType w:val="hybridMultilevel"/>
    <w:tmpl w:val="65C00E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DEB31FD"/>
    <w:multiLevelType w:val="hybridMultilevel"/>
    <w:tmpl w:val="16366F5E"/>
    <w:lvl w:ilvl="0" w:tplc="955EDE12">
      <w:start w:val="1"/>
      <w:numFmt w:val="bullet"/>
      <w:pStyle w:val="fcsbullet"/>
      <w:lvlText w:val=""/>
      <w:lvlJc w:val="left"/>
      <w:pPr>
        <w:tabs>
          <w:tab w:val="num" w:pos="576"/>
        </w:tabs>
        <w:ind w:left="576" w:hanging="216"/>
      </w:pPr>
      <w:rPr>
        <w:rFonts w:ascii="Symbol" w:hAnsi="Symbol" w:cs="Times New Roman" w:hint="default"/>
        <w:b/>
        <w:i w:val="0"/>
        <w:color w:val="215868"/>
        <w:sz w:val="20"/>
      </w:rPr>
    </w:lvl>
    <w:lvl w:ilvl="1" w:tplc="04090003">
      <w:start w:val="1"/>
      <w:numFmt w:val="bullet"/>
      <w:lvlText w:val="o"/>
      <w:lvlJc w:val="left"/>
      <w:pPr>
        <w:tabs>
          <w:tab w:val="num" w:pos="2088"/>
        </w:tabs>
        <w:ind w:left="2088" w:hanging="360"/>
      </w:pPr>
      <w:rPr>
        <w:rFonts w:ascii="Courier New" w:hAnsi="Courier New" w:cs="Courier New" w:hint="default"/>
      </w:rPr>
    </w:lvl>
    <w:lvl w:ilvl="2" w:tplc="04090005">
      <w:start w:val="1"/>
      <w:numFmt w:val="bullet"/>
      <w:lvlText w:val=""/>
      <w:lvlJc w:val="left"/>
      <w:pPr>
        <w:tabs>
          <w:tab w:val="num" w:pos="2808"/>
        </w:tabs>
        <w:ind w:left="2808" w:hanging="360"/>
      </w:pPr>
      <w:rPr>
        <w:rFonts w:ascii="Wingdings" w:hAnsi="Wingdings" w:hint="default"/>
      </w:rPr>
    </w:lvl>
    <w:lvl w:ilvl="3" w:tplc="04090001" w:tentative="1">
      <w:start w:val="1"/>
      <w:numFmt w:val="bullet"/>
      <w:lvlText w:val=""/>
      <w:lvlJc w:val="left"/>
      <w:pPr>
        <w:tabs>
          <w:tab w:val="num" w:pos="3528"/>
        </w:tabs>
        <w:ind w:left="3528" w:hanging="360"/>
      </w:pPr>
      <w:rPr>
        <w:rFonts w:ascii="Symbol" w:hAnsi="Symbol" w:hint="default"/>
      </w:rPr>
    </w:lvl>
    <w:lvl w:ilvl="4" w:tplc="04090003" w:tentative="1">
      <w:start w:val="1"/>
      <w:numFmt w:val="bullet"/>
      <w:lvlText w:val="o"/>
      <w:lvlJc w:val="left"/>
      <w:pPr>
        <w:tabs>
          <w:tab w:val="num" w:pos="4248"/>
        </w:tabs>
        <w:ind w:left="4248" w:hanging="360"/>
      </w:pPr>
      <w:rPr>
        <w:rFonts w:ascii="Courier New" w:hAnsi="Courier New" w:cs="Courier New" w:hint="default"/>
      </w:rPr>
    </w:lvl>
    <w:lvl w:ilvl="5" w:tplc="04090005" w:tentative="1">
      <w:start w:val="1"/>
      <w:numFmt w:val="bullet"/>
      <w:lvlText w:val=""/>
      <w:lvlJc w:val="left"/>
      <w:pPr>
        <w:tabs>
          <w:tab w:val="num" w:pos="4968"/>
        </w:tabs>
        <w:ind w:left="4968" w:hanging="360"/>
      </w:pPr>
      <w:rPr>
        <w:rFonts w:ascii="Wingdings" w:hAnsi="Wingdings" w:hint="default"/>
      </w:rPr>
    </w:lvl>
    <w:lvl w:ilvl="6" w:tplc="04090001" w:tentative="1">
      <w:start w:val="1"/>
      <w:numFmt w:val="bullet"/>
      <w:lvlText w:val=""/>
      <w:lvlJc w:val="left"/>
      <w:pPr>
        <w:tabs>
          <w:tab w:val="num" w:pos="5688"/>
        </w:tabs>
        <w:ind w:left="5688" w:hanging="360"/>
      </w:pPr>
      <w:rPr>
        <w:rFonts w:ascii="Symbol" w:hAnsi="Symbol" w:hint="default"/>
      </w:rPr>
    </w:lvl>
    <w:lvl w:ilvl="7" w:tplc="04090003" w:tentative="1">
      <w:start w:val="1"/>
      <w:numFmt w:val="bullet"/>
      <w:lvlText w:val="o"/>
      <w:lvlJc w:val="left"/>
      <w:pPr>
        <w:tabs>
          <w:tab w:val="num" w:pos="6408"/>
        </w:tabs>
        <w:ind w:left="6408" w:hanging="360"/>
      </w:pPr>
      <w:rPr>
        <w:rFonts w:ascii="Courier New" w:hAnsi="Courier New" w:cs="Courier New" w:hint="default"/>
      </w:rPr>
    </w:lvl>
    <w:lvl w:ilvl="8" w:tplc="04090005" w:tentative="1">
      <w:start w:val="1"/>
      <w:numFmt w:val="bullet"/>
      <w:lvlText w:val=""/>
      <w:lvlJc w:val="left"/>
      <w:pPr>
        <w:tabs>
          <w:tab w:val="num" w:pos="7128"/>
        </w:tabs>
        <w:ind w:left="7128" w:hanging="360"/>
      </w:pPr>
      <w:rPr>
        <w:rFonts w:ascii="Wingdings" w:hAnsi="Wingdings" w:hint="default"/>
      </w:rPr>
    </w:lvl>
  </w:abstractNum>
  <w:abstractNum w:abstractNumId="44" w15:restartNumberingAfterBreak="0">
    <w:nsid w:val="48F94427"/>
    <w:multiLevelType w:val="hybridMultilevel"/>
    <w:tmpl w:val="69CC20D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49592F7D"/>
    <w:multiLevelType w:val="hybridMultilevel"/>
    <w:tmpl w:val="13AAC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A380D91"/>
    <w:multiLevelType w:val="hybridMultilevel"/>
    <w:tmpl w:val="88FEDF52"/>
    <w:lvl w:ilvl="0" w:tplc="04090001">
      <w:start w:val="1"/>
      <w:numFmt w:val="bullet"/>
      <w:lvlText w:val=""/>
      <w:lvlJc w:val="left"/>
      <w:pPr>
        <w:ind w:left="720" w:hanging="360"/>
      </w:pPr>
      <w:rPr>
        <w:rFonts w:ascii="Symbol" w:hAnsi="Symbol" w:hint="default"/>
      </w:rPr>
    </w:lvl>
    <w:lvl w:ilvl="1" w:tplc="3D741C1C">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BAA0386"/>
    <w:multiLevelType w:val="hybridMultilevel"/>
    <w:tmpl w:val="BE321C7C"/>
    <w:lvl w:ilvl="0" w:tplc="032E7ED6">
      <w:start w:val="1"/>
      <w:numFmt w:val="bullet"/>
      <w:pStyle w:val="BulletListLevel1"/>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4D225D77"/>
    <w:multiLevelType w:val="hybridMultilevel"/>
    <w:tmpl w:val="BDDC5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15E3848"/>
    <w:multiLevelType w:val="hybridMultilevel"/>
    <w:tmpl w:val="51B611E0"/>
    <w:lvl w:ilvl="0" w:tplc="0409000F">
      <w:start w:val="1"/>
      <w:numFmt w:val="decimal"/>
      <w:lvlText w:val="%1."/>
      <w:lvlJc w:val="left"/>
      <w:pPr>
        <w:ind w:left="0" w:hanging="360"/>
      </w:p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start w:val="1"/>
      <w:numFmt w:val="lowerRoman"/>
      <w:lvlText w:val="%6."/>
      <w:lvlJc w:val="right"/>
      <w:pPr>
        <w:ind w:left="3600" w:hanging="180"/>
      </w:pPr>
    </w:lvl>
    <w:lvl w:ilvl="6" w:tplc="0409000F">
      <w:start w:val="1"/>
      <w:numFmt w:val="decimal"/>
      <w:lvlText w:val="%7."/>
      <w:lvlJc w:val="left"/>
      <w:pPr>
        <w:ind w:left="4320" w:hanging="360"/>
      </w:pPr>
    </w:lvl>
    <w:lvl w:ilvl="7" w:tplc="04090019">
      <w:start w:val="1"/>
      <w:numFmt w:val="lowerLetter"/>
      <w:lvlText w:val="%8."/>
      <w:lvlJc w:val="left"/>
      <w:pPr>
        <w:ind w:left="5040" w:hanging="360"/>
      </w:pPr>
    </w:lvl>
    <w:lvl w:ilvl="8" w:tplc="0409001B">
      <w:start w:val="1"/>
      <w:numFmt w:val="lowerRoman"/>
      <w:lvlText w:val="%9."/>
      <w:lvlJc w:val="right"/>
      <w:pPr>
        <w:ind w:left="5760" w:hanging="180"/>
      </w:pPr>
    </w:lvl>
  </w:abstractNum>
  <w:abstractNum w:abstractNumId="50" w15:restartNumberingAfterBreak="0">
    <w:nsid w:val="55891E2F"/>
    <w:multiLevelType w:val="hybridMultilevel"/>
    <w:tmpl w:val="511AD2B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1" w15:restartNumberingAfterBreak="0">
    <w:nsid w:val="55A7359B"/>
    <w:multiLevelType w:val="multilevel"/>
    <w:tmpl w:val="74A6837E"/>
    <w:lvl w:ilvl="0">
      <w:start w:val="1"/>
      <w:numFmt w:val="bullet"/>
      <w:lvlRestart w:val="0"/>
      <w:pStyle w:val="fcsbulletbullet"/>
      <w:lvlText w:val="-"/>
      <w:lvlJc w:val="left"/>
      <w:rPr>
        <w:rFonts w:hint="default"/>
        <w:b w:val="0"/>
        <w:bCs w:val="0"/>
        <w:i w:val="0"/>
        <w:iCs w:val="0"/>
        <w:caps w:val="0"/>
        <w:strike w:val="0"/>
        <w:dstrike w:val="0"/>
        <w:vanish w:val="0"/>
        <w:color w:val="215868"/>
        <w:spacing w:val="0"/>
        <w:kern w:val="0"/>
        <w:position w:val="0"/>
        <w:u w:val="none"/>
        <w:vertAlign w:val="baseline"/>
        <w:em w:val="none"/>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8BB48AC"/>
    <w:multiLevelType w:val="hybridMultilevel"/>
    <w:tmpl w:val="DDC0CEBE"/>
    <w:lvl w:ilvl="0" w:tplc="04090001">
      <w:start w:val="1"/>
      <w:numFmt w:val="bullet"/>
      <w:lvlText w:val=""/>
      <w:lvlJc w:val="left"/>
      <w:pPr>
        <w:ind w:left="720" w:hanging="360"/>
      </w:pPr>
      <w:rPr>
        <w:rFonts w:ascii="Symbol" w:hAnsi="Symbol" w:hint="default"/>
      </w:rPr>
    </w:lvl>
    <w:lvl w:ilvl="1" w:tplc="3D741C1C">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CD518D1"/>
    <w:multiLevelType w:val="hybridMultilevel"/>
    <w:tmpl w:val="7416CF18"/>
    <w:lvl w:ilvl="0" w:tplc="517EBD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1042765"/>
    <w:multiLevelType w:val="hybridMultilevel"/>
    <w:tmpl w:val="189A5400"/>
    <w:lvl w:ilvl="0" w:tplc="EE8C3632">
      <w:start w:val="1"/>
      <w:numFmt w:val="bullet"/>
      <w:pStyle w:val="Table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16C464A"/>
    <w:multiLevelType w:val="hybridMultilevel"/>
    <w:tmpl w:val="CD664EA2"/>
    <w:lvl w:ilvl="0" w:tplc="0C1C007C">
      <w:start w:val="1"/>
      <w:numFmt w:val="bullet"/>
      <w:pStyle w:val="EIRBulletListLevel1"/>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63713D8C"/>
    <w:multiLevelType w:val="hybridMultilevel"/>
    <w:tmpl w:val="BAB09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9245202"/>
    <w:multiLevelType w:val="hybridMultilevel"/>
    <w:tmpl w:val="A48037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F322585"/>
    <w:multiLevelType w:val="hybridMultilevel"/>
    <w:tmpl w:val="4CD64608"/>
    <w:lvl w:ilvl="0" w:tplc="04090005">
      <w:start w:val="1"/>
      <w:numFmt w:val="bullet"/>
      <w:lvlText w:val=""/>
      <w:lvlJc w:val="left"/>
      <w:pPr>
        <w:ind w:left="936" w:hanging="360"/>
      </w:pPr>
      <w:rPr>
        <w:rFonts w:ascii="Wingdings" w:hAnsi="Wingdings"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59" w15:restartNumberingAfterBreak="0">
    <w:nsid w:val="718D0D00"/>
    <w:multiLevelType w:val="hybridMultilevel"/>
    <w:tmpl w:val="C1C896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430262C"/>
    <w:multiLevelType w:val="hybridMultilevel"/>
    <w:tmpl w:val="34727D52"/>
    <w:lvl w:ilvl="0" w:tplc="04090001">
      <w:start w:val="1"/>
      <w:numFmt w:val="bullet"/>
      <w:lvlText w:val=""/>
      <w:lvlJc w:val="left"/>
      <w:pPr>
        <w:ind w:left="720" w:hanging="360"/>
      </w:pPr>
      <w:rPr>
        <w:rFonts w:ascii="Symbol" w:hAnsi="Symbol" w:hint="default"/>
      </w:rPr>
    </w:lvl>
    <w:lvl w:ilvl="1" w:tplc="0409001B">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57B5245"/>
    <w:multiLevelType w:val="hybridMultilevel"/>
    <w:tmpl w:val="40926BC8"/>
    <w:lvl w:ilvl="0" w:tplc="54D253BC">
      <w:start w:val="1"/>
      <w:numFmt w:val="bullet"/>
      <w:pStyle w:val="BulletListLevel2"/>
      <w:lvlText w:val=""/>
      <w:lvlJc w:val="left"/>
      <w:rPr>
        <w:rFonts w:ascii="Wingdings" w:hAnsi="Wingding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757F4F44"/>
    <w:multiLevelType w:val="hybridMultilevel"/>
    <w:tmpl w:val="41AA67B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77C29CA"/>
    <w:multiLevelType w:val="hybridMultilevel"/>
    <w:tmpl w:val="3E1283C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47"/>
  </w:num>
  <w:num w:numId="3">
    <w:abstractNumId w:val="20"/>
  </w:num>
  <w:num w:numId="4">
    <w:abstractNumId w:val="54"/>
  </w:num>
  <w:num w:numId="5">
    <w:abstractNumId w:val="26"/>
  </w:num>
  <w:num w:numId="6">
    <w:abstractNumId w:val="29"/>
  </w:num>
  <w:num w:numId="7">
    <w:abstractNumId w:val="20"/>
    <w:lvlOverride w:ilvl="0">
      <w:lvl w:ilvl="0">
        <w:start w:val="1"/>
        <w:numFmt w:val="decimal"/>
        <w:pStyle w:val="Heading1"/>
        <w:lvlText w:val="%1."/>
        <w:lvlJc w:val="left"/>
        <w:pPr>
          <w:ind w:left="576" w:hanging="576"/>
        </w:pPr>
        <w:rPr>
          <w:rFonts w:hint="default"/>
        </w:rPr>
      </w:lvl>
    </w:lvlOverride>
    <w:lvlOverride w:ilvl="1">
      <w:lvl w:ilvl="1">
        <w:start w:val="1"/>
        <w:numFmt w:val="decimal"/>
        <w:pStyle w:val="Heading2"/>
        <w:lvlText w:val="%2."/>
        <w:lvlJc w:val="left"/>
        <w:pPr>
          <w:ind w:left="810" w:hanging="720"/>
        </w:pPr>
        <w:rPr>
          <w:rFonts w:hint="default"/>
        </w:rPr>
      </w:lvl>
    </w:lvlOverride>
    <w:lvlOverride w:ilvl="2">
      <w:lvl w:ilvl="2">
        <w:start w:val="1"/>
        <w:numFmt w:val="decimal"/>
        <w:lvlText w:val="%1.%2.%3"/>
        <w:lvlJc w:val="left"/>
        <w:pPr>
          <w:ind w:left="1008" w:hanging="1008"/>
        </w:pPr>
        <w:rPr>
          <w:rFonts w:hint="default"/>
        </w:rPr>
      </w:lvl>
    </w:lvlOverride>
    <w:lvlOverride w:ilvl="3">
      <w:lvl w:ilvl="3">
        <w:start w:val="1"/>
        <w:numFmt w:val="decimal"/>
        <w:lvlText w:val="%1.%2.%3.%4"/>
        <w:lvlJc w:val="left"/>
        <w:pPr>
          <w:ind w:left="2142" w:hanging="1152"/>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8">
    <w:abstractNumId w:val="17"/>
  </w:num>
  <w:num w:numId="9">
    <w:abstractNumId w:val="15"/>
  </w:num>
  <w:num w:numId="10">
    <w:abstractNumId w:val="26"/>
    <w:lvlOverride w:ilvl="0">
      <w:startOverride w:val="1"/>
    </w:lvlOverride>
  </w:num>
  <w:num w:numId="11">
    <w:abstractNumId w:val="26"/>
    <w:lvlOverride w:ilvl="0">
      <w:startOverride w:val="1"/>
    </w:lvlOverride>
  </w:num>
  <w:num w:numId="12">
    <w:abstractNumId w:val="26"/>
    <w:lvlOverride w:ilvl="0">
      <w:startOverride w:val="1"/>
    </w:lvlOverride>
  </w:num>
  <w:num w:numId="13">
    <w:abstractNumId w:val="26"/>
  </w:num>
  <w:num w:numId="14">
    <w:abstractNumId w:val="26"/>
    <w:lvlOverride w:ilvl="0">
      <w:startOverride w:val="1"/>
    </w:lvlOverride>
  </w:num>
  <w:num w:numId="15">
    <w:abstractNumId w:val="26"/>
  </w:num>
  <w:num w:numId="16">
    <w:abstractNumId w:val="26"/>
    <w:lvlOverride w:ilvl="0">
      <w:startOverride w:val="1"/>
    </w:lvlOverride>
  </w:num>
  <w:num w:numId="17">
    <w:abstractNumId w:val="26"/>
    <w:lvlOverride w:ilvl="0">
      <w:startOverride w:val="1"/>
    </w:lvlOverride>
  </w:num>
  <w:num w:numId="18">
    <w:abstractNumId w:val="26"/>
    <w:lvlOverride w:ilvl="0">
      <w:startOverride w:val="1"/>
    </w:lvlOverride>
  </w:num>
  <w:num w:numId="19">
    <w:abstractNumId w:val="26"/>
    <w:lvlOverride w:ilvl="0">
      <w:startOverride w:val="1"/>
    </w:lvlOverride>
  </w:num>
  <w:num w:numId="20">
    <w:abstractNumId w:val="26"/>
    <w:lvlOverride w:ilvl="0">
      <w:startOverride w:val="1"/>
    </w:lvlOverride>
  </w:num>
  <w:num w:numId="21">
    <w:abstractNumId w:val="26"/>
    <w:lvlOverride w:ilvl="0">
      <w:startOverride w:val="1"/>
    </w:lvlOverride>
  </w:num>
  <w:num w:numId="22">
    <w:abstractNumId w:val="26"/>
    <w:lvlOverride w:ilvl="0">
      <w:startOverride w:val="1"/>
    </w:lvlOverride>
  </w:num>
  <w:num w:numId="23">
    <w:abstractNumId w:val="26"/>
    <w:lvlOverride w:ilvl="0">
      <w:startOverride w:val="1"/>
    </w:lvlOverride>
  </w:num>
  <w:num w:numId="24">
    <w:abstractNumId w:val="26"/>
    <w:lvlOverride w:ilvl="0">
      <w:startOverride w:val="1"/>
    </w:lvlOverride>
  </w:num>
  <w:num w:numId="25">
    <w:abstractNumId w:val="26"/>
    <w:lvlOverride w:ilvl="0">
      <w:startOverride w:val="1"/>
    </w:lvlOverride>
  </w:num>
  <w:num w:numId="26">
    <w:abstractNumId w:val="26"/>
    <w:lvlOverride w:ilvl="0">
      <w:startOverride w:val="1"/>
    </w:lvlOverride>
  </w:num>
  <w:num w:numId="27">
    <w:abstractNumId w:val="27"/>
  </w:num>
  <w:num w:numId="28">
    <w:abstractNumId w:val="5"/>
  </w:num>
  <w:num w:numId="29">
    <w:abstractNumId w:val="55"/>
  </w:num>
  <w:num w:numId="30">
    <w:abstractNumId w:val="26"/>
    <w:lvlOverride w:ilvl="0">
      <w:startOverride w:val="1"/>
    </w:lvlOverride>
  </w:num>
  <w:num w:numId="31">
    <w:abstractNumId w:val="26"/>
    <w:lvlOverride w:ilvl="0">
      <w:startOverride w:val="1"/>
    </w:lvlOverride>
  </w:num>
  <w:num w:numId="32">
    <w:abstractNumId w:val="26"/>
    <w:lvlOverride w:ilvl="0">
      <w:startOverride w:val="1"/>
    </w:lvlOverride>
  </w:num>
  <w:num w:numId="33">
    <w:abstractNumId w:val="61"/>
  </w:num>
  <w:num w:numId="34">
    <w:abstractNumId w:val="2"/>
  </w:num>
  <w:num w:numId="35">
    <w:abstractNumId w:val="4"/>
  </w:num>
  <w:num w:numId="36">
    <w:abstractNumId w:val="25"/>
  </w:num>
  <w:num w:numId="37">
    <w:abstractNumId w:val="57"/>
  </w:num>
  <w:num w:numId="38">
    <w:abstractNumId w:val="9"/>
    <w:lvlOverride w:ilvl="0">
      <w:startOverride w:val="1"/>
    </w:lvlOverride>
  </w:num>
  <w:num w:numId="39">
    <w:abstractNumId w:val="16"/>
  </w:num>
  <w:num w:numId="40">
    <w:abstractNumId w:val="56"/>
  </w:num>
  <w:num w:numId="41">
    <w:abstractNumId w:val="24"/>
  </w:num>
  <w:num w:numId="42">
    <w:abstractNumId w:val="38"/>
  </w:num>
  <w:num w:numId="43">
    <w:abstractNumId w:val="39"/>
  </w:num>
  <w:num w:numId="44">
    <w:abstractNumId w:val="46"/>
  </w:num>
  <w:num w:numId="45">
    <w:abstractNumId w:val="30"/>
  </w:num>
  <w:num w:numId="46">
    <w:abstractNumId w:val="41"/>
  </w:num>
  <w:num w:numId="47">
    <w:abstractNumId w:val="35"/>
  </w:num>
  <w:num w:numId="48">
    <w:abstractNumId w:val="7"/>
  </w:num>
  <w:num w:numId="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3"/>
  </w:num>
  <w:num w:numId="51">
    <w:abstractNumId w:val="51"/>
  </w:num>
  <w:num w:numId="52">
    <w:abstractNumId w:val="6"/>
  </w:num>
  <w:num w:numId="53">
    <w:abstractNumId w:val="26"/>
    <w:lvlOverride w:ilvl="0">
      <w:startOverride w:val="4"/>
    </w:lvlOverride>
  </w:num>
  <w:num w:numId="54">
    <w:abstractNumId w:val="22"/>
  </w:num>
  <w:num w:numId="55">
    <w:abstractNumId w:val="40"/>
  </w:num>
  <w:num w:numId="56">
    <w:abstractNumId w:val="8"/>
  </w:num>
  <w:num w:numId="57">
    <w:abstractNumId w:val="10"/>
  </w:num>
  <w:num w:numId="58">
    <w:abstractNumId w:val="48"/>
  </w:num>
  <w:num w:numId="59">
    <w:abstractNumId w:val="60"/>
  </w:num>
  <w:num w:numId="60">
    <w:abstractNumId w:val="52"/>
  </w:num>
  <w:num w:numId="61">
    <w:abstractNumId w:val="34"/>
  </w:num>
  <w:num w:numId="62">
    <w:abstractNumId w:val="62"/>
  </w:num>
  <w:num w:numId="63">
    <w:abstractNumId w:val="17"/>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5"/>
  </w:num>
  <w:num w:numId="65">
    <w:abstractNumId w:val="26"/>
    <w:lvlOverride w:ilvl="0">
      <w:startOverride w:val="1"/>
    </w:lvlOverride>
  </w:num>
  <w:num w:numId="66">
    <w:abstractNumId w:val="26"/>
    <w:lvlOverride w:ilvl="0">
      <w:startOverride w:val="1"/>
    </w:lvlOverride>
  </w:num>
  <w:num w:numId="67">
    <w:abstractNumId w:val="26"/>
    <w:lvlOverride w:ilvl="0">
      <w:startOverride w:val="1"/>
    </w:lvlOverride>
  </w:num>
  <w:num w:numId="68">
    <w:abstractNumId w:val="3"/>
  </w:num>
  <w:num w:numId="69">
    <w:abstractNumId w:val="9"/>
    <w:lvlOverride w:ilvl="0">
      <w:startOverride w:val="1"/>
    </w:lvlOverride>
  </w:num>
  <w:num w:numId="70">
    <w:abstractNumId w:val="22"/>
    <w:lvlOverride w:ilvl="0">
      <w:startOverride w:val="1"/>
    </w:lvlOverride>
  </w:num>
  <w:num w:numId="71">
    <w:abstractNumId w:val="22"/>
    <w:lvlOverride w:ilvl="0">
      <w:startOverride w:val="1"/>
    </w:lvlOverride>
  </w:num>
  <w:num w:numId="72">
    <w:abstractNumId w:val="22"/>
    <w:lvlOverride w:ilvl="0">
      <w:startOverride w:val="1"/>
    </w:lvlOverride>
  </w:num>
  <w:num w:numId="73">
    <w:abstractNumId w:val="47"/>
  </w:num>
  <w:num w:numId="74">
    <w:abstractNumId w:val="47"/>
  </w:num>
  <w:num w:numId="75">
    <w:abstractNumId w:val="47"/>
  </w:num>
  <w:num w:numId="76">
    <w:abstractNumId w:val="47"/>
  </w:num>
  <w:num w:numId="77">
    <w:abstractNumId w:val="47"/>
  </w:num>
  <w:num w:numId="78">
    <w:abstractNumId w:val="47"/>
  </w:num>
  <w:num w:numId="79">
    <w:abstractNumId w:val="19"/>
  </w:num>
  <w:num w:numId="80">
    <w:abstractNumId w:val="50"/>
  </w:num>
  <w:num w:numId="81">
    <w:abstractNumId w:val="11"/>
  </w:num>
  <w:num w:numId="82">
    <w:abstractNumId w:val="14"/>
  </w:num>
  <w:num w:numId="83">
    <w:abstractNumId w:val="63"/>
  </w:num>
  <w:num w:numId="84">
    <w:abstractNumId w:val="53"/>
  </w:num>
  <w:num w:numId="85">
    <w:abstractNumId w:val="23"/>
  </w:num>
  <w:num w:numId="86">
    <w:abstractNumId w:val="18"/>
  </w:num>
  <w:num w:numId="87">
    <w:abstractNumId w:val="32"/>
  </w:num>
  <w:num w:numId="88">
    <w:abstractNumId w:val="42"/>
  </w:num>
  <w:num w:numId="89">
    <w:abstractNumId w:val="12"/>
  </w:num>
  <w:num w:numId="90">
    <w:abstractNumId w:val="20"/>
    <w:lvlOverride w:ilvl="0">
      <w:lvl w:ilvl="0">
        <w:start w:val="1"/>
        <w:numFmt w:val="decimal"/>
        <w:pStyle w:val="Heading1"/>
        <w:lvlText w:val="%1."/>
        <w:lvlJc w:val="left"/>
        <w:pPr>
          <w:ind w:left="576" w:hanging="576"/>
        </w:pPr>
        <w:rPr>
          <w:rFonts w:hint="default"/>
        </w:rPr>
      </w:lvl>
    </w:lvlOverride>
    <w:lvlOverride w:ilvl="1">
      <w:lvl w:ilvl="1">
        <w:start w:val="1"/>
        <w:numFmt w:val="decimal"/>
        <w:pStyle w:val="Heading2"/>
        <w:lvlText w:val="%2."/>
        <w:lvlJc w:val="left"/>
        <w:pPr>
          <w:ind w:left="720" w:hanging="720"/>
        </w:pPr>
        <w:rPr>
          <w:rFonts w:hint="default"/>
        </w:rPr>
      </w:lvl>
    </w:lvlOverride>
    <w:lvlOverride w:ilvl="2">
      <w:lvl w:ilvl="2">
        <w:start w:val="1"/>
        <w:numFmt w:val="decimal"/>
        <w:lvlText w:val="%1.%2.%3"/>
        <w:lvlJc w:val="left"/>
        <w:pPr>
          <w:ind w:left="1008" w:hanging="1008"/>
        </w:pPr>
        <w:rPr>
          <w:rFonts w:hint="default"/>
        </w:rPr>
      </w:lvl>
    </w:lvlOverride>
    <w:lvlOverride w:ilvl="3">
      <w:lvl w:ilvl="3">
        <w:start w:val="1"/>
        <w:numFmt w:val="decimal"/>
        <w:lvlText w:val="%1.%2.%3.%4"/>
        <w:lvlJc w:val="left"/>
        <w:pPr>
          <w:ind w:left="2142" w:hanging="1152"/>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91">
    <w:abstractNumId w:val="33"/>
  </w:num>
  <w:num w:numId="92">
    <w:abstractNumId w:val="0"/>
  </w:num>
  <w:num w:numId="93">
    <w:abstractNumId w:val="26"/>
    <w:lvlOverride w:ilvl="0">
      <w:startOverride w:val="2"/>
    </w:lvlOverride>
  </w:num>
  <w:num w:numId="94">
    <w:abstractNumId w:val="47"/>
  </w:num>
  <w:num w:numId="95">
    <w:abstractNumId w:val="37"/>
  </w:num>
  <w:num w:numId="96">
    <w:abstractNumId w:val="9"/>
    <w:lvlOverride w:ilvl="0">
      <w:startOverride w:val="1"/>
    </w:lvlOverride>
  </w:num>
  <w:num w:numId="97">
    <w:abstractNumId w:val="9"/>
    <w:lvlOverride w:ilvl="0">
      <w:startOverride w:val="1"/>
    </w:lvlOverride>
  </w:num>
  <w:num w:numId="98">
    <w:abstractNumId w:val="9"/>
    <w:lvlOverride w:ilvl="0">
      <w:startOverride w:val="1"/>
    </w:lvlOverride>
  </w:num>
  <w:num w:numId="99">
    <w:abstractNumId w:val="13"/>
  </w:num>
  <w:num w:numId="10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9"/>
    <w:lvlOverride w:ilvl="0">
      <w:startOverride w:val="1"/>
    </w:lvlOverride>
  </w:num>
  <w:num w:numId="102">
    <w:abstractNumId w:val="26"/>
    <w:lvlOverride w:ilvl="0">
      <w:startOverride w:val="1"/>
    </w:lvlOverride>
  </w:num>
  <w:num w:numId="103">
    <w:abstractNumId w:val="36"/>
  </w:num>
  <w:num w:numId="104">
    <w:abstractNumId w:val="1"/>
  </w:num>
  <w:num w:numId="105">
    <w:abstractNumId w:val="26"/>
    <w:lvlOverride w:ilvl="0">
      <w:startOverride w:val="2"/>
    </w:lvlOverride>
  </w:num>
  <w:num w:numId="106">
    <w:abstractNumId w:val="26"/>
    <w:lvlOverride w:ilvl="0">
      <w:startOverride w:val="7"/>
    </w:lvlOverride>
  </w:num>
  <w:num w:numId="107">
    <w:abstractNumId w:val="28"/>
  </w:num>
  <w:num w:numId="108">
    <w:abstractNumId w:val="21"/>
  </w:num>
  <w:num w:numId="109">
    <w:abstractNumId w:val="31"/>
  </w:num>
  <w:num w:numId="110">
    <w:abstractNumId w:val="58"/>
  </w:num>
  <w:num w:numId="1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59"/>
  </w:num>
  <w:num w:numId="113">
    <w:abstractNumId w:val="26"/>
    <w:lvlOverride w:ilvl="0">
      <w:startOverride w:val="1"/>
    </w:lvlOverride>
  </w:num>
  <w:num w:numId="114">
    <w:abstractNumId w:val="26"/>
    <w:lvlOverride w:ilvl="0">
      <w:startOverride w:val="1"/>
    </w:lvlOverride>
  </w:num>
  <w:num w:numId="115">
    <w:abstractNumId w:val="47"/>
  </w:num>
  <w:num w:numId="116">
    <w:abstractNumId w:val="47"/>
  </w:num>
  <w:num w:numId="117">
    <w:abstractNumId w:val="47"/>
  </w:num>
  <w:num w:numId="118">
    <w:abstractNumId w:val="47"/>
  </w:num>
  <w:num w:numId="119">
    <w:abstractNumId w:val="26"/>
    <w:lvlOverride w:ilvl="0">
      <w:startOverride w:val="1"/>
    </w:lvlOverride>
  </w:num>
  <w:num w:numId="120">
    <w:abstractNumId w:val="26"/>
    <w:lvlOverride w:ilvl="0">
      <w:startOverride w:val="1"/>
    </w:lvlOverride>
  </w:num>
  <w:num w:numId="121">
    <w:abstractNumId w:val="26"/>
  </w:num>
  <w:num w:numId="122">
    <w:abstractNumId w:val="44"/>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activeWritingStyle w:appName="MSWord" w:lang="es-ES" w:vendorID="64" w:dllVersion="6" w:nlCheck="1" w:checkStyle="0"/>
  <w:activeWritingStyle w:appName="MSWord" w:lang="en-US" w:vendorID="64" w:dllVersion="6" w:nlCheck="1" w:checkStyle="1"/>
  <w:activeWritingStyle w:appName="MSWord" w:lang="en-US" w:vendorID="64" w:dllVersion="0" w:nlCheck="1" w:checkStyle="0"/>
  <w:activeWritingStyle w:appName="MSWord" w:lang="es-ES" w:vendorID="64" w:dllVersion="0" w:nlCheck="1" w:checkStyle="0"/>
  <w:activeWritingStyle w:appName="MSWord" w:lang="en-GB" w:vendorID="64" w:dllVersion="0" w:nlCheck="1" w:checkStyle="0"/>
  <w:activeWritingStyle w:appName="MSWord" w:lang="es-US" w:vendorID="64" w:dllVersion="0" w:nlCheck="1" w:checkStyle="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3461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3B1"/>
    <w:rsid w:val="00000603"/>
    <w:rsid w:val="0000073E"/>
    <w:rsid w:val="0000090C"/>
    <w:rsid w:val="00000D9F"/>
    <w:rsid w:val="00000FD2"/>
    <w:rsid w:val="00001AFE"/>
    <w:rsid w:val="00001CAA"/>
    <w:rsid w:val="00001F1C"/>
    <w:rsid w:val="00003657"/>
    <w:rsid w:val="000037B0"/>
    <w:rsid w:val="00003F08"/>
    <w:rsid w:val="0000494F"/>
    <w:rsid w:val="00005542"/>
    <w:rsid w:val="000060DF"/>
    <w:rsid w:val="0000637F"/>
    <w:rsid w:val="000067A7"/>
    <w:rsid w:val="00006DF9"/>
    <w:rsid w:val="0000712C"/>
    <w:rsid w:val="0000745D"/>
    <w:rsid w:val="00007488"/>
    <w:rsid w:val="0001054E"/>
    <w:rsid w:val="0001087C"/>
    <w:rsid w:val="000109B6"/>
    <w:rsid w:val="00010BF7"/>
    <w:rsid w:val="00011C19"/>
    <w:rsid w:val="00012306"/>
    <w:rsid w:val="000124DE"/>
    <w:rsid w:val="000135B7"/>
    <w:rsid w:val="000138A3"/>
    <w:rsid w:val="000147D1"/>
    <w:rsid w:val="00014DA2"/>
    <w:rsid w:val="0001533D"/>
    <w:rsid w:val="00015642"/>
    <w:rsid w:val="00015F1E"/>
    <w:rsid w:val="000165A8"/>
    <w:rsid w:val="0001667C"/>
    <w:rsid w:val="000175EC"/>
    <w:rsid w:val="00017BF5"/>
    <w:rsid w:val="00017BF9"/>
    <w:rsid w:val="0002162C"/>
    <w:rsid w:val="00022632"/>
    <w:rsid w:val="000227ED"/>
    <w:rsid w:val="00024E43"/>
    <w:rsid w:val="00025EF4"/>
    <w:rsid w:val="00026287"/>
    <w:rsid w:val="000267C1"/>
    <w:rsid w:val="000267C2"/>
    <w:rsid w:val="000268D4"/>
    <w:rsid w:val="00027567"/>
    <w:rsid w:val="0002774A"/>
    <w:rsid w:val="00027C95"/>
    <w:rsid w:val="00027F66"/>
    <w:rsid w:val="00031605"/>
    <w:rsid w:val="000319E7"/>
    <w:rsid w:val="00032214"/>
    <w:rsid w:val="000333BE"/>
    <w:rsid w:val="00033595"/>
    <w:rsid w:val="00033AF7"/>
    <w:rsid w:val="00033CC2"/>
    <w:rsid w:val="00034408"/>
    <w:rsid w:val="00035590"/>
    <w:rsid w:val="00035843"/>
    <w:rsid w:val="00035B6A"/>
    <w:rsid w:val="00035C56"/>
    <w:rsid w:val="000369C9"/>
    <w:rsid w:val="000370F8"/>
    <w:rsid w:val="000373D9"/>
    <w:rsid w:val="00040632"/>
    <w:rsid w:val="00040911"/>
    <w:rsid w:val="00041502"/>
    <w:rsid w:val="00041DEA"/>
    <w:rsid w:val="00042017"/>
    <w:rsid w:val="00042CD2"/>
    <w:rsid w:val="0004347C"/>
    <w:rsid w:val="000446CE"/>
    <w:rsid w:val="000449C1"/>
    <w:rsid w:val="00045224"/>
    <w:rsid w:val="000466A2"/>
    <w:rsid w:val="00046737"/>
    <w:rsid w:val="0004674C"/>
    <w:rsid w:val="00047982"/>
    <w:rsid w:val="00047B3B"/>
    <w:rsid w:val="0005133C"/>
    <w:rsid w:val="000514BA"/>
    <w:rsid w:val="0005171F"/>
    <w:rsid w:val="00051996"/>
    <w:rsid w:val="00051F86"/>
    <w:rsid w:val="0005265A"/>
    <w:rsid w:val="0005339C"/>
    <w:rsid w:val="00053435"/>
    <w:rsid w:val="0005345E"/>
    <w:rsid w:val="000546A5"/>
    <w:rsid w:val="00054FD5"/>
    <w:rsid w:val="000556E7"/>
    <w:rsid w:val="00055B89"/>
    <w:rsid w:val="00055D3A"/>
    <w:rsid w:val="0005601A"/>
    <w:rsid w:val="00057326"/>
    <w:rsid w:val="000573CA"/>
    <w:rsid w:val="00057826"/>
    <w:rsid w:val="00057B8E"/>
    <w:rsid w:val="00061AA4"/>
    <w:rsid w:val="00061D8E"/>
    <w:rsid w:val="00062566"/>
    <w:rsid w:val="00062C91"/>
    <w:rsid w:val="000633CA"/>
    <w:rsid w:val="00063CDB"/>
    <w:rsid w:val="000659FE"/>
    <w:rsid w:val="00065F41"/>
    <w:rsid w:val="00066190"/>
    <w:rsid w:val="000674A1"/>
    <w:rsid w:val="00067CB6"/>
    <w:rsid w:val="000717FC"/>
    <w:rsid w:val="0007188F"/>
    <w:rsid w:val="00071FDE"/>
    <w:rsid w:val="00072889"/>
    <w:rsid w:val="00073341"/>
    <w:rsid w:val="00073869"/>
    <w:rsid w:val="00073F8A"/>
    <w:rsid w:val="000740DB"/>
    <w:rsid w:val="0007458C"/>
    <w:rsid w:val="00074754"/>
    <w:rsid w:val="000747FF"/>
    <w:rsid w:val="000748F9"/>
    <w:rsid w:val="00076338"/>
    <w:rsid w:val="000764BD"/>
    <w:rsid w:val="000765DC"/>
    <w:rsid w:val="0007687E"/>
    <w:rsid w:val="0007759E"/>
    <w:rsid w:val="00077C4E"/>
    <w:rsid w:val="00077D47"/>
    <w:rsid w:val="00080C79"/>
    <w:rsid w:val="00080D69"/>
    <w:rsid w:val="000810DC"/>
    <w:rsid w:val="00081DB8"/>
    <w:rsid w:val="00081F32"/>
    <w:rsid w:val="00082130"/>
    <w:rsid w:val="0008214F"/>
    <w:rsid w:val="000821B9"/>
    <w:rsid w:val="000832A4"/>
    <w:rsid w:val="00083796"/>
    <w:rsid w:val="00083DF0"/>
    <w:rsid w:val="00083F2D"/>
    <w:rsid w:val="000840B4"/>
    <w:rsid w:val="00084309"/>
    <w:rsid w:val="00085AA0"/>
    <w:rsid w:val="000860D3"/>
    <w:rsid w:val="000868F8"/>
    <w:rsid w:val="0008695A"/>
    <w:rsid w:val="000874F1"/>
    <w:rsid w:val="000902AF"/>
    <w:rsid w:val="00090532"/>
    <w:rsid w:val="000907CE"/>
    <w:rsid w:val="00091218"/>
    <w:rsid w:val="0009198D"/>
    <w:rsid w:val="00091C31"/>
    <w:rsid w:val="000927C6"/>
    <w:rsid w:val="00092DDA"/>
    <w:rsid w:val="00093835"/>
    <w:rsid w:val="00093A17"/>
    <w:rsid w:val="00093AB6"/>
    <w:rsid w:val="00093BBD"/>
    <w:rsid w:val="00093E17"/>
    <w:rsid w:val="0009412D"/>
    <w:rsid w:val="00094782"/>
    <w:rsid w:val="00094DFC"/>
    <w:rsid w:val="0009514C"/>
    <w:rsid w:val="000956A7"/>
    <w:rsid w:val="00095A36"/>
    <w:rsid w:val="000960FE"/>
    <w:rsid w:val="000962C2"/>
    <w:rsid w:val="00096DC5"/>
    <w:rsid w:val="000971DC"/>
    <w:rsid w:val="000972BB"/>
    <w:rsid w:val="00097366"/>
    <w:rsid w:val="000A0376"/>
    <w:rsid w:val="000A0A73"/>
    <w:rsid w:val="000A13B1"/>
    <w:rsid w:val="000A15E5"/>
    <w:rsid w:val="000A215B"/>
    <w:rsid w:val="000A29EF"/>
    <w:rsid w:val="000A2C75"/>
    <w:rsid w:val="000A2CC4"/>
    <w:rsid w:val="000A2E4C"/>
    <w:rsid w:val="000A48E4"/>
    <w:rsid w:val="000A4F90"/>
    <w:rsid w:val="000A5211"/>
    <w:rsid w:val="000A5219"/>
    <w:rsid w:val="000A523C"/>
    <w:rsid w:val="000A53F5"/>
    <w:rsid w:val="000A5AAA"/>
    <w:rsid w:val="000A5B28"/>
    <w:rsid w:val="000A64F2"/>
    <w:rsid w:val="000A66B4"/>
    <w:rsid w:val="000A6868"/>
    <w:rsid w:val="000A6DB3"/>
    <w:rsid w:val="000A6E77"/>
    <w:rsid w:val="000A7673"/>
    <w:rsid w:val="000A772F"/>
    <w:rsid w:val="000A7B00"/>
    <w:rsid w:val="000B0881"/>
    <w:rsid w:val="000B0DF6"/>
    <w:rsid w:val="000B116F"/>
    <w:rsid w:val="000B168C"/>
    <w:rsid w:val="000B1DFF"/>
    <w:rsid w:val="000B1E96"/>
    <w:rsid w:val="000B23DA"/>
    <w:rsid w:val="000B26F5"/>
    <w:rsid w:val="000B2A61"/>
    <w:rsid w:val="000B453F"/>
    <w:rsid w:val="000B4773"/>
    <w:rsid w:val="000B4E16"/>
    <w:rsid w:val="000B512B"/>
    <w:rsid w:val="000B58DE"/>
    <w:rsid w:val="000B59B9"/>
    <w:rsid w:val="000B6811"/>
    <w:rsid w:val="000B6A3B"/>
    <w:rsid w:val="000B7528"/>
    <w:rsid w:val="000B762C"/>
    <w:rsid w:val="000B7BCF"/>
    <w:rsid w:val="000B7D0C"/>
    <w:rsid w:val="000B7D7F"/>
    <w:rsid w:val="000C0C34"/>
    <w:rsid w:val="000C0CCC"/>
    <w:rsid w:val="000C15A8"/>
    <w:rsid w:val="000C1809"/>
    <w:rsid w:val="000C22EF"/>
    <w:rsid w:val="000C266B"/>
    <w:rsid w:val="000C2D53"/>
    <w:rsid w:val="000C2EA4"/>
    <w:rsid w:val="000C3BA7"/>
    <w:rsid w:val="000C4333"/>
    <w:rsid w:val="000C4482"/>
    <w:rsid w:val="000C4F30"/>
    <w:rsid w:val="000C53AE"/>
    <w:rsid w:val="000C53BD"/>
    <w:rsid w:val="000C54FD"/>
    <w:rsid w:val="000C5D2F"/>
    <w:rsid w:val="000C786D"/>
    <w:rsid w:val="000C78D6"/>
    <w:rsid w:val="000C7919"/>
    <w:rsid w:val="000C7B79"/>
    <w:rsid w:val="000C7CF4"/>
    <w:rsid w:val="000D027E"/>
    <w:rsid w:val="000D03B9"/>
    <w:rsid w:val="000D198F"/>
    <w:rsid w:val="000D19A6"/>
    <w:rsid w:val="000D1D38"/>
    <w:rsid w:val="000D2022"/>
    <w:rsid w:val="000D2460"/>
    <w:rsid w:val="000D2724"/>
    <w:rsid w:val="000D2C60"/>
    <w:rsid w:val="000D2CB7"/>
    <w:rsid w:val="000D2DEF"/>
    <w:rsid w:val="000D2E6F"/>
    <w:rsid w:val="000D378E"/>
    <w:rsid w:val="000D3BFC"/>
    <w:rsid w:val="000D3D20"/>
    <w:rsid w:val="000D3D22"/>
    <w:rsid w:val="000D41D7"/>
    <w:rsid w:val="000D63AD"/>
    <w:rsid w:val="000D75C9"/>
    <w:rsid w:val="000D7945"/>
    <w:rsid w:val="000D7E95"/>
    <w:rsid w:val="000E0662"/>
    <w:rsid w:val="000E1580"/>
    <w:rsid w:val="000E189A"/>
    <w:rsid w:val="000E233D"/>
    <w:rsid w:val="000E2870"/>
    <w:rsid w:val="000E2876"/>
    <w:rsid w:val="000E3325"/>
    <w:rsid w:val="000E34E7"/>
    <w:rsid w:val="000E3BFD"/>
    <w:rsid w:val="000E4242"/>
    <w:rsid w:val="000E45CD"/>
    <w:rsid w:val="000E4B25"/>
    <w:rsid w:val="000E5708"/>
    <w:rsid w:val="000E5EF6"/>
    <w:rsid w:val="000E65C7"/>
    <w:rsid w:val="000E6986"/>
    <w:rsid w:val="000E79B2"/>
    <w:rsid w:val="000E79DC"/>
    <w:rsid w:val="000E7D1D"/>
    <w:rsid w:val="000E7E64"/>
    <w:rsid w:val="000E7FF8"/>
    <w:rsid w:val="000F0547"/>
    <w:rsid w:val="000F0F91"/>
    <w:rsid w:val="000F1294"/>
    <w:rsid w:val="000F12D5"/>
    <w:rsid w:val="000F136A"/>
    <w:rsid w:val="000F1454"/>
    <w:rsid w:val="000F16A2"/>
    <w:rsid w:val="000F1CE8"/>
    <w:rsid w:val="000F1E2E"/>
    <w:rsid w:val="000F1F33"/>
    <w:rsid w:val="000F2C70"/>
    <w:rsid w:val="000F3115"/>
    <w:rsid w:val="000F3582"/>
    <w:rsid w:val="000F3795"/>
    <w:rsid w:val="000F4000"/>
    <w:rsid w:val="000F43FD"/>
    <w:rsid w:val="000F48AF"/>
    <w:rsid w:val="000F4BE0"/>
    <w:rsid w:val="000F52C7"/>
    <w:rsid w:val="000F552D"/>
    <w:rsid w:val="000F58DF"/>
    <w:rsid w:val="000F59D3"/>
    <w:rsid w:val="000F62C1"/>
    <w:rsid w:val="000F667F"/>
    <w:rsid w:val="000F6CB0"/>
    <w:rsid w:val="0010043B"/>
    <w:rsid w:val="001017FD"/>
    <w:rsid w:val="00101966"/>
    <w:rsid w:val="00101A9A"/>
    <w:rsid w:val="00101E2C"/>
    <w:rsid w:val="00102014"/>
    <w:rsid w:val="00102021"/>
    <w:rsid w:val="00102695"/>
    <w:rsid w:val="00102F42"/>
    <w:rsid w:val="00103309"/>
    <w:rsid w:val="00103373"/>
    <w:rsid w:val="00103CE6"/>
    <w:rsid w:val="00103D53"/>
    <w:rsid w:val="00104339"/>
    <w:rsid w:val="00104678"/>
    <w:rsid w:val="001053DB"/>
    <w:rsid w:val="00105F44"/>
    <w:rsid w:val="001062EB"/>
    <w:rsid w:val="00106851"/>
    <w:rsid w:val="00106FD0"/>
    <w:rsid w:val="00107022"/>
    <w:rsid w:val="00107450"/>
    <w:rsid w:val="00110260"/>
    <w:rsid w:val="00110A01"/>
    <w:rsid w:val="00110D59"/>
    <w:rsid w:val="00111375"/>
    <w:rsid w:val="00111384"/>
    <w:rsid w:val="00111CFA"/>
    <w:rsid w:val="00111F14"/>
    <w:rsid w:val="00112AFF"/>
    <w:rsid w:val="0011350E"/>
    <w:rsid w:val="00113AD6"/>
    <w:rsid w:val="00113AFC"/>
    <w:rsid w:val="00114226"/>
    <w:rsid w:val="0011442F"/>
    <w:rsid w:val="0011599D"/>
    <w:rsid w:val="001159AE"/>
    <w:rsid w:val="00115DA5"/>
    <w:rsid w:val="00116D6B"/>
    <w:rsid w:val="00117223"/>
    <w:rsid w:val="0011744B"/>
    <w:rsid w:val="00117BDC"/>
    <w:rsid w:val="00117D91"/>
    <w:rsid w:val="00120642"/>
    <w:rsid w:val="0012122A"/>
    <w:rsid w:val="001223B1"/>
    <w:rsid w:val="001240AB"/>
    <w:rsid w:val="001258A7"/>
    <w:rsid w:val="001259CF"/>
    <w:rsid w:val="001261FF"/>
    <w:rsid w:val="00126CC4"/>
    <w:rsid w:val="00126EA6"/>
    <w:rsid w:val="00126F08"/>
    <w:rsid w:val="00127D7D"/>
    <w:rsid w:val="00127EC4"/>
    <w:rsid w:val="001303D0"/>
    <w:rsid w:val="00130A1A"/>
    <w:rsid w:val="00130F39"/>
    <w:rsid w:val="00131C57"/>
    <w:rsid w:val="00131FD6"/>
    <w:rsid w:val="001327B6"/>
    <w:rsid w:val="0013288A"/>
    <w:rsid w:val="001331D6"/>
    <w:rsid w:val="00133865"/>
    <w:rsid w:val="001338A1"/>
    <w:rsid w:val="0013423F"/>
    <w:rsid w:val="001354E9"/>
    <w:rsid w:val="001362CB"/>
    <w:rsid w:val="00136D96"/>
    <w:rsid w:val="0013791F"/>
    <w:rsid w:val="00137D02"/>
    <w:rsid w:val="001405CC"/>
    <w:rsid w:val="00140C9D"/>
    <w:rsid w:val="0014127D"/>
    <w:rsid w:val="00141AC7"/>
    <w:rsid w:val="0014204F"/>
    <w:rsid w:val="00142050"/>
    <w:rsid w:val="001420E6"/>
    <w:rsid w:val="001421BE"/>
    <w:rsid w:val="00142407"/>
    <w:rsid w:val="001436AF"/>
    <w:rsid w:val="001445B4"/>
    <w:rsid w:val="001450E4"/>
    <w:rsid w:val="00145747"/>
    <w:rsid w:val="00146127"/>
    <w:rsid w:val="0014647F"/>
    <w:rsid w:val="00146E6D"/>
    <w:rsid w:val="001478AA"/>
    <w:rsid w:val="00147C30"/>
    <w:rsid w:val="00147D0B"/>
    <w:rsid w:val="00150076"/>
    <w:rsid w:val="001505B6"/>
    <w:rsid w:val="0015061A"/>
    <w:rsid w:val="00150A2E"/>
    <w:rsid w:val="00150D3D"/>
    <w:rsid w:val="00150DF9"/>
    <w:rsid w:val="00151238"/>
    <w:rsid w:val="0015182B"/>
    <w:rsid w:val="00151CB8"/>
    <w:rsid w:val="0015370B"/>
    <w:rsid w:val="00153AFB"/>
    <w:rsid w:val="001541E6"/>
    <w:rsid w:val="001543B3"/>
    <w:rsid w:val="001545DC"/>
    <w:rsid w:val="00154A3B"/>
    <w:rsid w:val="00154D22"/>
    <w:rsid w:val="00154E3D"/>
    <w:rsid w:val="00155A7D"/>
    <w:rsid w:val="00156375"/>
    <w:rsid w:val="001567CB"/>
    <w:rsid w:val="001571B3"/>
    <w:rsid w:val="00157310"/>
    <w:rsid w:val="001602AD"/>
    <w:rsid w:val="001602B2"/>
    <w:rsid w:val="00160CB6"/>
    <w:rsid w:val="00160CDA"/>
    <w:rsid w:val="00161F05"/>
    <w:rsid w:val="00162D3D"/>
    <w:rsid w:val="00163824"/>
    <w:rsid w:val="00163ECA"/>
    <w:rsid w:val="001648EA"/>
    <w:rsid w:val="0016556B"/>
    <w:rsid w:val="00165B0F"/>
    <w:rsid w:val="00165CF0"/>
    <w:rsid w:val="00165ED7"/>
    <w:rsid w:val="00166122"/>
    <w:rsid w:val="00166BD7"/>
    <w:rsid w:val="00170537"/>
    <w:rsid w:val="00170547"/>
    <w:rsid w:val="00170F8D"/>
    <w:rsid w:val="00171995"/>
    <w:rsid w:val="001725D7"/>
    <w:rsid w:val="00172E3F"/>
    <w:rsid w:val="00173C05"/>
    <w:rsid w:val="00173F67"/>
    <w:rsid w:val="001746EA"/>
    <w:rsid w:val="00175088"/>
    <w:rsid w:val="00175433"/>
    <w:rsid w:val="00175F70"/>
    <w:rsid w:val="00176661"/>
    <w:rsid w:val="00176900"/>
    <w:rsid w:val="00176C70"/>
    <w:rsid w:val="00177096"/>
    <w:rsid w:val="00177BC7"/>
    <w:rsid w:val="00177F4D"/>
    <w:rsid w:val="00180B94"/>
    <w:rsid w:val="00180DE7"/>
    <w:rsid w:val="00181DB7"/>
    <w:rsid w:val="001821A8"/>
    <w:rsid w:val="00182632"/>
    <w:rsid w:val="00182B6B"/>
    <w:rsid w:val="00183374"/>
    <w:rsid w:val="001849E6"/>
    <w:rsid w:val="0018534B"/>
    <w:rsid w:val="001853D5"/>
    <w:rsid w:val="00185561"/>
    <w:rsid w:val="001859AF"/>
    <w:rsid w:val="00185C83"/>
    <w:rsid w:val="0018615C"/>
    <w:rsid w:val="001865A4"/>
    <w:rsid w:val="001867B7"/>
    <w:rsid w:val="00186C4B"/>
    <w:rsid w:val="00186F81"/>
    <w:rsid w:val="00187C32"/>
    <w:rsid w:val="0019104E"/>
    <w:rsid w:val="00191C8A"/>
    <w:rsid w:val="001920C5"/>
    <w:rsid w:val="00192A0C"/>
    <w:rsid w:val="00192E45"/>
    <w:rsid w:val="001933C1"/>
    <w:rsid w:val="001938F5"/>
    <w:rsid w:val="00193928"/>
    <w:rsid w:val="0019406E"/>
    <w:rsid w:val="00194E15"/>
    <w:rsid w:val="00194E81"/>
    <w:rsid w:val="00195784"/>
    <w:rsid w:val="0019588F"/>
    <w:rsid w:val="00195EFF"/>
    <w:rsid w:val="00196155"/>
    <w:rsid w:val="001965D3"/>
    <w:rsid w:val="001A030B"/>
    <w:rsid w:val="001A16D1"/>
    <w:rsid w:val="001A18BC"/>
    <w:rsid w:val="001A25BE"/>
    <w:rsid w:val="001A26F0"/>
    <w:rsid w:val="001A3615"/>
    <w:rsid w:val="001A3AEA"/>
    <w:rsid w:val="001A4DD0"/>
    <w:rsid w:val="001A5564"/>
    <w:rsid w:val="001A5A44"/>
    <w:rsid w:val="001A5B43"/>
    <w:rsid w:val="001A5BDD"/>
    <w:rsid w:val="001A5CAC"/>
    <w:rsid w:val="001A5F47"/>
    <w:rsid w:val="001A6548"/>
    <w:rsid w:val="001A6942"/>
    <w:rsid w:val="001A6996"/>
    <w:rsid w:val="001A6CE8"/>
    <w:rsid w:val="001A6D38"/>
    <w:rsid w:val="001A6F70"/>
    <w:rsid w:val="001A7035"/>
    <w:rsid w:val="001A737F"/>
    <w:rsid w:val="001A74D0"/>
    <w:rsid w:val="001A7AFE"/>
    <w:rsid w:val="001A7E52"/>
    <w:rsid w:val="001A7E5E"/>
    <w:rsid w:val="001A7EE6"/>
    <w:rsid w:val="001B010D"/>
    <w:rsid w:val="001B0AF5"/>
    <w:rsid w:val="001B0C7B"/>
    <w:rsid w:val="001B0FC7"/>
    <w:rsid w:val="001B18D6"/>
    <w:rsid w:val="001B3794"/>
    <w:rsid w:val="001B3B27"/>
    <w:rsid w:val="001B458E"/>
    <w:rsid w:val="001B4C58"/>
    <w:rsid w:val="001B6704"/>
    <w:rsid w:val="001B681B"/>
    <w:rsid w:val="001B7B65"/>
    <w:rsid w:val="001B7E20"/>
    <w:rsid w:val="001B7F2C"/>
    <w:rsid w:val="001C1A16"/>
    <w:rsid w:val="001C1B04"/>
    <w:rsid w:val="001C201A"/>
    <w:rsid w:val="001C26B1"/>
    <w:rsid w:val="001C272B"/>
    <w:rsid w:val="001C328D"/>
    <w:rsid w:val="001C32EE"/>
    <w:rsid w:val="001C3CAC"/>
    <w:rsid w:val="001C40BD"/>
    <w:rsid w:val="001C4280"/>
    <w:rsid w:val="001C431B"/>
    <w:rsid w:val="001C43DC"/>
    <w:rsid w:val="001C4F06"/>
    <w:rsid w:val="001C52CB"/>
    <w:rsid w:val="001C5485"/>
    <w:rsid w:val="001C5AB8"/>
    <w:rsid w:val="001C62A3"/>
    <w:rsid w:val="001C6BEF"/>
    <w:rsid w:val="001C6FDB"/>
    <w:rsid w:val="001C705F"/>
    <w:rsid w:val="001C716B"/>
    <w:rsid w:val="001C766D"/>
    <w:rsid w:val="001C788B"/>
    <w:rsid w:val="001C7DF5"/>
    <w:rsid w:val="001C7EB7"/>
    <w:rsid w:val="001D07C0"/>
    <w:rsid w:val="001D0999"/>
    <w:rsid w:val="001D0A8C"/>
    <w:rsid w:val="001D1000"/>
    <w:rsid w:val="001D1191"/>
    <w:rsid w:val="001D2B65"/>
    <w:rsid w:val="001D3000"/>
    <w:rsid w:val="001D31DE"/>
    <w:rsid w:val="001D3BED"/>
    <w:rsid w:val="001D47C6"/>
    <w:rsid w:val="001D4BBB"/>
    <w:rsid w:val="001D4CDC"/>
    <w:rsid w:val="001D5183"/>
    <w:rsid w:val="001D543B"/>
    <w:rsid w:val="001D644B"/>
    <w:rsid w:val="001D7E8D"/>
    <w:rsid w:val="001E11FD"/>
    <w:rsid w:val="001E1611"/>
    <w:rsid w:val="001E1921"/>
    <w:rsid w:val="001E22F6"/>
    <w:rsid w:val="001E2481"/>
    <w:rsid w:val="001E2872"/>
    <w:rsid w:val="001E290F"/>
    <w:rsid w:val="001E2AF6"/>
    <w:rsid w:val="001E3A21"/>
    <w:rsid w:val="001E3EDF"/>
    <w:rsid w:val="001E41B5"/>
    <w:rsid w:val="001E48FB"/>
    <w:rsid w:val="001E50D1"/>
    <w:rsid w:val="001E5193"/>
    <w:rsid w:val="001E61C0"/>
    <w:rsid w:val="001E63EC"/>
    <w:rsid w:val="001E74CB"/>
    <w:rsid w:val="001F02AE"/>
    <w:rsid w:val="001F0449"/>
    <w:rsid w:val="001F0C97"/>
    <w:rsid w:val="001F102E"/>
    <w:rsid w:val="001F15C5"/>
    <w:rsid w:val="001F1DE3"/>
    <w:rsid w:val="001F2392"/>
    <w:rsid w:val="001F2559"/>
    <w:rsid w:val="001F3B0D"/>
    <w:rsid w:val="001F3B89"/>
    <w:rsid w:val="001F3CF8"/>
    <w:rsid w:val="001F4D9C"/>
    <w:rsid w:val="001F5819"/>
    <w:rsid w:val="001F6589"/>
    <w:rsid w:val="001F6661"/>
    <w:rsid w:val="001F6D28"/>
    <w:rsid w:val="001F6FE9"/>
    <w:rsid w:val="001F7D98"/>
    <w:rsid w:val="002002C4"/>
    <w:rsid w:val="00200344"/>
    <w:rsid w:val="00201562"/>
    <w:rsid w:val="00201BC1"/>
    <w:rsid w:val="00202EC6"/>
    <w:rsid w:val="002037D6"/>
    <w:rsid w:val="00203F88"/>
    <w:rsid w:val="00204450"/>
    <w:rsid w:val="0020492F"/>
    <w:rsid w:val="00205093"/>
    <w:rsid w:val="002055C8"/>
    <w:rsid w:val="002075D1"/>
    <w:rsid w:val="00210009"/>
    <w:rsid w:val="00210313"/>
    <w:rsid w:val="0021116D"/>
    <w:rsid w:val="002116EC"/>
    <w:rsid w:val="00211BD5"/>
    <w:rsid w:val="00211E50"/>
    <w:rsid w:val="0021225D"/>
    <w:rsid w:val="00212311"/>
    <w:rsid w:val="002125D8"/>
    <w:rsid w:val="002127A0"/>
    <w:rsid w:val="00213346"/>
    <w:rsid w:val="00213734"/>
    <w:rsid w:val="00213BDE"/>
    <w:rsid w:val="00213FC5"/>
    <w:rsid w:val="00214385"/>
    <w:rsid w:val="00214C35"/>
    <w:rsid w:val="0021539E"/>
    <w:rsid w:val="00215CFE"/>
    <w:rsid w:val="00216A35"/>
    <w:rsid w:val="00216FB1"/>
    <w:rsid w:val="002170C6"/>
    <w:rsid w:val="002171A9"/>
    <w:rsid w:val="002178CE"/>
    <w:rsid w:val="00217E11"/>
    <w:rsid w:val="00220099"/>
    <w:rsid w:val="00221032"/>
    <w:rsid w:val="00221339"/>
    <w:rsid w:val="00221852"/>
    <w:rsid w:val="00222282"/>
    <w:rsid w:val="00222344"/>
    <w:rsid w:val="00222FEB"/>
    <w:rsid w:val="002231D2"/>
    <w:rsid w:val="00224EE9"/>
    <w:rsid w:val="002250CC"/>
    <w:rsid w:val="00225603"/>
    <w:rsid w:val="0022608A"/>
    <w:rsid w:val="002267CC"/>
    <w:rsid w:val="00227429"/>
    <w:rsid w:val="002302DE"/>
    <w:rsid w:val="0023030B"/>
    <w:rsid w:val="00231463"/>
    <w:rsid w:val="002318F2"/>
    <w:rsid w:val="00231A19"/>
    <w:rsid w:val="00231A96"/>
    <w:rsid w:val="00231EAB"/>
    <w:rsid w:val="00232A84"/>
    <w:rsid w:val="00232F8C"/>
    <w:rsid w:val="00233CDA"/>
    <w:rsid w:val="00234431"/>
    <w:rsid w:val="00234BF7"/>
    <w:rsid w:val="00235288"/>
    <w:rsid w:val="002357A8"/>
    <w:rsid w:val="00235C2E"/>
    <w:rsid w:val="00235CDC"/>
    <w:rsid w:val="00235F6E"/>
    <w:rsid w:val="002362FB"/>
    <w:rsid w:val="00236F57"/>
    <w:rsid w:val="00240527"/>
    <w:rsid w:val="0024257F"/>
    <w:rsid w:val="002429A3"/>
    <w:rsid w:val="00244306"/>
    <w:rsid w:val="00244AF4"/>
    <w:rsid w:val="00244FF1"/>
    <w:rsid w:val="002457CC"/>
    <w:rsid w:val="00245A8D"/>
    <w:rsid w:val="00246052"/>
    <w:rsid w:val="002460D4"/>
    <w:rsid w:val="002463B8"/>
    <w:rsid w:val="002466A6"/>
    <w:rsid w:val="00250043"/>
    <w:rsid w:val="00251549"/>
    <w:rsid w:val="00251B5D"/>
    <w:rsid w:val="002525D4"/>
    <w:rsid w:val="00253E8C"/>
    <w:rsid w:val="002554DD"/>
    <w:rsid w:val="002560A1"/>
    <w:rsid w:val="002563C3"/>
    <w:rsid w:val="00257060"/>
    <w:rsid w:val="00257453"/>
    <w:rsid w:val="0026084A"/>
    <w:rsid w:val="00260E10"/>
    <w:rsid w:val="002613B7"/>
    <w:rsid w:val="002627DC"/>
    <w:rsid w:val="0026286E"/>
    <w:rsid w:val="00263019"/>
    <w:rsid w:val="00263AF3"/>
    <w:rsid w:val="00264D02"/>
    <w:rsid w:val="00264DAF"/>
    <w:rsid w:val="00264E49"/>
    <w:rsid w:val="002655CC"/>
    <w:rsid w:val="002666BD"/>
    <w:rsid w:val="00266B70"/>
    <w:rsid w:val="0026701E"/>
    <w:rsid w:val="0026721F"/>
    <w:rsid w:val="002677E9"/>
    <w:rsid w:val="002677F9"/>
    <w:rsid w:val="002705BC"/>
    <w:rsid w:val="00270A22"/>
    <w:rsid w:val="00270D1A"/>
    <w:rsid w:val="00272510"/>
    <w:rsid w:val="00272AFC"/>
    <w:rsid w:val="00272D61"/>
    <w:rsid w:val="00273C4F"/>
    <w:rsid w:val="002743B2"/>
    <w:rsid w:val="00274A40"/>
    <w:rsid w:val="00274D23"/>
    <w:rsid w:val="00274DFE"/>
    <w:rsid w:val="00275299"/>
    <w:rsid w:val="002753FE"/>
    <w:rsid w:val="00275B75"/>
    <w:rsid w:val="00275EC0"/>
    <w:rsid w:val="00280CA7"/>
    <w:rsid w:val="00282148"/>
    <w:rsid w:val="00282A59"/>
    <w:rsid w:val="002835ED"/>
    <w:rsid w:val="0028370D"/>
    <w:rsid w:val="00283B5D"/>
    <w:rsid w:val="00284007"/>
    <w:rsid w:val="00284109"/>
    <w:rsid w:val="0028444F"/>
    <w:rsid w:val="002853F0"/>
    <w:rsid w:val="00285A1C"/>
    <w:rsid w:val="00285C84"/>
    <w:rsid w:val="002860EA"/>
    <w:rsid w:val="0028676E"/>
    <w:rsid w:val="002870D5"/>
    <w:rsid w:val="002873B8"/>
    <w:rsid w:val="00287A29"/>
    <w:rsid w:val="00287B2E"/>
    <w:rsid w:val="0029077F"/>
    <w:rsid w:val="00290A02"/>
    <w:rsid w:val="0029105A"/>
    <w:rsid w:val="00291485"/>
    <w:rsid w:val="0029150E"/>
    <w:rsid w:val="00291B3A"/>
    <w:rsid w:val="00291BCF"/>
    <w:rsid w:val="00291F9B"/>
    <w:rsid w:val="00294746"/>
    <w:rsid w:val="00294933"/>
    <w:rsid w:val="00294A6D"/>
    <w:rsid w:val="00295142"/>
    <w:rsid w:val="00295526"/>
    <w:rsid w:val="00295594"/>
    <w:rsid w:val="00297E78"/>
    <w:rsid w:val="002A0074"/>
    <w:rsid w:val="002A015B"/>
    <w:rsid w:val="002A075E"/>
    <w:rsid w:val="002A0F27"/>
    <w:rsid w:val="002A101A"/>
    <w:rsid w:val="002A120B"/>
    <w:rsid w:val="002A147A"/>
    <w:rsid w:val="002A209C"/>
    <w:rsid w:val="002A2F2B"/>
    <w:rsid w:val="002A3548"/>
    <w:rsid w:val="002A3611"/>
    <w:rsid w:val="002A38A1"/>
    <w:rsid w:val="002A5569"/>
    <w:rsid w:val="002A619E"/>
    <w:rsid w:val="002A6A6B"/>
    <w:rsid w:val="002A6C2C"/>
    <w:rsid w:val="002A7089"/>
    <w:rsid w:val="002A7333"/>
    <w:rsid w:val="002A73F3"/>
    <w:rsid w:val="002B1349"/>
    <w:rsid w:val="002B1778"/>
    <w:rsid w:val="002B25EE"/>
    <w:rsid w:val="002B2619"/>
    <w:rsid w:val="002B3A76"/>
    <w:rsid w:val="002B566E"/>
    <w:rsid w:val="002B5764"/>
    <w:rsid w:val="002B6719"/>
    <w:rsid w:val="002B6CFE"/>
    <w:rsid w:val="002B6F62"/>
    <w:rsid w:val="002B7267"/>
    <w:rsid w:val="002B79C2"/>
    <w:rsid w:val="002B7EE5"/>
    <w:rsid w:val="002C060C"/>
    <w:rsid w:val="002C0CA9"/>
    <w:rsid w:val="002C0D7E"/>
    <w:rsid w:val="002C16FC"/>
    <w:rsid w:val="002C207D"/>
    <w:rsid w:val="002C21D0"/>
    <w:rsid w:val="002C293C"/>
    <w:rsid w:val="002C3077"/>
    <w:rsid w:val="002C33BF"/>
    <w:rsid w:val="002C33EF"/>
    <w:rsid w:val="002C47A6"/>
    <w:rsid w:val="002C4AA0"/>
    <w:rsid w:val="002C51CA"/>
    <w:rsid w:val="002C5312"/>
    <w:rsid w:val="002C59DA"/>
    <w:rsid w:val="002C5FA6"/>
    <w:rsid w:val="002C6F54"/>
    <w:rsid w:val="002C7065"/>
    <w:rsid w:val="002C708A"/>
    <w:rsid w:val="002C71E2"/>
    <w:rsid w:val="002C76A1"/>
    <w:rsid w:val="002D17D5"/>
    <w:rsid w:val="002D196F"/>
    <w:rsid w:val="002D1A27"/>
    <w:rsid w:val="002D1C30"/>
    <w:rsid w:val="002D1CCA"/>
    <w:rsid w:val="002D262D"/>
    <w:rsid w:val="002D2DBF"/>
    <w:rsid w:val="002D3451"/>
    <w:rsid w:val="002D473B"/>
    <w:rsid w:val="002D4D6C"/>
    <w:rsid w:val="002D5309"/>
    <w:rsid w:val="002D6CE9"/>
    <w:rsid w:val="002E06DB"/>
    <w:rsid w:val="002E1505"/>
    <w:rsid w:val="002E181B"/>
    <w:rsid w:val="002E2420"/>
    <w:rsid w:val="002E3989"/>
    <w:rsid w:val="002E3B1C"/>
    <w:rsid w:val="002E3E76"/>
    <w:rsid w:val="002E479B"/>
    <w:rsid w:val="002E498C"/>
    <w:rsid w:val="002E4E2A"/>
    <w:rsid w:val="002E6942"/>
    <w:rsid w:val="002E76DA"/>
    <w:rsid w:val="002E7849"/>
    <w:rsid w:val="002F0859"/>
    <w:rsid w:val="002F19A0"/>
    <w:rsid w:val="002F1B33"/>
    <w:rsid w:val="002F25D1"/>
    <w:rsid w:val="002F3018"/>
    <w:rsid w:val="002F4BC3"/>
    <w:rsid w:val="002F515D"/>
    <w:rsid w:val="002F63A8"/>
    <w:rsid w:val="002F6DC7"/>
    <w:rsid w:val="002F6FD9"/>
    <w:rsid w:val="002F799C"/>
    <w:rsid w:val="002F79A4"/>
    <w:rsid w:val="003002B5"/>
    <w:rsid w:val="00300633"/>
    <w:rsid w:val="00300AAA"/>
    <w:rsid w:val="00300BCC"/>
    <w:rsid w:val="00301296"/>
    <w:rsid w:val="0030159F"/>
    <w:rsid w:val="00301B16"/>
    <w:rsid w:val="00301E5D"/>
    <w:rsid w:val="0030206A"/>
    <w:rsid w:val="00302327"/>
    <w:rsid w:val="003024EA"/>
    <w:rsid w:val="00302AD5"/>
    <w:rsid w:val="00303233"/>
    <w:rsid w:val="00303A9C"/>
    <w:rsid w:val="00303CB5"/>
    <w:rsid w:val="00303D24"/>
    <w:rsid w:val="00303E4A"/>
    <w:rsid w:val="00303E4F"/>
    <w:rsid w:val="00304341"/>
    <w:rsid w:val="00304473"/>
    <w:rsid w:val="00304648"/>
    <w:rsid w:val="003047E2"/>
    <w:rsid w:val="00304D72"/>
    <w:rsid w:val="00305086"/>
    <w:rsid w:val="00305775"/>
    <w:rsid w:val="003057FF"/>
    <w:rsid w:val="00305B25"/>
    <w:rsid w:val="00305C77"/>
    <w:rsid w:val="00305C78"/>
    <w:rsid w:val="00306A1F"/>
    <w:rsid w:val="00307218"/>
    <w:rsid w:val="0030772A"/>
    <w:rsid w:val="0031032A"/>
    <w:rsid w:val="00310573"/>
    <w:rsid w:val="003112AF"/>
    <w:rsid w:val="00311776"/>
    <w:rsid w:val="0031188C"/>
    <w:rsid w:val="003124F3"/>
    <w:rsid w:val="00312649"/>
    <w:rsid w:val="00312754"/>
    <w:rsid w:val="00312757"/>
    <w:rsid w:val="00312BC3"/>
    <w:rsid w:val="00312BEA"/>
    <w:rsid w:val="003131EC"/>
    <w:rsid w:val="00313BA3"/>
    <w:rsid w:val="00313C21"/>
    <w:rsid w:val="00314275"/>
    <w:rsid w:val="00314596"/>
    <w:rsid w:val="003145B6"/>
    <w:rsid w:val="00315A55"/>
    <w:rsid w:val="00315FC2"/>
    <w:rsid w:val="0031617A"/>
    <w:rsid w:val="00317DCC"/>
    <w:rsid w:val="00317ED6"/>
    <w:rsid w:val="00321993"/>
    <w:rsid w:val="00321EDF"/>
    <w:rsid w:val="003232F1"/>
    <w:rsid w:val="00323D6E"/>
    <w:rsid w:val="003249A7"/>
    <w:rsid w:val="00324A3B"/>
    <w:rsid w:val="00324B27"/>
    <w:rsid w:val="00325033"/>
    <w:rsid w:val="0032504C"/>
    <w:rsid w:val="00325072"/>
    <w:rsid w:val="00325A5F"/>
    <w:rsid w:val="00325F15"/>
    <w:rsid w:val="00325F71"/>
    <w:rsid w:val="0032625F"/>
    <w:rsid w:val="003266D3"/>
    <w:rsid w:val="00326A4E"/>
    <w:rsid w:val="00326F0F"/>
    <w:rsid w:val="00327691"/>
    <w:rsid w:val="00327F63"/>
    <w:rsid w:val="003301E3"/>
    <w:rsid w:val="00330225"/>
    <w:rsid w:val="00330AC2"/>
    <w:rsid w:val="00330B15"/>
    <w:rsid w:val="00330F18"/>
    <w:rsid w:val="00331BF3"/>
    <w:rsid w:val="00332A3D"/>
    <w:rsid w:val="00332ECB"/>
    <w:rsid w:val="00333788"/>
    <w:rsid w:val="0033438D"/>
    <w:rsid w:val="00334A9E"/>
    <w:rsid w:val="00334F65"/>
    <w:rsid w:val="00334F6A"/>
    <w:rsid w:val="0033516D"/>
    <w:rsid w:val="00335A9D"/>
    <w:rsid w:val="0033706D"/>
    <w:rsid w:val="0033793E"/>
    <w:rsid w:val="0034032E"/>
    <w:rsid w:val="00340B99"/>
    <w:rsid w:val="00341370"/>
    <w:rsid w:val="00341ADF"/>
    <w:rsid w:val="0034209C"/>
    <w:rsid w:val="0034280B"/>
    <w:rsid w:val="00342C38"/>
    <w:rsid w:val="00344754"/>
    <w:rsid w:val="00344CF0"/>
    <w:rsid w:val="003450B2"/>
    <w:rsid w:val="0034528A"/>
    <w:rsid w:val="0034558C"/>
    <w:rsid w:val="0034695B"/>
    <w:rsid w:val="0034729B"/>
    <w:rsid w:val="003474AF"/>
    <w:rsid w:val="003475E5"/>
    <w:rsid w:val="00347867"/>
    <w:rsid w:val="00350D4F"/>
    <w:rsid w:val="00351173"/>
    <w:rsid w:val="003511B9"/>
    <w:rsid w:val="00351DA2"/>
    <w:rsid w:val="003522F3"/>
    <w:rsid w:val="003525A2"/>
    <w:rsid w:val="003528A5"/>
    <w:rsid w:val="00352911"/>
    <w:rsid w:val="00352A68"/>
    <w:rsid w:val="0035385A"/>
    <w:rsid w:val="0035394B"/>
    <w:rsid w:val="00353D37"/>
    <w:rsid w:val="00354883"/>
    <w:rsid w:val="00354F78"/>
    <w:rsid w:val="003551DB"/>
    <w:rsid w:val="00355C9C"/>
    <w:rsid w:val="00356535"/>
    <w:rsid w:val="00356D6D"/>
    <w:rsid w:val="00357195"/>
    <w:rsid w:val="003579F1"/>
    <w:rsid w:val="003607B9"/>
    <w:rsid w:val="00360D5F"/>
    <w:rsid w:val="00361AA4"/>
    <w:rsid w:val="00362447"/>
    <w:rsid w:val="003625A7"/>
    <w:rsid w:val="003636CA"/>
    <w:rsid w:val="00363769"/>
    <w:rsid w:val="00364987"/>
    <w:rsid w:val="00364AFE"/>
    <w:rsid w:val="00364B50"/>
    <w:rsid w:val="00365ED7"/>
    <w:rsid w:val="00365FB2"/>
    <w:rsid w:val="003661A3"/>
    <w:rsid w:val="00366976"/>
    <w:rsid w:val="00367460"/>
    <w:rsid w:val="00367AE7"/>
    <w:rsid w:val="00367D77"/>
    <w:rsid w:val="003705D7"/>
    <w:rsid w:val="003716A1"/>
    <w:rsid w:val="003720F1"/>
    <w:rsid w:val="00372547"/>
    <w:rsid w:val="003728F6"/>
    <w:rsid w:val="00372C4F"/>
    <w:rsid w:val="00373DD3"/>
    <w:rsid w:val="00374192"/>
    <w:rsid w:val="003742AF"/>
    <w:rsid w:val="00374727"/>
    <w:rsid w:val="00374D29"/>
    <w:rsid w:val="00374DFF"/>
    <w:rsid w:val="00374E5D"/>
    <w:rsid w:val="003754E6"/>
    <w:rsid w:val="00376058"/>
    <w:rsid w:val="0037618A"/>
    <w:rsid w:val="00376813"/>
    <w:rsid w:val="003769EE"/>
    <w:rsid w:val="00377CB6"/>
    <w:rsid w:val="0038024E"/>
    <w:rsid w:val="00381306"/>
    <w:rsid w:val="003821BC"/>
    <w:rsid w:val="003832FC"/>
    <w:rsid w:val="00383742"/>
    <w:rsid w:val="003838C5"/>
    <w:rsid w:val="003846E3"/>
    <w:rsid w:val="00384BF8"/>
    <w:rsid w:val="003851AC"/>
    <w:rsid w:val="0038546E"/>
    <w:rsid w:val="00385E7C"/>
    <w:rsid w:val="00386B12"/>
    <w:rsid w:val="00387025"/>
    <w:rsid w:val="00387566"/>
    <w:rsid w:val="00387867"/>
    <w:rsid w:val="003879FA"/>
    <w:rsid w:val="00387DE2"/>
    <w:rsid w:val="00390022"/>
    <w:rsid w:val="00391415"/>
    <w:rsid w:val="00391A42"/>
    <w:rsid w:val="00393596"/>
    <w:rsid w:val="00393F57"/>
    <w:rsid w:val="00394089"/>
    <w:rsid w:val="00394B73"/>
    <w:rsid w:val="00394F03"/>
    <w:rsid w:val="00395690"/>
    <w:rsid w:val="00395747"/>
    <w:rsid w:val="00395897"/>
    <w:rsid w:val="00395DE0"/>
    <w:rsid w:val="003962BF"/>
    <w:rsid w:val="00397877"/>
    <w:rsid w:val="00397969"/>
    <w:rsid w:val="003A05B7"/>
    <w:rsid w:val="003A09F9"/>
    <w:rsid w:val="003A0CA1"/>
    <w:rsid w:val="003A20DE"/>
    <w:rsid w:val="003A2ED3"/>
    <w:rsid w:val="003A3398"/>
    <w:rsid w:val="003A400D"/>
    <w:rsid w:val="003A41DF"/>
    <w:rsid w:val="003A452D"/>
    <w:rsid w:val="003A4552"/>
    <w:rsid w:val="003A5B32"/>
    <w:rsid w:val="003A6450"/>
    <w:rsid w:val="003A64DB"/>
    <w:rsid w:val="003A6774"/>
    <w:rsid w:val="003A7170"/>
    <w:rsid w:val="003A7F12"/>
    <w:rsid w:val="003B0758"/>
    <w:rsid w:val="003B0794"/>
    <w:rsid w:val="003B0FD0"/>
    <w:rsid w:val="003B1726"/>
    <w:rsid w:val="003B1C6F"/>
    <w:rsid w:val="003B244C"/>
    <w:rsid w:val="003B29E1"/>
    <w:rsid w:val="003B2DD4"/>
    <w:rsid w:val="003B31DF"/>
    <w:rsid w:val="003B3C84"/>
    <w:rsid w:val="003B4A76"/>
    <w:rsid w:val="003B4C36"/>
    <w:rsid w:val="003B6046"/>
    <w:rsid w:val="003B6375"/>
    <w:rsid w:val="003B68DE"/>
    <w:rsid w:val="003B6AF0"/>
    <w:rsid w:val="003B6C4F"/>
    <w:rsid w:val="003B6E5F"/>
    <w:rsid w:val="003B71C5"/>
    <w:rsid w:val="003B7515"/>
    <w:rsid w:val="003B78BB"/>
    <w:rsid w:val="003B7F7F"/>
    <w:rsid w:val="003C0722"/>
    <w:rsid w:val="003C0867"/>
    <w:rsid w:val="003C12A5"/>
    <w:rsid w:val="003C2ECC"/>
    <w:rsid w:val="003C3068"/>
    <w:rsid w:val="003C4B2C"/>
    <w:rsid w:val="003C513C"/>
    <w:rsid w:val="003C553D"/>
    <w:rsid w:val="003C6A24"/>
    <w:rsid w:val="003C7078"/>
    <w:rsid w:val="003C7221"/>
    <w:rsid w:val="003C7337"/>
    <w:rsid w:val="003C774B"/>
    <w:rsid w:val="003C7A06"/>
    <w:rsid w:val="003D0043"/>
    <w:rsid w:val="003D0B9D"/>
    <w:rsid w:val="003D0D1A"/>
    <w:rsid w:val="003D18ED"/>
    <w:rsid w:val="003D23C6"/>
    <w:rsid w:val="003D2BDE"/>
    <w:rsid w:val="003D2FDF"/>
    <w:rsid w:val="003D3072"/>
    <w:rsid w:val="003D3238"/>
    <w:rsid w:val="003D36D2"/>
    <w:rsid w:val="003D49CA"/>
    <w:rsid w:val="003D4E55"/>
    <w:rsid w:val="003D504E"/>
    <w:rsid w:val="003D5296"/>
    <w:rsid w:val="003D6005"/>
    <w:rsid w:val="003D629A"/>
    <w:rsid w:val="003D643A"/>
    <w:rsid w:val="003D6547"/>
    <w:rsid w:val="003D7CF9"/>
    <w:rsid w:val="003E090E"/>
    <w:rsid w:val="003E0EF9"/>
    <w:rsid w:val="003E16C8"/>
    <w:rsid w:val="003E17FE"/>
    <w:rsid w:val="003E2C5A"/>
    <w:rsid w:val="003E2FCA"/>
    <w:rsid w:val="003E36B9"/>
    <w:rsid w:val="003E36D9"/>
    <w:rsid w:val="003E39CD"/>
    <w:rsid w:val="003E42EC"/>
    <w:rsid w:val="003E48A8"/>
    <w:rsid w:val="003E5A29"/>
    <w:rsid w:val="003E61D7"/>
    <w:rsid w:val="003E6283"/>
    <w:rsid w:val="003E74A2"/>
    <w:rsid w:val="003E7A1F"/>
    <w:rsid w:val="003E7C41"/>
    <w:rsid w:val="003F065C"/>
    <w:rsid w:val="003F1A31"/>
    <w:rsid w:val="003F2726"/>
    <w:rsid w:val="003F6139"/>
    <w:rsid w:val="003F67B8"/>
    <w:rsid w:val="003F71A5"/>
    <w:rsid w:val="003F7994"/>
    <w:rsid w:val="003F7B42"/>
    <w:rsid w:val="003F7D30"/>
    <w:rsid w:val="00400274"/>
    <w:rsid w:val="0040143A"/>
    <w:rsid w:val="00401476"/>
    <w:rsid w:val="00401567"/>
    <w:rsid w:val="00401687"/>
    <w:rsid w:val="00401941"/>
    <w:rsid w:val="0040294A"/>
    <w:rsid w:val="00402C6C"/>
    <w:rsid w:val="004032F6"/>
    <w:rsid w:val="00403571"/>
    <w:rsid w:val="00403EC8"/>
    <w:rsid w:val="004049A8"/>
    <w:rsid w:val="00404CB1"/>
    <w:rsid w:val="00404FF8"/>
    <w:rsid w:val="00405394"/>
    <w:rsid w:val="00405686"/>
    <w:rsid w:val="0040597F"/>
    <w:rsid w:val="004059BB"/>
    <w:rsid w:val="00405CD7"/>
    <w:rsid w:val="00405D9F"/>
    <w:rsid w:val="00406876"/>
    <w:rsid w:val="00407701"/>
    <w:rsid w:val="00407BD5"/>
    <w:rsid w:val="00411253"/>
    <w:rsid w:val="00411E32"/>
    <w:rsid w:val="004121D3"/>
    <w:rsid w:val="00412230"/>
    <w:rsid w:val="004126BD"/>
    <w:rsid w:val="00412A91"/>
    <w:rsid w:val="00412EC7"/>
    <w:rsid w:val="00412F2B"/>
    <w:rsid w:val="0041368D"/>
    <w:rsid w:val="004144CA"/>
    <w:rsid w:val="004146F8"/>
    <w:rsid w:val="00414AEE"/>
    <w:rsid w:val="00415176"/>
    <w:rsid w:val="00415D63"/>
    <w:rsid w:val="00415FC6"/>
    <w:rsid w:val="004166D4"/>
    <w:rsid w:val="00416BCA"/>
    <w:rsid w:val="00416E4B"/>
    <w:rsid w:val="00417478"/>
    <w:rsid w:val="004176E0"/>
    <w:rsid w:val="0042069D"/>
    <w:rsid w:val="004207E1"/>
    <w:rsid w:val="00420A79"/>
    <w:rsid w:val="004222BF"/>
    <w:rsid w:val="00422606"/>
    <w:rsid w:val="00422706"/>
    <w:rsid w:val="00422A5A"/>
    <w:rsid w:val="00422E44"/>
    <w:rsid w:val="00423593"/>
    <w:rsid w:val="004237A7"/>
    <w:rsid w:val="00424A12"/>
    <w:rsid w:val="0042529E"/>
    <w:rsid w:val="00425A28"/>
    <w:rsid w:val="00426A55"/>
    <w:rsid w:val="0042786D"/>
    <w:rsid w:val="004278A5"/>
    <w:rsid w:val="00430AC2"/>
    <w:rsid w:val="004312D2"/>
    <w:rsid w:val="00431F70"/>
    <w:rsid w:val="0043217D"/>
    <w:rsid w:val="00432C33"/>
    <w:rsid w:val="00432CD9"/>
    <w:rsid w:val="00432F12"/>
    <w:rsid w:val="004336D7"/>
    <w:rsid w:val="00433C2B"/>
    <w:rsid w:val="0043472E"/>
    <w:rsid w:val="00435AF0"/>
    <w:rsid w:val="0043624A"/>
    <w:rsid w:val="004373D1"/>
    <w:rsid w:val="00437482"/>
    <w:rsid w:val="0043769C"/>
    <w:rsid w:val="00437B2F"/>
    <w:rsid w:val="00437B49"/>
    <w:rsid w:val="00437DC8"/>
    <w:rsid w:val="004400B3"/>
    <w:rsid w:val="00440772"/>
    <w:rsid w:val="004408ED"/>
    <w:rsid w:val="00440BCF"/>
    <w:rsid w:val="004416E0"/>
    <w:rsid w:val="00441A14"/>
    <w:rsid w:val="00441B2D"/>
    <w:rsid w:val="00441D30"/>
    <w:rsid w:val="00442E18"/>
    <w:rsid w:val="00443CDB"/>
    <w:rsid w:val="004444B3"/>
    <w:rsid w:val="00444A75"/>
    <w:rsid w:val="004450DD"/>
    <w:rsid w:val="00445231"/>
    <w:rsid w:val="00445A76"/>
    <w:rsid w:val="00446008"/>
    <w:rsid w:val="004460EF"/>
    <w:rsid w:val="00446B49"/>
    <w:rsid w:val="00446E0E"/>
    <w:rsid w:val="00446F9D"/>
    <w:rsid w:val="00447F33"/>
    <w:rsid w:val="004505A0"/>
    <w:rsid w:val="00450869"/>
    <w:rsid w:val="00451B49"/>
    <w:rsid w:val="004527B0"/>
    <w:rsid w:val="00452ECF"/>
    <w:rsid w:val="00453577"/>
    <w:rsid w:val="00453600"/>
    <w:rsid w:val="00454629"/>
    <w:rsid w:val="00454F45"/>
    <w:rsid w:val="004555AF"/>
    <w:rsid w:val="004555D9"/>
    <w:rsid w:val="004561EC"/>
    <w:rsid w:val="00456A28"/>
    <w:rsid w:val="004571E7"/>
    <w:rsid w:val="004572A4"/>
    <w:rsid w:val="0045794B"/>
    <w:rsid w:val="00460260"/>
    <w:rsid w:val="004605E1"/>
    <w:rsid w:val="00460B79"/>
    <w:rsid w:val="004610C4"/>
    <w:rsid w:val="00463196"/>
    <w:rsid w:val="00463489"/>
    <w:rsid w:val="004649DB"/>
    <w:rsid w:val="00464B3F"/>
    <w:rsid w:val="0046512F"/>
    <w:rsid w:val="00465923"/>
    <w:rsid w:val="004659C3"/>
    <w:rsid w:val="00466098"/>
    <w:rsid w:val="0046621B"/>
    <w:rsid w:val="004667C4"/>
    <w:rsid w:val="00467980"/>
    <w:rsid w:val="00470053"/>
    <w:rsid w:val="00470CA0"/>
    <w:rsid w:val="00470E54"/>
    <w:rsid w:val="004712D2"/>
    <w:rsid w:val="00471978"/>
    <w:rsid w:val="00472644"/>
    <w:rsid w:val="004726A3"/>
    <w:rsid w:val="004728B4"/>
    <w:rsid w:val="00473541"/>
    <w:rsid w:val="0047410A"/>
    <w:rsid w:val="00474110"/>
    <w:rsid w:val="0047432A"/>
    <w:rsid w:val="00474AD8"/>
    <w:rsid w:val="004757D5"/>
    <w:rsid w:val="00475C73"/>
    <w:rsid w:val="004764C1"/>
    <w:rsid w:val="00476690"/>
    <w:rsid w:val="004769A4"/>
    <w:rsid w:val="00476C9F"/>
    <w:rsid w:val="00477084"/>
    <w:rsid w:val="004802D2"/>
    <w:rsid w:val="0048057A"/>
    <w:rsid w:val="00480783"/>
    <w:rsid w:val="0048109F"/>
    <w:rsid w:val="004821E1"/>
    <w:rsid w:val="00482B8E"/>
    <w:rsid w:val="004831B1"/>
    <w:rsid w:val="00483693"/>
    <w:rsid w:val="00483BFA"/>
    <w:rsid w:val="004840A1"/>
    <w:rsid w:val="004852C7"/>
    <w:rsid w:val="00485343"/>
    <w:rsid w:val="004853A6"/>
    <w:rsid w:val="00485B70"/>
    <w:rsid w:val="00485D55"/>
    <w:rsid w:val="00485FC2"/>
    <w:rsid w:val="00487357"/>
    <w:rsid w:val="0049015A"/>
    <w:rsid w:val="00490E5E"/>
    <w:rsid w:val="0049115D"/>
    <w:rsid w:val="00492525"/>
    <w:rsid w:val="00492646"/>
    <w:rsid w:val="0049296F"/>
    <w:rsid w:val="00492E64"/>
    <w:rsid w:val="00492F51"/>
    <w:rsid w:val="00493231"/>
    <w:rsid w:val="00493843"/>
    <w:rsid w:val="004938E4"/>
    <w:rsid w:val="00493D98"/>
    <w:rsid w:val="0049573F"/>
    <w:rsid w:val="004958A5"/>
    <w:rsid w:val="00495A31"/>
    <w:rsid w:val="00495F64"/>
    <w:rsid w:val="00496411"/>
    <w:rsid w:val="00496457"/>
    <w:rsid w:val="00496EAB"/>
    <w:rsid w:val="00496F96"/>
    <w:rsid w:val="004974C9"/>
    <w:rsid w:val="004975A6"/>
    <w:rsid w:val="00497C83"/>
    <w:rsid w:val="00497CCF"/>
    <w:rsid w:val="004A01EF"/>
    <w:rsid w:val="004A02F5"/>
    <w:rsid w:val="004A0AEF"/>
    <w:rsid w:val="004A1306"/>
    <w:rsid w:val="004A2EE3"/>
    <w:rsid w:val="004A2FB2"/>
    <w:rsid w:val="004A3056"/>
    <w:rsid w:val="004A3C77"/>
    <w:rsid w:val="004A4136"/>
    <w:rsid w:val="004A55CC"/>
    <w:rsid w:val="004A5F6D"/>
    <w:rsid w:val="004A63ED"/>
    <w:rsid w:val="004A6A5A"/>
    <w:rsid w:val="004A6F1A"/>
    <w:rsid w:val="004A738B"/>
    <w:rsid w:val="004A73B8"/>
    <w:rsid w:val="004A77AA"/>
    <w:rsid w:val="004B02CF"/>
    <w:rsid w:val="004B14EB"/>
    <w:rsid w:val="004B1D08"/>
    <w:rsid w:val="004B3D93"/>
    <w:rsid w:val="004B3F91"/>
    <w:rsid w:val="004B4D6E"/>
    <w:rsid w:val="004B4E46"/>
    <w:rsid w:val="004B59FA"/>
    <w:rsid w:val="004B5D3C"/>
    <w:rsid w:val="004B5E10"/>
    <w:rsid w:val="004B65B7"/>
    <w:rsid w:val="004B688F"/>
    <w:rsid w:val="004B6CF5"/>
    <w:rsid w:val="004B7115"/>
    <w:rsid w:val="004B71E5"/>
    <w:rsid w:val="004B77B6"/>
    <w:rsid w:val="004C010D"/>
    <w:rsid w:val="004C0D65"/>
    <w:rsid w:val="004C0E36"/>
    <w:rsid w:val="004C19D4"/>
    <w:rsid w:val="004C1B44"/>
    <w:rsid w:val="004C1B6B"/>
    <w:rsid w:val="004C2AA6"/>
    <w:rsid w:val="004C2B9C"/>
    <w:rsid w:val="004C32D2"/>
    <w:rsid w:val="004C36E8"/>
    <w:rsid w:val="004C39A9"/>
    <w:rsid w:val="004C4533"/>
    <w:rsid w:val="004C47B5"/>
    <w:rsid w:val="004C4BD4"/>
    <w:rsid w:val="004C5594"/>
    <w:rsid w:val="004C5C7F"/>
    <w:rsid w:val="004C5CD9"/>
    <w:rsid w:val="004C5D41"/>
    <w:rsid w:val="004C6139"/>
    <w:rsid w:val="004C6331"/>
    <w:rsid w:val="004C6AB5"/>
    <w:rsid w:val="004C72FE"/>
    <w:rsid w:val="004C7545"/>
    <w:rsid w:val="004C7727"/>
    <w:rsid w:val="004D11CC"/>
    <w:rsid w:val="004D161A"/>
    <w:rsid w:val="004D267C"/>
    <w:rsid w:val="004D27BC"/>
    <w:rsid w:val="004D282D"/>
    <w:rsid w:val="004D2E48"/>
    <w:rsid w:val="004D30FC"/>
    <w:rsid w:val="004D3568"/>
    <w:rsid w:val="004D3FAD"/>
    <w:rsid w:val="004D48F4"/>
    <w:rsid w:val="004D49BA"/>
    <w:rsid w:val="004D5607"/>
    <w:rsid w:val="004D5A04"/>
    <w:rsid w:val="004D60FD"/>
    <w:rsid w:val="004D6230"/>
    <w:rsid w:val="004D64D5"/>
    <w:rsid w:val="004D6C4B"/>
    <w:rsid w:val="004D7F3D"/>
    <w:rsid w:val="004E000E"/>
    <w:rsid w:val="004E005E"/>
    <w:rsid w:val="004E0909"/>
    <w:rsid w:val="004E0D9B"/>
    <w:rsid w:val="004E11A2"/>
    <w:rsid w:val="004E1339"/>
    <w:rsid w:val="004E1FD7"/>
    <w:rsid w:val="004E2040"/>
    <w:rsid w:val="004E2A38"/>
    <w:rsid w:val="004E2E81"/>
    <w:rsid w:val="004E2FB0"/>
    <w:rsid w:val="004E2FD2"/>
    <w:rsid w:val="004E474D"/>
    <w:rsid w:val="004E519F"/>
    <w:rsid w:val="004E687C"/>
    <w:rsid w:val="004E78CF"/>
    <w:rsid w:val="004E795C"/>
    <w:rsid w:val="004F06D6"/>
    <w:rsid w:val="004F086F"/>
    <w:rsid w:val="004F0BC7"/>
    <w:rsid w:val="004F204E"/>
    <w:rsid w:val="004F2454"/>
    <w:rsid w:val="004F248C"/>
    <w:rsid w:val="004F28E5"/>
    <w:rsid w:val="004F3901"/>
    <w:rsid w:val="004F3E5E"/>
    <w:rsid w:val="004F444C"/>
    <w:rsid w:val="004F48A5"/>
    <w:rsid w:val="004F54A9"/>
    <w:rsid w:val="004F5F31"/>
    <w:rsid w:val="004F5FB8"/>
    <w:rsid w:val="004F66D8"/>
    <w:rsid w:val="004F68DB"/>
    <w:rsid w:val="004F6E28"/>
    <w:rsid w:val="005007A9"/>
    <w:rsid w:val="00500DD7"/>
    <w:rsid w:val="00500E26"/>
    <w:rsid w:val="005010A2"/>
    <w:rsid w:val="005015B7"/>
    <w:rsid w:val="005029A9"/>
    <w:rsid w:val="00502C5A"/>
    <w:rsid w:val="005033DA"/>
    <w:rsid w:val="00503E78"/>
    <w:rsid w:val="0050409B"/>
    <w:rsid w:val="0050435D"/>
    <w:rsid w:val="00505192"/>
    <w:rsid w:val="00505314"/>
    <w:rsid w:val="0050549F"/>
    <w:rsid w:val="00505D43"/>
    <w:rsid w:val="00506468"/>
    <w:rsid w:val="00507D2C"/>
    <w:rsid w:val="00510F9A"/>
    <w:rsid w:val="00511495"/>
    <w:rsid w:val="00511C23"/>
    <w:rsid w:val="0051221F"/>
    <w:rsid w:val="00512DCA"/>
    <w:rsid w:val="005130F2"/>
    <w:rsid w:val="005131BF"/>
    <w:rsid w:val="00514328"/>
    <w:rsid w:val="00514A7B"/>
    <w:rsid w:val="0051578C"/>
    <w:rsid w:val="00515BD2"/>
    <w:rsid w:val="00516856"/>
    <w:rsid w:val="00516BB9"/>
    <w:rsid w:val="0051736D"/>
    <w:rsid w:val="00517390"/>
    <w:rsid w:val="00517F1B"/>
    <w:rsid w:val="00517F37"/>
    <w:rsid w:val="00520B02"/>
    <w:rsid w:val="00520B44"/>
    <w:rsid w:val="00520E95"/>
    <w:rsid w:val="00521E12"/>
    <w:rsid w:val="005226CE"/>
    <w:rsid w:val="00522824"/>
    <w:rsid w:val="00523206"/>
    <w:rsid w:val="00523C10"/>
    <w:rsid w:val="0052517B"/>
    <w:rsid w:val="00525CDC"/>
    <w:rsid w:val="00526510"/>
    <w:rsid w:val="0052677C"/>
    <w:rsid w:val="005270F0"/>
    <w:rsid w:val="00527344"/>
    <w:rsid w:val="005273D1"/>
    <w:rsid w:val="00527CCA"/>
    <w:rsid w:val="005309CF"/>
    <w:rsid w:val="00530BAB"/>
    <w:rsid w:val="00530CC9"/>
    <w:rsid w:val="0053280E"/>
    <w:rsid w:val="005328BA"/>
    <w:rsid w:val="00532DA8"/>
    <w:rsid w:val="0053417C"/>
    <w:rsid w:val="0053494E"/>
    <w:rsid w:val="00534A2B"/>
    <w:rsid w:val="005351CA"/>
    <w:rsid w:val="00535772"/>
    <w:rsid w:val="00535AA5"/>
    <w:rsid w:val="00535CBB"/>
    <w:rsid w:val="0053631C"/>
    <w:rsid w:val="0053638B"/>
    <w:rsid w:val="00536957"/>
    <w:rsid w:val="00536AE4"/>
    <w:rsid w:val="00537AFA"/>
    <w:rsid w:val="005401D1"/>
    <w:rsid w:val="0054041C"/>
    <w:rsid w:val="0054045B"/>
    <w:rsid w:val="005404B8"/>
    <w:rsid w:val="00540C53"/>
    <w:rsid w:val="00540E4A"/>
    <w:rsid w:val="00541164"/>
    <w:rsid w:val="00541609"/>
    <w:rsid w:val="00541736"/>
    <w:rsid w:val="00541C69"/>
    <w:rsid w:val="005420D8"/>
    <w:rsid w:val="00542618"/>
    <w:rsid w:val="00542725"/>
    <w:rsid w:val="00542F0F"/>
    <w:rsid w:val="00543AA0"/>
    <w:rsid w:val="00543EE3"/>
    <w:rsid w:val="0054419E"/>
    <w:rsid w:val="00546188"/>
    <w:rsid w:val="00546C79"/>
    <w:rsid w:val="0054726F"/>
    <w:rsid w:val="00547702"/>
    <w:rsid w:val="00547CFD"/>
    <w:rsid w:val="0055029E"/>
    <w:rsid w:val="00550670"/>
    <w:rsid w:val="00551257"/>
    <w:rsid w:val="00551C5B"/>
    <w:rsid w:val="00552B14"/>
    <w:rsid w:val="0055399A"/>
    <w:rsid w:val="00554506"/>
    <w:rsid w:val="005549DA"/>
    <w:rsid w:val="00554BA9"/>
    <w:rsid w:val="00554F27"/>
    <w:rsid w:val="00555604"/>
    <w:rsid w:val="0055620E"/>
    <w:rsid w:val="00561EED"/>
    <w:rsid w:val="00561FDD"/>
    <w:rsid w:val="005626B4"/>
    <w:rsid w:val="005626F1"/>
    <w:rsid w:val="00562ACF"/>
    <w:rsid w:val="00562F62"/>
    <w:rsid w:val="0056302C"/>
    <w:rsid w:val="00563183"/>
    <w:rsid w:val="005635B3"/>
    <w:rsid w:val="00564A1E"/>
    <w:rsid w:val="00564C49"/>
    <w:rsid w:val="00565B8D"/>
    <w:rsid w:val="00565CCB"/>
    <w:rsid w:val="00566FBB"/>
    <w:rsid w:val="0056730E"/>
    <w:rsid w:val="005677D4"/>
    <w:rsid w:val="005707EE"/>
    <w:rsid w:val="00570931"/>
    <w:rsid w:val="00570C81"/>
    <w:rsid w:val="005722B1"/>
    <w:rsid w:val="00572A1F"/>
    <w:rsid w:val="00572C81"/>
    <w:rsid w:val="00573170"/>
    <w:rsid w:val="00573889"/>
    <w:rsid w:val="00573CCF"/>
    <w:rsid w:val="00573E77"/>
    <w:rsid w:val="00573EE2"/>
    <w:rsid w:val="00574CD7"/>
    <w:rsid w:val="0057520C"/>
    <w:rsid w:val="005763F2"/>
    <w:rsid w:val="00576CF9"/>
    <w:rsid w:val="0057798E"/>
    <w:rsid w:val="00577CD5"/>
    <w:rsid w:val="00577CD8"/>
    <w:rsid w:val="00580A87"/>
    <w:rsid w:val="00580F6F"/>
    <w:rsid w:val="00581553"/>
    <w:rsid w:val="0058284B"/>
    <w:rsid w:val="00582AA2"/>
    <w:rsid w:val="00582DE3"/>
    <w:rsid w:val="00583015"/>
    <w:rsid w:val="00583DE2"/>
    <w:rsid w:val="00583F78"/>
    <w:rsid w:val="005840CE"/>
    <w:rsid w:val="005842F0"/>
    <w:rsid w:val="0058463C"/>
    <w:rsid w:val="00584777"/>
    <w:rsid w:val="0058563E"/>
    <w:rsid w:val="00586890"/>
    <w:rsid w:val="00586D7E"/>
    <w:rsid w:val="00587AA2"/>
    <w:rsid w:val="00587C35"/>
    <w:rsid w:val="00587DED"/>
    <w:rsid w:val="00587EB5"/>
    <w:rsid w:val="00590484"/>
    <w:rsid w:val="005909F3"/>
    <w:rsid w:val="00590C7D"/>
    <w:rsid w:val="00590E5B"/>
    <w:rsid w:val="00591077"/>
    <w:rsid w:val="00591132"/>
    <w:rsid w:val="005912A2"/>
    <w:rsid w:val="005913A5"/>
    <w:rsid w:val="005916ED"/>
    <w:rsid w:val="00591F35"/>
    <w:rsid w:val="00592937"/>
    <w:rsid w:val="00593EB7"/>
    <w:rsid w:val="0059402A"/>
    <w:rsid w:val="005949A6"/>
    <w:rsid w:val="00594C79"/>
    <w:rsid w:val="0059589B"/>
    <w:rsid w:val="00595B30"/>
    <w:rsid w:val="00595F95"/>
    <w:rsid w:val="0059638A"/>
    <w:rsid w:val="00596D74"/>
    <w:rsid w:val="00596DAE"/>
    <w:rsid w:val="005970CA"/>
    <w:rsid w:val="0059765C"/>
    <w:rsid w:val="005A034E"/>
    <w:rsid w:val="005A05AF"/>
    <w:rsid w:val="005A06C8"/>
    <w:rsid w:val="005A13E4"/>
    <w:rsid w:val="005A13ED"/>
    <w:rsid w:val="005A1456"/>
    <w:rsid w:val="005A17B6"/>
    <w:rsid w:val="005A1812"/>
    <w:rsid w:val="005A25A4"/>
    <w:rsid w:val="005A2A20"/>
    <w:rsid w:val="005A3134"/>
    <w:rsid w:val="005A3CB4"/>
    <w:rsid w:val="005A4775"/>
    <w:rsid w:val="005A4CDF"/>
    <w:rsid w:val="005A511B"/>
    <w:rsid w:val="005A5263"/>
    <w:rsid w:val="005A6A31"/>
    <w:rsid w:val="005A7336"/>
    <w:rsid w:val="005A73D1"/>
    <w:rsid w:val="005A76EF"/>
    <w:rsid w:val="005A79BE"/>
    <w:rsid w:val="005B11F7"/>
    <w:rsid w:val="005B257D"/>
    <w:rsid w:val="005B289C"/>
    <w:rsid w:val="005B32C1"/>
    <w:rsid w:val="005B39C6"/>
    <w:rsid w:val="005B3A73"/>
    <w:rsid w:val="005B3C6F"/>
    <w:rsid w:val="005B4129"/>
    <w:rsid w:val="005B4160"/>
    <w:rsid w:val="005B5138"/>
    <w:rsid w:val="005B5F8C"/>
    <w:rsid w:val="005B6EE3"/>
    <w:rsid w:val="005B7407"/>
    <w:rsid w:val="005B75F4"/>
    <w:rsid w:val="005B7E90"/>
    <w:rsid w:val="005B7EF5"/>
    <w:rsid w:val="005B7F8F"/>
    <w:rsid w:val="005C0664"/>
    <w:rsid w:val="005C0F65"/>
    <w:rsid w:val="005C1A36"/>
    <w:rsid w:val="005C1AF9"/>
    <w:rsid w:val="005C226B"/>
    <w:rsid w:val="005C28A9"/>
    <w:rsid w:val="005C42CF"/>
    <w:rsid w:val="005C44F4"/>
    <w:rsid w:val="005C4C5C"/>
    <w:rsid w:val="005C52F6"/>
    <w:rsid w:val="005C537A"/>
    <w:rsid w:val="005C55D7"/>
    <w:rsid w:val="005C6622"/>
    <w:rsid w:val="005C7A14"/>
    <w:rsid w:val="005C7B30"/>
    <w:rsid w:val="005D138C"/>
    <w:rsid w:val="005D19F3"/>
    <w:rsid w:val="005D1F1D"/>
    <w:rsid w:val="005D30D1"/>
    <w:rsid w:val="005D5F89"/>
    <w:rsid w:val="005D6220"/>
    <w:rsid w:val="005D66B9"/>
    <w:rsid w:val="005D66BB"/>
    <w:rsid w:val="005D6C4B"/>
    <w:rsid w:val="005D6E45"/>
    <w:rsid w:val="005D763C"/>
    <w:rsid w:val="005D7FCD"/>
    <w:rsid w:val="005E06EF"/>
    <w:rsid w:val="005E0B7C"/>
    <w:rsid w:val="005E21E4"/>
    <w:rsid w:val="005E25B3"/>
    <w:rsid w:val="005E2BBD"/>
    <w:rsid w:val="005E3F7D"/>
    <w:rsid w:val="005E44E8"/>
    <w:rsid w:val="005E4640"/>
    <w:rsid w:val="005E47BB"/>
    <w:rsid w:val="005E5BB2"/>
    <w:rsid w:val="005E5E33"/>
    <w:rsid w:val="005E62E6"/>
    <w:rsid w:val="005E68A5"/>
    <w:rsid w:val="005E6A5B"/>
    <w:rsid w:val="005E6AE4"/>
    <w:rsid w:val="005E7B61"/>
    <w:rsid w:val="005E7DE7"/>
    <w:rsid w:val="005F044E"/>
    <w:rsid w:val="005F0D6A"/>
    <w:rsid w:val="005F17BC"/>
    <w:rsid w:val="005F1835"/>
    <w:rsid w:val="005F1D22"/>
    <w:rsid w:val="005F1F04"/>
    <w:rsid w:val="005F29A9"/>
    <w:rsid w:val="005F2A82"/>
    <w:rsid w:val="005F2C94"/>
    <w:rsid w:val="005F3F70"/>
    <w:rsid w:val="005F400C"/>
    <w:rsid w:val="005F41E0"/>
    <w:rsid w:val="005F44E9"/>
    <w:rsid w:val="005F5C62"/>
    <w:rsid w:val="005F5D2A"/>
    <w:rsid w:val="005F7A94"/>
    <w:rsid w:val="005F7BDF"/>
    <w:rsid w:val="005F7D51"/>
    <w:rsid w:val="00601248"/>
    <w:rsid w:val="00602B67"/>
    <w:rsid w:val="00602D1B"/>
    <w:rsid w:val="00603E4D"/>
    <w:rsid w:val="00604490"/>
    <w:rsid w:val="00604604"/>
    <w:rsid w:val="00605740"/>
    <w:rsid w:val="0060655B"/>
    <w:rsid w:val="00607D15"/>
    <w:rsid w:val="006101F1"/>
    <w:rsid w:val="006109B7"/>
    <w:rsid w:val="0061159D"/>
    <w:rsid w:val="006116D2"/>
    <w:rsid w:val="0061189D"/>
    <w:rsid w:val="00611A57"/>
    <w:rsid w:val="00612298"/>
    <w:rsid w:val="0061240F"/>
    <w:rsid w:val="006124AA"/>
    <w:rsid w:val="00612667"/>
    <w:rsid w:val="00613017"/>
    <w:rsid w:val="006136CE"/>
    <w:rsid w:val="00613995"/>
    <w:rsid w:val="00613AA5"/>
    <w:rsid w:val="00614D15"/>
    <w:rsid w:val="00615389"/>
    <w:rsid w:val="00615773"/>
    <w:rsid w:val="00615CBB"/>
    <w:rsid w:val="00615FA0"/>
    <w:rsid w:val="00616528"/>
    <w:rsid w:val="00616C1C"/>
    <w:rsid w:val="00617C41"/>
    <w:rsid w:val="00617CC9"/>
    <w:rsid w:val="0062002B"/>
    <w:rsid w:val="00620383"/>
    <w:rsid w:val="006210CA"/>
    <w:rsid w:val="00621FD1"/>
    <w:rsid w:val="00622814"/>
    <w:rsid w:val="00622AB9"/>
    <w:rsid w:val="00622E6F"/>
    <w:rsid w:val="0062300F"/>
    <w:rsid w:val="00623028"/>
    <w:rsid w:val="00623393"/>
    <w:rsid w:val="0062399F"/>
    <w:rsid w:val="00623DB4"/>
    <w:rsid w:val="0062464D"/>
    <w:rsid w:val="00624B0D"/>
    <w:rsid w:val="00624E55"/>
    <w:rsid w:val="0062515D"/>
    <w:rsid w:val="0062538B"/>
    <w:rsid w:val="00625754"/>
    <w:rsid w:val="00627416"/>
    <w:rsid w:val="00627E81"/>
    <w:rsid w:val="00630028"/>
    <w:rsid w:val="00631095"/>
    <w:rsid w:val="00631991"/>
    <w:rsid w:val="00631A5C"/>
    <w:rsid w:val="00631B72"/>
    <w:rsid w:val="00632972"/>
    <w:rsid w:val="00632B65"/>
    <w:rsid w:val="006332F0"/>
    <w:rsid w:val="0063463E"/>
    <w:rsid w:val="00634F60"/>
    <w:rsid w:val="00635627"/>
    <w:rsid w:val="0063687A"/>
    <w:rsid w:val="00636C6F"/>
    <w:rsid w:val="00636EEF"/>
    <w:rsid w:val="0064015D"/>
    <w:rsid w:val="00640244"/>
    <w:rsid w:val="006410A5"/>
    <w:rsid w:val="00641748"/>
    <w:rsid w:val="00641A9D"/>
    <w:rsid w:val="00642075"/>
    <w:rsid w:val="006438EA"/>
    <w:rsid w:val="00643CD1"/>
    <w:rsid w:val="00644085"/>
    <w:rsid w:val="0064445B"/>
    <w:rsid w:val="00644539"/>
    <w:rsid w:val="00644A17"/>
    <w:rsid w:val="006451A8"/>
    <w:rsid w:val="0064549E"/>
    <w:rsid w:val="00645F6B"/>
    <w:rsid w:val="00646730"/>
    <w:rsid w:val="0064683C"/>
    <w:rsid w:val="006477FC"/>
    <w:rsid w:val="00647B2B"/>
    <w:rsid w:val="00647F96"/>
    <w:rsid w:val="006500EC"/>
    <w:rsid w:val="006501C3"/>
    <w:rsid w:val="006505C8"/>
    <w:rsid w:val="00650F4B"/>
    <w:rsid w:val="00651067"/>
    <w:rsid w:val="0065106A"/>
    <w:rsid w:val="006515D2"/>
    <w:rsid w:val="00651D61"/>
    <w:rsid w:val="00652057"/>
    <w:rsid w:val="006523A0"/>
    <w:rsid w:val="0065254D"/>
    <w:rsid w:val="00652FD6"/>
    <w:rsid w:val="00654188"/>
    <w:rsid w:val="006543D4"/>
    <w:rsid w:val="006552FE"/>
    <w:rsid w:val="006555D0"/>
    <w:rsid w:val="006555EE"/>
    <w:rsid w:val="006557EC"/>
    <w:rsid w:val="00655FAB"/>
    <w:rsid w:val="00656152"/>
    <w:rsid w:val="00656626"/>
    <w:rsid w:val="00656635"/>
    <w:rsid w:val="00657969"/>
    <w:rsid w:val="006611CC"/>
    <w:rsid w:val="006622EB"/>
    <w:rsid w:val="00663204"/>
    <w:rsid w:val="006633FE"/>
    <w:rsid w:val="00663DAF"/>
    <w:rsid w:val="00664C19"/>
    <w:rsid w:val="006668C7"/>
    <w:rsid w:val="006676F3"/>
    <w:rsid w:val="006678E0"/>
    <w:rsid w:val="00667FD6"/>
    <w:rsid w:val="006700B5"/>
    <w:rsid w:val="006711CD"/>
    <w:rsid w:val="00672383"/>
    <w:rsid w:val="006726F4"/>
    <w:rsid w:val="006729CD"/>
    <w:rsid w:val="00672EB5"/>
    <w:rsid w:val="006732E1"/>
    <w:rsid w:val="00673430"/>
    <w:rsid w:val="006734E0"/>
    <w:rsid w:val="00674364"/>
    <w:rsid w:val="00674A2C"/>
    <w:rsid w:val="00674C9D"/>
    <w:rsid w:val="00675821"/>
    <w:rsid w:val="00675A57"/>
    <w:rsid w:val="00676425"/>
    <w:rsid w:val="00677B70"/>
    <w:rsid w:val="00681318"/>
    <w:rsid w:val="006813FE"/>
    <w:rsid w:val="006815B0"/>
    <w:rsid w:val="006817D5"/>
    <w:rsid w:val="00681C5C"/>
    <w:rsid w:val="00682B2A"/>
    <w:rsid w:val="00683242"/>
    <w:rsid w:val="006833AA"/>
    <w:rsid w:val="00683C84"/>
    <w:rsid w:val="00683E12"/>
    <w:rsid w:val="00684C99"/>
    <w:rsid w:val="00684E1A"/>
    <w:rsid w:val="00685E53"/>
    <w:rsid w:val="006860CA"/>
    <w:rsid w:val="0068665E"/>
    <w:rsid w:val="00686BB1"/>
    <w:rsid w:val="00687534"/>
    <w:rsid w:val="0069146E"/>
    <w:rsid w:val="00691922"/>
    <w:rsid w:val="00692123"/>
    <w:rsid w:val="00693C68"/>
    <w:rsid w:val="00693DE9"/>
    <w:rsid w:val="00693EFE"/>
    <w:rsid w:val="00694507"/>
    <w:rsid w:val="006948C8"/>
    <w:rsid w:val="00694BD1"/>
    <w:rsid w:val="00695056"/>
    <w:rsid w:val="00695176"/>
    <w:rsid w:val="0069524F"/>
    <w:rsid w:val="00695864"/>
    <w:rsid w:val="00695B16"/>
    <w:rsid w:val="00696AF3"/>
    <w:rsid w:val="00697385"/>
    <w:rsid w:val="00697447"/>
    <w:rsid w:val="00697481"/>
    <w:rsid w:val="00697561"/>
    <w:rsid w:val="006A040A"/>
    <w:rsid w:val="006A0431"/>
    <w:rsid w:val="006A0483"/>
    <w:rsid w:val="006A0547"/>
    <w:rsid w:val="006A05D0"/>
    <w:rsid w:val="006A1789"/>
    <w:rsid w:val="006A1DE7"/>
    <w:rsid w:val="006A1ED3"/>
    <w:rsid w:val="006A1EE0"/>
    <w:rsid w:val="006A1FEC"/>
    <w:rsid w:val="006A25F0"/>
    <w:rsid w:val="006A30B5"/>
    <w:rsid w:val="006A356E"/>
    <w:rsid w:val="006A3673"/>
    <w:rsid w:val="006A4012"/>
    <w:rsid w:val="006A54D9"/>
    <w:rsid w:val="006A616F"/>
    <w:rsid w:val="006A6E77"/>
    <w:rsid w:val="006B0147"/>
    <w:rsid w:val="006B1635"/>
    <w:rsid w:val="006B1829"/>
    <w:rsid w:val="006B2173"/>
    <w:rsid w:val="006B2A27"/>
    <w:rsid w:val="006B2D35"/>
    <w:rsid w:val="006B365E"/>
    <w:rsid w:val="006B3DF9"/>
    <w:rsid w:val="006B40D9"/>
    <w:rsid w:val="006B49AD"/>
    <w:rsid w:val="006B5A73"/>
    <w:rsid w:val="006B5D09"/>
    <w:rsid w:val="006B6190"/>
    <w:rsid w:val="006B6C6E"/>
    <w:rsid w:val="006B6F31"/>
    <w:rsid w:val="006C032C"/>
    <w:rsid w:val="006C06CA"/>
    <w:rsid w:val="006C1107"/>
    <w:rsid w:val="006C24B3"/>
    <w:rsid w:val="006C312B"/>
    <w:rsid w:val="006C3594"/>
    <w:rsid w:val="006C43C2"/>
    <w:rsid w:val="006C4AE3"/>
    <w:rsid w:val="006C57BB"/>
    <w:rsid w:val="006C5F39"/>
    <w:rsid w:val="006C6CCF"/>
    <w:rsid w:val="006C7428"/>
    <w:rsid w:val="006C7533"/>
    <w:rsid w:val="006C7EDC"/>
    <w:rsid w:val="006D05E5"/>
    <w:rsid w:val="006D15F6"/>
    <w:rsid w:val="006D415C"/>
    <w:rsid w:val="006D4443"/>
    <w:rsid w:val="006D4AB3"/>
    <w:rsid w:val="006D549A"/>
    <w:rsid w:val="006D588E"/>
    <w:rsid w:val="006D763B"/>
    <w:rsid w:val="006E0246"/>
    <w:rsid w:val="006E3AF9"/>
    <w:rsid w:val="006E3C81"/>
    <w:rsid w:val="006E3F44"/>
    <w:rsid w:val="006E4730"/>
    <w:rsid w:val="006E553E"/>
    <w:rsid w:val="006E5FB9"/>
    <w:rsid w:val="006E6530"/>
    <w:rsid w:val="006E6573"/>
    <w:rsid w:val="006E6D90"/>
    <w:rsid w:val="006E704D"/>
    <w:rsid w:val="006E72E0"/>
    <w:rsid w:val="006E78F5"/>
    <w:rsid w:val="006F0402"/>
    <w:rsid w:val="006F0DD3"/>
    <w:rsid w:val="006F100E"/>
    <w:rsid w:val="006F153D"/>
    <w:rsid w:val="006F1ACA"/>
    <w:rsid w:val="006F1C3D"/>
    <w:rsid w:val="006F1CF6"/>
    <w:rsid w:val="006F2B53"/>
    <w:rsid w:val="006F30C4"/>
    <w:rsid w:val="006F3AD3"/>
    <w:rsid w:val="006F41E6"/>
    <w:rsid w:val="006F520A"/>
    <w:rsid w:val="006F5295"/>
    <w:rsid w:val="006F54AE"/>
    <w:rsid w:val="006F5605"/>
    <w:rsid w:val="006F61A1"/>
    <w:rsid w:val="006F6396"/>
    <w:rsid w:val="006F71F0"/>
    <w:rsid w:val="006F71FF"/>
    <w:rsid w:val="006F7B31"/>
    <w:rsid w:val="006F7C2D"/>
    <w:rsid w:val="00700458"/>
    <w:rsid w:val="00700A97"/>
    <w:rsid w:val="00701E0F"/>
    <w:rsid w:val="00702A9B"/>
    <w:rsid w:val="00702BCE"/>
    <w:rsid w:val="00704104"/>
    <w:rsid w:val="00704552"/>
    <w:rsid w:val="0070467D"/>
    <w:rsid w:val="007047DE"/>
    <w:rsid w:val="007063C4"/>
    <w:rsid w:val="007104CF"/>
    <w:rsid w:val="00710C40"/>
    <w:rsid w:val="00710CC5"/>
    <w:rsid w:val="00712663"/>
    <w:rsid w:val="0071295D"/>
    <w:rsid w:val="00712AC8"/>
    <w:rsid w:val="00712D6F"/>
    <w:rsid w:val="00712DF3"/>
    <w:rsid w:val="007137CF"/>
    <w:rsid w:val="007137D7"/>
    <w:rsid w:val="00713C70"/>
    <w:rsid w:val="00714E5B"/>
    <w:rsid w:val="00714F36"/>
    <w:rsid w:val="00715243"/>
    <w:rsid w:val="00715287"/>
    <w:rsid w:val="007160DF"/>
    <w:rsid w:val="007170AD"/>
    <w:rsid w:val="007175A9"/>
    <w:rsid w:val="007177DE"/>
    <w:rsid w:val="00717A59"/>
    <w:rsid w:val="00720028"/>
    <w:rsid w:val="00720190"/>
    <w:rsid w:val="007204E6"/>
    <w:rsid w:val="0072186B"/>
    <w:rsid w:val="00721B50"/>
    <w:rsid w:val="00722F87"/>
    <w:rsid w:val="00723819"/>
    <w:rsid w:val="00723A6B"/>
    <w:rsid w:val="007243CA"/>
    <w:rsid w:val="00724563"/>
    <w:rsid w:val="007250A5"/>
    <w:rsid w:val="007258BF"/>
    <w:rsid w:val="00725E42"/>
    <w:rsid w:val="007266DE"/>
    <w:rsid w:val="007267E1"/>
    <w:rsid w:val="00726E7B"/>
    <w:rsid w:val="007271F7"/>
    <w:rsid w:val="00727725"/>
    <w:rsid w:val="00727D54"/>
    <w:rsid w:val="00730063"/>
    <w:rsid w:val="00730D57"/>
    <w:rsid w:val="00730DAD"/>
    <w:rsid w:val="00730FEB"/>
    <w:rsid w:val="007316D1"/>
    <w:rsid w:val="007318CA"/>
    <w:rsid w:val="007322CE"/>
    <w:rsid w:val="00732ACE"/>
    <w:rsid w:val="007342C7"/>
    <w:rsid w:val="00734E73"/>
    <w:rsid w:val="007355C6"/>
    <w:rsid w:val="007357B1"/>
    <w:rsid w:val="00735D09"/>
    <w:rsid w:val="00736401"/>
    <w:rsid w:val="00736FB2"/>
    <w:rsid w:val="00740155"/>
    <w:rsid w:val="007401A0"/>
    <w:rsid w:val="00740F58"/>
    <w:rsid w:val="0074318D"/>
    <w:rsid w:val="0074419F"/>
    <w:rsid w:val="0074536E"/>
    <w:rsid w:val="00745879"/>
    <w:rsid w:val="00746051"/>
    <w:rsid w:val="007470D5"/>
    <w:rsid w:val="0074752A"/>
    <w:rsid w:val="00747E8B"/>
    <w:rsid w:val="007500CB"/>
    <w:rsid w:val="00750A8F"/>
    <w:rsid w:val="00750C8B"/>
    <w:rsid w:val="007517FF"/>
    <w:rsid w:val="00751824"/>
    <w:rsid w:val="0075219C"/>
    <w:rsid w:val="007523B2"/>
    <w:rsid w:val="00752B12"/>
    <w:rsid w:val="00753A30"/>
    <w:rsid w:val="00753B15"/>
    <w:rsid w:val="00754204"/>
    <w:rsid w:val="00755026"/>
    <w:rsid w:val="007552E5"/>
    <w:rsid w:val="007556D7"/>
    <w:rsid w:val="00755EF6"/>
    <w:rsid w:val="0075611D"/>
    <w:rsid w:val="007562EF"/>
    <w:rsid w:val="00756649"/>
    <w:rsid w:val="007566CB"/>
    <w:rsid w:val="00757531"/>
    <w:rsid w:val="00757CAE"/>
    <w:rsid w:val="0076153E"/>
    <w:rsid w:val="00762C1B"/>
    <w:rsid w:val="00762E07"/>
    <w:rsid w:val="00763213"/>
    <w:rsid w:val="0076340F"/>
    <w:rsid w:val="0076348D"/>
    <w:rsid w:val="00763B04"/>
    <w:rsid w:val="007640B4"/>
    <w:rsid w:val="007650B6"/>
    <w:rsid w:val="00765644"/>
    <w:rsid w:val="00765E2F"/>
    <w:rsid w:val="0076657E"/>
    <w:rsid w:val="0076689C"/>
    <w:rsid w:val="0076736B"/>
    <w:rsid w:val="00767405"/>
    <w:rsid w:val="007679D6"/>
    <w:rsid w:val="007706A9"/>
    <w:rsid w:val="007706F2"/>
    <w:rsid w:val="00770839"/>
    <w:rsid w:val="00770B66"/>
    <w:rsid w:val="007717BD"/>
    <w:rsid w:val="00772565"/>
    <w:rsid w:val="00772B68"/>
    <w:rsid w:val="00773ECD"/>
    <w:rsid w:val="00774200"/>
    <w:rsid w:val="007758D1"/>
    <w:rsid w:val="007764F0"/>
    <w:rsid w:val="0077656C"/>
    <w:rsid w:val="00776BEF"/>
    <w:rsid w:val="007776FC"/>
    <w:rsid w:val="00777CBD"/>
    <w:rsid w:val="007810F7"/>
    <w:rsid w:val="00781372"/>
    <w:rsid w:val="00784D58"/>
    <w:rsid w:val="00785275"/>
    <w:rsid w:val="0078606C"/>
    <w:rsid w:val="00786503"/>
    <w:rsid w:val="00786C45"/>
    <w:rsid w:val="00786D5E"/>
    <w:rsid w:val="00786E6B"/>
    <w:rsid w:val="007871ED"/>
    <w:rsid w:val="00787537"/>
    <w:rsid w:val="00787553"/>
    <w:rsid w:val="00787AB4"/>
    <w:rsid w:val="007907EF"/>
    <w:rsid w:val="00790D23"/>
    <w:rsid w:val="007916E4"/>
    <w:rsid w:val="007917D5"/>
    <w:rsid w:val="00791D0D"/>
    <w:rsid w:val="00792488"/>
    <w:rsid w:val="00792927"/>
    <w:rsid w:val="00793117"/>
    <w:rsid w:val="00793459"/>
    <w:rsid w:val="007938B8"/>
    <w:rsid w:val="0079414A"/>
    <w:rsid w:val="00794508"/>
    <w:rsid w:val="00795807"/>
    <w:rsid w:val="00795AA0"/>
    <w:rsid w:val="0079745E"/>
    <w:rsid w:val="007A0DE4"/>
    <w:rsid w:val="007A1680"/>
    <w:rsid w:val="007A24BE"/>
    <w:rsid w:val="007A294D"/>
    <w:rsid w:val="007A2FF8"/>
    <w:rsid w:val="007A339E"/>
    <w:rsid w:val="007A352A"/>
    <w:rsid w:val="007A3758"/>
    <w:rsid w:val="007A4232"/>
    <w:rsid w:val="007A4718"/>
    <w:rsid w:val="007A522F"/>
    <w:rsid w:val="007A6DB4"/>
    <w:rsid w:val="007A7008"/>
    <w:rsid w:val="007A70FC"/>
    <w:rsid w:val="007A73DB"/>
    <w:rsid w:val="007A7DF2"/>
    <w:rsid w:val="007B04AA"/>
    <w:rsid w:val="007B07FB"/>
    <w:rsid w:val="007B0C01"/>
    <w:rsid w:val="007B0E09"/>
    <w:rsid w:val="007B147A"/>
    <w:rsid w:val="007B1EE8"/>
    <w:rsid w:val="007B2066"/>
    <w:rsid w:val="007B2EFF"/>
    <w:rsid w:val="007B36D0"/>
    <w:rsid w:val="007B4016"/>
    <w:rsid w:val="007B40FA"/>
    <w:rsid w:val="007B48F3"/>
    <w:rsid w:val="007B49DD"/>
    <w:rsid w:val="007B51CE"/>
    <w:rsid w:val="007B5E99"/>
    <w:rsid w:val="007B6345"/>
    <w:rsid w:val="007B71D8"/>
    <w:rsid w:val="007B7538"/>
    <w:rsid w:val="007C0720"/>
    <w:rsid w:val="007C08D0"/>
    <w:rsid w:val="007C08E8"/>
    <w:rsid w:val="007C0CD8"/>
    <w:rsid w:val="007C0E12"/>
    <w:rsid w:val="007C10D8"/>
    <w:rsid w:val="007C113B"/>
    <w:rsid w:val="007C11CF"/>
    <w:rsid w:val="007C12A5"/>
    <w:rsid w:val="007C1358"/>
    <w:rsid w:val="007C18A3"/>
    <w:rsid w:val="007C2425"/>
    <w:rsid w:val="007C2D67"/>
    <w:rsid w:val="007C2DEB"/>
    <w:rsid w:val="007C2F67"/>
    <w:rsid w:val="007C30F5"/>
    <w:rsid w:val="007C3540"/>
    <w:rsid w:val="007C374C"/>
    <w:rsid w:val="007C3834"/>
    <w:rsid w:val="007C3958"/>
    <w:rsid w:val="007C3A97"/>
    <w:rsid w:val="007C41D8"/>
    <w:rsid w:val="007C5384"/>
    <w:rsid w:val="007C65E2"/>
    <w:rsid w:val="007C6F50"/>
    <w:rsid w:val="007C73DB"/>
    <w:rsid w:val="007C7C31"/>
    <w:rsid w:val="007C7E51"/>
    <w:rsid w:val="007D042E"/>
    <w:rsid w:val="007D0DE6"/>
    <w:rsid w:val="007D1666"/>
    <w:rsid w:val="007D1F05"/>
    <w:rsid w:val="007D248C"/>
    <w:rsid w:val="007D3E8D"/>
    <w:rsid w:val="007D448A"/>
    <w:rsid w:val="007D44D7"/>
    <w:rsid w:val="007D4D7B"/>
    <w:rsid w:val="007D4FFC"/>
    <w:rsid w:val="007D5297"/>
    <w:rsid w:val="007D539B"/>
    <w:rsid w:val="007D5536"/>
    <w:rsid w:val="007D56C3"/>
    <w:rsid w:val="007D575A"/>
    <w:rsid w:val="007D5C43"/>
    <w:rsid w:val="007D5F4D"/>
    <w:rsid w:val="007D6BF2"/>
    <w:rsid w:val="007D7151"/>
    <w:rsid w:val="007D7530"/>
    <w:rsid w:val="007D7D23"/>
    <w:rsid w:val="007D7E68"/>
    <w:rsid w:val="007E0E9E"/>
    <w:rsid w:val="007E14DC"/>
    <w:rsid w:val="007E18AB"/>
    <w:rsid w:val="007E22C1"/>
    <w:rsid w:val="007E2781"/>
    <w:rsid w:val="007E3135"/>
    <w:rsid w:val="007E3153"/>
    <w:rsid w:val="007E33AF"/>
    <w:rsid w:val="007E3AED"/>
    <w:rsid w:val="007E3B16"/>
    <w:rsid w:val="007E3C7C"/>
    <w:rsid w:val="007E46E7"/>
    <w:rsid w:val="007E4739"/>
    <w:rsid w:val="007E48AE"/>
    <w:rsid w:val="007E4EB8"/>
    <w:rsid w:val="007E56E3"/>
    <w:rsid w:val="007E5962"/>
    <w:rsid w:val="007E6F10"/>
    <w:rsid w:val="007F0167"/>
    <w:rsid w:val="007F071C"/>
    <w:rsid w:val="007F097B"/>
    <w:rsid w:val="007F0F62"/>
    <w:rsid w:val="007F0F7C"/>
    <w:rsid w:val="007F1F6F"/>
    <w:rsid w:val="007F230E"/>
    <w:rsid w:val="007F2A29"/>
    <w:rsid w:val="007F329E"/>
    <w:rsid w:val="007F3A1C"/>
    <w:rsid w:val="007F474B"/>
    <w:rsid w:val="007F4EE3"/>
    <w:rsid w:val="007F607C"/>
    <w:rsid w:val="007F6B79"/>
    <w:rsid w:val="007F74D3"/>
    <w:rsid w:val="007F7669"/>
    <w:rsid w:val="007F7BCE"/>
    <w:rsid w:val="007F7C03"/>
    <w:rsid w:val="007F7FE5"/>
    <w:rsid w:val="0080040C"/>
    <w:rsid w:val="00800882"/>
    <w:rsid w:val="00800CE8"/>
    <w:rsid w:val="0080157A"/>
    <w:rsid w:val="0080177D"/>
    <w:rsid w:val="00803400"/>
    <w:rsid w:val="00803E81"/>
    <w:rsid w:val="00804148"/>
    <w:rsid w:val="00804198"/>
    <w:rsid w:val="00804B36"/>
    <w:rsid w:val="00804CD2"/>
    <w:rsid w:val="00804E32"/>
    <w:rsid w:val="00805098"/>
    <w:rsid w:val="008059EB"/>
    <w:rsid w:val="00805B1E"/>
    <w:rsid w:val="00805DF1"/>
    <w:rsid w:val="00807AFA"/>
    <w:rsid w:val="00807C2F"/>
    <w:rsid w:val="008105FA"/>
    <w:rsid w:val="00810955"/>
    <w:rsid w:val="00810E2E"/>
    <w:rsid w:val="00811C1C"/>
    <w:rsid w:val="00811E6F"/>
    <w:rsid w:val="00813068"/>
    <w:rsid w:val="0081315E"/>
    <w:rsid w:val="008137D2"/>
    <w:rsid w:val="00813BE1"/>
    <w:rsid w:val="00813D43"/>
    <w:rsid w:val="00814C81"/>
    <w:rsid w:val="00814E18"/>
    <w:rsid w:val="008150C8"/>
    <w:rsid w:val="00815453"/>
    <w:rsid w:val="00815598"/>
    <w:rsid w:val="00816622"/>
    <w:rsid w:val="00816775"/>
    <w:rsid w:val="00817AE3"/>
    <w:rsid w:val="00817BC5"/>
    <w:rsid w:val="008200B3"/>
    <w:rsid w:val="00820E26"/>
    <w:rsid w:val="00820FC0"/>
    <w:rsid w:val="00821288"/>
    <w:rsid w:val="00821401"/>
    <w:rsid w:val="00821B07"/>
    <w:rsid w:val="0082235A"/>
    <w:rsid w:val="00822613"/>
    <w:rsid w:val="00823905"/>
    <w:rsid w:val="00823EC2"/>
    <w:rsid w:val="008240BC"/>
    <w:rsid w:val="00824319"/>
    <w:rsid w:val="00824EDE"/>
    <w:rsid w:val="00825318"/>
    <w:rsid w:val="00827EFD"/>
    <w:rsid w:val="00827F74"/>
    <w:rsid w:val="008317CC"/>
    <w:rsid w:val="00831A26"/>
    <w:rsid w:val="008321E1"/>
    <w:rsid w:val="00832219"/>
    <w:rsid w:val="00832E80"/>
    <w:rsid w:val="00832F17"/>
    <w:rsid w:val="0083443D"/>
    <w:rsid w:val="008349C1"/>
    <w:rsid w:val="00834F81"/>
    <w:rsid w:val="008358B2"/>
    <w:rsid w:val="008369AA"/>
    <w:rsid w:val="00836BC7"/>
    <w:rsid w:val="008410A5"/>
    <w:rsid w:val="00841B56"/>
    <w:rsid w:val="00841C62"/>
    <w:rsid w:val="00842670"/>
    <w:rsid w:val="00842928"/>
    <w:rsid w:val="008429D1"/>
    <w:rsid w:val="0084493B"/>
    <w:rsid w:val="0084501E"/>
    <w:rsid w:val="00845151"/>
    <w:rsid w:val="008464EE"/>
    <w:rsid w:val="00846667"/>
    <w:rsid w:val="008472C5"/>
    <w:rsid w:val="00847E07"/>
    <w:rsid w:val="0085007B"/>
    <w:rsid w:val="00850AF1"/>
    <w:rsid w:val="00850F76"/>
    <w:rsid w:val="00851C4D"/>
    <w:rsid w:val="008521E3"/>
    <w:rsid w:val="008526A8"/>
    <w:rsid w:val="008530AF"/>
    <w:rsid w:val="00854A07"/>
    <w:rsid w:val="00854DB6"/>
    <w:rsid w:val="00855122"/>
    <w:rsid w:val="00855F94"/>
    <w:rsid w:val="00856015"/>
    <w:rsid w:val="00856582"/>
    <w:rsid w:val="0085748C"/>
    <w:rsid w:val="008578A7"/>
    <w:rsid w:val="0086035C"/>
    <w:rsid w:val="00860AD0"/>
    <w:rsid w:val="00860AD9"/>
    <w:rsid w:val="008610AD"/>
    <w:rsid w:val="00861A87"/>
    <w:rsid w:val="00861F23"/>
    <w:rsid w:val="00861F36"/>
    <w:rsid w:val="0086255B"/>
    <w:rsid w:val="00862610"/>
    <w:rsid w:val="0086340B"/>
    <w:rsid w:val="0086343D"/>
    <w:rsid w:val="0086429A"/>
    <w:rsid w:val="008642CD"/>
    <w:rsid w:val="00864A82"/>
    <w:rsid w:val="00866C2A"/>
    <w:rsid w:val="0086750E"/>
    <w:rsid w:val="00867D8F"/>
    <w:rsid w:val="008704BE"/>
    <w:rsid w:val="00870F1A"/>
    <w:rsid w:val="00871BC7"/>
    <w:rsid w:val="00871E7F"/>
    <w:rsid w:val="008721E9"/>
    <w:rsid w:val="0087225A"/>
    <w:rsid w:val="00872C02"/>
    <w:rsid w:val="00872F3C"/>
    <w:rsid w:val="00873B04"/>
    <w:rsid w:val="0087444F"/>
    <w:rsid w:val="00874495"/>
    <w:rsid w:val="00874A48"/>
    <w:rsid w:val="00875305"/>
    <w:rsid w:val="008759C1"/>
    <w:rsid w:val="008762E6"/>
    <w:rsid w:val="008774FB"/>
    <w:rsid w:val="00877A5C"/>
    <w:rsid w:val="00877D22"/>
    <w:rsid w:val="008808DD"/>
    <w:rsid w:val="008818AD"/>
    <w:rsid w:val="00882B73"/>
    <w:rsid w:val="00882F65"/>
    <w:rsid w:val="008837CA"/>
    <w:rsid w:val="00883BA4"/>
    <w:rsid w:val="00883DEE"/>
    <w:rsid w:val="00883F9B"/>
    <w:rsid w:val="00884324"/>
    <w:rsid w:val="008845AE"/>
    <w:rsid w:val="008855C8"/>
    <w:rsid w:val="0088602A"/>
    <w:rsid w:val="008860F3"/>
    <w:rsid w:val="008868D1"/>
    <w:rsid w:val="00886D4B"/>
    <w:rsid w:val="008873CE"/>
    <w:rsid w:val="008877D7"/>
    <w:rsid w:val="008877FB"/>
    <w:rsid w:val="00887C74"/>
    <w:rsid w:val="00890470"/>
    <w:rsid w:val="00890FCD"/>
    <w:rsid w:val="00891245"/>
    <w:rsid w:val="00891270"/>
    <w:rsid w:val="00891913"/>
    <w:rsid w:val="00891D2F"/>
    <w:rsid w:val="00892752"/>
    <w:rsid w:val="00892779"/>
    <w:rsid w:val="00893F70"/>
    <w:rsid w:val="00893F78"/>
    <w:rsid w:val="00894599"/>
    <w:rsid w:val="00894621"/>
    <w:rsid w:val="00895B26"/>
    <w:rsid w:val="00895CF5"/>
    <w:rsid w:val="0089681D"/>
    <w:rsid w:val="00897099"/>
    <w:rsid w:val="00897572"/>
    <w:rsid w:val="008979FE"/>
    <w:rsid w:val="00897C10"/>
    <w:rsid w:val="008A08DA"/>
    <w:rsid w:val="008A08EC"/>
    <w:rsid w:val="008A1E42"/>
    <w:rsid w:val="008A30AE"/>
    <w:rsid w:val="008A3199"/>
    <w:rsid w:val="008A37B9"/>
    <w:rsid w:val="008A4232"/>
    <w:rsid w:val="008A5C3E"/>
    <w:rsid w:val="008A6052"/>
    <w:rsid w:val="008A679E"/>
    <w:rsid w:val="008A7058"/>
    <w:rsid w:val="008A7E54"/>
    <w:rsid w:val="008B036B"/>
    <w:rsid w:val="008B1829"/>
    <w:rsid w:val="008B189D"/>
    <w:rsid w:val="008B1A91"/>
    <w:rsid w:val="008B1FAF"/>
    <w:rsid w:val="008B3385"/>
    <w:rsid w:val="008B426D"/>
    <w:rsid w:val="008B4352"/>
    <w:rsid w:val="008B446C"/>
    <w:rsid w:val="008B4CBF"/>
    <w:rsid w:val="008B552A"/>
    <w:rsid w:val="008B5FAF"/>
    <w:rsid w:val="008B6E9F"/>
    <w:rsid w:val="008B6EC3"/>
    <w:rsid w:val="008B6F47"/>
    <w:rsid w:val="008B7352"/>
    <w:rsid w:val="008B794A"/>
    <w:rsid w:val="008C02C8"/>
    <w:rsid w:val="008C08AC"/>
    <w:rsid w:val="008C1777"/>
    <w:rsid w:val="008C1B73"/>
    <w:rsid w:val="008C3942"/>
    <w:rsid w:val="008C3A65"/>
    <w:rsid w:val="008C3C3A"/>
    <w:rsid w:val="008C4CB4"/>
    <w:rsid w:val="008C6662"/>
    <w:rsid w:val="008C6BA8"/>
    <w:rsid w:val="008C6C1B"/>
    <w:rsid w:val="008C7241"/>
    <w:rsid w:val="008C72DA"/>
    <w:rsid w:val="008C7814"/>
    <w:rsid w:val="008D0270"/>
    <w:rsid w:val="008D047C"/>
    <w:rsid w:val="008D0B9A"/>
    <w:rsid w:val="008D0CAE"/>
    <w:rsid w:val="008D0F7B"/>
    <w:rsid w:val="008D12AB"/>
    <w:rsid w:val="008D1669"/>
    <w:rsid w:val="008D1CFA"/>
    <w:rsid w:val="008D1D01"/>
    <w:rsid w:val="008D25F6"/>
    <w:rsid w:val="008D2635"/>
    <w:rsid w:val="008D2BC5"/>
    <w:rsid w:val="008D2C6A"/>
    <w:rsid w:val="008D3967"/>
    <w:rsid w:val="008D3F16"/>
    <w:rsid w:val="008D3FAF"/>
    <w:rsid w:val="008D4F72"/>
    <w:rsid w:val="008D58FD"/>
    <w:rsid w:val="008D6BCC"/>
    <w:rsid w:val="008D7567"/>
    <w:rsid w:val="008E09CA"/>
    <w:rsid w:val="008E0BE4"/>
    <w:rsid w:val="008E137A"/>
    <w:rsid w:val="008E16DB"/>
    <w:rsid w:val="008E1E51"/>
    <w:rsid w:val="008E2534"/>
    <w:rsid w:val="008E26DF"/>
    <w:rsid w:val="008E2EDF"/>
    <w:rsid w:val="008E30D8"/>
    <w:rsid w:val="008E34E5"/>
    <w:rsid w:val="008E3B1E"/>
    <w:rsid w:val="008E41B5"/>
    <w:rsid w:val="008E41C5"/>
    <w:rsid w:val="008E49BA"/>
    <w:rsid w:val="008E4F3A"/>
    <w:rsid w:val="008E5641"/>
    <w:rsid w:val="008E586E"/>
    <w:rsid w:val="008E6B3D"/>
    <w:rsid w:val="008E6F40"/>
    <w:rsid w:val="008E742C"/>
    <w:rsid w:val="008E7474"/>
    <w:rsid w:val="008E79C3"/>
    <w:rsid w:val="008E7AB4"/>
    <w:rsid w:val="008F079C"/>
    <w:rsid w:val="008F1262"/>
    <w:rsid w:val="008F1792"/>
    <w:rsid w:val="008F1A8C"/>
    <w:rsid w:val="008F1F67"/>
    <w:rsid w:val="008F31B4"/>
    <w:rsid w:val="008F32F1"/>
    <w:rsid w:val="008F3AA5"/>
    <w:rsid w:val="008F3AB7"/>
    <w:rsid w:val="008F3B63"/>
    <w:rsid w:val="008F3D27"/>
    <w:rsid w:val="008F4E10"/>
    <w:rsid w:val="008F540B"/>
    <w:rsid w:val="008F5FCB"/>
    <w:rsid w:val="008F6117"/>
    <w:rsid w:val="008F6EB7"/>
    <w:rsid w:val="008F7027"/>
    <w:rsid w:val="008F723F"/>
    <w:rsid w:val="008F757B"/>
    <w:rsid w:val="008F7740"/>
    <w:rsid w:val="008F7F68"/>
    <w:rsid w:val="00900576"/>
    <w:rsid w:val="00900714"/>
    <w:rsid w:val="00900844"/>
    <w:rsid w:val="009012FA"/>
    <w:rsid w:val="009020C1"/>
    <w:rsid w:val="00902A97"/>
    <w:rsid w:val="009034F0"/>
    <w:rsid w:val="00903B1E"/>
    <w:rsid w:val="00904AB3"/>
    <w:rsid w:val="00906132"/>
    <w:rsid w:val="009061F0"/>
    <w:rsid w:val="00906967"/>
    <w:rsid w:val="00906B54"/>
    <w:rsid w:val="00906C40"/>
    <w:rsid w:val="009102C0"/>
    <w:rsid w:val="009108B8"/>
    <w:rsid w:val="00911006"/>
    <w:rsid w:val="00911744"/>
    <w:rsid w:val="00912388"/>
    <w:rsid w:val="009123EA"/>
    <w:rsid w:val="00914868"/>
    <w:rsid w:val="00914925"/>
    <w:rsid w:val="0091522D"/>
    <w:rsid w:val="009153C5"/>
    <w:rsid w:val="00915653"/>
    <w:rsid w:val="009161F1"/>
    <w:rsid w:val="0091745A"/>
    <w:rsid w:val="0091756B"/>
    <w:rsid w:val="009175A9"/>
    <w:rsid w:val="009177B1"/>
    <w:rsid w:val="009178A3"/>
    <w:rsid w:val="00917E1B"/>
    <w:rsid w:val="0092198A"/>
    <w:rsid w:val="00921990"/>
    <w:rsid w:val="0092244E"/>
    <w:rsid w:val="00922C4D"/>
    <w:rsid w:val="0092377F"/>
    <w:rsid w:val="00923C9D"/>
    <w:rsid w:val="009240D9"/>
    <w:rsid w:val="00924339"/>
    <w:rsid w:val="0092486D"/>
    <w:rsid w:val="009248AA"/>
    <w:rsid w:val="009248F3"/>
    <w:rsid w:val="00926ABE"/>
    <w:rsid w:val="0092709A"/>
    <w:rsid w:val="009270F2"/>
    <w:rsid w:val="00927BD1"/>
    <w:rsid w:val="00927D7E"/>
    <w:rsid w:val="00931655"/>
    <w:rsid w:val="009317CF"/>
    <w:rsid w:val="00931DE7"/>
    <w:rsid w:val="00932203"/>
    <w:rsid w:val="009324B8"/>
    <w:rsid w:val="0093281C"/>
    <w:rsid w:val="00932FEA"/>
    <w:rsid w:val="00933C36"/>
    <w:rsid w:val="00934002"/>
    <w:rsid w:val="009341BB"/>
    <w:rsid w:val="00934AF2"/>
    <w:rsid w:val="0093509F"/>
    <w:rsid w:val="00935477"/>
    <w:rsid w:val="00935483"/>
    <w:rsid w:val="00935E9E"/>
    <w:rsid w:val="00936F48"/>
    <w:rsid w:val="009374AE"/>
    <w:rsid w:val="0093792A"/>
    <w:rsid w:val="00937B4B"/>
    <w:rsid w:val="00940F08"/>
    <w:rsid w:val="00940F3B"/>
    <w:rsid w:val="009410C5"/>
    <w:rsid w:val="009417A7"/>
    <w:rsid w:val="00941C4F"/>
    <w:rsid w:val="00941ED2"/>
    <w:rsid w:val="00942472"/>
    <w:rsid w:val="00942A99"/>
    <w:rsid w:val="00942C04"/>
    <w:rsid w:val="0094308F"/>
    <w:rsid w:val="00943F6A"/>
    <w:rsid w:val="009443A0"/>
    <w:rsid w:val="009444F4"/>
    <w:rsid w:val="00944F99"/>
    <w:rsid w:val="00945023"/>
    <w:rsid w:val="009455BD"/>
    <w:rsid w:val="009455F2"/>
    <w:rsid w:val="00945E6E"/>
    <w:rsid w:val="0094624A"/>
    <w:rsid w:val="009465FA"/>
    <w:rsid w:val="00946640"/>
    <w:rsid w:val="00946641"/>
    <w:rsid w:val="00947350"/>
    <w:rsid w:val="0094761A"/>
    <w:rsid w:val="00947990"/>
    <w:rsid w:val="009503C8"/>
    <w:rsid w:val="009504FB"/>
    <w:rsid w:val="009527D9"/>
    <w:rsid w:val="0095319B"/>
    <w:rsid w:val="00953CBA"/>
    <w:rsid w:val="00953DED"/>
    <w:rsid w:val="00954056"/>
    <w:rsid w:val="009545BE"/>
    <w:rsid w:val="00954954"/>
    <w:rsid w:val="009552C2"/>
    <w:rsid w:val="009555A2"/>
    <w:rsid w:val="00955771"/>
    <w:rsid w:val="00956442"/>
    <w:rsid w:val="009565A4"/>
    <w:rsid w:val="009566FD"/>
    <w:rsid w:val="009572A8"/>
    <w:rsid w:val="0095756A"/>
    <w:rsid w:val="00957DB6"/>
    <w:rsid w:val="0096006C"/>
    <w:rsid w:val="00960977"/>
    <w:rsid w:val="00960EE8"/>
    <w:rsid w:val="009624F1"/>
    <w:rsid w:val="00962555"/>
    <w:rsid w:val="00963623"/>
    <w:rsid w:val="009644B0"/>
    <w:rsid w:val="009647CD"/>
    <w:rsid w:val="009648C3"/>
    <w:rsid w:val="00964C58"/>
    <w:rsid w:val="00965096"/>
    <w:rsid w:val="00965CF6"/>
    <w:rsid w:val="00966AB4"/>
    <w:rsid w:val="009708AF"/>
    <w:rsid w:val="00971115"/>
    <w:rsid w:val="00971C6B"/>
    <w:rsid w:val="00971D0C"/>
    <w:rsid w:val="00971F06"/>
    <w:rsid w:val="00972174"/>
    <w:rsid w:val="009728A5"/>
    <w:rsid w:val="009731C0"/>
    <w:rsid w:val="0097332D"/>
    <w:rsid w:val="0097381F"/>
    <w:rsid w:val="009744F0"/>
    <w:rsid w:val="009747FD"/>
    <w:rsid w:val="00975035"/>
    <w:rsid w:val="00975D19"/>
    <w:rsid w:val="00975E6C"/>
    <w:rsid w:val="009771AE"/>
    <w:rsid w:val="00977C17"/>
    <w:rsid w:val="00977C96"/>
    <w:rsid w:val="00977D1D"/>
    <w:rsid w:val="0098010E"/>
    <w:rsid w:val="00980AD6"/>
    <w:rsid w:val="009819E9"/>
    <w:rsid w:val="00981C3A"/>
    <w:rsid w:val="00983F64"/>
    <w:rsid w:val="0098404B"/>
    <w:rsid w:val="00984B04"/>
    <w:rsid w:val="00984D9B"/>
    <w:rsid w:val="0098596A"/>
    <w:rsid w:val="00985F82"/>
    <w:rsid w:val="009863FE"/>
    <w:rsid w:val="00986624"/>
    <w:rsid w:val="00986659"/>
    <w:rsid w:val="00990029"/>
    <w:rsid w:val="00990DEB"/>
    <w:rsid w:val="00992C0A"/>
    <w:rsid w:val="0099336F"/>
    <w:rsid w:val="0099344A"/>
    <w:rsid w:val="00993C68"/>
    <w:rsid w:val="00995768"/>
    <w:rsid w:val="00995DBD"/>
    <w:rsid w:val="00997ACD"/>
    <w:rsid w:val="00997E7C"/>
    <w:rsid w:val="009A1329"/>
    <w:rsid w:val="009A1C16"/>
    <w:rsid w:val="009A2A5D"/>
    <w:rsid w:val="009A32C6"/>
    <w:rsid w:val="009A33C1"/>
    <w:rsid w:val="009A408B"/>
    <w:rsid w:val="009A4454"/>
    <w:rsid w:val="009A47AF"/>
    <w:rsid w:val="009A4F27"/>
    <w:rsid w:val="009A5892"/>
    <w:rsid w:val="009A6098"/>
    <w:rsid w:val="009A6ACC"/>
    <w:rsid w:val="009A7BBA"/>
    <w:rsid w:val="009A7D9B"/>
    <w:rsid w:val="009A7DF9"/>
    <w:rsid w:val="009B0206"/>
    <w:rsid w:val="009B0FC4"/>
    <w:rsid w:val="009B11F8"/>
    <w:rsid w:val="009B158F"/>
    <w:rsid w:val="009B2164"/>
    <w:rsid w:val="009B2503"/>
    <w:rsid w:val="009B30E0"/>
    <w:rsid w:val="009B3221"/>
    <w:rsid w:val="009B3820"/>
    <w:rsid w:val="009B3EAA"/>
    <w:rsid w:val="009B4325"/>
    <w:rsid w:val="009B4539"/>
    <w:rsid w:val="009B5160"/>
    <w:rsid w:val="009B5580"/>
    <w:rsid w:val="009B5A21"/>
    <w:rsid w:val="009B5AD7"/>
    <w:rsid w:val="009B5D53"/>
    <w:rsid w:val="009B63E6"/>
    <w:rsid w:val="009B65D9"/>
    <w:rsid w:val="009B67BF"/>
    <w:rsid w:val="009B6E60"/>
    <w:rsid w:val="009B7875"/>
    <w:rsid w:val="009C0EBE"/>
    <w:rsid w:val="009C17B2"/>
    <w:rsid w:val="009C1BBF"/>
    <w:rsid w:val="009C1D64"/>
    <w:rsid w:val="009C2B75"/>
    <w:rsid w:val="009C3699"/>
    <w:rsid w:val="009C3783"/>
    <w:rsid w:val="009C3B8C"/>
    <w:rsid w:val="009C44D3"/>
    <w:rsid w:val="009C4603"/>
    <w:rsid w:val="009C55C5"/>
    <w:rsid w:val="009C57F7"/>
    <w:rsid w:val="009C5806"/>
    <w:rsid w:val="009C5A57"/>
    <w:rsid w:val="009C6001"/>
    <w:rsid w:val="009C6D03"/>
    <w:rsid w:val="009C6D94"/>
    <w:rsid w:val="009C6FB2"/>
    <w:rsid w:val="009C7D5D"/>
    <w:rsid w:val="009C7F8C"/>
    <w:rsid w:val="009D02DD"/>
    <w:rsid w:val="009D0404"/>
    <w:rsid w:val="009D0552"/>
    <w:rsid w:val="009D1A66"/>
    <w:rsid w:val="009D2425"/>
    <w:rsid w:val="009D2D5C"/>
    <w:rsid w:val="009D37AD"/>
    <w:rsid w:val="009D3C27"/>
    <w:rsid w:val="009D431F"/>
    <w:rsid w:val="009D4919"/>
    <w:rsid w:val="009D514D"/>
    <w:rsid w:val="009D5C65"/>
    <w:rsid w:val="009D7DBB"/>
    <w:rsid w:val="009E05D5"/>
    <w:rsid w:val="009E1722"/>
    <w:rsid w:val="009E182B"/>
    <w:rsid w:val="009E1A61"/>
    <w:rsid w:val="009E1D68"/>
    <w:rsid w:val="009E267C"/>
    <w:rsid w:val="009E2BB9"/>
    <w:rsid w:val="009E359A"/>
    <w:rsid w:val="009E44C2"/>
    <w:rsid w:val="009E4670"/>
    <w:rsid w:val="009E474D"/>
    <w:rsid w:val="009E58D2"/>
    <w:rsid w:val="009E64C7"/>
    <w:rsid w:val="009E65D7"/>
    <w:rsid w:val="009E6DEF"/>
    <w:rsid w:val="009E79A0"/>
    <w:rsid w:val="009E7C53"/>
    <w:rsid w:val="009F0896"/>
    <w:rsid w:val="009F0BAE"/>
    <w:rsid w:val="009F1534"/>
    <w:rsid w:val="009F57A9"/>
    <w:rsid w:val="009F57F1"/>
    <w:rsid w:val="009F5BD8"/>
    <w:rsid w:val="009F5F59"/>
    <w:rsid w:val="009F5FDF"/>
    <w:rsid w:val="009F6B30"/>
    <w:rsid w:val="009F6D98"/>
    <w:rsid w:val="009F7457"/>
    <w:rsid w:val="009F751C"/>
    <w:rsid w:val="009F7D1F"/>
    <w:rsid w:val="00A0083F"/>
    <w:rsid w:val="00A00D78"/>
    <w:rsid w:val="00A00D84"/>
    <w:rsid w:val="00A0174C"/>
    <w:rsid w:val="00A0197A"/>
    <w:rsid w:val="00A01E39"/>
    <w:rsid w:val="00A02805"/>
    <w:rsid w:val="00A0305B"/>
    <w:rsid w:val="00A030E1"/>
    <w:rsid w:val="00A0328A"/>
    <w:rsid w:val="00A036E7"/>
    <w:rsid w:val="00A03DFC"/>
    <w:rsid w:val="00A04DC5"/>
    <w:rsid w:val="00A04F12"/>
    <w:rsid w:val="00A057CC"/>
    <w:rsid w:val="00A06B11"/>
    <w:rsid w:val="00A07106"/>
    <w:rsid w:val="00A07BB6"/>
    <w:rsid w:val="00A07DFA"/>
    <w:rsid w:val="00A108B3"/>
    <w:rsid w:val="00A11032"/>
    <w:rsid w:val="00A12710"/>
    <w:rsid w:val="00A12A84"/>
    <w:rsid w:val="00A12E66"/>
    <w:rsid w:val="00A13274"/>
    <w:rsid w:val="00A13310"/>
    <w:rsid w:val="00A134D1"/>
    <w:rsid w:val="00A1462F"/>
    <w:rsid w:val="00A14E6F"/>
    <w:rsid w:val="00A16314"/>
    <w:rsid w:val="00A16E78"/>
    <w:rsid w:val="00A170DB"/>
    <w:rsid w:val="00A17D62"/>
    <w:rsid w:val="00A21A80"/>
    <w:rsid w:val="00A2220B"/>
    <w:rsid w:val="00A2243F"/>
    <w:rsid w:val="00A224FC"/>
    <w:rsid w:val="00A225D9"/>
    <w:rsid w:val="00A22C90"/>
    <w:rsid w:val="00A23734"/>
    <w:rsid w:val="00A23DD2"/>
    <w:rsid w:val="00A2402C"/>
    <w:rsid w:val="00A2459C"/>
    <w:rsid w:val="00A24C0A"/>
    <w:rsid w:val="00A24D2F"/>
    <w:rsid w:val="00A24E8B"/>
    <w:rsid w:val="00A253F6"/>
    <w:rsid w:val="00A25C6A"/>
    <w:rsid w:val="00A25E94"/>
    <w:rsid w:val="00A274C1"/>
    <w:rsid w:val="00A27D98"/>
    <w:rsid w:val="00A30BB8"/>
    <w:rsid w:val="00A31A2B"/>
    <w:rsid w:val="00A31C2A"/>
    <w:rsid w:val="00A324FB"/>
    <w:rsid w:val="00A32C87"/>
    <w:rsid w:val="00A33239"/>
    <w:rsid w:val="00A339E9"/>
    <w:rsid w:val="00A33FC8"/>
    <w:rsid w:val="00A34016"/>
    <w:rsid w:val="00A34089"/>
    <w:rsid w:val="00A340FC"/>
    <w:rsid w:val="00A3463D"/>
    <w:rsid w:val="00A352BE"/>
    <w:rsid w:val="00A3571B"/>
    <w:rsid w:val="00A35B80"/>
    <w:rsid w:val="00A35F91"/>
    <w:rsid w:val="00A36305"/>
    <w:rsid w:val="00A36345"/>
    <w:rsid w:val="00A369F2"/>
    <w:rsid w:val="00A37943"/>
    <w:rsid w:val="00A3799C"/>
    <w:rsid w:val="00A37FC6"/>
    <w:rsid w:val="00A40353"/>
    <w:rsid w:val="00A405A8"/>
    <w:rsid w:val="00A40F9D"/>
    <w:rsid w:val="00A41070"/>
    <w:rsid w:val="00A41150"/>
    <w:rsid w:val="00A42750"/>
    <w:rsid w:val="00A42BAA"/>
    <w:rsid w:val="00A4347C"/>
    <w:rsid w:val="00A4368C"/>
    <w:rsid w:val="00A4416F"/>
    <w:rsid w:val="00A44241"/>
    <w:rsid w:val="00A4469C"/>
    <w:rsid w:val="00A44E56"/>
    <w:rsid w:val="00A4519C"/>
    <w:rsid w:val="00A4580B"/>
    <w:rsid w:val="00A45BEE"/>
    <w:rsid w:val="00A46795"/>
    <w:rsid w:val="00A47617"/>
    <w:rsid w:val="00A47891"/>
    <w:rsid w:val="00A4793F"/>
    <w:rsid w:val="00A47A81"/>
    <w:rsid w:val="00A47AEF"/>
    <w:rsid w:val="00A50C43"/>
    <w:rsid w:val="00A5143E"/>
    <w:rsid w:val="00A52350"/>
    <w:rsid w:val="00A52764"/>
    <w:rsid w:val="00A560F3"/>
    <w:rsid w:val="00A56AC7"/>
    <w:rsid w:val="00A56FEE"/>
    <w:rsid w:val="00A578C0"/>
    <w:rsid w:val="00A57EA4"/>
    <w:rsid w:val="00A6026C"/>
    <w:rsid w:val="00A60F8D"/>
    <w:rsid w:val="00A614A8"/>
    <w:rsid w:val="00A617BC"/>
    <w:rsid w:val="00A617D1"/>
    <w:rsid w:val="00A61E85"/>
    <w:rsid w:val="00A62DE3"/>
    <w:rsid w:val="00A62DEB"/>
    <w:rsid w:val="00A63886"/>
    <w:rsid w:val="00A63B58"/>
    <w:rsid w:val="00A63E28"/>
    <w:rsid w:val="00A63F6D"/>
    <w:rsid w:val="00A64FCE"/>
    <w:rsid w:val="00A6543E"/>
    <w:rsid w:val="00A65790"/>
    <w:rsid w:val="00A660B5"/>
    <w:rsid w:val="00A66299"/>
    <w:rsid w:val="00A665EE"/>
    <w:rsid w:val="00A672A0"/>
    <w:rsid w:val="00A67B29"/>
    <w:rsid w:val="00A700B2"/>
    <w:rsid w:val="00A70AE5"/>
    <w:rsid w:val="00A7114B"/>
    <w:rsid w:val="00A7161C"/>
    <w:rsid w:val="00A71622"/>
    <w:rsid w:val="00A71AC4"/>
    <w:rsid w:val="00A71D89"/>
    <w:rsid w:val="00A71EC9"/>
    <w:rsid w:val="00A72481"/>
    <w:rsid w:val="00A7255E"/>
    <w:rsid w:val="00A72C3D"/>
    <w:rsid w:val="00A73063"/>
    <w:rsid w:val="00A73F3A"/>
    <w:rsid w:val="00A74493"/>
    <w:rsid w:val="00A75653"/>
    <w:rsid w:val="00A75EBF"/>
    <w:rsid w:val="00A76DA6"/>
    <w:rsid w:val="00A77410"/>
    <w:rsid w:val="00A775D9"/>
    <w:rsid w:val="00A8083B"/>
    <w:rsid w:val="00A80BB3"/>
    <w:rsid w:val="00A823D5"/>
    <w:rsid w:val="00A83AFC"/>
    <w:rsid w:val="00A8402A"/>
    <w:rsid w:val="00A84330"/>
    <w:rsid w:val="00A84553"/>
    <w:rsid w:val="00A8479C"/>
    <w:rsid w:val="00A84D4E"/>
    <w:rsid w:val="00A8612E"/>
    <w:rsid w:val="00A86668"/>
    <w:rsid w:val="00A86CE1"/>
    <w:rsid w:val="00A87AD6"/>
    <w:rsid w:val="00A87E87"/>
    <w:rsid w:val="00A87FB6"/>
    <w:rsid w:val="00A90432"/>
    <w:rsid w:val="00A90627"/>
    <w:rsid w:val="00A90672"/>
    <w:rsid w:val="00A90777"/>
    <w:rsid w:val="00A90BF9"/>
    <w:rsid w:val="00A91A5D"/>
    <w:rsid w:val="00A91ACC"/>
    <w:rsid w:val="00A9204A"/>
    <w:rsid w:val="00A922E5"/>
    <w:rsid w:val="00A92923"/>
    <w:rsid w:val="00A92995"/>
    <w:rsid w:val="00A9335E"/>
    <w:rsid w:val="00A9346E"/>
    <w:rsid w:val="00A93DFE"/>
    <w:rsid w:val="00A9617B"/>
    <w:rsid w:val="00A9618F"/>
    <w:rsid w:val="00A963F1"/>
    <w:rsid w:val="00A9662F"/>
    <w:rsid w:val="00A97A49"/>
    <w:rsid w:val="00A97F7D"/>
    <w:rsid w:val="00AA030D"/>
    <w:rsid w:val="00AA0ADB"/>
    <w:rsid w:val="00AA10FB"/>
    <w:rsid w:val="00AA1909"/>
    <w:rsid w:val="00AA1D06"/>
    <w:rsid w:val="00AA2375"/>
    <w:rsid w:val="00AA350A"/>
    <w:rsid w:val="00AA3954"/>
    <w:rsid w:val="00AA3C79"/>
    <w:rsid w:val="00AA493C"/>
    <w:rsid w:val="00AA521E"/>
    <w:rsid w:val="00AA539E"/>
    <w:rsid w:val="00AA569A"/>
    <w:rsid w:val="00AA5C74"/>
    <w:rsid w:val="00AA5EA1"/>
    <w:rsid w:val="00AA5FA5"/>
    <w:rsid w:val="00AA5FE9"/>
    <w:rsid w:val="00AA619C"/>
    <w:rsid w:val="00AA6365"/>
    <w:rsid w:val="00AA64C7"/>
    <w:rsid w:val="00AA67C3"/>
    <w:rsid w:val="00AA7A6A"/>
    <w:rsid w:val="00AA7B89"/>
    <w:rsid w:val="00AA7E80"/>
    <w:rsid w:val="00AB13B5"/>
    <w:rsid w:val="00AB1783"/>
    <w:rsid w:val="00AB1A52"/>
    <w:rsid w:val="00AB1CEC"/>
    <w:rsid w:val="00AB1DFE"/>
    <w:rsid w:val="00AB2726"/>
    <w:rsid w:val="00AB2D0A"/>
    <w:rsid w:val="00AB421B"/>
    <w:rsid w:val="00AB440C"/>
    <w:rsid w:val="00AB7747"/>
    <w:rsid w:val="00AB78BF"/>
    <w:rsid w:val="00AB7C26"/>
    <w:rsid w:val="00AC0821"/>
    <w:rsid w:val="00AC13E6"/>
    <w:rsid w:val="00AC1C51"/>
    <w:rsid w:val="00AC2298"/>
    <w:rsid w:val="00AC25C5"/>
    <w:rsid w:val="00AC2859"/>
    <w:rsid w:val="00AC29AB"/>
    <w:rsid w:val="00AC2E3F"/>
    <w:rsid w:val="00AC3061"/>
    <w:rsid w:val="00AC3538"/>
    <w:rsid w:val="00AC489B"/>
    <w:rsid w:val="00AC4B1E"/>
    <w:rsid w:val="00AC4DBC"/>
    <w:rsid w:val="00AC54B4"/>
    <w:rsid w:val="00AC58F5"/>
    <w:rsid w:val="00AC5E0C"/>
    <w:rsid w:val="00AC6A5C"/>
    <w:rsid w:val="00AC6AC8"/>
    <w:rsid w:val="00AC7A8C"/>
    <w:rsid w:val="00AD0B9F"/>
    <w:rsid w:val="00AD109C"/>
    <w:rsid w:val="00AD128B"/>
    <w:rsid w:val="00AD1475"/>
    <w:rsid w:val="00AD1B23"/>
    <w:rsid w:val="00AD1D49"/>
    <w:rsid w:val="00AD1E6D"/>
    <w:rsid w:val="00AD37F7"/>
    <w:rsid w:val="00AD3BE0"/>
    <w:rsid w:val="00AD4571"/>
    <w:rsid w:val="00AD56E2"/>
    <w:rsid w:val="00AD64BC"/>
    <w:rsid w:val="00AD658D"/>
    <w:rsid w:val="00AD68F9"/>
    <w:rsid w:val="00AD7885"/>
    <w:rsid w:val="00AE0075"/>
    <w:rsid w:val="00AE0FD1"/>
    <w:rsid w:val="00AE106C"/>
    <w:rsid w:val="00AE19FF"/>
    <w:rsid w:val="00AE2832"/>
    <w:rsid w:val="00AE303C"/>
    <w:rsid w:val="00AE3177"/>
    <w:rsid w:val="00AE3189"/>
    <w:rsid w:val="00AE3A88"/>
    <w:rsid w:val="00AE3C8E"/>
    <w:rsid w:val="00AE4247"/>
    <w:rsid w:val="00AE4712"/>
    <w:rsid w:val="00AE4C32"/>
    <w:rsid w:val="00AE540F"/>
    <w:rsid w:val="00AE5B56"/>
    <w:rsid w:val="00AE5F03"/>
    <w:rsid w:val="00AE5F55"/>
    <w:rsid w:val="00AE6095"/>
    <w:rsid w:val="00AE669D"/>
    <w:rsid w:val="00AE78AD"/>
    <w:rsid w:val="00AF0B75"/>
    <w:rsid w:val="00AF1A7A"/>
    <w:rsid w:val="00AF1FC2"/>
    <w:rsid w:val="00AF2226"/>
    <w:rsid w:val="00AF40A0"/>
    <w:rsid w:val="00AF4104"/>
    <w:rsid w:val="00AF4AE0"/>
    <w:rsid w:val="00AF5A52"/>
    <w:rsid w:val="00AF5FA0"/>
    <w:rsid w:val="00AF6706"/>
    <w:rsid w:val="00AF6BD9"/>
    <w:rsid w:val="00AF6C5E"/>
    <w:rsid w:val="00AF6D77"/>
    <w:rsid w:val="00AF6E3A"/>
    <w:rsid w:val="00B00468"/>
    <w:rsid w:val="00B00B61"/>
    <w:rsid w:val="00B01EAE"/>
    <w:rsid w:val="00B01F95"/>
    <w:rsid w:val="00B03328"/>
    <w:rsid w:val="00B03361"/>
    <w:rsid w:val="00B03703"/>
    <w:rsid w:val="00B03D31"/>
    <w:rsid w:val="00B04E93"/>
    <w:rsid w:val="00B050B1"/>
    <w:rsid w:val="00B0570D"/>
    <w:rsid w:val="00B061FA"/>
    <w:rsid w:val="00B06AD0"/>
    <w:rsid w:val="00B06C38"/>
    <w:rsid w:val="00B07684"/>
    <w:rsid w:val="00B101D8"/>
    <w:rsid w:val="00B1088B"/>
    <w:rsid w:val="00B109D4"/>
    <w:rsid w:val="00B118BC"/>
    <w:rsid w:val="00B124F4"/>
    <w:rsid w:val="00B12B2D"/>
    <w:rsid w:val="00B12C44"/>
    <w:rsid w:val="00B132A8"/>
    <w:rsid w:val="00B135C1"/>
    <w:rsid w:val="00B13B2C"/>
    <w:rsid w:val="00B13C76"/>
    <w:rsid w:val="00B151EF"/>
    <w:rsid w:val="00B152E3"/>
    <w:rsid w:val="00B170D7"/>
    <w:rsid w:val="00B17BCF"/>
    <w:rsid w:val="00B22528"/>
    <w:rsid w:val="00B2281F"/>
    <w:rsid w:val="00B22AAC"/>
    <w:rsid w:val="00B22C55"/>
    <w:rsid w:val="00B22CD0"/>
    <w:rsid w:val="00B23021"/>
    <w:rsid w:val="00B240CB"/>
    <w:rsid w:val="00B25E5B"/>
    <w:rsid w:val="00B2647A"/>
    <w:rsid w:val="00B27F3D"/>
    <w:rsid w:val="00B27F42"/>
    <w:rsid w:val="00B305D3"/>
    <w:rsid w:val="00B314A0"/>
    <w:rsid w:val="00B318B0"/>
    <w:rsid w:val="00B32019"/>
    <w:rsid w:val="00B32455"/>
    <w:rsid w:val="00B32D0D"/>
    <w:rsid w:val="00B32D2C"/>
    <w:rsid w:val="00B32E41"/>
    <w:rsid w:val="00B331B0"/>
    <w:rsid w:val="00B3376E"/>
    <w:rsid w:val="00B3512C"/>
    <w:rsid w:val="00B353FD"/>
    <w:rsid w:val="00B35A18"/>
    <w:rsid w:val="00B35B06"/>
    <w:rsid w:val="00B35ECC"/>
    <w:rsid w:val="00B36F6E"/>
    <w:rsid w:val="00B3709B"/>
    <w:rsid w:val="00B37627"/>
    <w:rsid w:val="00B40497"/>
    <w:rsid w:val="00B40893"/>
    <w:rsid w:val="00B411F3"/>
    <w:rsid w:val="00B41575"/>
    <w:rsid w:val="00B41962"/>
    <w:rsid w:val="00B421E0"/>
    <w:rsid w:val="00B42B2C"/>
    <w:rsid w:val="00B430EB"/>
    <w:rsid w:val="00B4555E"/>
    <w:rsid w:val="00B45585"/>
    <w:rsid w:val="00B45DC0"/>
    <w:rsid w:val="00B45E30"/>
    <w:rsid w:val="00B47364"/>
    <w:rsid w:val="00B47475"/>
    <w:rsid w:val="00B47AD4"/>
    <w:rsid w:val="00B47B15"/>
    <w:rsid w:val="00B47B44"/>
    <w:rsid w:val="00B5072D"/>
    <w:rsid w:val="00B5201C"/>
    <w:rsid w:val="00B531EF"/>
    <w:rsid w:val="00B538AF"/>
    <w:rsid w:val="00B538E5"/>
    <w:rsid w:val="00B541B5"/>
    <w:rsid w:val="00B54455"/>
    <w:rsid w:val="00B544C6"/>
    <w:rsid w:val="00B54A04"/>
    <w:rsid w:val="00B54C7B"/>
    <w:rsid w:val="00B54D46"/>
    <w:rsid w:val="00B55D1C"/>
    <w:rsid w:val="00B566A1"/>
    <w:rsid w:val="00B56EF6"/>
    <w:rsid w:val="00B5770D"/>
    <w:rsid w:val="00B57AB6"/>
    <w:rsid w:val="00B57EEE"/>
    <w:rsid w:val="00B57F04"/>
    <w:rsid w:val="00B61989"/>
    <w:rsid w:val="00B61B95"/>
    <w:rsid w:val="00B62CA7"/>
    <w:rsid w:val="00B62DFC"/>
    <w:rsid w:val="00B63745"/>
    <w:rsid w:val="00B6397D"/>
    <w:rsid w:val="00B63FFB"/>
    <w:rsid w:val="00B644FF"/>
    <w:rsid w:val="00B647E5"/>
    <w:rsid w:val="00B6501B"/>
    <w:rsid w:val="00B6520C"/>
    <w:rsid w:val="00B66354"/>
    <w:rsid w:val="00B66399"/>
    <w:rsid w:val="00B664F9"/>
    <w:rsid w:val="00B66553"/>
    <w:rsid w:val="00B66AF2"/>
    <w:rsid w:val="00B66EAD"/>
    <w:rsid w:val="00B673B2"/>
    <w:rsid w:val="00B676CE"/>
    <w:rsid w:val="00B70BCF"/>
    <w:rsid w:val="00B726EF"/>
    <w:rsid w:val="00B730C4"/>
    <w:rsid w:val="00B7327E"/>
    <w:rsid w:val="00B733AD"/>
    <w:rsid w:val="00B746E9"/>
    <w:rsid w:val="00B74D7D"/>
    <w:rsid w:val="00B75419"/>
    <w:rsid w:val="00B757ED"/>
    <w:rsid w:val="00B76687"/>
    <w:rsid w:val="00B76B8B"/>
    <w:rsid w:val="00B76BCD"/>
    <w:rsid w:val="00B76D38"/>
    <w:rsid w:val="00B76D50"/>
    <w:rsid w:val="00B776E2"/>
    <w:rsid w:val="00B80729"/>
    <w:rsid w:val="00B830C1"/>
    <w:rsid w:val="00B843E1"/>
    <w:rsid w:val="00B844C4"/>
    <w:rsid w:val="00B8482D"/>
    <w:rsid w:val="00B85104"/>
    <w:rsid w:val="00B859A7"/>
    <w:rsid w:val="00B860C5"/>
    <w:rsid w:val="00B86401"/>
    <w:rsid w:val="00B86424"/>
    <w:rsid w:val="00B87116"/>
    <w:rsid w:val="00B874E0"/>
    <w:rsid w:val="00B87A29"/>
    <w:rsid w:val="00B902CF"/>
    <w:rsid w:val="00B905CA"/>
    <w:rsid w:val="00B90CD3"/>
    <w:rsid w:val="00B90E01"/>
    <w:rsid w:val="00B91E0B"/>
    <w:rsid w:val="00B9475C"/>
    <w:rsid w:val="00B95A18"/>
    <w:rsid w:val="00B95D05"/>
    <w:rsid w:val="00B96B10"/>
    <w:rsid w:val="00B96BFC"/>
    <w:rsid w:val="00B96E8F"/>
    <w:rsid w:val="00B97E48"/>
    <w:rsid w:val="00BA244C"/>
    <w:rsid w:val="00BA2583"/>
    <w:rsid w:val="00BA2BAB"/>
    <w:rsid w:val="00BA301D"/>
    <w:rsid w:val="00BA3A25"/>
    <w:rsid w:val="00BA55BB"/>
    <w:rsid w:val="00BA58CA"/>
    <w:rsid w:val="00BA69FC"/>
    <w:rsid w:val="00BA6F91"/>
    <w:rsid w:val="00BB023A"/>
    <w:rsid w:val="00BB02B0"/>
    <w:rsid w:val="00BB0CBD"/>
    <w:rsid w:val="00BB1BB8"/>
    <w:rsid w:val="00BB1CEA"/>
    <w:rsid w:val="00BB1CFD"/>
    <w:rsid w:val="00BB2C14"/>
    <w:rsid w:val="00BB2F8A"/>
    <w:rsid w:val="00BB5E91"/>
    <w:rsid w:val="00BB646C"/>
    <w:rsid w:val="00BB67B3"/>
    <w:rsid w:val="00BB6B6C"/>
    <w:rsid w:val="00BC0FFC"/>
    <w:rsid w:val="00BC137D"/>
    <w:rsid w:val="00BC1694"/>
    <w:rsid w:val="00BC1B36"/>
    <w:rsid w:val="00BC2203"/>
    <w:rsid w:val="00BC262A"/>
    <w:rsid w:val="00BC2D82"/>
    <w:rsid w:val="00BC3C3E"/>
    <w:rsid w:val="00BC520E"/>
    <w:rsid w:val="00BC522F"/>
    <w:rsid w:val="00BC53C7"/>
    <w:rsid w:val="00BC55B0"/>
    <w:rsid w:val="00BC5771"/>
    <w:rsid w:val="00BC5A84"/>
    <w:rsid w:val="00BC5A8F"/>
    <w:rsid w:val="00BC6062"/>
    <w:rsid w:val="00BC64E1"/>
    <w:rsid w:val="00BC66A5"/>
    <w:rsid w:val="00BC68C0"/>
    <w:rsid w:val="00BC6DAC"/>
    <w:rsid w:val="00BC6F18"/>
    <w:rsid w:val="00BC78C0"/>
    <w:rsid w:val="00BC7C9D"/>
    <w:rsid w:val="00BC7E8C"/>
    <w:rsid w:val="00BD0345"/>
    <w:rsid w:val="00BD0900"/>
    <w:rsid w:val="00BD149D"/>
    <w:rsid w:val="00BD157D"/>
    <w:rsid w:val="00BD187D"/>
    <w:rsid w:val="00BD2050"/>
    <w:rsid w:val="00BD238F"/>
    <w:rsid w:val="00BD2604"/>
    <w:rsid w:val="00BD3241"/>
    <w:rsid w:val="00BD3BC8"/>
    <w:rsid w:val="00BD3EBD"/>
    <w:rsid w:val="00BD4A6E"/>
    <w:rsid w:val="00BD4B4C"/>
    <w:rsid w:val="00BD55F2"/>
    <w:rsid w:val="00BD59DF"/>
    <w:rsid w:val="00BD5DCE"/>
    <w:rsid w:val="00BD6040"/>
    <w:rsid w:val="00BD6B70"/>
    <w:rsid w:val="00BD7A1D"/>
    <w:rsid w:val="00BE055D"/>
    <w:rsid w:val="00BE0994"/>
    <w:rsid w:val="00BE0AA3"/>
    <w:rsid w:val="00BE1DC9"/>
    <w:rsid w:val="00BE2499"/>
    <w:rsid w:val="00BE2E4E"/>
    <w:rsid w:val="00BE30C5"/>
    <w:rsid w:val="00BE4CF9"/>
    <w:rsid w:val="00BE5295"/>
    <w:rsid w:val="00BE529F"/>
    <w:rsid w:val="00BE5320"/>
    <w:rsid w:val="00BE5BD5"/>
    <w:rsid w:val="00BE6EE6"/>
    <w:rsid w:val="00BE72E4"/>
    <w:rsid w:val="00BE7FAC"/>
    <w:rsid w:val="00BF0F31"/>
    <w:rsid w:val="00BF139A"/>
    <w:rsid w:val="00BF236B"/>
    <w:rsid w:val="00BF256B"/>
    <w:rsid w:val="00BF3008"/>
    <w:rsid w:val="00BF3439"/>
    <w:rsid w:val="00BF360C"/>
    <w:rsid w:val="00BF371D"/>
    <w:rsid w:val="00BF3EDA"/>
    <w:rsid w:val="00BF4B3D"/>
    <w:rsid w:val="00BF52FB"/>
    <w:rsid w:val="00BF56DA"/>
    <w:rsid w:val="00BF58D2"/>
    <w:rsid w:val="00BF59D8"/>
    <w:rsid w:val="00BF5D26"/>
    <w:rsid w:val="00BF5F1B"/>
    <w:rsid w:val="00BF61C2"/>
    <w:rsid w:val="00BF6C4F"/>
    <w:rsid w:val="00BF6EC1"/>
    <w:rsid w:val="00BF7AF0"/>
    <w:rsid w:val="00BF7B65"/>
    <w:rsid w:val="00C0001E"/>
    <w:rsid w:val="00C003F1"/>
    <w:rsid w:val="00C006B2"/>
    <w:rsid w:val="00C007DB"/>
    <w:rsid w:val="00C01816"/>
    <w:rsid w:val="00C01AAC"/>
    <w:rsid w:val="00C02589"/>
    <w:rsid w:val="00C02A58"/>
    <w:rsid w:val="00C02FE3"/>
    <w:rsid w:val="00C030F1"/>
    <w:rsid w:val="00C034E9"/>
    <w:rsid w:val="00C03AB1"/>
    <w:rsid w:val="00C03D85"/>
    <w:rsid w:val="00C044BD"/>
    <w:rsid w:val="00C047BB"/>
    <w:rsid w:val="00C05725"/>
    <w:rsid w:val="00C06AA7"/>
    <w:rsid w:val="00C0780B"/>
    <w:rsid w:val="00C104FE"/>
    <w:rsid w:val="00C11480"/>
    <w:rsid w:val="00C11DDF"/>
    <w:rsid w:val="00C12C26"/>
    <w:rsid w:val="00C13CE0"/>
    <w:rsid w:val="00C14142"/>
    <w:rsid w:val="00C149D7"/>
    <w:rsid w:val="00C14E66"/>
    <w:rsid w:val="00C14FDF"/>
    <w:rsid w:val="00C15A0A"/>
    <w:rsid w:val="00C15B3F"/>
    <w:rsid w:val="00C160FC"/>
    <w:rsid w:val="00C173EB"/>
    <w:rsid w:val="00C17A1F"/>
    <w:rsid w:val="00C20A18"/>
    <w:rsid w:val="00C224CD"/>
    <w:rsid w:val="00C22693"/>
    <w:rsid w:val="00C23090"/>
    <w:rsid w:val="00C23375"/>
    <w:rsid w:val="00C23625"/>
    <w:rsid w:val="00C23C56"/>
    <w:rsid w:val="00C2551F"/>
    <w:rsid w:val="00C2575A"/>
    <w:rsid w:val="00C265A6"/>
    <w:rsid w:val="00C26DA8"/>
    <w:rsid w:val="00C270EE"/>
    <w:rsid w:val="00C275A8"/>
    <w:rsid w:val="00C2763B"/>
    <w:rsid w:val="00C300F4"/>
    <w:rsid w:val="00C31181"/>
    <w:rsid w:val="00C31885"/>
    <w:rsid w:val="00C319B6"/>
    <w:rsid w:val="00C31BE2"/>
    <w:rsid w:val="00C32947"/>
    <w:rsid w:val="00C32E36"/>
    <w:rsid w:val="00C3365F"/>
    <w:rsid w:val="00C336EB"/>
    <w:rsid w:val="00C338DF"/>
    <w:rsid w:val="00C339A6"/>
    <w:rsid w:val="00C339D1"/>
    <w:rsid w:val="00C340E3"/>
    <w:rsid w:val="00C344C5"/>
    <w:rsid w:val="00C347DF"/>
    <w:rsid w:val="00C34800"/>
    <w:rsid w:val="00C3590D"/>
    <w:rsid w:val="00C35B46"/>
    <w:rsid w:val="00C35B4A"/>
    <w:rsid w:val="00C35F58"/>
    <w:rsid w:val="00C361E0"/>
    <w:rsid w:val="00C368B5"/>
    <w:rsid w:val="00C3727F"/>
    <w:rsid w:val="00C37679"/>
    <w:rsid w:val="00C379B5"/>
    <w:rsid w:val="00C37EF2"/>
    <w:rsid w:val="00C407D7"/>
    <w:rsid w:val="00C40F20"/>
    <w:rsid w:val="00C41B97"/>
    <w:rsid w:val="00C42096"/>
    <w:rsid w:val="00C42E8D"/>
    <w:rsid w:val="00C42F65"/>
    <w:rsid w:val="00C4331A"/>
    <w:rsid w:val="00C44C21"/>
    <w:rsid w:val="00C44ECD"/>
    <w:rsid w:val="00C44F4A"/>
    <w:rsid w:val="00C453DB"/>
    <w:rsid w:val="00C46B3D"/>
    <w:rsid w:val="00C47004"/>
    <w:rsid w:val="00C47745"/>
    <w:rsid w:val="00C47B20"/>
    <w:rsid w:val="00C47EBA"/>
    <w:rsid w:val="00C5017D"/>
    <w:rsid w:val="00C50E87"/>
    <w:rsid w:val="00C514D2"/>
    <w:rsid w:val="00C51C7E"/>
    <w:rsid w:val="00C51F56"/>
    <w:rsid w:val="00C52245"/>
    <w:rsid w:val="00C52DDC"/>
    <w:rsid w:val="00C53B10"/>
    <w:rsid w:val="00C53B1D"/>
    <w:rsid w:val="00C53C6D"/>
    <w:rsid w:val="00C53E29"/>
    <w:rsid w:val="00C54359"/>
    <w:rsid w:val="00C548E1"/>
    <w:rsid w:val="00C561AB"/>
    <w:rsid w:val="00C568FB"/>
    <w:rsid w:val="00C569D8"/>
    <w:rsid w:val="00C571EA"/>
    <w:rsid w:val="00C57403"/>
    <w:rsid w:val="00C577E5"/>
    <w:rsid w:val="00C5780B"/>
    <w:rsid w:val="00C57DD3"/>
    <w:rsid w:val="00C57E38"/>
    <w:rsid w:val="00C6054F"/>
    <w:rsid w:val="00C60999"/>
    <w:rsid w:val="00C60C90"/>
    <w:rsid w:val="00C60CE0"/>
    <w:rsid w:val="00C60FEE"/>
    <w:rsid w:val="00C6188D"/>
    <w:rsid w:val="00C62072"/>
    <w:rsid w:val="00C62ECD"/>
    <w:rsid w:val="00C6347D"/>
    <w:rsid w:val="00C64838"/>
    <w:rsid w:val="00C656B8"/>
    <w:rsid w:val="00C65F03"/>
    <w:rsid w:val="00C65F89"/>
    <w:rsid w:val="00C661F0"/>
    <w:rsid w:val="00C66617"/>
    <w:rsid w:val="00C677C0"/>
    <w:rsid w:val="00C67A54"/>
    <w:rsid w:val="00C700CE"/>
    <w:rsid w:val="00C70212"/>
    <w:rsid w:val="00C706EF"/>
    <w:rsid w:val="00C715A5"/>
    <w:rsid w:val="00C718A8"/>
    <w:rsid w:val="00C7348E"/>
    <w:rsid w:val="00C73579"/>
    <w:rsid w:val="00C73A2E"/>
    <w:rsid w:val="00C73B16"/>
    <w:rsid w:val="00C74430"/>
    <w:rsid w:val="00C75C8A"/>
    <w:rsid w:val="00C76AFB"/>
    <w:rsid w:val="00C776A2"/>
    <w:rsid w:val="00C800E7"/>
    <w:rsid w:val="00C80142"/>
    <w:rsid w:val="00C803E1"/>
    <w:rsid w:val="00C809FE"/>
    <w:rsid w:val="00C812BE"/>
    <w:rsid w:val="00C83814"/>
    <w:rsid w:val="00C83FD7"/>
    <w:rsid w:val="00C84E76"/>
    <w:rsid w:val="00C85055"/>
    <w:rsid w:val="00C85545"/>
    <w:rsid w:val="00C85C4C"/>
    <w:rsid w:val="00C85F5C"/>
    <w:rsid w:val="00C865CA"/>
    <w:rsid w:val="00C86777"/>
    <w:rsid w:val="00C86BF9"/>
    <w:rsid w:val="00C87E8A"/>
    <w:rsid w:val="00C90D70"/>
    <w:rsid w:val="00C91B20"/>
    <w:rsid w:val="00C91C16"/>
    <w:rsid w:val="00C9214D"/>
    <w:rsid w:val="00C9272B"/>
    <w:rsid w:val="00C92C81"/>
    <w:rsid w:val="00C92CA1"/>
    <w:rsid w:val="00C93D04"/>
    <w:rsid w:val="00C93F4F"/>
    <w:rsid w:val="00C941B6"/>
    <w:rsid w:val="00C9489D"/>
    <w:rsid w:val="00C95A11"/>
    <w:rsid w:val="00C96493"/>
    <w:rsid w:val="00C977F7"/>
    <w:rsid w:val="00CA05BB"/>
    <w:rsid w:val="00CA0742"/>
    <w:rsid w:val="00CA093B"/>
    <w:rsid w:val="00CA2BA8"/>
    <w:rsid w:val="00CA2E03"/>
    <w:rsid w:val="00CA2F52"/>
    <w:rsid w:val="00CA3221"/>
    <w:rsid w:val="00CA33AE"/>
    <w:rsid w:val="00CA3A55"/>
    <w:rsid w:val="00CA3A61"/>
    <w:rsid w:val="00CA3F49"/>
    <w:rsid w:val="00CA5F3B"/>
    <w:rsid w:val="00CA606F"/>
    <w:rsid w:val="00CA6235"/>
    <w:rsid w:val="00CA7560"/>
    <w:rsid w:val="00CA7B48"/>
    <w:rsid w:val="00CB0177"/>
    <w:rsid w:val="00CB03D1"/>
    <w:rsid w:val="00CB0537"/>
    <w:rsid w:val="00CB0791"/>
    <w:rsid w:val="00CB0AC1"/>
    <w:rsid w:val="00CB0CC1"/>
    <w:rsid w:val="00CB0CFA"/>
    <w:rsid w:val="00CB1553"/>
    <w:rsid w:val="00CB180F"/>
    <w:rsid w:val="00CB18A6"/>
    <w:rsid w:val="00CB1953"/>
    <w:rsid w:val="00CB19CC"/>
    <w:rsid w:val="00CB1A1A"/>
    <w:rsid w:val="00CB1B75"/>
    <w:rsid w:val="00CB28EE"/>
    <w:rsid w:val="00CB4D0D"/>
    <w:rsid w:val="00CB4EC6"/>
    <w:rsid w:val="00CB6394"/>
    <w:rsid w:val="00CB65C2"/>
    <w:rsid w:val="00CB7712"/>
    <w:rsid w:val="00CC0130"/>
    <w:rsid w:val="00CC01CC"/>
    <w:rsid w:val="00CC0878"/>
    <w:rsid w:val="00CC0B8F"/>
    <w:rsid w:val="00CC0BA2"/>
    <w:rsid w:val="00CC0EE3"/>
    <w:rsid w:val="00CC10FA"/>
    <w:rsid w:val="00CC150D"/>
    <w:rsid w:val="00CC246B"/>
    <w:rsid w:val="00CC2AF5"/>
    <w:rsid w:val="00CC2DC0"/>
    <w:rsid w:val="00CC41FB"/>
    <w:rsid w:val="00CC42C8"/>
    <w:rsid w:val="00CC4879"/>
    <w:rsid w:val="00CC4E2A"/>
    <w:rsid w:val="00CC5E0E"/>
    <w:rsid w:val="00CC67FF"/>
    <w:rsid w:val="00CC71F2"/>
    <w:rsid w:val="00CC7BF4"/>
    <w:rsid w:val="00CD000E"/>
    <w:rsid w:val="00CD02EF"/>
    <w:rsid w:val="00CD055D"/>
    <w:rsid w:val="00CD05D6"/>
    <w:rsid w:val="00CD2E8A"/>
    <w:rsid w:val="00CD4342"/>
    <w:rsid w:val="00CD4401"/>
    <w:rsid w:val="00CD545D"/>
    <w:rsid w:val="00CD56A0"/>
    <w:rsid w:val="00CD5792"/>
    <w:rsid w:val="00CD5C8D"/>
    <w:rsid w:val="00CD693C"/>
    <w:rsid w:val="00CD69AD"/>
    <w:rsid w:val="00CD725E"/>
    <w:rsid w:val="00CD7EF1"/>
    <w:rsid w:val="00CE122D"/>
    <w:rsid w:val="00CE1283"/>
    <w:rsid w:val="00CE1D9B"/>
    <w:rsid w:val="00CE2750"/>
    <w:rsid w:val="00CE2AFD"/>
    <w:rsid w:val="00CE388F"/>
    <w:rsid w:val="00CE3A6E"/>
    <w:rsid w:val="00CE3C1B"/>
    <w:rsid w:val="00CE4AF4"/>
    <w:rsid w:val="00CE4B42"/>
    <w:rsid w:val="00CE5825"/>
    <w:rsid w:val="00CE5A2F"/>
    <w:rsid w:val="00CE5DA9"/>
    <w:rsid w:val="00CE6144"/>
    <w:rsid w:val="00CE64E7"/>
    <w:rsid w:val="00CE6D40"/>
    <w:rsid w:val="00CF06AF"/>
    <w:rsid w:val="00CF08D0"/>
    <w:rsid w:val="00CF0D36"/>
    <w:rsid w:val="00CF2210"/>
    <w:rsid w:val="00CF2603"/>
    <w:rsid w:val="00CF2DD6"/>
    <w:rsid w:val="00CF381A"/>
    <w:rsid w:val="00CF4660"/>
    <w:rsid w:val="00CF4D58"/>
    <w:rsid w:val="00CF53FF"/>
    <w:rsid w:val="00CF574D"/>
    <w:rsid w:val="00CF5F24"/>
    <w:rsid w:val="00CF6499"/>
    <w:rsid w:val="00CF679E"/>
    <w:rsid w:val="00CF7156"/>
    <w:rsid w:val="00CF723B"/>
    <w:rsid w:val="00CF7867"/>
    <w:rsid w:val="00D014CA"/>
    <w:rsid w:val="00D01ACF"/>
    <w:rsid w:val="00D02136"/>
    <w:rsid w:val="00D021B6"/>
    <w:rsid w:val="00D0274A"/>
    <w:rsid w:val="00D03000"/>
    <w:rsid w:val="00D04AE5"/>
    <w:rsid w:val="00D04F2F"/>
    <w:rsid w:val="00D05BCE"/>
    <w:rsid w:val="00D07AA4"/>
    <w:rsid w:val="00D07CDD"/>
    <w:rsid w:val="00D07F6D"/>
    <w:rsid w:val="00D10C7D"/>
    <w:rsid w:val="00D11334"/>
    <w:rsid w:val="00D113A9"/>
    <w:rsid w:val="00D113F5"/>
    <w:rsid w:val="00D127CF"/>
    <w:rsid w:val="00D12BC1"/>
    <w:rsid w:val="00D13349"/>
    <w:rsid w:val="00D15C10"/>
    <w:rsid w:val="00D163F8"/>
    <w:rsid w:val="00D16B9F"/>
    <w:rsid w:val="00D173D9"/>
    <w:rsid w:val="00D17BB2"/>
    <w:rsid w:val="00D20166"/>
    <w:rsid w:val="00D20A4A"/>
    <w:rsid w:val="00D2103F"/>
    <w:rsid w:val="00D212FA"/>
    <w:rsid w:val="00D2170B"/>
    <w:rsid w:val="00D21A27"/>
    <w:rsid w:val="00D21BE5"/>
    <w:rsid w:val="00D2267A"/>
    <w:rsid w:val="00D2334C"/>
    <w:rsid w:val="00D23DE3"/>
    <w:rsid w:val="00D24B8D"/>
    <w:rsid w:val="00D251C3"/>
    <w:rsid w:val="00D25302"/>
    <w:rsid w:val="00D27163"/>
    <w:rsid w:val="00D3012C"/>
    <w:rsid w:val="00D30BAE"/>
    <w:rsid w:val="00D30F59"/>
    <w:rsid w:val="00D316EF"/>
    <w:rsid w:val="00D31F6C"/>
    <w:rsid w:val="00D3230E"/>
    <w:rsid w:val="00D32AAC"/>
    <w:rsid w:val="00D32B83"/>
    <w:rsid w:val="00D335E6"/>
    <w:rsid w:val="00D33902"/>
    <w:rsid w:val="00D34479"/>
    <w:rsid w:val="00D344B0"/>
    <w:rsid w:val="00D345C1"/>
    <w:rsid w:val="00D34790"/>
    <w:rsid w:val="00D34844"/>
    <w:rsid w:val="00D3492D"/>
    <w:rsid w:val="00D35216"/>
    <w:rsid w:val="00D35558"/>
    <w:rsid w:val="00D35A76"/>
    <w:rsid w:val="00D35CA7"/>
    <w:rsid w:val="00D35CBF"/>
    <w:rsid w:val="00D37041"/>
    <w:rsid w:val="00D3782B"/>
    <w:rsid w:val="00D378AA"/>
    <w:rsid w:val="00D3794E"/>
    <w:rsid w:val="00D37B81"/>
    <w:rsid w:val="00D405FA"/>
    <w:rsid w:val="00D4077A"/>
    <w:rsid w:val="00D413DB"/>
    <w:rsid w:val="00D41409"/>
    <w:rsid w:val="00D42519"/>
    <w:rsid w:val="00D42BCD"/>
    <w:rsid w:val="00D433D4"/>
    <w:rsid w:val="00D43B92"/>
    <w:rsid w:val="00D43C68"/>
    <w:rsid w:val="00D44763"/>
    <w:rsid w:val="00D448D3"/>
    <w:rsid w:val="00D458DD"/>
    <w:rsid w:val="00D45A60"/>
    <w:rsid w:val="00D470D5"/>
    <w:rsid w:val="00D47517"/>
    <w:rsid w:val="00D47AF3"/>
    <w:rsid w:val="00D51738"/>
    <w:rsid w:val="00D5240B"/>
    <w:rsid w:val="00D52527"/>
    <w:rsid w:val="00D52972"/>
    <w:rsid w:val="00D52CF8"/>
    <w:rsid w:val="00D52D89"/>
    <w:rsid w:val="00D5339E"/>
    <w:rsid w:val="00D536C8"/>
    <w:rsid w:val="00D5374B"/>
    <w:rsid w:val="00D53BE5"/>
    <w:rsid w:val="00D555AA"/>
    <w:rsid w:val="00D563B4"/>
    <w:rsid w:val="00D565FB"/>
    <w:rsid w:val="00D56632"/>
    <w:rsid w:val="00D56CEC"/>
    <w:rsid w:val="00D571A9"/>
    <w:rsid w:val="00D57A79"/>
    <w:rsid w:val="00D57FBC"/>
    <w:rsid w:val="00D60759"/>
    <w:rsid w:val="00D60C12"/>
    <w:rsid w:val="00D60C6A"/>
    <w:rsid w:val="00D60F67"/>
    <w:rsid w:val="00D6103B"/>
    <w:rsid w:val="00D61400"/>
    <w:rsid w:val="00D61D21"/>
    <w:rsid w:val="00D626FC"/>
    <w:rsid w:val="00D6290C"/>
    <w:rsid w:val="00D62E60"/>
    <w:rsid w:val="00D6451E"/>
    <w:rsid w:val="00D65A2E"/>
    <w:rsid w:val="00D66395"/>
    <w:rsid w:val="00D66984"/>
    <w:rsid w:val="00D66A9A"/>
    <w:rsid w:val="00D670C6"/>
    <w:rsid w:val="00D67DDE"/>
    <w:rsid w:val="00D712CB"/>
    <w:rsid w:val="00D7139E"/>
    <w:rsid w:val="00D73590"/>
    <w:rsid w:val="00D738F6"/>
    <w:rsid w:val="00D73BF1"/>
    <w:rsid w:val="00D73FDB"/>
    <w:rsid w:val="00D74419"/>
    <w:rsid w:val="00D758A6"/>
    <w:rsid w:val="00D75C03"/>
    <w:rsid w:val="00D77294"/>
    <w:rsid w:val="00D775A0"/>
    <w:rsid w:val="00D80812"/>
    <w:rsid w:val="00D80950"/>
    <w:rsid w:val="00D827C9"/>
    <w:rsid w:val="00D82B45"/>
    <w:rsid w:val="00D82C97"/>
    <w:rsid w:val="00D82E19"/>
    <w:rsid w:val="00D831F3"/>
    <w:rsid w:val="00D83724"/>
    <w:rsid w:val="00D838E0"/>
    <w:rsid w:val="00D84430"/>
    <w:rsid w:val="00D8460A"/>
    <w:rsid w:val="00D849FE"/>
    <w:rsid w:val="00D84E50"/>
    <w:rsid w:val="00D84EB6"/>
    <w:rsid w:val="00D8639F"/>
    <w:rsid w:val="00D87B21"/>
    <w:rsid w:val="00D87CD2"/>
    <w:rsid w:val="00D91727"/>
    <w:rsid w:val="00D91B84"/>
    <w:rsid w:val="00D92DF7"/>
    <w:rsid w:val="00D93AFA"/>
    <w:rsid w:val="00D93C3B"/>
    <w:rsid w:val="00D9491D"/>
    <w:rsid w:val="00D94B74"/>
    <w:rsid w:val="00D96AC0"/>
    <w:rsid w:val="00D96E73"/>
    <w:rsid w:val="00D976F3"/>
    <w:rsid w:val="00DA0949"/>
    <w:rsid w:val="00DA0E73"/>
    <w:rsid w:val="00DA1120"/>
    <w:rsid w:val="00DA11B6"/>
    <w:rsid w:val="00DA1541"/>
    <w:rsid w:val="00DA20B9"/>
    <w:rsid w:val="00DA2488"/>
    <w:rsid w:val="00DA360F"/>
    <w:rsid w:val="00DA38ED"/>
    <w:rsid w:val="00DA3A96"/>
    <w:rsid w:val="00DA3C71"/>
    <w:rsid w:val="00DA3C8D"/>
    <w:rsid w:val="00DA5A72"/>
    <w:rsid w:val="00DA5AEA"/>
    <w:rsid w:val="00DA5E83"/>
    <w:rsid w:val="00DA6A21"/>
    <w:rsid w:val="00DB0B5C"/>
    <w:rsid w:val="00DB2482"/>
    <w:rsid w:val="00DB298D"/>
    <w:rsid w:val="00DB2CC0"/>
    <w:rsid w:val="00DB3A71"/>
    <w:rsid w:val="00DB4827"/>
    <w:rsid w:val="00DB4D2D"/>
    <w:rsid w:val="00DB5C71"/>
    <w:rsid w:val="00DB6939"/>
    <w:rsid w:val="00DB742F"/>
    <w:rsid w:val="00DB74A3"/>
    <w:rsid w:val="00DB7774"/>
    <w:rsid w:val="00DB7935"/>
    <w:rsid w:val="00DC01B0"/>
    <w:rsid w:val="00DC03A8"/>
    <w:rsid w:val="00DC05E5"/>
    <w:rsid w:val="00DC07B4"/>
    <w:rsid w:val="00DC0964"/>
    <w:rsid w:val="00DC0DC8"/>
    <w:rsid w:val="00DC129B"/>
    <w:rsid w:val="00DC183A"/>
    <w:rsid w:val="00DC2281"/>
    <w:rsid w:val="00DC2286"/>
    <w:rsid w:val="00DC26E8"/>
    <w:rsid w:val="00DC2868"/>
    <w:rsid w:val="00DC28CC"/>
    <w:rsid w:val="00DC2B57"/>
    <w:rsid w:val="00DC2D72"/>
    <w:rsid w:val="00DC4191"/>
    <w:rsid w:val="00DC4251"/>
    <w:rsid w:val="00DC5030"/>
    <w:rsid w:val="00DC5358"/>
    <w:rsid w:val="00DC6321"/>
    <w:rsid w:val="00DC6DAE"/>
    <w:rsid w:val="00DC7966"/>
    <w:rsid w:val="00DD069A"/>
    <w:rsid w:val="00DD07E3"/>
    <w:rsid w:val="00DD0852"/>
    <w:rsid w:val="00DD0FF0"/>
    <w:rsid w:val="00DD1250"/>
    <w:rsid w:val="00DD1383"/>
    <w:rsid w:val="00DD1D40"/>
    <w:rsid w:val="00DD20B5"/>
    <w:rsid w:val="00DD28F7"/>
    <w:rsid w:val="00DD29CC"/>
    <w:rsid w:val="00DD2E9D"/>
    <w:rsid w:val="00DD350F"/>
    <w:rsid w:val="00DD3D96"/>
    <w:rsid w:val="00DD41EC"/>
    <w:rsid w:val="00DD45B2"/>
    <w:rsid w:val="00DD489F"/>
    <w:rsid w:val="00DD5FC0"/>
    <w:rsid w:val="00DD6F60"/>
    <w:rsid w:val="00DD7820"/>
    <w:rsid w:val="00DD7A05"/>
    <w:rsid w:val="00DD7B12"/>
    <w:rsid w:val="00DD7BF8"/>
    <w:rsid w:val="00DD7C8C"/>
    <w:rsid w:val="00DD7FB7"/>
    <w:rsid w:val="00DE156F"/>
    <w:rsid w:val="00DE1D3B"/>
    <w:rsid w:val="00DE2149"/>
    <w:rsid w:val="00DE33C7"/>
    <w:rsid w:val="00DE3B90"/>
    <w:rsid w:val="00DE50DB"/>
    <w:rsid w:val="00DE5C00"/>
    <w:rsid w:val="00DE5CAC"/>
    <w:rsid w:val="00DE60D1"/>
    <w:rsid w:val="00DE61E2"/>
    <w:rsid w:val="00DE6993"/>
    <w:rsid w:val="00DE6EE7"/>
    <w:rsid w:val="00DE7A09"/>
    <w:rsid w:val="00DF0637"/>
    <w:rsid w:val="00DF0B9F"/>
    <w:rsid w:val="00DF0BCE"/>
    <w:rsid w:val="00DF0C24"/>
    <w:rsid w:val="00DF3613"/>
    <w:rsid w:val="00DF3D2D"/>
    <w:rsid w:val="00DF3F4E"/>
    <w:rsid w:val="00DF47A5"/>
    <w:rsid w:val="00DF4E9D"/>
    <w:rsid w:val="00DF558A"/>
    <w:rsid w:val="00DF56E7"/>
    <w:rsid w:val="00DF5A9E"/>
    <w:rsid w:val="00DF5C15"/>
    <w:rsid w:val="00DF771F"/>
    <w:rsid w:val="00E0185D"/>
    <w:rsid w:val="00E018ED"/>
    <w:rsid w:val="00E02663"/>
    <w:rsid w:val="00E02F6A"/>
    <w:rsid w:val="00E0361B"/>
    <w:rsid w:val="00E03926"/>
    <w:rsid w:val="00E0468B"/>
    <w:rsid w:val="00E05B5D"/>
    <w:rsid w:val="00E0674D"/>
    <w:rsid w:val="00E07BF8"/>
    <w:rsid w:val="00E10027"/>
    <w:rsid w:val="00E1039C"/>
    <w:rsid w:val="00E10C67"/>
    <w:rsid w:val="00E12C25"/>
    <w:rsid w:val="00E12C62"/>
    <w:rsid w:val="00E1370A"/>
    <w:rsid w:val="00E13F8D"/>
    <w:rsid w:val="00E1405A"/>
    <w:rsid w:val="00E1469F"/>
    <w:rsid w:val="00E15071"/>
    <w:rsid w:val="00E15C0C"/>
    <w:rsid w:val="00E167A6"/>
    <w:rsid w:val="00E17017"/>
    <w:rsid w:val="00E177DA"/>
    <w:rsid w:val="00E17B1C"/>
    <w:rsid w:val="00E17BC1"/>
    <w:rsid w:val="00E200D9"/>
    <w:rsid w:val="00E2026B"/>
    <w:rsid w:val="00E207B4"/>
    <w:rsid w:val="00E2158E"/>
    <w:rsid w:val="00E21895"/>
    <w:rsid w:val="00E21BBC"/>
    <w:rsid w:val="00E21D3A"/>
    <w:rsid w:val="00E223F6"/>
    <w:rsid w:val="00E22CB6"/>
    <w:rsid w:val="00E22E7A"/>
    <w:rsid w:val="00E2465B"/>
    <w:rsid w:val="00E24E54"/>
    <w:rsid w:val="00E24EC0"/>
    <w:rsid w:val="00E252F7"/>
    <w:rsid w:val="00E25956"/>
    <w:rsid w:val="00E25997"/>
    <w:rsid w:val="00E25D95"/>
    <w:rsid w:val="00E2766A"/>
    <w:rsid w:val="00E27DB9"/>
    <w:rsid w:val="00E30519"/>
    <w:rsid w:val="00E30DD5"/>
    <w:rsid w:val="00E31709"/>
    <w:rsid w:val="00E31794"/>
    <w:rsid w:val="00E32F92"/>
    <w:rsid w:val="00E335A1"/>
    <w:rsid w:val="00E335EF"/>
    <w:rsid w:val="00E33AA9"/>
    <w:rsid w:val="00E33B6F"/>
    <w:rsid w:val="00E33C73"/>
    <w:rsid w:val="00E3427F"/>
    <w:rsid w:val="00E35652"/>
    <w:rsid w:val="00E361A5"/>
    <w:rsid w:val="00E362F4"/>
    <w:rsid w:val="00E3692D"/>
    <w:rsid w:val="00E36D42"/>
    <w:rsid w:val="00E37298"/>
    <w:rsid w:val="00E37417"/>
    <w:rsid w:val="00E37ED5"/>
    <w:rsid w:val="00E40EBE"/>
    <w:rsid w:val="00E41482"/>
    <w:rsid w:val="00E4166C"/>
    <w:rsid w:val="00E422EC"/>
    <w:rsid w:val="00E427EB"/>
    <w:rsid w:val="00E42935"/>
    <w:rsid w:val="00E42AEA"/>
    <w:rsid w:val="00E439E6"/>
    <w:rsid w:val="00E43D20"/>
    <w:rsid w:val="00E44417"/>
    <w:rsid w:val="00E444C9"/>
    <w:rsid w:val="00E448F3"/>
    <w:rsid w:val="00E4494A"/>
    <w:rsid w:val="00E44A06"/>
    <w:rsid w:val="00E45047"/>
    <w:rsid w:val="00E45381"/>
    <w:rsid w:val="00E45CBD"/>
    <w:rsid w:val="00E45F4F"/>
    <w:rsid w:val="00E462B7"/>
    <w:rsid w:val="00E46472"/>
    <w:rsid w:val="00E46715"/>
    <w:rsid w:val="00E46905"/>
    <w:rsid w:val="00E47806"/>
    <w:rsid w:val="00E50568"/>
    <w:rsid w:val="00E510D4"/>
    <w:rsid w:val="00E5177B"/>
    <w:rsid w:val="00E51C15"/>
    <w:rsid w:val="00E51D8F"/>
    <w:rsid w:val="00E520F4"/>
    <w:rsid w:val="00E5248A"/>
    <w:rsid w:val="00E530E4"/>
    <w:rsid w:val="00E53380"/>
    <w:rsid w:val="00E534E4"/>
    <w:rsid w:val="00E53BF8"/>
    <w:rsid w:val="00E5604C"/>
    <w:rsid w:val="00E5753A"/>
    <w:rsid w:val="00E57606"/>
    <w:rsid w:val="00E57B84"/>
    <w:rsid w:val="00E6049A"/>
    <w:rsid w:val="00E60C6A"/>
    <w:rsid w:val="00E614CC"/>
    <w:rsid w:val="00E6192F"/>
    <w:rsid w:val="00E61D17"/>
    <w:rsid w:val="00E61FD5"/>
    <w:rsid w:val="00E627D1"/>
    <w:rsid w:val="00E63D19"/>
    <w:rsid w:val="00E63E23"/>
    <w:rsid w:val="00E64747"/>
    <w:rsid w:val="00E64E91"/>
    <w:rsid w:val="00E655C8"/>
    <w:rsid w:val="00E66090"/>
    <w:rsid w:val="00E6699E"/>
    <w:rsid w:val="00E66B5C"/>
    <w:rsid w:val="00E67529"/>
    <w:rsid w:val="00E70052"/>
    <w:rsid w:val="00E70E43"/>
    <w:rsid w:val="00E70FAC"/>
    <w:rsid w:val="00E71FA1"/>
    <w:rsid w:val="00E730A7"/>
    <w:rsid w:val="00E73440"/>
    <w:rsid w:val="00E7395E"/>
    <w:rsid w:val="00E73F01"/>
    <w:rsid w:val="00E73FE9"/>
    <w:rsid w:val="00E7416D"/>
    <w:rsid w:val="00E75246"/>
    <w:rsid w:val="00E753C9"/>
    <w:rsid w:val="00E76415"/>
    <w:rsid w:val="00E76AD9"/>
    <w:rsid w:val="00E77444"/>
    <w:rsid w:val="00E8026F"/>
    <w:rsid w:val="00E8240A"/>
    <w:rsid w:val="00E82531"/>
    <w:rsid w:val="00E82831"/>
    <w:rsid w:val="00E82C3E"/>
    <w:rsid w:val="00E833ED"/>
    <w:rsid w:val="00E8436A"/>
    <w:rsid w:val="00E84DA6"/>
    <w:rsid w:val="00E84DF5"/>
    <w:rsid w:val="00E8671B"/>
    <w:rsid w:val="00E876C2"/>
    <w:rsid w:val="00E87A3E"/>
    <w:rsid w:val="00E87AED"/>
    <w:rsid w:val="00E9205E"/>
    <w:rsid w:val="00E92589"/>
    <w:rsid w:val="00E93130"/>
    <w:rsid w:val="00E93522"/>
    <w:rsid w:val="00E9380B"/>
    <w:rsid w:val="00E9401D"/>
    <w:rsid w:val="00E94606"/>
    <w:rsid w:val="00E95396"/>
    <w:rsid w:val="00E9583C"/>
    <w:rsid w:val="00E95B69"/>
    <w:rsid w:val="00E95D83"/>
    <w:rsid w:val="00E96906"/>
    <w:rsid w:val="00E96A4C"/>
    <w:rsid w:val="00E9709D"/>
    <w:rsid w:val="00E97B40"/>
    <w:rsid w:val="00EA1B93"/>
    <w:rsid w:val="00EA1D9B"/>
    <w:rsid w:val="00EA1E7A"/>
    <w:rsid w:val="00EA25AF"/>
    <w:rsid w:val="00EA288C"/>
    <w:rsid w:val="00EA2938"/>
    <w:rsid w:val="00EA2F75"/>
    <w:rsid w:val="00EA3A03"/>
    <w:rsid w:val="00EA3ACC"/>
    <w:rsid w:val="00EA4B87"/>
    <w:rsid w:val="00EA533A"/>
    <w:rsid w:val="00EA5BE1"/>
    <w:rsid w:val="00EA68DD"/>
    <w:rsid w:val="00EA71C0"/>
    <w:rsid w:val="00EA7591"/>
    <w:rsid w:val="00EA7B2A"/>
    <w:rsid w:val="00EA7DE4"/>
    <w:rsid w:val="00EB01D7"/>
    <w:rsid w:val="00EB043B"/>
    <w:rsid w:val="00EB0683"/>
    <w:rsid w:val="00EB1310"/>
    <w:rsid w:val="00EB1898"/>
    <w:rsid w:val="00EB273E"/>
    <w:rsid w:val="00EB2A70"/>
    <w:rsid w:val="00EB3462"/>
    <w:rsid w:val="00EB3702"/>
    <w:rsid w:val="00EB3731"/>
    <w:rsid w:val="00EB3CF3"/>
    <w:rsid w:val="00EB4158"/>
    <w:rsid w:val="00EB4901"/>
    <w:rsid w:val="00EB4947"/>
    <w:rsid w:val="00EB504C"/>
    <w:rsid w:val="00EB5549"/>
    <w:rsid w:val="00EB5F8A"/>
    <w:rsid w:val="00EB7F2E"/>
    <w:rsid w:val="00EC0537"/>
    <w:rsid w:val="00EC154A"/>
    <w:rsid w:val="00EC1806"/>
    <w:rsid w:val="00EC2085"/>
    <w:rsid w:val="00EC21FD"/>
    <w:rsid w:val="00EC2212"/>
    <w:rsid w:val="00EC2E40"/>
    <w:rsid w:val="00EC2F56"/>
    <w:rsid w:val="00EC39EE"/>
    <w:rsid w:val="00EC4AA6"/>
    <w:rsid w:val="00EC60D5"/>
    <w:rsid w:val="00EC69B0"/>
    <w:rsid w:val="00EC6CAF"/>
    <w:rsid w:val="00EC767D"/>
    <w:rsid w:val="00ED0144"/>
    <w:rsid w:val="00ED0222"/>
    <w:rsid w:val="00ED059D"/>
    <w:rsid w:val="00ED0632"/>
    <w:rsid w:val="00ED15F6"/>
    <w:rsid w:val="00ED18D3"/>
    <w:rsid w:val="00ED1A08"/>
    <w:rsid w:val="00ED1FF8"/>
    <w:rsid w:val="00ED2D98"/>
    <w:rsid w:val="00ED33E3"/>
    <w:rsid w:val="00ED38A9"/>
    <w:rsid w:val="00ED4C44"/>
    <w:rsid w:val="00ED509D"/>
    <w:rsid w:val="00ED5196"/>
    <w:rsid w:val="00ED57CF"/>
    <w:rsid w:val="00ED60C3"/>
    <w:rsid w:val="00ED65D0"/>
    <w:rsid w:val="00ED74B8"/>
    <w:rsid w:val="00EE0AD6"/>
    <w:rsid w:val="00EE1E1D"/>
    <w:rsid w:val="00EE2759"/>
    <w:rsid w:val="00EE27F6"/>
    <w:rsid w:val="00EE2D0B"/>
    <w:rsid w:val="00EE32CE"/>
    <w:rsid w:val="00EE379E"/>
    <w:rsid w:val="00EE3DF4"/>
    <w:rsid w:val="00EE3F90"/>
    <w:rsid w:val="00EE51E0"/>
    <w:rsid w:val="00EE55AC"/>
    <w:rsid w:val="00EE55E2"/>
    <w:rsid w:val="00EE5B33"/>
    <w:rsid w:val="00EE5D35"/>
    <w:rsid w:val="00EE5D99"/>
    <w:rsid w:val="00EE5DC4"/>
    <w:rsid w:val="00EE61C8"/>
    <w:rsid w:val="00EE7E20"/>
    <w:rsid w:val="00EF0594"/>
    <w:rsid w:val="00EF13DA"/>
    <w:rsid w:val="00EF1A18"/>
    <w:rsid w:val="00EF1ABF"/>
    <w:rsid w:val="00EF1CDA"/>
    <w:rsid w:val="00EF2507"/>
    <w:rsid w:val="00EF3312"/>
    <w:rsid w:val="00EF34B2"/>
    <w:rsid w:val="00EF3937"/>
    <w:rsid w:val="00EF3A8D"/>
    <w:rsid w:val="00EF3E84"/>
    <w:rsid w:val="00EF45E3"/>
    <w:rsid w:val="00EF47E5"/>
    <w:rsid w:val="00EF5867"/>
    <w:rsid w:val="00EF5C22"/>
    <w:rsid w:val="00EF60C1"/>
    <w:rsid w:val="00EF61B7"/>
    <w:rsid w:val="00EF6463"/>
    <w:rsid w:val="00EF6FBC"/>
    <w:rsid w:val="00EF6FC1"/>
    <w:rsid w:val="00EF7339"/>
    <w:rsid w:val="00EF73A5"/>
    <w:rsid w:val="00F00829"/>
    <w:rsid w:val="00F0237C"/>
    <w:rsid w:val="00F029BB"/>
    <w:rsid w:val="00F03248"/>
    <w:rsid w:val="00F0327F"/>
    <w:rsid w:val="00F04D06"/>
    <w:rsid w:val="00F055B5"/>
    <w:rsid w:val="00F05FB0"/>
    <w:rsid w:val="00F05FC2"/>
    <w:rsid w:val="00F060BC"/>
    <w:rsid w:val="00F060FF"/>
    <w:rsid w:val="00F065DC"/>
    <w:rsid w:val="00F06644"/>
    <w:rsid w:val="00F066F2"/>
    <w:rsid w:val="00F06E7E"/>
    <w:rsid w:val="00F074EA"/>
    <w:rsid w:val="00F0751E"/>
    <w:rsid w:val="00F07AD7"/>
    <w:rsid w:val="00F07F74"/>
    <w:rsid w:val="00F10229"/>
    <w:rsid w:val="00F1223E"/>
    <w:rsid w:val="00F125BB"/>
    <w:rsid w:val="00F13C8E"/>
    <w:rsid w:val="00F141E2"/>
    <w:rsid w:val="00F15AD3"/>
    <w:rsid w:val="00F15BC7"/>
    <w:rsid w:val="00F171F6"/>
    <w:rsid w:val="00F20C93"/>
    <w:rsid w:val="00F20F9B"/>
    <w:rsid w:val="00F211A9"/>
    <w:rsid w:val="00F21E02"/>
    <w:rsid w:val="00F22150"/>
    <w:rsid w:val="00F23066"/>
    <w:rsid w:val="00F232C2"/>
    <w:rsid w:val="00F23357"/>
    <w:rsid w:val="00F235A2"/>
    <w:rsid w:val="00F245B7"/>
    <w:rsid w:val="00F24710"/>
    <w:rsid w:val="00F24A74"/>
    <w:rsid w:val="00F24AED"/>
    <w:rsid w:val="00F24D7D"/>
    <w:rsid w:val="00F25515"/>
    <w:rsid w:val="00F2584A"/>
    <w:rsid w:val="00F25D2C"/>
    <w:rsid w:val="00F260A7"/>
    <w:rsid w:val="00F26510"/>
    <w:rsid w:val="00F268F9"/>
    <w:rsid w:val="00F26D40"/>
    <w:rsid w:val="00F273D2"/>
    <w:rsid w:val="00F277BB"/>
    <w:rsid w:val="00F27936"/>
    <w:rsid w:val="00F27E52"/>
    <w:rsid w:val="00F30804"/>
    <w:rsid w:val="00F3147A"/>
    <w:rsid w:val="00F31562"/>
    <w:rsid w:val="00F3275E"/>
    <w:rsid w:val="00F3399F"/>
    <w:rsid w:val="00F33E4C"/>
    <w:rsid w:val="00F3447E"/>
    <w:rsid w:val="00F34A38"/>
    <w:rsid w:val="00F351D8"/>
    <w:rsid w:val="00F3577F"/>
    <w:rsid w:val="00F359B2"/>
    <w:rsid w:val="00F36993"/>
    <w:rsid w:val="00F3748A"/>
    <w:rsid w:val="00F378C1"/>
    <w:rsid w:val="00F37BC4"/>
    <w:rsid w:val="00F404BD"/>
    <w:rsid w:val="00F4164A"/>
    <w:rsid w:val="00F419CD"/>
    <w:rsid w:val="00F42883"/>
    <w:rsid w:val="00F4367C"/>
    <w:rsid w:val="00F441B7"/>
    <w:rsid w:val="00F504F7"/>
    <w:rsid w:val="00F506C4"/>
    <w:rsid w:val="00F51813"/>
    <w:rsid w:val="00F51D72"/>
    <w:rsid w:val="00F52215"/>
    <w:rsid w:val="00F52580"/>
    <w:rsid w:val="00F5280C"/>
    <w:rsid w:val="00F53D8A"/>
    <w:rsid w:val="00F5450F"/>
    <w:rsid w:val="00F54531"/>
    <w:rsid w:val="00F54E18"/>
    <w:rsid w:val="00F553C6"/>
    <w:rsid w:val="00F554F4"/>
    <w:rsid w:val="00F557BB"/>
    <w:rsid w:val="00F55D00"/>
    <w:rsid w:val="00F600F9"/>
    <w:rsid w:val="00F60520"/>
    <w:rsid w:val="00F60D8C"/>
    <w:rsid w:val="00F60DDF"/>
    <w:rsid w:val="00F62737"/>
    <w:rsid w:val="00F63061"/>
    <w:rsid w:val="00F6307A"/>
    <w:rsid w:val="00F630D4"/>
    <w:rsid w:val="00F6346A"/>
    <w:rsid w:val="00F63491"/>
    <w:rsid w:val="00F63FBC"/>
    <w:rsid w:val="00F64408"/>
    <w:rsid w:val="00F64721"/>
    <w:rsid w:val="00F6486A"/>
    <w:rsid w:val="00F649B5"/>
    <w:rsid w:val="00F65724"/>
    <w:rsid w:val="00F6628A"/>
    <w:rsid w:val="00F66C7A"/>
    <w:rsid w:val="00F67016"/>
    <w:rsid w:val="00F70A65"/>
    <w:rsid w:val="00F7299A"/>
    <w:rsid w:val="00F72C66"/>
    <w:rsid w:val="00F7324B"/>
    <w:rsid w:val="00F73A07"/>
    <w:rsid w:val="00F73BAD"/>
    <w:rsid w:val="00F75177"/>
    <w:rsid w:val="00F7611B"/>
    <w:rsid w:val="00F763C2"/>
    <w:rsid w:val="00F767D2"/>
    <w:rsid w:val="00F76889"/>
    <w:rsid w:val="00F775BC"/>
    <w:rsid w:val="00F77B2F"/>
    <w:rsid w:val="00F77B9C"/>
    <w:rsid w:val="00F806E7"/>
    <w:rsid w:val="00F81497"/>
    <w:rsid w:val="00F81B07"/>
    <w:rsid w:val="00F8318E"/>
    <w:rsid w:val="00F83275"/>
    <w:rsid w:val="00F83FF5"/>
    <w:rsid w:val="00F84EC1"/>
    <w:rsid w:val="00F85F7B"/>
    <w:rsid w:val="00F87018"/>
    <w:rsid w:val="00F87272"/>
    <w:rsid w:val="00F87487"/>
    <w:rsid w:val="00F87B34"/>
    <w:rsid w:val="00F87C40"/>
    <w:rsid w:val="00F87FB1"/>
    <w:rsid w:val="00F90094"/>
    <w:rsid w:val="00F90437"/>
    <w:rsid w:val="00F9080E"/>
    <w:rsid w:val="00F90C6F"/>
    <w:rsid w:val="00F90D77"/>
    <w:rsid w:val="00F90F14"/>
    <w:rsid w:val="00F90FB7"/>
    <w:rsid w:val="00F90FE7"/>
    <w:rsid w:val="00F90FF0"/>
    <w:rsid w:val="00F91115"/>
    <w:rsid w:val="00F91CB5"/>
    <w:rsid w:val="00F9294F"/>
    <w:rsid w:val="00F929FD"/>
    <w:rsid w:val="00F940AE"/>
    <w:rsid w:val="00F94427"/>
    <w:rsid w:val="00F944AF"/>
    <w:rsid w:val="00F94A24"/>
    <w:rsid w:val="00F94E2F"/>
    <w:rsid w:val="00F9504D"/>
    <w:rsid w:val="00F9550C"/>
    <w:rsid w:val="00F95BDB"/>
    <w:rsid w:val="00F95E55"/>
    <w:rsid w:val="00F965C1"/>
    <w:rsid w:val="00F966F1"/>
    <w:rsid w:val="00F969FB"/>
    <w:rsid w:val="00F972C1"/>
    <w:rsid w:val="00F978B5"/>
    <w:rsid w:val="00F97D78"/>
    <w:rsid w:val="00F97E5E"/>
    <w:rsid w:val="00F97EF1"/>
    <w:rsid w:val="00FA09B8"/>
    <w:rsid w:val="00FA1DC7"/>
    <w:rsid w:val="00FA20D6"/>
    <w:rsid w:val="00FA278E"/>
    <w:rsid w:val="00FA37C0"/>
    <w:rsid w:val="00FA4CB2"/>
    <w:rsid w:val="00FA546A"/>
    <w:rsid w:val="00FA55F1"/>
    <w:rsid w:val="00FA5893"/>
    <w:rsid w:val="00FA5CEA"/>
    <w:rsid w:val="00FA662E"/>
    <w:rsid w:val="00FA7FD7"/>
    <w:rsid w:val="00FB0089"/>
    <w:rsid w:val="00FB0AAC"/>
    <w:rsid w:val="00FB0CAE"/>
    <w:rsid w:val="00FB0DAB"/>
    <w:rsid w:val="00FB0E42"/>
    <w:rsid w:val="00FB0FA7"/>
    <w:rsid w:val="00FB1510"/>
    <w:rsid w:val="00FB229C"/>
    <w:rsid w:val="00FB39B7"/>
    <w:rsid w:val="00FB3B90"/>
    <w:rsid w:val="00FB4CDE"/>
    <w:rsid w:val="00FB4EEF"/>
    <w:rsid w:val="00FB5B17"/>
    <w:rsid w:val="00FB5E7A"/>
    <w:rsid w:val="00FB5F68"/>
    <w:rsid w:val="00FB778A"/>
    <w:rsid w:val="00FC03ED"/>
    <w:rsid w:val="00FC0536"/>
    <w:rsid w:val="00FC072A"/>
    <w:rsid w:val="00FC0FA6"/>
    <w:rsid w:val="00FC16FF"/>
    <w:rsid w:val="00FC436C"/>
    <w:rsid w:val="00FC4506"/>
    <w:rsid w:val="00FC4B63"/>
    <w:rsid w:val="00FC52F7"/>
    <w:rsid w:val="00FC5367"/>
    <w:rsid w:val="00FC6841"/>
    <w:rsid w:val="00FC6964"/>
    <w:rsid w:val="00FC69C4"/>
    <w:rsid w:val="00FC6BFA"/>
    <w:rsid w:val="00FC731E"/>
    <w:rsid w:val="00FC7CAD"/>
    <w:rsid w:val="00FD045F"/>
    <w:rsid w:val="00FD1418"/>
    <w:rsid w:val="00FD29B2"/>
    <w:rsid w:val="00FD38E2"/>
    <w:rsid w:val="00FD3E4C"/>
    <w:rsid w:val="00FD446F"/>
    <w:rsid w:val="00FD4E7D"/>
    <w:rsid w:val="00FD51F1"/>
    <w:rsid w:val="00FD527E"/>
    <w:rsid w:val="00FD5B40"/>
    <w:rsid w:val="00FD7F01"/>
    <w:rsid w:val="00FE0E92"/>
    <w:rsid w:val="00FE0EC8"/>
    <w:rsid w:val="00FE0FEA"/>
    <w:rsid w:val="00FE1413"/>
    <w:rsid w:val="00FE192B"/>
    <w:rsid w:val="00FE1C60"/>
    <w:rsid w:val="00FE1E7B"/>
    <w:rsid w:val="00FE29BA"/>
    <w:rsid w:val="00FE2EE9"/>
    <w:rsid w:val="00FE2FA3"/>
    <w:rsid w:val="00FE3112"/>
    <w:rsid w:val="00FE3143"/>
    <w:rsid w:val="00FE3DA7"/>
    <w:rsid w:val="00FE4671"/>
    <w:rsid w:val="00FE474E"/>
    <w:rsid w:val="00FE4AB7"/>
    <w:rsid w:val="00FE509D"/>
    <w:rsid w:val="00FE5A00"/>
    <w:rsid w:val="00FE6FE4"/>
    <w:rsid w:val="00FE726B"/>
    <w:rsid w:val="00FF034D"/>
    <w:rsid w:val="00FF1E99"/>
    <w:rsid w:val="00FF3703"/>
    <w:rsid w:val="00FF419F"/>
    <w:rsid w:val="00FF4E06"/>
    <w:rsid w:val="00FF5496"/>
    <w:rsid w:val="00FF5B9F"/>
    <w:rsid w:val="00FF6468"/>
    <w:rsid w:val="00FF73ED"/>
    <w:rsid w:val="00FF7C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6113"/>
    <o:shapelayout v:ext="edit">
      <o:idmap v:ext="edit" data="1"/>
    </o:shapelayout>
  </w:shapeDefaults>
  <w:decimalSymbol w:val="."/>
  <w:listSeparator w:val=","/>
  <w14:docId w14:val="483CF0ED"/>
  <w15:docId w15:val="{C204ACAA-0116-4252-903D-F0D55CCD6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5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lsdException w:name="toc 8" w:semiHidden="1"/>
    <w:lsdException w:name="toc 9" w:semiHidden="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lsdException w:name="caption" w:semiHidden="1" w:uiPriority="19" w:unhideWhenUsed="1" w:qFormat="1"/>
    <w:lsdException w:name="table of figures" w:semiHidden="1" w:unhideWhenUsed="1"/>
    <w:lsdException w:name="envelope address" w:semiHidden="1"/>
    <w:lsdException w:name="envelope return" w:semiHidden="1"/>
    <w:lsdException w:name="footnote reference" w:semiHidden="1" w:unhideWhenUsed="1" w:qFormat="1"/>
    <w:lsdException w:name="annotation reference" w:semiHidden="1" w:uiPriority="0" w:unhideWhenUsed="1" w:qFormat="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uiPriority="0"/>
    <w:lsdException w:name="List" w:semiHidden="1"/>
    <w:lsdException w:name="List Bullet" w:semiHidden="1" w:uiPriority="3" w:qFormat="1"/>
    <w:lsdException w:name="List Number" w:semiHidden="1"/>
    <w:lsdException w:name="List 2" w:semiHidden="1"/>
    <w:lsdException w:name="List 3" w:semiHidden="1"/>
    <w:lsdException w:name="List 4" w:semiHidden="1"/>
    <w:lsdException w:name="List 5" w:semiHidden="1"/>
    <w:lsdException w:name="List Bullet 2" w:semiHidden="1" w:qFormat="1"/>
    <w:lsdException w:name="List Bullet 3" w:semiHidden="1" w:qFormat="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qFormat="1"/>
    <w:lsdException w:name="Closing" w:semiHidden="1"/>
    <w:lsdException w:name="Signature" w:semiHidden="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lsdException w:name="Body Text 2" w:semiHidden="1" w:unhideWhenUsed="1"/>
    <w:lsdException w:name="Body Text 3" w:semiHidden="1"/>
    <w:lsdException w:name="Body Text Indent 2" w:semiHidden="1"/>
    <w:lsdException w:name="Body Text Indent 3" w:semiHidden="1" w:uiPriority="0"/>
    <w:lsdException w:name="Block Text" w:semiHidden="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unhideWhenUsed="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semiHidden="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unhideWhenUsed="1"/>
    <w:lsdException w:name="Smart Link" w:semiHidden="1"/>
  </w:latentStyles>
  <w:style w:type="paragraph" w:default="1" w:styleId="Normal">
    <w:name w:val="Normal"/>
    <w:uiPriority w:val="59"/>
    <w:semiHidden/>
    <w:qFormat/>
    <w:rsid w:val="0064015D"/>
    <w:pPr>
      <w:spacing w:after="120"/>
    </w:pPr>
    <w:rPr>
      <w:rFonts w:ascii="Arial" w:hAnsi="Arial"/>
    </w:rPr>
  </w:style>
  <w:style w:type="paragraph" w:styleId="Heading1">
    <w:name w:val="heading 1"/>
    <w:next w:val="BodyText"/>
    <w:link w:val="Heading1Char"/>
    <w:uiPriority w:val="9"/>
    <w:qFormat/>
    <w:rsid w:val="00294746"/>
    <w:pPr>
      <w:pageBreakBefore/>
      <w:numPr>
        <w:numId w:val="3"/>
      </w:numPr>
      <w:pBdr>
        <w:bottom w:val="single" w:sz="4" w:space="1" w:color="auto"/>
      </w:pBdr>
      <w:spacing w:before="600" w:after="480"/>
      <w:outlineLvl w:val="0"/>
    </w:pPr>
    <w:rPr>
      <w:rFonts w:ascii="Century Gothic" w:hAnsi="Century Gothic"/>
      <w:b/>
      <w:bCs/>
      <w:sz w:val="40"/>
      <w:szCs w:val="40"/>
    </w:rPr>
  </w:style>
  <w:style w:type="paragraph" w:styleId="Heading2">
    <w:name w:val="heading 2"/>
    <w:basedOn w:val="Heading1"/>
    <w:next w:val="BodyText"/>
    <w:link w:val="Heading2Char"/>
    <w:uiPriority w:val="9"/>
    <w:semiHidden/>
    <w:qFormat/>
    <w:rsid w:val="00EC4AA6"/>
    <w:pPr>
      <w:keepNext/>
      <w:pageBreakBefore w:val="0"/>
      <w:numPr>
        <w:ilvl w:val="1"/>
        <w:numId w:val="7"/>
      </w:numPr>
      <w:pBdr>
        <w:bottom w:val="none" w:sz="0" w:space="0" w:color="auto"/>
      </w:pBdr>
      <w:spacing w:before="240" w:after="240"/>
      <w:ind w:left="720"/>
      <w:outlineLvl w:val="1"/>
    </w:pPr>
    <w:rPr>
      <w:b w:val="0"/>
      <w:sz w:val="32"/>
      <w:szCs w:val="32"/>
    </w:rPr>
  </w:style>
  <w:style w:type="paragraph" w:styleId="Heading3">
    <w:name w:val="heading 3"/>
    <w:basedOn w:val="Heading2"/>
    <w:next w:val="BodyText"/>
    <w:link w:val="Heading3Char"/>
    <w:uiPriority w:val="9"/>
    <w:semiHidden/>
    <w:qFormat/>
    <w:rsid w:val="00F504F7"/>
    <w:pPr>
      <w:numPr>
        <w:ilvl w:val="0"/>
        <w:numId w:val="0"/>
      </w:numPr>
      <w:spacing w:before="200" w:after="120"/>
      <w:outlineLvl w:val="2"/>
    </w:pPr>
    <w:rPr>
      <w:b/>
      <w:bCs w:val="0"/>
      <w:sz w:val="24"/>
      <w:szCs w:val="24"/>
    </w:rPr>
  </w:style>
  <w:style w:type="paragraph" w:styleId="Heading4">
    <w:name w:val="heading 4"/>
    <w:basedOn w:val="Heading3"/>
    <w:next w:val="BodyText"/>
    <w:link w:val="Heading4Char"/>
    <w:uiPriority w:val="9"/>
    <w:semiHidden/>
    <w:qFormat/>
    <w:rsid w:val="002F515D"/>
    <w:pPr>
      <w:numPr>
        <w:ilvl w:val="3"/>
      </w:numPr>
      <w:outlineLvl w:val="3"/>
    </w:pPr>
    <w:rPr>
      <w:bCs/>
      <w:i/>
    </w:rPr>
  </w:style>
  <w:style w:type="paragraph" w:styleId="Heading5">
    <w:name w:val="heading 5"/>
    <w:basedOn w:val="Normal"/>
    <w:next w:val="BodyText"/>
    <w:link w:val="Heading5Char"/>
    <w:uiPriority w:val="9"/>
    <w:qFormat/>
    <w:rsid w:val="00251B5D"/>
    <w:pPr>
      <w:keepNext/>
      <w:tabs>
        <w:tab w:val="left" w:pos="468"/>
      </w:tabs>
      <w:spacing w:before="240"/>
      <w:outlineLvl w:val="4"/>
    </w:pPr>
    <w:rPr>
      <w:rFonts w:ascii="Century Gothic" w:hAnsi="Century Gothic"/>
      <w:b/>
      <w:sz w:val="24"/>
      <w:szCs w:val="18"/>
    </w:rPr>
  </w:style>
  <w:style w:type="paragraph" w:styleId="Heading6">
    <w:name w:val="heading 6"/>
    <w:basedOn w:val="Normal"/>
    <w:next w:val="BodyText"/>
    <w:link w:val="Heading6Char"/>
    <w:uiPriority w:val="9"/>
    <w:qFormat/>
    <w:rsid w:val="00251B5D"/>
    <w:pPr>
      <w:keepNext/>
      <w:tabs>
        <w:tab w:val="left" w:pos="720"/>
      </w:tabs>
      <w:spacing w:before="240"/>
      <w:outlineLvl w:val="5"/>
    </w:pPr>
    <w:rPr>
      <w:rFonts w:ascii="Century Gothic" w:hAnsi="Century Gothic"/>
      <w:i/>
      <w:sz w:val="22"/>
      <w:szCs w:val="22"/>
    </w:rPr>
  </w:style>
  <w:style w:type="paragraph" w:styleId="Heading7">
    <w:name w:val="heading 7"/>
    <w:basedOn w:val="Heading6"/>
    <w:next w:val="BodyText"/>
    <w:link w:val="Heading7Char"/>
    <w:uiPriority w:val="9"/>
    <w:qFormat/>
    <w:rsid w:val="001D543B"/>
    <w:pPr>
      <w:outlineLvl w:val="6"/>
    </w:pPr>
    <w:rPr>
      <w:b/>
      <w:i w:val="0"/>
      <w:smallCaps/>
    </w:rPr>
  </w:style>
  <w:style w:type="paragraph" w:styleId="Heading8">
    <w:name w:val="heading 8"/>
    <w:basedOn w:val="Normal"/>
    <w:next w:val="Normal"/>
    <w:link w:val="Heading8Char"/>
    <w:uiPriority w:val="9"/>
    <w:semiHidden/>
    <w:qFormat/>
    <w:rsid w:val="00D74419"/>
    <w:pPr>
      <w:keepNext/>
      <w:spacing w:before="240"/>
      <w:outlineLvl w:val="7"/>
    </w:pPr>
    <w:rPr>
      <w:rFonts w:asciiTheme="minorHAnsi" w:hAnsiTheme="minorHAnsi"/>
      <w:b/>
      <w:i/>
      <w:sz w:val="22"/>
      <w:szCs w:val="22"/>
    </w:rPr>
  </w:style>
  <w:style w:type="paragraph" w:styleId="Heading9">
    <w:name w:val="heading 9"/>
    <w:basedOn w:val="Normal"/>
    <w:next w:val="Normal"/>
    <w:link w:val="Heading9Char"/>
    <w:uiPriority w:val="9"/>
    <w:semiHidden/>
    <w:qFormat/>
    <w:rsid w:val="002F515D"/>
    <w:pPr>
      <w:keepNext/>
      <w:outlineLvl w:val="8"/>
    </w:pPr>
    <w:rPr>
      <w:rFonts w:ascii="Tahoma" w:hAnsi="Tahoma"/>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0D75C9"/>
    <w:pPr>
      <w:spacing w:before="120"/>
    </w:pPr>
    <w:rPr>
      <w:rFonts w:asciiTheme="minorHAnsi" w:hAnsiTheme="minorHAnsi"/>
      <w:sz w:val="22"/>
      <w:szCs w:val="22"/>
    </w:rPr>
  </w:style>
  <w:style w:type="character" w:customStyle="1" w:styleId="BodyTextChar">
    <w:name w:val="Body Text Char"/>
    <w:link w:val="BodyText"/>
    <w:uiPriority w:val="99"/>
    <w:rsid w:val="00275B75"/>
    <w:rPr>
      <w:rFonts w:asciiTheme="minorHAnsi" w:hAnsiTheme="minorHAnsi"/>
      <w:sz w:val="22"/>
      <w:szCs w:val="22"/>
    </w:rPr>
  </w:style>
  <w:style w:type="character" w:customStyle="1" w:styleId="Heading1Char">
    <w:name w:val="Heading 1 Char"/>
    <w:link w:val="Heading1"/>
    <w:uiPriority w:val="9"/>
    <w:rsid w:val="00275B75"/>
    <w:rPr>
      <w:rFonts w:ascii="Century Gothic" w:hAnsi="Century Gothic"/>
      <w:b/>
      <w:bCs/>
      <w:sz w:val="40"/>
      <w:szCs w:val="40"/>
    </w:rPr>
  </w:style>
  <w:style w:type="character" w:customStyle="1" w:styleId="Heading2Char">
    <w:name w:val="Heading 2 Char"/>
    <w:link w:val="Heading2"/>
    <w:uiPriority w:val="9"/>
    <w:semiHidden/>
    <w:rsid w:val="00275B75"/>
    <w:rPr>
      <w:rFonts w:ascii="Century Gothic" w:hAnsi="Century Gothic"/>
      <w:bCs/>
      <w:sz w:val="32"/>
      <w:szCs w:val="32"/>
    </w:rPr>
  </w:style>
  <w:style w:type="character" w:customStyle="1" w:styleId="Heading3Char">
    <w:name w:val="Heading 3 Char"/>
    <w:link w:val="Heading3"/>
    <w:uiPriority w:val="9"/>
    <w:semiHidden/>
    <w:rsid w:val="00275B75"/>
    <w:rPr>
      <w:rFonts w:ascii="Century Gothic" w:hAnsi="Century Gothic"/>
      <w:b/>
      <w:sz w:val="24"/>
      <w:szCs w:val="24"/>
    </w:rPr>
  </w:style>
  <w:style w:type="character" w:customStyle="1" w:styleId="Heading4Char">
    <w:name w:val="Heading 4 Char"/>
    <w:link w:val="Heading4"/>
    <w:uiPriority w:val="9"/>
    <w:semiHidden/>
    <w:rsid w:val="00275B75"/>
    <w:rPr>
      <w:rFonts w:ascii="Century Gothic" w:hAnsi="Century Gothic"/>
      <w:b/>
      <w:bCs/>
      <w:i/>
      <w:sz w:val="24"/>
      <w:szCs w:val="24"/>
    </w:rPr>
  </w:style>
  <w:style w:type="character" w:customStyle="1" w:styleId="Heading5Char">
    <w:name w:val="Heading 5 Char"/>
    <w:link w:val="Heading5"/>
    <w:uiPriority w:val="9"/>
    <w:rsid w:val="00275B75"/>
    <w:rPr>
      <w:rFonts w:ascii="Century Gothic" w:hAnsi="Century Gothic"/>
      <w:b/>
      <w:sz w:val="24"/>
      <w:szCs w:val="18"/>
    </w:rPr>
  </w:style>
  <w:style w:type="character" w:customStyle="1" w:styleId="Heading6Char">
    <w:name w:val="Heading 6 Char"/>
    <w:link w:val="Heading6"/>
    <w:uiPriority w:val="9"/>
    <w:rsid w:val="00275B75"/>
    <w:rPr>
      <w:rFonts w:ascii="Century Gothic" w:hAnsi="Century Gothic"/>
      <w:i/>
      <w:sz w:val="22"/>
      <w:szCs w:val="22"/>
    </w:rPr>
  </w:style>
  <w:style w:type="character" w:customStyle="1" w:styleId="Heading7Char">
    <w:name w:val="Heading 7 Char"/>
    <w:link w:val="Heading7"/>
    <w:uiPriority w:val="9"/>
    <w:rsid w:val="00275B75"/>
    <w:rPr>
      <w:rFonts w:ascii="Century Gothic" w:hAnsi="Century Gothic"/>
      <w:b/>
      <w:smallCaps/>
      <w:sz w:val="22"/>
      <w:szCs w:val="22"/>
    </w:rPr>
  </w:style>
  <w:style w:type="character" w:customStyle="1" w:styleId="Heading8Char">
    <w:name w:val="Heading 8 Char"/>
    <w:link w:val="Heading8"/>
    <w:uiPriority w:val="9"/>
    <w:semiHidden/>
    <w:rsid w:val="00275B75"/>
    <w:rPr>
      <w:rFonts w:asciiTheme="minorHAnsi" w:hAnsiTheme="minorHAnsi"/>
      <w:b/>
      <w:i/>
      <w:sz w:val="22"/>
      <w:szCs w:val="22"/>
    </w:rPr>
  </w:style>
  <w:style w:type="character" w:customStyle="1" w:styleId="Heading9Char">
    <w:name w:val="Heading 9 Char"/>
    <w:link w:val="Heading9"/>
    <w:uiPriority w:val="9"/>
    <w:semiHidden/>
    <w:rsid w:val="00275B75"/>
    <w:rPr>
      <w:rFonts w:ascii="Tahoma" w:hAnsi="Tahoma"/>
      <w:szCs w:val="18"/>
    </w:rPr>
  </w:style>
  <w:style w:type="paragraph" w:customStyle="1" w:styleId="CoverTitle">
    <w:name w:val="Cover Title"/>
    <w:basedOn w:val="Normal"/>
    <w:uiPriority w:val="59"/>
    <w:semiHidden/>
    <w:qFormat/>
    <w:rsid w:val="0046621B"/>
    <w:pPr>
      <w:spacing w:before="360" w:after="360"/>
      <w:jc w:val="right"/>
    </w:pPr>
    <w:rPr>
      <w:rFonts w:ascii="Century Gothic" w:hAnsi="Century Gothic"/>
      <w:color w:val="FFFFFF" w:themeColor="background1"/>
      <w:sz w:val="40"/>
      <w:szCs w:val="40"/>
    </w:rPr>
  </w:style>
  <w:style w:type="paragraph" w:customStyle="1" w:styleId="BulletLtrMan">
    <w:name w:val="Bullet Ltr Man"/>
    <w:basedOn w:val="BodyText"/>
    <w:uiPriority w:val="59"/>
    <w:semiHidden/>
    <w:qFormat/>
    <w:rsid w:val="00CC0EE3"/>
    <w:pPr>
      <w:ind w:left="461" w:hanging="461"/>
    </w:pPr>
    <w:rPr>
      <w:i/>
    </w:rPr>
  </w:style>
  <w:style w:type="paragraph" w:styleId="Header">
    <w:name w:val="header"/>
    <w:link w:val="HeaderChar"/>
    <w:semiHidden/>
    <w:rsid w:val="00AA64C7"/>
    <w:rPr>
      <w:rFonts w:ascii="Century Gothic" w:hAnsi="Century Gothic"/>
      <w:sz w:val="18"/>
      <w:szCs w:val="18"/>
    </w:rPr>
  </w:style>
  <w:style w:type="character" w:customStyle="1" w:styleId="HeaderChar">
    <w:name w:val="Header Char"/>
    <w:link w:val="Header"/>
    <w:semiHidden/>
    <w:rsid w:val="00275B75"/>
    <w:rPr>
      <w:rFonts w:ascii="Century Gothic" w:hAnsi="Century Gothic"/>
      <w:sz w:val="18"/>
      <w:szCs w:val="18"/>
    </w:rPr>
  </w:style>
  <w:style w:type="paragraph" w:styleId="Footer">
    <w:name w:val="footer"/>
    <w:link w:val="FooterChar"/>
    <w:uiPriority w:val="99"/>
    <w:semiHidden/>
    <w:rsid w:val="00AA64C7"/>
    <w:pPr>
      <w:pBdr>
        <w:top w:val="single" w:sz="4" w:space="1" w:color="auto"/>
      </w:pBdr>
      <w:jc w:val="right"/>
    </w:pPr>
    <w:rPr>
      <w:rFonts w:ascii="Century Gothic" w:hAnsi="Century Gothic" w:cs="Tahoma"/>
      <w:sz w:val="18"/>
      <w:szCs w:val="18"/>
    </w:rPr>
  </w:style>
  <w:style w:type="character" w:customStyle="1" w:styleId="FooterChar">
    <w:name w:val="Footer Char"/>
    <w:link w:val="Footer"/>
    <w:uiPriority w:val="99"/>
    <w:semiHidden/>
    <w:rsid w:val="00275B75"/>
    <w:rPr>
      <w:rFonts w:ascii="Century Gothic" w:hAnsi="Century Gothic" w:cs="Tahoma"/>
      <w:sz w:val="18"/>
      <w:szCs w:val="18"/>
    </w:rPr>
  </w:style>
  <w:style w:type="paragraph" w:customStyle="1" w:styleId="TableNotes">
    <w:name w:val="Table Notes"/>
    <w:aliases w:val="tn"/>
    <w:basedOn w:val="Normal"/>
    <w:link w:val="TableNotesChar"/>
    <w:uiPriority w:val="33"/>
    <w:semiHidden/>
    <w:qFormat/>
    <w:rsid w:val="00251B5D"/>
    <w:pPr>
      <w:spacing w:before="60" w:after="60"/>
    </w:pPr>
    <w:rPr>
      <w:rFonts w:asciiTheme="minorHAnsi" w:hAnsiTheme="minorHAnsi"/>
      <w:bCs/>
      <w:sz w:val="16"/>
      <w:szCs w:val="16"/>
    </w:rPr>
  </w:style>
  <w:style w:type="character" w:customStyle="1" w:styleId="TableNotesChar">
    <w:name w:val="Table Notes Char"/>
    <w:link w:val="TableNotes"/>
    <w:uiPriority w:val="33"/>
    <w:semiHidden/>
    <w:locked/>
    <w:rsid w:val="00275B75"/>
    <w:rPr>
      <w:rFonts w:asciiTheme="minorHAnsi" w:hAnsiTheme="minorHAnsi"/>
      <w:bCs/>
      <w:sz w:val="16"/>
      <w:szCs w:val="16"/>
    </w:rPr>
  </w:style>
  <w:style w:type="paragraph" w:customStyle="1" w:styleId="CoverSubhead">
    <w:name w:val="CoverSubhead"/>
    <w:basedOn w:val="Normal"/>
    <w:uiPriority w:val="59"/>
    <w:semiHidden/>
    <w:qFormat/>
    <w:rsid w:val="00251B5D"/>
    <w:pPr>
      <w:overflowPunct w:val="0"/>
      <w:autoSpaceDE w:val="0"/>
      <w:autoSpaceDN w:val="0"/>
      <w:adjustRightInd w:val="0"/>
      <w:spacing w:before="120" w:after="0"/>
      <w:jc w:val="right"/>
      <w:textAlignment w:val="baseline"/>
    </w:pPr>
    <w:rPr>
      <w:rFonts w:ascii="Century Gothic" w:hAnsi="Century Gothic"/>
      <w:sz w:val="32"/>
      <w:szCs w:val="32"/>
    </w:rPr>
  </w:style>
  <w:style w:type="paragraph" w:styleId="BalloonText">
    <w:name w:val="Balloon Text"/>
    <w:basedOn w:val="Normal"/>
    <w:link w:val="BalloonTextChar"/>
    <w:uiPriority w:val="99"/>
    <w:semiHidden/>
    <w:rsid w:val="002F79A4"/>
    <w:pPr>
      <w:spacing w:after="0"/>
    </w:pPr>
    <w:rPr>
      <w:rFonts w:ascii="Tahoma" w:hAnsi="Tahoma" w:cs="Tahoma"/>
      <w:sz w:val="16"/>
      <w:szCs w:val="16"/>
    </w:rPr>
  </w:style>
  <w:style w:type="paragraph" w:customStyle="1" w:styleId="Blank">
    <w:name w:val="Blank"/>
    <w:basedOn w:val="Normal"/>
    <w:uiPriority w:val="59"/>
    <w:semiHidden/>
    <w:qFormat/>
    <w:rsid w:val="00251B5D"/>
    <w:pPr>
      <w:spacing w:before="6000"/>
      <w:jc w:val="center"/>
    </w:pPr>
    <w:rPr>
      <w:rFonts w:asciiTheme="minorHAnsi" w:hAnsiTheme="minorHAnsi"/>
      <w:i/>
      <w:sz w:val="24"/>
      <w:szCs w:val="24"/>
    </w:rPr>
  </w:style>
  <w:style w:type="paragraph" w:customStyle="1" w:styleId="TableBullet">
    <w:name w:val="Table Bullet"/>
    <w:basedOn w:val="Normal"/>
    <w:link w:val="TableBulletChar"/>
    <w:uiPriority w:val="32"/>
    <w:semiHidden/>
    <w:rsid w:val="00540E4A"/>
    <w:pPr>
      <w:numPr>
        <w:numId w:val="4"/>
      </w:numPr>
      <w:overflowPunct w:val="0"/>
      <w:autoSpaceDE w:val="0"/>
      <w:autoSpaceDN w:val="0"/>
      <w:adjustRightInd w:val="0"/>
      <w:spacing w:before="40" w:after="40"/>
      <w:ind w:left="259" w:hanging="259"/>
      <w:contextualSpacing/>
      <w:textAlignment w:val="baseline"/>
    </w:pPr>
    <w:rPr>
      <w:rFonts w:asciiTheme="minorHAnsi" w:hAnsiTheme="minorHAnsi"/>
      <w:sz w:val="18"/>
      <w:szCs w:val="18"/>
    </w:rPr>
  </w:style>
  <w:style w:type="character" w:customStyle="1" w:styleId="TableBulletChar">
    <w:name w:val="Table Bullet Char"/>
    <w:link w:val="TableBullet"/>
    <w:uiPriority w:val="32"/>
    <w:semiHidden/>
    <w:rsid w:val="00275B75"/>
    <w:rPr>
      <w:rFonts w:asciiTheme="minorHAnsi" w:hAnsiTheme="minorHAnsi"/>
      <w:sz w:val="18"/>
      <w:szCs w:val="18"/>
    </w:rPr>
  </w:style>
  <w:style w:type="paragraph" w:customStyle="1" w:styleId="TOCTableList">
    <w:name w:val="TOC Table List"/>
    <w:basedOn w:val="TOC1"/>
    <w:uiPriority w:val="59"/>
    <w:semiHidden/>
    <w:qFormat/>
    <w:rsid w:val="001D47C6"/>
    <w:pPr>
      <w:tabs>
        <w:tab w:val="left" w:pos="891"/>
      </w:tabs>
    </w:pPr>
  </w:style>
  <w:style w:type="paragraph" w:styleId="TOC1">
    <w:name w:val="toc 1"/>
    <w:basedOn w:val="BodyText"/>
    <w:next w:val="TOC2"/>
    <w:uiPriority w:val="39"/>
    <w:qFormat/>
    <w:rsid w:val="00275B75"/>
    <w:pPr>
      <w:tabs>
        <w:tab w:val="right" w:leader="dot" w:pos="8973"/>
      </w:tabs>
      <w:spacing w:before="60" w:after="60"/>
      <w:ind w:left="432" w:right="31" w:hanging="432"/>
    </w:pPr>
    <w:rPr>
      <w:rFonts w:ascii="Calibri" w:hAnsi="Calibri" w:cs="Arial"/>
      <w:bCs/>
    </w:rPr>
  </w:style>
  <w:style w:type="paragraph" w:styleId="TOC2">
    <w:name w:val="toc 2"/>
    <w:basedOn w:val="TOC1"/>
    <w:uiPriority w:val="39"/>
    <w:qFormat/>
    <w:rsid w:val="00275B75"/>
    <w:pPr>
      <w:ind w:left="1080" w:right="576" w:hanging="648"/>
    </w:pPr>
    <w:rPr>
      <w:rFonts w:eastAsiaTheme="minorEastAsia"/>
      <w:noProof/>
    </w:rPr>
  </w:style>
  <w:style w:type="paragraph" w:styleId="TOCHeading">
    <w:name w:val="TOC Heading"/>
    <w:basedOn w:val="Normal"/>
    <w:next w:val="Normal"/>
    <w:uiPriority w:val="39"/>
    <w:semiHidden/>
    <w:qFormat/>
    <w:rsid w:val="001D47C6"/>
    <w:pPr>
      <w:spacing w:before="320"/>
    </w:pPr>
    <w:rPr>
      <w:rFonts w:asciiTheme="minorHAnsi" w:eastAsiaTheme="minorHAnsi" w:hAnsiTheme="minorHAnsi" w:cs="Tahoma"/>
      <w:b/>
      <w:sz w:val="28"/>
      <w:szCs w:val="18"/>
    </w:rPr>
  </w:style>
  <w:style w:type="paragraph" w:customStyle="1" w:styleId="Footnoteseparator">
    <w:name w:val="Footnote separator"/>
    <w:uiPriority w:val="99"/>
    <w:semiHidden/>
    <w:rsid w:val="002F515D"/>
    <w:pPr>
      <w:suppressAutoHyphens/>
      <w:spacing w:before="120" w:after="60"/>
    </w:pPr>
    <w:rPr>
      <w:rFonts w:ascii="Times New Roman" w:eastAsia="Arial" w:hAnsi="Times New Roman"/>
      <w:sz w:val="24"/>
      <w:lang w:eastAsia="ar-SA"/>
    </w:rPr>
  </w:style>
  <w:style w:type="paragraph" w:customStyle="1" w:styleId="TableCaption">
    <w:name w:val="Table Caption"/>
    <w:basedOn w:val="Normal"/>
    <w:next w:val="BodyText"/>
    <w:link w:val="TableCaptionChar"/>
    <w:uiPriority w:val="99"/>
    <w:qFormat/>
    <w:rsid w:val="00622814"/>
    <w:pPr>
      <w:keepNext/>
      <w:keepLines/>
      <w:tabs>
        <w:tab w:val="left" w:pos="963"/>
      </w:tabs>
      <w:spacing w:before="240" w:after="60"/>
      <w:outlineLvl w:val="6"/>
    </w:pPr>
    <w:rPr>
      <w:rFonts w:ascii="Century Gothic" w:hAnsi="Century Gothic"/>
      <w:b/>
      <w:sz w:val="21"/>
      <w:szCs w:val="21"/>
    </w:rPr>
  </w:style>
  <w:style w:type="character" w:customStyle="1" w:styleId="BalloonTextChar">
    <w:name w:val="Balloon Text Char"/>
    <w:basedOn w:val="DefaultParagraphFont"/>
    <w:link w:val="BalloonText"/>
    <w:uiPriority w:val="99"/>
    <w:semiHidden/>
    <w:rsid w:val="00275B75"/>
    <w:rPr>
      <w:rFonts w:ascii="Tahoma" w:hAnsi="Tahoma" w:cs="Tahoma"/>
      <w:sz w:val="16"/>
      <w:szCs w:val="16"/>
    </w:rPr>
  </w:style>
  <w:style w:type="paragraph" w:styleId="TOC3">
    <w:name w:val="toc 3"/>
    <w:basedOn w:val="TOC2"/>
    <w:uiPriority w:val="39"/>
    <w:semiHidden/>
    <w:qFormat/>
    <w:rsid w:val="001D47C6"/>
    <w:pPr>
      <w:ind w:left="1980" w:hanging="900"/>
    </w:pPr>
    <w:rPr>
      <w:bCs w:val="0"/>
    </w:rPr>
  </w:style>
  <w:style w:type="paragraph" w:customStyle="1" w:styleId="TOCFigureList">
    <w:name w:val="TOC Figure List"/>
    <w:basedOn w:val="TOC1"/>
    <w:uiPriority w:val="59"/>
    <w:semiHidden/>
    <w:qFormat/>
    <w:rsid w:val="001D47C6"/>
    <w:pPr>
      <w:tabs>
        <w:tab w:val="left" w:pos="1071"/>
      </w:tabs>
    </w:pPr>
    <w:rPr>
      <w:noProof/>
    </w:rPr>
  </w:style>
  <w:style w:type="paragraph" w:styleId="TableofFigures">
    <w:name w:val="table of figures"/>
    <w:basedOn w:val="Normal"/>
    <w:next w:val="Normal"/>
    <w:uiPriority w:val="99"/>
    <w:semiHidden/>
    <w:rsid w:val="00B54C7B"/>
    <w:pPr>
      <w:tabs>
        <w:tab w:val="right" w:leader="dot" w:pos="8640"/>
      </w:tabs>
      <w:spacing w:before="60" w:after="0"/>
      <w:ind w:left="360" w:right="720" w:hanging="360"/>
    </w:pPr>
    <w:rPr>
      <w:rFonts w:asciiTheme="minorHAnsi" w:eastAsiaTheme="minorHAnsi" w:hAnsiTheme="minorHAnsi" w:cs="Tahoma"/>
      <w:sz w:val="22"/>
      <w:szCs w:val="18"/>
    </w:rPr>
  </w:style>
  <w:style w:type="paragraph" w:customStyle="1" w:styleId="TOCpagetitle">
    <w:name w:val="TOC page title"/>
    <w:basedOn w:val="Heading1"/>
    <w:uiPriority w:val="59"/>
    <w:semiHidden/>
    <w:qFormat/>
    <w:rsid w:val="001D47C6"/>
    <w:pPr>
      <w:numPr>
        <w:numId w:val="0"/>
      </w:numPr>
      <w:ind w:left="576" w:hanging="576"/>
    </w:pPr>
  </w:style>
  <w:style w:type="paragraph" w:styleId="FootnoteText">
    <w:name w:val="footnote text"/>
    <w:aliases w:val="Char,Footnote Text Char1,Footnote Text Char Char,-,- Char Char Char Char,- Char,Footnote Text Char2, Char Char Char Char, Char Char Char1,Footnote Text Char2 Char,Char Char Char Char, Char,Char Char Char1,Footnote Text Char Char1 Char,fnt"/>
    <w:basedOn w:val="BodyText"/>
    <w:link w:val="FootnoteTextChar"/>
    <w:uiPriority w:val="99"/>
    <w:semiHidden/>
    <w:qFormat/>
    <w:rsid w:val="00FC4506"/>
    <w:pPr>
      <w:tabs>
        <w:tab w:val="left" w:pos="270"/>
      </w:tabs>
      <w:spacing w:before="0" w:after="0"/>
    </w:pPr>
    <w:rPr>
      <w:sz w:val="16"/>
    </w:rPr>
  </w:style>
  <w:style w:type="character" w:customStyle="1" w:styleId="FootnoteTextChar">
    <w:name w:val="Footnote Text Char"/>
    <w:aliases w:val="Char Char,Footnote Text Char1 Char,Footnote Text Char Char Char,- Char1,- Char Char Char Char Char,- Char Char,Footnote Text Char2 Char1, Char Char Char Char Char, Char Char Char1 Char,Footnote Text Char2 Char Char, Char Char,fnt Char"/>
    <w:link w:val="FootnoteText"/>
    <w:uiPriority w:val="99"/>
    <w:semiHidden/>
    <w:rsid w:val="00275B75"/>
    <w:rPr>
      <w:rFonts w:asciiTheme="minorHAnsi" w:hAnsiTheme="minorHAnsi"/>
      <w:sz w:val="16"/>
      <w:szCs w:val="22"/>
    </w:rPr>
  </w:style>
  <w:style w:type="character" w:styleId="FootnoteReference">
    <w:name w:val="footnote reference"/>
    <w:uiPriority w:val="99"/>
    <w:semiHidden/>
    <w:qFormat/>
    <w:rsid w:val="00F6307A"/>
  </w:style>
  <w:style w:type="character" w:styleId="Hyperlink">
    <w:name w:val="Hyperlink"/>
    <w:uiPriority w:val="99"/>
    <w:rsid w:val="002F515D"/>
    <w:rPr>
      <w:color w:val="0000FF"/>
      <w:u w:val="single"/>
    </w:rPr>
  </w:style>
  <w:style w:type="paragraph" w:customStyle="1" w:styleId="Heading1WithoutGraphic">
    <w:name w:val="Heading 1 Without Graphic"/>
    <w:basedOn w:val="Heading1"/>
    <w:next w:val="Heading2"/>
    <w:uiPriority w:val="99"/>
    <w:semiHidden/>
    <w:rsid w:val="00A35F91"/>
    <w:pPr>
      <w:keepLines/>
      <w:numPr>
        <w:numId w:val="0"/>
      </w:numPr>
      <w:spacing w:before="240" w:after="2080"/>
    </w:pPr>
    <w:rPr>
      <w:bCs w:val="0"/>
      <w:caps/>
    </w:rPr>
  </w:style>
  <w:style w:type="paragraph" w:customStyle="1" w:styleId="Heading2-nonumber">
    <w:name w:val="Heading 2 - no number"/>
    <w:basedOn w:val="Heading2"/>
    <w:uiPriority w:val="99"/>
    <w:semiHidden/>
    <w:qFormat/>
    <w:rsid w:val="005E0B7C"/>
    <w:pPr>
      <w:numPr>
        <w:ilvl w:val="0"/>
        <w:numId w:val="0"/>
      </w:numPr>
      <w:spacing w:after="120"/>
    </w:pPr>
  </w:style>
  <w:style w:type="paragraph" w:customStyle="1" w:styleId="TableText">
    <w:name w:val="Table Text"/>
    <w:aliases w:val="ttx,tx"/>
    <w:basedOn w:val="Normal"/>
    <w:link w:val="TableTextChar"/>
    <w:uiPriority w:val="59"/>
    <w:semiHidden/>
    <w:qFormat/>
    <w:rsid w:val="00251B5D"/>
    <w:pPr>
      <w:spacing w:before="40" w:after="40"/>
    </w:pPr>
    <w:rPr>
      <w:rFonts w:asciiTheme="minorHAnsi" w:hAnsiTheme="minorHAnsi"/>
      <w:bCs/>
      <w:sz w:val="18"/>
      <w:szCs w:val="21"/>
    </w:rPr>
  </w:style>
  <w:style w:type="character" w:styleId="FollowedHyperlink">
    <w:name w:val="FollowedHyperlink"/>
    <w:basedOn w:val="DefaultParagraphFont"/>
    <w:uiPriority w:val="99"/>
    <w:semiHidden/>
    <w:rsid w:val="002F515D"/>
    <w:rPr>
      <w:color w:val="800080" w:themeColor="followedHyperlink"/>
      <w:u w:val="single"/>
    </w:rPr>
  </w:style>
  <w:style w:type="paragraph" w:customStyle="1" w:styleId="BulletListLevel1">
    <w:name w:val="Bullet List Level 1"/>
    <w:basedOn w:val="Normal"/>
    <w:link w:val="BulletListLevel1Char"/>
    <w:uiPriority w:val="59"/>
    <w:qFormat/>
    <w:rsid w:val="00275B75"/>
    <w:pPr>
      <w:numPr>
        <w:numId w:val="2"/>
      </w:numPr>
      <w:spacing w:before="60" w:after="60"/>
    </w:pPr>
    <w:rPr>
      <w:rFonts w:asciiTheme="minorHAnsi" w:hAnsiTheme="minorHAnsi"/>
      <w:sz w:val="22"/>
      <w:szCs w:val="22"/>
    </w:rPr>
  </w:style>
  <w:style w:type="paragraph" w:customStyle="1" w:styleId="TableHeadings">
    <w:name w:val="Table Headings"/>
    <w:basedOn w:val="Normal"/>
    <w:link w:val="TableHeadingsChar"/>
    <w:semiHidden/>
    <w:qFormat/>
    <w:rsid w:val="005E0B7C"/>
    <w:pPr>
      <w:overflowPunct w:val="0"/>
      <w:autoSpaceDE w:val="0"/>
      <w:autoSpaceDN w:val="0"/>
      <w:adjustRightInd w:val="0"/>
      <w:spacing w:before="40" w:after="40"/>
      <w:textAlignment w:val="baseline"/>
    </w:pPr>
    <w:rPr>
      <w:rFonts w:asciiTheme="minorHAnsi" w:eastAsiaTheme="minorHAnsi" w:hAnsiTheme="minorHAnsi" w:cstheme="minorBidi"/>
      <w:b/>
      <w:sz w:val="18"/>
      <w:szCs w:val="18"/>
    </w:rPr>
  </w:style>
  <w:style w:type="character" w:customStyle="1" w:styleId="TableHeadingsChar">
    <w:name w:val="Table Headings Char"/>
    <w:basedOn w:val="DefaultParagraphFont"/>
    <w:link w:val="TableHeadings"/>
    <w:semiHidden/>
    <w:rsid w:val="00275B75"/>
    <w:rPr>
      <w:rFonts w:asciiTheme="minorHAnsi" w:eastAsiaTheme="minorHAnsi" w:hAnsiTheme="minorHAnsi" w:cstheme="minorBidi"/>
      <w:b/>
      <w:sz w:val="18"/>
      <w:szCs w:val="18"/>
    </w:rPr>
  </w:style>
  <w:style w:type="paragraph" w:customStyle="1" w:styleId="FigureCaption">
    <w:name w:val="Figure Caption"/>
    <w:basedOn w:val="TableCaption"/>
    <w:next w:val="Figureparagraph"/>
    <w:link w:val="FigureCaptionChar"/>
    <w:uiPriority w:val="59"/>
    <w:qFormat/>
    <w:rsid w:val="00622814"/>
    <w:pPr>
      <w:pageBreakBefore/>
      <w:tabs>
        <w:tab w:val="clear" w:pos="963"/>
        <w:tab w:val="left" w:pos="981"/>
      </w:tabs>
      <w:spacing w:before="0"/>
    </w:pPr>
  </w:style>
  <w:style w:type="character" w:customStyle="1" w:styleId="FigureCaptionChar">
    <w:name w:val="Figure Caption Char"/>
    <w:basedOn w:val="TableHeadingsChar"/>
    <w:link w:val="FigureCaption"/>
    <w:uiPriority w:val="59"/>
    <w:rsid w:val="00275B75"/>
    <w:rPr>
      <w:rFonts w:ascii="Century Gothic" w:eastAsiaTheme="minorHAnsi" w:hAnsi="Century Gothic" w:cstheme="minorBidi"/>
      <w:b/>
      <w:sz w:val="21"/>
      <w:szCs w:val="21"/>
    </w:rPr>
  </w:style>
  <w:style w:type="paragraph" w:customStyle="1" w:styleId="BulletListNumbered">
    <w:name w:val="Bullet List Numbered"/>
    <w:basedOn w:val="BulletListLevel1"/>
    <w:uiPriority w:val="59"/>
    <w:semiHidden/>
    <w:qFormat/>
    <w:rsid w:val="00F6307A"/>
    <w:pPr>
      <w:numPr>
        <w:numId w:val="1"/>
      </w:numPr>
      <w:ind w:left="720"/>
    </w:pPr>
  </w:style>
  <w:style w:type="paragraph" w:customStyle="1" w:styleId="Heading9MM">
    <w:name w:val="Heading 9 MM"/>
    <w:basedOn w:val="Normal"/>
    <w:next w:val="BodyText"/>
    <w:link w:val="Heading9MMChar"/>
    <w:uiPriority w:val="59"/>
    <w:semiHidden/>
    <w:qFormat/>
    <w:rsid w:val="00251B5D"/>
    <w:pPr>
      <w:keepNext/>
      <w:numPr>
        <w:numId w:val="6"/>
      </w:numPr>
      <w:pBdr>
        <w:bottom w:val="single" w:sz="2" w:space="1" w:color="auto"/>
      </w:pBdr>
      <w:spacing w:before="240"/>
      <w:contextualSpacing/>
      <w:outlineLvl w:val="6"/>
    </w:pPr>
    <w:rPr>
      <w:rFonts w:ascii="Century Gothic" w:hAnsi="Century Gothic"/>
      <w:b/>
      <w:smallCaps/>
      <w:sz w:val="21"/>
      <w:szCs w:val="21"/>
    </w:rPr>
  </w:style>
  <w:style w:type="character" w:customStyle="1" w:styleId="Heading9MMChar">
    <w:name w:val="Heading 9 MM Char"/>
    <w:basedOn w:val="DefaultParagraphFont"/>
    <w:link w:val="Heading9MM"/>
    <w:uiPriority w:val="59"/>
    <w:semiHidden/>
    <w:rsid w:val="00275B75"/>
    <w:rPr>
      <w:rFonts w:ascii="Century Gothic" w:hAnsi="Century Gothic"/>
      <w:b/>
      <w:smallCaps/>
      <w:sz w:val="21"/>
      <w:szCs w:val="21"/>
    </w:rPr>
  </w:style>
  <w:style w:type="paragraph" w:customStyle="1" w:styleId="AppendixFirstLine">
    <w:name w:val="Appendix First Line"/>
    <w:basedOn w:val="Normal"/>
    <w:next w:val="AppendixLine2"/>
    <w:uiPriority w:val="59"/>
    <w:semiHidden/>
    <w:qFormat/>
    <w:rsid w:val="003625A7"/>
    <w:pPr>
      <w:pageBreakBefore/>
      <w:widowControl w:val="0"/>
      <w:pBdr>
        <w:bottom w:val="single" w:sz="6" w:space="1" w:color="auto"/>
      </w:pBdr>
      <w:autoSpaceDE w:val="0"/>
      <w:autoSpaceDN w:val="0"/>
      <w:adjustRightInd w:val="0"/>
      <w:spacing w:before="5400"/>
    </w:pPr>
    <w:rPr>
      <w:rFonts w:ascii="Century Gothic" w:hAnsi="Century Gothic" w:cs="Calibri"/>
      <w:sz w:val="44"/>
      <w:szCs w:val="24"/>
    </w:rPr>
  </w:style>
  <w:style w:type="paragraph" w:customStyle="1" w:styleId="AppendixLine2">
    <w:name w:val="Appendix Line 2"/>
    <w:basedOn w:val="Normal"/>
    <w:uiPriority w:val="59"/>
    <w:semiHidden/>
    <w:qFormat/>
    <w:rsid w:val="003625A7"/>
    <w:rPr>
      <w:rFonts w:asciiTheme="minorHAnsi" w:hAnsiTheme="minorHAnsi" w:cs="Calibri"/>
      <w:sz w:val="24"/>
      <w:szCs w:val="28"/>
    </w:rPr>
  </w:style>
  <w:style w:type="paragraph" w:styleId="Revision">
    <w:name w:val="Revision"/>
    <w:hidden/>
    <w:rsid w:val="00EC154A"/>
    <w:pPr>
      <w:spacing w:after="200" w:line="276" w:lineRule="auto"/>
    </w:pPr>
    <w:rPr>
      <w:rFonts w:asciiTheme="minorHAnsi" w:eastAsiaTheme="minorHAnsi" w:hAnsiTheme="minorHAnsi" w:cstheme="minorBidi"/>
      <w:sz w:val="22"/>
      <w:szCs w:val="22"/>
    </w:rPr>
  </w:style>
  <w:style w:type="paragraph" w:customStyle="1" w:styleId="ReferenceEntry">
    <w:name w:val="Reference Entry"/>
    <w:basedOn w:val="Normal"/>
    <w:uiPriority w:val="59"/>
    <w:semiHidden/>
    <w:qFormat/>
    <w:rsid w:val="001354E9"/>
    <w:pPr>
      <w:keepLines/>
      <w:widowControl w:val="0"/>
      <w:tabs>
        <w:tab w:val="left" w:pos="-720"/>
      </w:tabs>
      <w:suppressAutoHyphens/>
      <w:spacing w:before="120"/>
      <w:ind w:left="720" w:hanging="720"/>
    </w:pPr>
    <w:rPr>
      <w:rFonts w:asciiTheme="minorHAnsi" w:eastAsia="Calibri" w:hAnsiTheme="minorHAnsi" w:cs="Arial"/>
      <w:bCs/>
      <w:color w:val="000000"/>
      <w:sz w:val="22"/>
      <w:szCs w:val="22"/>
      <w:lang w:val="x-none" w:eastAsia="x-none"/>
    </w:rPr>
  </w:style>
  <w:style w:type="paragraph" w:customStyle="1" w:styleId="Figureparagraph">
    <w:name w:val="Figure paragraph"/>
    <w:basedOn w:val="Normal"/>
    <w:link w:val="FigureparagraphChar"/>
    <w:uiPriority w:val="59"/>
    <w:qFormat/>
    <w:rsid w:val="00251B5D"/>
    <w:pPr>
      <w:spacing w:after="0"/>
      <w:jc w:val="center"/>
    </w:pPr>
    <w:rPr>
      <w:rFonts w:asciiTheme="minorHAnsi" w:eastAsia="Calibri" w:hAnsiTheme="minorHAnsi"/>
      <w:noProof/>
      <w:sz w:val="21"/>
      <w:szCs w:val="21"/>
    </w:rPr>
  </w:style>
  <w:style w:type="character" w:customStyle="1" w:styleId="FigureparagraphChar">
    <w:name w:val="Figure paragraph Char"/>
    <w:basedOn w:val="DefaultParagraphFont"/>
    <w:link w:val="Figureparagraph"/>
    <w:uiPriority w:val="59"/>
    <w:rsid w:val="00275B75"/>
    <w:rPr>
      <w:rFonts w:asciiTheme="minorHAnsi" w:eastAsia="Calibri" w:hAnsiTheme="minorHAnsi"/>
      <w:noProof/>
      <w:sz w:val="21"/>
      <w:szCs w:val="21"/>
    </w:rPr>
  </w:style>
  <w:style w:type="paragraph" w:customStyle="1" w:styleId="BodyTextAfterTable">
    <w:name w:val="Body Text After Table"/>
    <w:basedOn w:val="BodyText"/>
    <w:next w:val="BodyText"/>
    <w:uiPriority w:val="1"/>
    <w:semiHidden/>
    <w:qFormat/>
    <w:rsid w:val="00083F2D"/>
    <w:pPr>
      <w:spacing w:before="240"/>
    </w:pPr>
  </w:style>
  <w:style w:type="paragraph" w:styleId="BodyTextFirstIndent">
    <w:name w:val="Body Text First Indent"/>
    <w:basedOn w:val="BodyText"/>
    <w:link w:val="BodyTextFirstIndentChar"/>
    <w:uiPriority w:val="99"/>
    <w:semiHidden/>
    <w:rsid w:val="00083F2D"/>
    <w:pPr>
      <w:ind w:left="360"/>
    </w:pPr>
  </w:style>
  <w:style w:type="character" w:customStyle="1" w:styleId="BodyTextFirstIndentChar">
    <w:name w:val="Body Text First Indent Char"/>
    <w:basedOn w:val="BodyTextChar"/>
    <w:link w:val="BodyTextFirstIndent"/>
    <w:uiPriority w:val="99"/>
    <w:semiHidden/>
    <w:rsid w:val="00275B75"/>
    <w:rPr>
      <w:rFonts w:asciiTheme="minorHAnsi" w:hAnsiTheme="minorHAnsi"/>
      <w:sz w:val="22"/>
      <w:szCs w:val="22"/>
    </w:rPr>
  </w:style>
  <w:style w:type="paragraph" w:styleId="BodyTextFirstIndent2">
    <w:name w:val="Body Text First Indent 2"/>
    <w:basedOn w:val="Normal"/>
    <w:link w:val="BodyTextFirstIndent2Char"/>
    <w:uiPriority w:val="99"/>
    <w:semiHidden/>
    <w:rsid w:val="00251B5D"/>
    <w:pPr>
      <w:spacing w:before="120"/>
      <w:ind w:left="720"/>
      <w:contextualSpacing/>
    </w:pPr>
    <w:rPr>
      <w:rFonts w:asciiTheme="minorHAnsi" w:hAnsiTheme="minorHAnsi"/>
      <w:sz w:val="21"/>
      <w:szCs w:val="21"/>
    </w:rPr>
  </w:style>
  <w:style w:type="character" w:customStyle="1" w:styleId="BodyTextFirstIndent2Char">
    <w:name w:val="Body Text First Indent 2 Char"/>
    <w:basedOn w:val="DefaultParagraphFont"/>
    <w:link w:val="BodyTextFirstIndent2"/>
    <w:uiPriority w:val="99"/>
    <w:semiHidden/>
    <w:rsid w:val="00275B75"/>
    <w:rPr>
      <w:rFonts w:asciiTheme="minorHAnsi" w:hAnsiTheme="minorHAnsi"/>
      <w:sz w:val="21"/>
      <w:szCs w:val="21"/>
    </w:rPr>
  </w:style>
  <w:style w:type="paragraph" w:customStyle="1" w:styleId="BulletListLettered">
    <w:name w:val="Bullet List Lettered"/>
    <w:basedOn w:val="Normal"/>
    <w:uiPriority w:val="59"/>
    <w:semiHidden/>
    <w:qFormat/>
    <w:rsid w:val="00F6307A"/>
    <w:pPr>
      <w:numPr>
        <w:numId w:val="15"/>
      </w:numPr>
      <w:spacing w:before="60" w:after="60"/>
    </w:pPr>
    <w:rPr>
      <w:rFonts w:asciiTheme="minorHAnsi" w:hAnsiTheme="minorHAnsi"/>
      <w:sz w:val="22"/>
      <w:szCs w:val="22"/>
    </w:rPr>
  </w:style>
  <w:style w:type="paragraph" w:customStyle="1" w:styleId="ThresholdBox">
    <w:name w:val="Threshold Box"/>
    <w:basedOn w:val="BodyText"/>
    <w:uiPriority w:val="59"/>
    <w:semiHidden/>
    <w:qFormat/>
    <w:rsid w:val="00175433"/>
    <w:pPr>
      <w:pBdr>
        <w:top w:val="single" w:sz="4" w:space="1" w:color="auto"/>
        <w:left w:val="single" w:sz="4" w:space="4" w:color="auto"/>
        <w:bottom w:val="single" w:sz="4" w:space="1" w:color="auto"/>
        <w:right w:val="single" w:sz="4" w:space="4" w:color="auto"/>
      </w:pBdr>
      <w:spacing w:before="240"/>
      <w:ind w:left="1354" w:hanging="1354"/>
    </w:pPr>
    <w:rPr>
      <w:rFonts w:eastAsiaTheme="minorHAnsi" w:cstheme="minorBidi"/>
      <w:sz w:val="20"/>
      <w:szCs w:val="20"/>
    </w:rPr>
  </w:style>
  <w:style w:type="paragraph" w:styleId="CommentText">
    <w:name w:val="annotation text"/>
    <w:basedOn w:val="Normal"/>
    <w:link w:val="CommentTextChar"/>
    <w:semiHidden/>
  </w:style>
  <w:style w:type="character" w:customStyle="1" w:styleId="CommentTextChar">
    <w:name w:val="Comment Text Char"/>
    <w:basedOn w:val="DefaultParagraphFont"/>
    <w:link w:val="CommentText"/>
    <w:semiHidden/>
    <w:rsid w:val="00275B75"/>
    <w:rPr>
      <w:rFonts w:ascii="Arial" w:hAnsi="Arial"/>
    </w:rPr>
  </w:style>
  <w:style w:type="character" w:styleId="CommentReference">
    <w:name w:val="annotation reference"/>
    <w:basedOn w:val="DefaultParagraphFont"/>
    <w:semiHidden/>
    <w:qFormat/>
    <w:rPr>
      <w:sz w:val="16"/>
      <w:szCs w:val="16"/>
    </w:rPr>
  </w:style>
  <w:style w:type="paragraph" w:styleId="Caption">
    <w:name w:val="caption"/>
    <w:basedOn w:val="Normal"/>
    <w:next w:val="Normal"/>
    <w:uiPriority w:val="19"/>
    <w:semiHidden/>
    <w:qFormat/>
    <w:rsid w:val="00664C19"/>
    <w:pPr>
      <w:keepNext/>
      <w:spacing w:before="240"/>
    </w:pPr>
    <w:rPr>
      <w:rFonts w:ascii="Calibri" w:hAnsi="Calibri" w:cs="Tahoma"/>
      <w:b/>
      <w:bCs/>
      <w:color w:val="F79646" w:themeColor="accent6"/>
      <w:sz w:val="21"/>
      <w:szCs w:val="18"/>
    </w:rPr>
  </w:style>
  <w:style w:type="paragraph" w:customStyle="1" w:styleId="TOCSubheading">
    <w:name w:val="TOC Subheading"/>
    <w:basedOn w:val="TOCHeading"/>
    <w:uiPriority w:val="38"/>
    <w:semiHidden/>
    <w:qFormat/>
    <w:rsid w:val="00542725"/>
    <w:pPr>
      <w:keepNext/>
      <w:spacing w:before="360" w:after="240"/>
    </w:pPr>
    <w:rPr>
      <w:rFonts w:ascii="Arial Bold" w:eastAsia="Calibri" w:hAnsi="Arial Bold"/>
      <w:sz w:val="24"/>
    </w:rPr>
  </w:style>
  <w:style w:type="paragraph" w:customStyle="1" w:styleId="Default">
    <w:name w:val="Default"/>
    <w:uiPriority w:val="99"/>
    <w:semiHidden/>
    <w:rsid w:val="00542725"/>
    <w:pPr>
      <w:autoSpaceDE w:val="0"/>
      <w:autoSpaceDN w:val="0"/>
      <w:adjustRightInd w:val="0"/>
    </w:pPr>
    <w:rPr>
      <w:rFonts w:ascii="Arial" w:hAnsi="Arial" w:cs="Arial"/>
      <w:color w:val="000000"/>
      <w:sz w:val="24"/>
      <w:szCs w:val="24"/>
    </w:rPr>
  </w:style>
  <w:style w:type="character" w:styleId="PageNumber">
    <w:name w:val="page number"/>
    <w:uiPriority w:val="99"/>
    <w:semiHidden/>
    <w:rsid w:val="00542725"/>
    <w:rPr>
      <w:sz w:val="16"/>
    </w:rPr>
  </w:style>
  <w:style w:type="paragraph" w:customStyle="1" w:styleId="Bullet">
    <w:name w:val="Bullet"/>
    <w:basedOn w:val="BodyText"/>
    <w:next w:val="BodyText"/>
    <w:uiPriority w:val="99"/>
    <w:semiHidden/>
    <w:rsid w:val="00542725"/>
  </w:style>
  <w:style w:type="paragraph" w:customStyle="1" w:styleId="Contents">
    <w:name w:val="Contents"/>
    <w:basedOn w:val="Heading1"/>
    <w:next w:val="BodyText"/>
    <w:uiPriority w:val="99"/>
    <w:semiHidden/>
    <w:rsid w:val="00542725"/>
    <w:pPr>
      <w:numPr>
        <w:numId w:val="0"/>
      </w:numPr>
      <w:pBdr>
        <w:bottom w:val="none" w:sz="0" w:space="0" w:color="auto"/>
      </w:pBdr>
      <w:spacing w:before="0" w:after="120"/>
    </w:pPr>
    <w:rPr>
      <w:rFonts w:ascii="Arial" w:hAnsi="Arial"/>
      <w:caps/>
      <w:sz w:val="24"/>
      <w:szCs w:val="32"/>
    </w:rPr>
  </w:style>
  <w:style w:type="paragraph" w:customStyle="1" w:styleId="Number0">
    <w:name w:val="Number"/>
    <w:basedOn w:val="BodyText"/>
    <w:next w:val="BodyText"/>
    <w:uiPriority w:val="99"/>
    <w:semiHidden/>
    <w:rsid w:val="00542725"/>
    <w:pPr>
      <w:spacing w:after="0"/>
      <w:ind w:left="360" w:hanging="360"/>
    </w:pPr>
  </w:style>
  <w:style w:type="paragraph" w:styleId="NormalIndent">
    <w:name w:val="Normal Indent"/>
    <w:basedOn w:val="Normal"/>
    <w:uiPriority w:val="99"/>
    <w:semiHidden/>
    <w:rsid w:val="00542725"/>
    <w:pPr>
      <w:ind w:left="360"/>
    </w:pPr>
    <w:rPr>
      <w:rFonts w:ascii="Calibri" w:hAnsi="Calibri"/>
      <w:sz w:val="21"/>
    </w:rPr>
  </w:style>
  <w:style w:type="paragraph" w:styleId="NormalWeb">
    <w:name w:val="Normal (Web)"/>
    <w:basedOn w:val="Normal"/>
    <w:uiPriority w:val="99"/>
    <w:semiHidden/>
    <w:rsid w:val="00542725"/>
    <w:pPr>
      <w:spacing w:before="100" w:beforeAutospacing="1" w:after="100" w:afterAutospacing="1"/>
    </w:pPr>
    <w:rPr>
      <w:rFonts w:ascii="Times New Roman" w:hAnsi="Times New Roman"/>
      <w:sz w:val="24"/>
      <w:szCs w:val="24"/>
    </w:rPr>
  </w:style>
  <w:style w:type="paragraph" w:styleId="CommentSubject">
    <w:name w:val="annotation subject"/>
    <w:basedOn w:val="CommentText"/>
    <w:next w:val="CommentText"/>
    <w:link w:val="CommentSubjectChar"/>
    <w:uiPriority w:val="99"/>
    <w:semiHidden/>
    <w:rsid w:val="00542725"/>
    <w:rPr>
      <w:rFonts w:ascii="Calibri" w:hAnsi="Calibri"/>
      <w:b/>
      <w:bCs/>
      <w:sz w:val="21"/>
    </w:rPr>
  </w:style>
  <w:style w:type="character" w:customStyle="1" w:styleId="CommentSubjectChar">
    <w:name w:val="Comment Subject Char"/>
    <w:basedOn w:val="CommentTextChar"/>
    <w:link w:val="CommentSubject"/>
    <w:uiPriority w:val="99"/>
    <w:semiHidden/>
    <w:rsid w:val="00275B75"/>
    <w:rPr>
      <w:rFonts w:ascii="Arial" w:hAnsi="Arial"/>
      <w:b/>
      <w:bCs/>
      <w:sz w:val="21"/>
    </w:rPr>
  </w:style>
  <w:style w:type="paragraph" w:styleId="BodyTextIndent">
    <w:name w:val="Body Text Indent"/>
    <w:basedOn w:val="Normal"/>
    <w:link w:val="BodyTextIndentChar"/>
    <w:semiHidden/>
    <w:rsid w:val="005909F3"/>
    <w:pPr>
      <w:spacing w:before="120"/>
      <w:ind w:left="461"/>
    </w:pPr>
    <w:rPr>
      <w:rFonts w:asciiTheme="minorHAnsi" w:eastAsia="Calibri" w:hAnsiTheme="minorHAnsi"/>
      <w:sz w:val="21"/>
      <w:szCs w:val="21"/>
    </w:rPr>
  </w:style>
  <w:style w:type="character" w:customStyle="1" w:styleId="BodyTextIndentChar">
    <w:name w:val="Body Text Indent Char"/>
    <w:basedOn w:val="DefaultParagraphFont"/>
    <w:link w:val="BodyTextIndent"/>
    <w:semiHidden/>
    <w:rsid w:val="00275B75"/>
    <w:rPr>
      <w:rFonts w:asciiTheme="minorHAnsi" w:eastAsia="Calibri" w:hAnsiTheme="minorHAnsi"/>
      <w:sz w:val="21"/>
      <w:szCs w:val="21"/>
    </w:rPr>
  </w:style>
  <w:style w:type="character" w:customStyle="1" w:styleId="MNDHeading2Char">
    <w:name w:val="MND Heading 2 Char"/>
    <w:link w:val="MNDHeading2"/>
    <w:uiPriority w:val="59"/>
    <w:semiHidden/>
    <w:locked/>
    <w:rsid w:val="00275B75"/>
    <w:rPr>
      <w:rFonts w:ascii="Century Gothic" w:hAnsi="Century Gothic"/>
      <w:sz w:val="32"/>
      <w:szCs w:val="18"/>
    </w:rPr>
  </w:style>
  <w:style w:type="paragraph" w:customStyle="1" w:styleId="MNDHeading2">
    <w:name w:val="MND Heading 2"/>
    <w:basedOn w:val="Normal"/>
    <w:link w:val="MNDHeading2Char"/>
    <w:uiPriority w:val="59"/>
    <w:semiHidden/>
    <w:qFormat/>
    <w:rsid w:val="004757D5"/>
    <w:pPr>
      <w:keepNext/>
      <w:tabs>
        <w:tab w:val="left" w:pos="720"/>
      </w:tabs>
      <w:spacing w:before="240" w:after="240"/>
      <w:outlineLvl w:val="1"/>
    </w:pPr>
    <w:rPr>
      <w:rFonts w:ascii="Century Gothic" w:hAnsi="Century Gothic"/>
      <w:sz w:val="32"/>
      <w:szCs w:val="18"/>
    </w:rPr>
  </w:style>
  <w:style w:type="character" w:customStyle="1" w:styleId="Heading3CEQAChar">
    <w:name w:val="Heading 3 CEQA Char"/>
    <w:link w:val="Heading3CEQA"/>
    <w:uiPriority w:val="59"/>
    <w:locked/>
    <w:rsid w:val="00275B75"/>
    <w:rPr>
      <w:rFonts w:ascii="Century Gothic" w:hAnsi="Century Gothic"/>
      <w:color w:val="FFFFFF"/>
      <w:position w:val="16"/>
      <w:sz w:val="44"/>
      <w:szCs w:val="18"/>
      <w:shd w:val="clear" w:color="auto" w:fill="000000"/>
    </w:rPr>
  </w:style>
  <w:style w:type="paragraph" w:customStyle="1" w:styleId="Heading3CEQA">
    <w:name w:val="Heading 3 CEQA"/>
    <w:basedOn w:val="Normal"/>
    <w:link w:val="Heading3CEQAChar"/>
    <w:uiPriority w:val="59"/>
    <w:qFormat/>
    <w:rsid w:val="00275B75"/>
    <w:pPr>
      <w:pageBreakBefore/>
      <w:numPr>
        <w:numId w:val="8"/>
      </w:numPr>
      <w:shd w:val="clear" w:color="auto" w:fill="000000"/>
      <w:tabs>
        <w:tab w:val="left" w:pos="792"/>
      </w:tabs>
      <w:spacing w:before="120" w:after="0"/>
      <w:ind w:left="792" w:right="-5" w:hanging="792"/>
      <w:outlineLvl w:val="2"/>
    </w:pPr>
    <w:rPr>
      <w:rFonts w:ascii="Century Gothic" w:hAnsi="Century Gothic"/>
      <w:color w:val="FFFFFF"/>
      <w:position w:val="16"/>
      <w:sz w:val="44"/>
      <w:szCs w:val="18"/>
    </w:rPr>
  </w:style>
  <w:style w:type="character" w:customStyle="1" w:styleId="DropdownList">
    <w:name w:val="Dropdown List"/>
    <w:uiPriority w:val="1"/>
    <w:rsid w:val="0014647F"/>
    <w:rPr>
      <w:rFonts w:ascii="Calibri" w:hAnsi="Calibri"/>
      <w:b/>
      <w:caps/>
      <w:sz w:val="22"/>
    </w:rPr>
  </w:style>
  <w:style w:type="paragraph" w:customStyle="1" w:styleId="MitigationMeasures">
    <w:name w:val="Mitigation Measures"/>
    <w:basedOn w:val="Normal"/>
    <w:next w:val="BodyText"/>
    <w:link w:val="MitigationMeasuresChar"/>
    <w:uiPriority w:val="59"/>
    <w:semiHidden/>
    <w:qFormat/>
    <w:rsid w:val="007810F7"/>
    <w:pPr>
      <w:numPr>
        <w:numId w:val="9"/>
      </w:numPr>
      <w:spacing w:before="120"/>
    </w:pPr>
    <w:rPr>
      <w:rFonts w:ascii="Calibri" w:hAnsi="Calibri"/>
      <w:sz w:val="22"/>
      <w:szCs w:val="22"/>
    </w:rPr>
  </w:style>
  <w:style w:type="character" w:customStyle="1" w:styleId="MitigationMeasuresChar">
    <w:name w:val="Mitigation Measures Char"/>
    <w:link w:val="MitigationMeasures"/>
    <w:uiPriority w:val="59"/>
    <w:semiHidden/>
    <w:rsid w:val="00275B75"/>
    <w:rPr>
      <w:sz w:val="22"/>
      <w:szCs w:val="22"/>
    </w:rPr>
  </w:style>
  <w:style w:type="paragraph" w:customStyle="1" w:styleId="EIRTableTitleCaption">
    <w:name w:val="EIR Table Title Caption"/>
    <w:basedOn w:val="FigureCaption"/>
    <w:next w:val="Normal"/>
    <w:link w:val="EIRTableTitleCaptionChar"/>
    <w:uiPriority w:val="59"/>
    <w:semiHidden/>
    <w:qFormat/>
    <w:rsid w:val="0040294A"/>
    <w:pPr>
      <w:pageBreakBefore w:val="0"/>
      <w:tabs>
        <w:tab w:val="clear" w:pos="981"/>
      </w:tabs>
      <w:spacing w:before="60"/>
    </w:pPr>
    <w:rPr>
      <w:bCs/>
      <w:sz w:val="18"/>
    </w:rPr>
  </w:style>
  <w:style w:type="character" w:customStyle="1" w:styleId="EIRTableTitleCaptionChar">
    <w:name w:val="EIR Table Title Caption Char"/>
    <w:basedOn w:val="FigureCaptionChar"/>
    <w:link w:val="EIRTableTitleCaption"/>
    <w:uiPriority w:val="59"/>
    <w:semiHidden/>
    <w:rsid w:val="00275B75"/>
    <w:rPr>
      <w:rFonts w:ascii="Century Gothic" w:eastAsiaTheme="minorHAnsi" w:hAnsi="Century Gothic" w:cstheme="minorBidi"/>
      <w:b/>
      <w:bCs/>
      <w:sz w:val="18"/>
      <w:szCs w:val="21"/>
    </w:rPr>
  </w:style>
  <w:style w:type="table" w:customStyle="1" w:styleId="TableGrid1">
    <w:name w:val="Table Grid1"/>
    <w:basedOn w:val="TableNormal"/>
    <w:next w:val="TableGrid"/>
    <w:uiPriority w:val="59"/>
    <w:rsid w:val="0040294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DKS Table Style"/>
    <w:basedOn w:val="TableNormal"/>
    <w:rsid w:val="004029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DF0637"/>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STableText">
    <w:name w:val="IS Table Text"/>
    <w:basedOn w:val="Normal"/>
    <w:uiPriority w:val="59"/>
    <w:semiHidden/>
    <w:qFormat/>
    <w:rsid w:val="00CB6394"/>
    <w:pPr>
      <w:spacing w:before="40" w:after="40"/>
    </w:pPr>
    <w:rPr>
      <w:rFonts w:ascii="Calibri Light" w:hAnsi="Calibri Light"/>
      <w:bCs/>
      <w:sz w:val="18"/>
    </w:rPr>
  </w:style>
  <w:style w:type="paragraph" w:customStyle="1" w:styleId="ISTableCaption">
    <w:name w:val="IS Table Caption"/>
    <w:basedOn w:val="Normal"/>
    <w:next w:val="Normal"/>
    <w:uiPriority w:val="59"/>
    <w:semiHidden/>
    <w:qFormat/>
    <w:rsid w:val="00D23DE3"/>
    <w:pPr>
      <w:keepNext/>
      <w:keepLines/>
      <w:tabs>
        <w:tab w:val="left" w:pos="979"/>
      </w:tabs>
      <w:spacing w:before="240" w:after="60"/>
      <w:outlineLvl w:val="0"/>
    </w:pPr>
    <w:rPr>
      <w:rFonts w:ascii="Century Gothic" w:hAnsi="Century Gothic"/>
      <w:b/>
      <w:sz w:val="21"/>
      <w:szCs w:val="21"/>
    </w:rPr>
  </w:style>
  <w:style w:type="paragraph" w:customStyle="1" w:styleId="ISTableColumnHeadings">
    <w:name w:val="IS Table Column Headings"/>
    <w:basedOn w:val="Normal"/>
    <w:uiPriority w:val="59"/>
    <w:semiHidden/>
    <w:qFormat/>
    <w:rsid w:val="00CB6394"/>
    <w:pPr>
      <w:keepNext/>
      <w:spacing w:before="40" w:after="40"/>
    </w:pPr>
    <w:rPr>
      <w:rFonts w:asciiTheme="minorHAnsi" w:hAnsiTheme="minorHAnsi"/>
      <w:b/>
      <w:color w:val="FFFFFF" w:themeColor="background1"/>
      <w:sz w:val="18"/>
    </w:rPr>
  </w:style>
  <w:style w:type="paragraph" w:customStyle="1" w:styleId="ISTableNotes">
    <w:name w:val="IS Table Notes"/>
    <w:basedOn w:val="ISTableText"/>
    <w:uiPriority w:val="59"/>
    <w:semiHidden/>
    <w:qFormat/>
    <w:rsid w:val="00CB6394"/>
    <w:pPr>
      <w:overflowPunct w:val="0"/>
      <w:autoSpaceDE w:val="0"/>
      <w:autoSpaceDN w:val="0"/>
      <w:adjustRightInd w:val="0"/>
      <w:spacing w:before="60" w:after="60"/>
      <w:ind w:left="662" w:hanging="619"/>
      <w:textAlignment w:val="baseline"/>
    </w:pPr>
    <w:rPr>
      <w:sz w:val="16"/>
      <w:szCs w:val="16"/>
    </w:rPr>
  </w:style>
  <w:style w:type="paragraph" w:customStyle="1" w:styleId="ISBulletNumbered">
    <w:name w:val="IS Bullet Numbered"/>
    <w:basedOn w:val="Normal"/>
    <w:next w:val="ISBodyText"/>
    <w:uiPriority w:val="59"/>
    <w:semiHidden/>
    <w:qFormat/>
    <w:rsid w:val="00CB6394"/>
    <w:pPr>
      <w:keepNext/>
      <w:numPr>
        <w:numId w:val="28"/>
      </w:numPr>
      <w:tabs>
        <w:tab w:val="left" w:pos="432"/>
      </w:tabs>
      <w:spacing w:before="120"/>
    </w:pPr>
    <w:rPr>
      <w:rFonts w:ascii="Calibri" w:hAnsi="Calibri"/>
      <w:sz w:val="21"/>
    </w:rPr>
  </w:style>
  <w:style w:type="paragraph" w:customStyle="1" w:styleId="ISBodyText">
    <w:name w:val="IS Body Text"/>
    <w:basedOn w:val="Normal"/>
    <w:link w:val="ISBodyTextChar"/>
    <w:uiPriority w:val="59"/>
    <w:semiHidden/>
    <w:qFormat/>
    <w:rsid w:val="00CB6394"/>
    <w:rPr>
      <w:rFonts w:asciiTheme="minorHAnsi" w:hAnsiTheme="minorHAnsi"/>
      <w:sz w:val="21"/>
    </w:rPr>
  </w:style>
  <w:style w:type="character" w:customStyle="1" w:styleId="ISBodyTextChar">
    <w:name w:val="IS Body Text Char"/>
    <w:basedOn w:val="DefaultParagraphFont"/>
    <w:link w:val="ISBodyText"/>
    <w:uiPriority w:val="59"/>
    <w:semiHidden/>
    <w:rsid w:val="00275B75"/>
    <w:rPr>
      <w:rFonts w:asciiTheme="minorHAnsi" w:hAnsiTheme="minorHAnsi"/>
      <w:sz w:val="21"/>
    </w:rPr>
  </w:style>
  <w:style w:type="paragraph" w:customStyle="1" w:styleId="ISSubheading2">
    <w:name w:val="IS Subheading 2"/>
    <w:basedOn w:val="Normal"/>
    <w:next w:val="ISBodyText"/>
    <w:link w:val="ISSubheading2Char"/>
    <w:uiPriority w:val="59"/>
    <w:semiHidden/>
    <w:qFormat/>
    <w:rsid w:val="00CB6394"/>
    <w:pPr>
      <w:keepNext/>
    </w:pPr>
    <w:rPr>
      <w:rFonts w:ascii="Calibri" w:hAnsi="Calibri"/>
      <w:i/>
      <w:sz w:val="21"/>
    </w:rPr>
  </w:style>
  <w:style w:type="character" w:customStyle="1" w:styleId="ISSubheading2Char">
    <w:name w:val="IS Subheading 2 Char"/>
    <w:basedOn w:val="DefaultParagraphFont"/>
    <w:link w:val="ISSubheading2"/>
    <w:uiPriority w:val="59"/>
    <w:semiHidden/>
    <w:rsid w:val="00275B75"/>
    <w:rPr>
      <w:i/>
      <w:sz w:val="21"/>
    </w:rPr>
  </w:style>
  <w:style w:type="paragraph" w:customStyle="1" w:styleId="ISBulletNumbered2">
    <w:name w:val="IS Bullet Numbered 2"/>
    <w:basedOn w:val="ISBulletNumbered"/>
    <w:uiPriority w:val="59"/>
    <w:semiHidden/>
    <w:qFormat/>
    <w:rsid w:val="00CB6394"/>
    <w:pPr>
      <w:numPr>
        <w:ilvl w:val="1"/>
      </w:numPr>
    </w:pPr>
  </w:style>
  <w:style w:type="paragraph" w:styleId="BodyText2">
    <w:name w:val="Body Text 2"/>
    <w:basedOn w:val="Normal"/>
    <w:link w:val="BodyText2Char"/>
    <w:uiPriority w:val="99"/>
    <w:semiHidden/>
    <w:rsid w:val="00460B79"/>
    <w:pPr>
      <w:spacing w:line="480" w:lineRule="auto"/>
    </w:pPr>
  </w:style>
  <w:style w:type="character" w:customStyle="1" w:styleId="BodyText2Char">
    <w:name w:val="Body Text 2 Char"/>
    <w:basedOn w:val="DefaultParagraphFont"/>
    <w:link w:val="BodyText2"/>
    <w:uiPriority w:val="99"/>
    <w:semiHidden/>
    <w:rsid w:val="00275B75"/>
    <w:rPr>
      <w:rFonts w:ascii="Arial" w:hAnsi="Arial"/>
    </w:rPr>
  </w:style>
  <w:style w:type="paragraph" w:customStyle="1" w:styleId="BodyNew">
    <w:name w:val="BodyNew"/>
    <w:basedOn w:val="BodyText"/>
    <w:semiHidden/>
    <w:qFormat/>
    <w:rsid w:val="004E2A38"/>
    <w:pPr>
      <w:spacing w:before="0" w:after="220"/>
    </w:pPr>
    <w:rPr>
      <w:rFonts w:ascii="Book Antiqua" w:hAnsi="Book Antiqua"/>
      <w:szCs w:val="20"/>
    </w:rPr>
  </w:style>
  <w:style w:type="paragraph" w:customStyle="1" w:styleId="BulletLtrManAFTER">
    <w:name w:val="Bullet Ltr Man AFTER"/>
    <w:basedOn w:val="BulletLtrMan"/>
    <w:uiPriority w:val="59"/>
    <w:qFormat/>
    <w:rsid w:val="00CC0EE3"/>
    <w:pPr>
      <w:spacing w:before="240"/>
    </w:pPr>
  </w:style>
  <w:style w:type="paragraph" w:customStyle="1" w:styleId="BulletListLevel2">
    <w:name w:val="Bullet List Level 2"/>
    <w:basedOn w:val="BulletListLevel1"/>
    <w:uiPriority w:val="59"/>
    <w:qFormat/>
    <w:rsid w:val="00BB1CFD"/>
    <w:pPr>
      <w:numPr>
        <w:numId w:val="33"/>
      </w:numPr>
      <w:ind w:left="720"/>
    </w:pPr>
  </w:style>
  <w:style w:type="paragraph" w:customStyle="1" w:styleId="BulletListLevel3">
    <w:name w:val="Bullet List Level 3"/>
    <w:basedOn w:val="EIRBulletListLevel1"/>
    <w:uiPriority w:val="59"/>
    <w:qFormat/>
    <w:rsid w:val="00540E4A"/>
    <w:pPr>
      <w:spacing w:before="60" w:after="60"/>
      <w:ind w:left="1080"/>
    </w:pPr>
    <w:rPr>
      <w:rFonts w:asciiTheme="minorHAnsi" w:hAnsiTheme="minorHAnsi"/>
      <w:sz w:val="22"/>
      <w:szCs w:val="22"/>
    </w:rPr>
  </w:style>
  <w:style w:type="paragraph" w:customStyle="1" w:styleId="EIRBulletListLevel1">
    <w:name w:val="EIR Bullet List Level 1"/>
    <w:basedOn w:val="Normal"/>
    <w:semiHidden/>
    <w:rsid w:val="00B63FFB"/>
    <w:pPr>
      <w:numPr>
        <w:numId w:val="29"/>
      </w:numPr>
    </w:pPr>
  </w:style>
  <w:style w:type="paragraph" w:customStyle="1" w:styleId="blank0">
    <w:name w:val="blank"/>
    <w:basedOn w:val="Normal"/>
    <w:uiPriority w:val="59"/>
    <w:qFormat/>
    <w:rsid w:val="00AA64C7"/>
    <w:pPr>
      <w:spacing w:before="6000" w:after="0"/>
      <w:jc w:val="center"/>
    </w:pPr>
    <w:rPr>
      <w:rFonts w:ascii="Calibri" w:hAnsi="Calibri"/>
      <w:i/>
      <w:sz w:val="24"/>
      <w:szCs w:val="24"/>
    </w:rPr>
  </w:style>
  <w:style w:type="paragraph" w:customStyle="1" w:styleId="Quote1">
    <w:name w:val="Quote1"/>
    <w:basedOn w:val="BodyText"/>
    <w:uiPriority w:val="59"/>
    <w:semiHidden/>
    <w:qFormat/>
    <w:rsid w:val="00A63886"/>
    <w:pPr>
      <w:ind w:left="360"/>
    </w:pPr>
  </w:style>
  <w:style w:type="paragraph" w:customStyle="1" w:styleId="Body">
    <w:name w:val="Body"/>
    <w:basedOn w:val="Normal"/>
    <w:uiPriority w:val="59"/>
    <w:semiHidden/>
    <w:qFormat/>
    <w:rsid w:val="00083796"/>
    <w:pPr>
      <w:spacing w:before="120"/>
    </w:pPr>
    <w:rPr>
      <w:rFonts w:asciiTheme="minorHAnsi" w:eastAsia="Calibri" w:hAnsiTheme="minorHAnsi"/>
      <w:sz w:val="22"/>
      <w:szCs w:val="22"/>
    </w:rPr>
  </w:style>
  <w:style w:type="paragraph" w:customStyle="1" w:styleId="bodyafter">
    <w:name w:val="body after"/>
    <w:basedOn w:val="Body"/>
    <w:qFormat/>
    <w:rsid w:val="00F273D2"/>
    <w:pPr>
      <w:spacing w:before="240"/>
    </w:pPr>
  </w:style>
  <w:style w:type="character" w:customStyle="1" w:styleId="UnresolvedMention1">
    <w:name w:val="Unresolved Mention1"/>
    <w:basedOn w:val="DefaultParagraphFont"/>
    <w:uiPriority w:val="99"/>
    <w:semiHidden/>
    <w:rsid w:val="006F3AD3"/>
    <w:rPr>
      <w:color w:val="605E5C"/>
      <w:shd w:val="clear" w:color="auto" w:fill="E1DFDD"/>
    </w:rPr>
  </w:style>
  <w:style w:type="paragraph" w:customStyle="1" w:styleId="EIRHeading6">
    <w:name w:val="EIR Heading 6"/>
    <w:basedOn w:val="Normal"/>
    <w:next w:val="Normal"/>
    <w:link w:val="EIRHeading6Char"/>
    <w:uiPriority w:val="59"/>
    <w:semiHidden/>
    <w:qFormat/>
    <w:rsid w:val="003C7337"/>
    <w:pPr>
      <w:keepNext/>
      <w:tabs>
        <w:tab w:val="left" w:pos="720"/>
      </w:tabs>
      <w:spacing w:before="240"/>
      <w:outlineLvl w:val="5"/>
    </w:pPr>
    <w:rPr>
      <w:rFonts w:ascii="Century Gothic" w:hAnsi="Century Gothic"/>
      <w:i/>
      <w:sz w:val="22"/>
      <w:szCs w:val="22"/>
    </w:rPr>
  </w:style>
  <w:style w:type="character" w:customStyle="1" w:styleId="EIRHeading6Char">
    <w:name w:val="EIR Heading 6 Char"/>
    <w:basedOn w:val="DefaultParagraphFont"/>
    <w:link w:val="EIRHeading6"/>
    <w:uiPriority w:val="59"/>
    <w:semiHidden/>
    <w:rsid w:val="00275B75"/>
    <w:rPr>
      <w:rFonts w:ascii="Century Gothic" w:hAnsi="Century Gothic"/>
      <w:i/>
      <w:sz w:val="22"/>
      <w:szCs w:val="22"/>
    </w:rPr>
  </w:style>
  <w:style w:type="character" w:customStyle="1" w:styleId="BulletListLevel1Char">
    <w:name w:val="Bullet List Level 1 Char"/>
    <w:basedOn w:val="DefaultParagraphFont"/>
    <w:link w:val="BulletListLevel1"/>
    <w:uiPriority w:val="59"/>
    <w:rsid w:val="00275B75"/>
    <w:rPr>
      <w:rFonts w:asciiTheme="minorHAnsi" w:hAnsiTheme="minorHAnsi"/>
      <w:sz w:val="22"/>
      <w:szCs w:val="22"/>
    </w:rPr>
  </w:style>
  <w:style w:type="paragraph" w:customStyle="1" w:styleId="EIRHeading7">
    <w:name w:val="EIR Heading 7"/>
    <w:basedOn w:val="EIRHeading6"/>
    <w:next w:val="Normal"/>
    <w:link w:val="EIRHeading7Char"/>
    <w:uiPriority w:val="59"/>
    <w:semiHidden/>
    <w:qFormat/>
    <w:rsid w:val="00F506C4"/>
    <w:pPr>
      <w:spacing w:after="0"/>
      <w:outlineLvl w:val="6"/>
    </w:pPr>
    <w:rPr>
      <w:b/>
      <w:i w:val="0"/>
      <w:smallCaps/>
    </w:rPr>
  </w:style>
  <w:style w:type="character" w:customStyle="1" w:styleId="EIRHeading7Char">
    <w:name w:val="EIR Heading 7 Char"/>
    <w:basedOn w:val="EIRHeading6Char"/>
    <w:link w:val="EIRHeading7"/>
    <w:uiPriority w:val="59"/>
    <w:semiHidden/>
    <w:rsid w:val="00275B75"/>
    <w:rPr>
      <w:rFonts w:ascii="Century Gothic" w:hAnsi="Century Gothic"/>
      <w:b/>
      <w:i w:val="0"/>
      <w:smallCaps/>
      <w:sz w:val="22"/>
      <w:szCs w:val="22"/>
    </w:rPr>
  </w:style>
  <w:style w:type="paragraph" w:customStyle="1" w:styleId="EIRHeading5">
    <w:name w:val="EIR Heading 5"/>
    <w:basedOn w:val="Normal"/>
    <w:next w:val="Normal"/>
    <w:link w:val="EIRHeading5Char"/>
    <w:uiPriority w:val="59"/>
    <w:semiHidden/>
    <w:qFormat/>
    <w:rsid w:val="00F506C4"/>
    <w:pPr>
      <w:keepNext/>
      <w:tabs>
        <w:tab w:val="left" w:pos="720"/>
      </w:tabs>
      <w:spacing w:before="240"/>
      <w:outlineLvl w:val="4"/>
    </w:pPr>
    <w:rPr>
      <w:rFonts w:ascii="Century Gothic" w:hAnsi="Century Gothic"/>
      <w:b/>
      <w:sz w:val="24"/>
      <w:szCs w:val="18"/>
    </w:rPr>
  </w:style>
  <w:style w:type="character" w:customStyle="1" w:styleId="EIRHeading5Char">
    <w:name w:val="EIR Heading 5 Char"/>
    <w:basedOn w:val="DefaultParagraphFont"/>
    <w:link w:val="EIRHeading5"/>
    <w:uiPriority w:val="59"/>
    <w:semiHidden/>
    <w:rsid w:val="00275B75"/>
    <w:rPr>
      <w:rFonts w:ascii="Century Gothic" w:hAnsi="Century Gothic"/>
      <w:b/>
      <w:sz w:val="24"/>
      <w:szCs w:val="18"/>
    </w:rPr>
  </w:style>
  <w:style w:type="paragraph" w:customStyle="1" w:styleId="Heading80">
    <w:name w:val="Heading8"/>
    <w:basedOn w:val="BodyText"/>
    <w:uiPriority w:val="59"/>
    <w:semiHidden/>
    <w:qFormat/>
    <w:rsid w:val="00F506C4"/>
    <w:pPr>
      <w:spacing w:before="240"/>
    </w:pPr>
    <w:rPr>
      <w:b/>
      <w:i/>
    </w:rPr>
  </w:style>
  <w:style w:type="paragraph" w:customStyle="1" w:styleId="BulletListNumbered1">
    <w:name w:val="Bullet List Numbered 1"/>
    <w:basedOn w:val="Normal"/>
    <w:semiHidden/>
    <w:qFormat/>
    <w:rsid w:val="00FB0089"/>
    <w:pPr>
      <w:numPr>
        <w:numId w:val="35"/>
      </w:numPr>
      <w:spacing w:before="120"/>
    </w:pPr>
    <w:rPr>
      <w:rFonts w:asciiTheme="minorHAnsi" w:hAnsiTheme="minorHAnsi" w:cs="BookAntiqua"/>
      <w:sz w:val="24"/>
      <w:szCs w:val="24"/>
    </w:rPr>
  </w:style>
  <w:style w:type="character" w:customStyle="1" w:styleId="TableCaptionChar">
    <w:name w:val="Table Caption Char"/>
    <w:basedOn w:val="DefaultParagraphFont"/>
    <w:link w:val="TableCaption"/>
    <w:uiPriority w:val="99"/>
    <w:rsid w:val="00275B75"/>
    <w:rPr>
      <w:rFonts w:ascii="Century Gothic" w:hAnsi="Century Gothic"/>
      <w:b/>
      <w:sz w:val="21"/>
      <w:szCs w:val="21"/>
    </w:rPr>
  </w:style>
  <w:style w:type="paragraph" w:customStyle="1" w:styleId="TableColumnHeadings-multirow">
    <w:name w:val="Table Column Headings - multi row"/>
    <w:basedOn w:val="Normal"/>
    <w:uiPriority w:val="29"/>
    <w:semiHidden/>
    <w:rsid w:val="00F34A38"/>
    <w:pPr>
      <w:keepNext/>
      <w:keepLines/>
      <w:overflowPunct w:val="0"/>
      <w:autoSpaceDE w:val="0"/>
      <w:autoSpaceDN w:val="0"/>
      <w:adjustRightInd w:val="0"/>
      <w:spacing w:before="40" w:after="40"/>
      <w:textAlignment w:val="baseline"/>
    </w:pPr>
    <w:rPr>
      <w:rFonts w:asciiTheme="minorHAnsi" w:eastAsia="Calibri" w:hAnsiTheme="minorHAnsi"/>
      <w:b/>
      <w:sz w:val="18"/>
      <w:szCs w:val="18"/>
    </w:rPr>
  </w:style>
  <w:style w:type="paragraph" w:customStyle="1" w:styleId="Tabletext0">
    <w:name w:val="Table text"/>
    <w:basedOn w:val="Normal"/>
    <w:uiPriority w:val="99"/>
    <w:semiHidden/>
    <w:qFormat/>
    <w:rsid w:val="00F34A38"/>
    <w:pPr>
      <w:suppressAutoHyphens/>
      <w:overflowPunct w:val="0"/>
      <w:autoSpaceDE w:val="0"/>
      <w:autoSpaceDN w:val="0"/>
      <w:adjustRightInd w:val="0"/>
      <w:spacing w:after="0"/>
      <w:textAlignment w:val="baseline"/>
    </w:pPr>
    <w:rPr>
      <w:rFonts w:cs="Tahoma"/>
      <w:sz w:val="16"/>
      <w:szCs w:val="18"/>
      <w:lang w:eastAsia="ar-SA"/>
    </w:rPr>
  </w:style>
  <w:style w:type="paragraph" w:customStyle="1" w:styleId="BodyText0">
    <w:name w:val="BodyText"/>
    <w:basedOn w:val="BodyText"/>
    <w:link w:val="BodyTextChar0"/>
    <w:semiHidden/>
    <w:qFormat/>
    <w:rsid w:val="000D41D7"/>
    <w:rPr>
      <w:rFonts w:eastAsiaTheme="minorHAnsi" w:cstheme="minorBidi"/>
    </w:rPr>
  </w:style>
  <w:style w:type="character" w:customStyle="1" w:styleId="BodyTextChar0">
    <w:name w:val="BodyText Char"/>
    <w:basedOn w:val="DefaultParagraphFont"/>
    <w:link w:val="BodyText0"/>
    <w:semiHidden/>
    <w:rsid w:val="00275B75"/>
    <w:rPr>
      <w:rFonts w:asciiTheme="minorHAnsi" w:eastAsiaTheme="minorHAnsi" w:hAnsiTheme="minorHAnsi" w:cstheme="minorBidi"/>
      <w:sz w:val="22"/>
      <w:szCs w:val="22"/>
    </w:rPr>
  </w:style>
  <w:style w:type="paragraph" w:customStyle="1" w:styleId="bullet1">
    <w:name w:val="bullet 1"/>
    <w:basedOn w:val="Normal"/>
    <w:semiHidden/>
    <w:rsid w:val="000373D9"/>
    <w:pPr>
      <w:numPr>
        <w:numId w:val="39"/>
      </w:numPr>
      <w:spacing w:before="60" w:after="60"/>
      <w:ind w:left="360"/>
    </w:pPr>
    <w:rPr>
      <w:rFonts w:asciiTheme="minorHAnsi" w:hAnsiTheme="minorHAnsi"/>
      <w:sz w:val="22"/>
      <w:szCs w:val="22"/>
    </w:rPr>
  </w:style>
  <w:style w:type="paragraph" w:customStyle="1" w:styleId="body0">
    <w:name w:val="body"/>
    <w:basedOn w:val="Normal"/>
    <w:semiHidden/>
    <w:qFormat/>
    <w:rsid w:val="000373D9"/>
    <w:pPr>
      <w:spacing w:before="120"/>
    </w:pPr>
    <w:rPr>
      <w:rFonts w:asciiTheme="minorHAnsi" w:eastAsia="Calibri" w:hAnsiTheme="minorHAnsi"/>
      <w:sz w:val="22"/>
      <w:szCs w:val="22"/>
    </w:rPr>
  </w:style>
  <w:style w:type="paragraph" w:customStyle="1" w:styleId="BodyTextaftertables">
    <w:name w:val="Body Text (after tables)"/>
    <w:basedOn w:val="Normal"/>
    <w:next w:val="BodyText"/>
    <w:link w:val="BodyTextaftertablesChar"/>
    <w:uiPriority w:val="59"/>
    <w:semiHidden/>
    <w:qFormat/>
    <w:rsid w:val="0043769C"/>
    <w:pPr>
      <w:spacing w:before="240"/>
    </w:pPr>
    <w:rPr>
      <w:rFonts w:asciiTheme="minorHAnsi" w:hAnsiTheme="minorHAnsi"/>
      <w:sz w:val="22"/>
      <w:szCs w:val="22"/>
    </w:rPr>
  </w:style>
  <w:style w:type="character" w:customStyle="1" w:styleId="BodyTextaftertablesChar">
    <w:name w:val="Body Text (after tables) Char"/>
    <w:basedOn w:val="DefaultParagraphFont"/>
    <w:link w:val="BodyTextaftertables"/>
    <w:uiPriority w:val="59"/>
    <w:semiHidden/>
    <w:rsid w:val="00275B75"/>
    <w:rPr>
      <w:rFonts w:asciiTheme="minorHAnsi" w:hAnsiTheme="minorHAnsi"/>
      <w:sz w:val="22"/>
      <w:szCs w:val="22"/>
    </w:rPr>
  </w:style>
  <w:style w:type="paragraph" w:styleId="ListParagraph">
    <w:name w:val="List Paragraph"/>
    <w:basedOn w:val="Normal"/>
    <w:link w:val="ListParagraphChar"/>
    <w:uiPriority w:val="34"/>
    <w:semiHidden/>
    <w:qFormat/>
    <w:rsid w:val="00301E5D"/>
    <w:pPr>
      <w:ind w:left="720"/>
      <w:contextualSpacing/>
    </w:pPr>
  </w:style>
  <w:style w:type="paragraph" w:customStyle="1" w:styleId="EIRTableText">
    <w:name w:val="EIR Table Text"/>
    <w:basedOn w:val="Normal"/>
    <w:uiPriority w:val="59"/>
    <w:semiHidden/>
    <w:qFormat/>
    <w:rsid w:val="007B0E09"/>
    <w:pPr>
      <w:spacing w:before="40" w:after="40"/>
    </w:pPr>
    <w:rPr>
      <w:rFonts w:asciiTheme="minorHAnsi" w:hAnsiTheme="minorHAnsi"/>
      <w:bCs/>
      <w:sz w:val="18"/>
      <w:szCs w:val="18"/>
    </w:rPr>
  </w:style>
  <w:style w:type="paragraph" w:customStyle="1" w:styleId="EIRTableColumnHeadings">
    <w:name w:val="EIR Table Column Headings"/>
    <w:basedOn w:val="Normal"/>
    <w:uiPriority w:val="59"/>
    <w:semiHidden/>
    <w:qFormat/>
    <w:rsid w:val="007B0E09"/>
    <w:pPr>
      <w:keepNext/>
      <w:spacing w:before="40" w:after="40"/>
    </w:pPr>
    <w:rPr>
      <w:rFonts w:asciiTheme="minorHAnsi" w:hAnsiTheme="minorHAnsi"/>
      <w:b/>
      <w:color w:val="FFFFFF" w:themeColor="background1"/>
      <w:sz w:val="18"/>
    </w:rPr>
  </w:style>
  <w:style w:type="paragraph" w:customStyle="1" w:styleId="EIRTableTextIndent">
    <w:name w:val="EIR Table Text Indent"/>
    <w:basedOn w:val="EIRTableText"/>
    <w:uiPriority w:val="59"/>
    <w:semiHidden/>
    <w:qFormat/>
    <w:rsid w:val="007B0E09"/>
    <w:pPr>
      <w:overflowPunct w:val="0"/>
      <w:autoSpaceDE w:val="0"/>
      <w:autoSpaceDN w:val="0"/>
      <w:adjustRightInd w:val="0"/>
      <w:ind w:left="216"/>
      <w:textAlignment w:val="baseline"/>
    </w:pPr>
    <w:rPr>
      <w:szCs w:val="20"/>
    </w:rPr>
  </w:style>
  <w:style w:type="character" w:customStyle="1" w:styleId="TableTextChar">
    <w:name w:val="Table Text Char"/>
    <w:link w:val="TableText"/>
    <w:uiPriority w:val="59"/>
    <w:semiHidden/>
    <w:rsid w:val="00275B75"/>
    <w:rPr>
      <w:rFonts w:asciiTheme="minorHAnsi" w:hAnsiTheme="minorHAnsi"/>
      <w:bCs/>
      <w:sz w:val="18"/>
      <w:szCs w:val="21"/>
    </w:rPr>
  </w:style>
  <w:style w:type="paragraph" w:customStyle="1" w:styleId="tablebullet0">
    <w:name w:val="table bullet"/>
    <w:basedOn w:val="bullet1"/>
    <w:uiPriority w:val="59"/>
    <w:semiHidden/>
    <w:qFormat/>
    <w:rsid w:val="00DA5AEA"/>
    <w:pPr>
      <w:numPr>
        <w:numId w:val="0"/>
      </w:numPr>
      <w:ind w:left="259" w:hanging="259"/>
    </w:pPr>
    <w:rPr>
      <w:sz w:val="18"/>
      <w:szCs w:val="18"/>
    </w:rPr>
  </w:style>
  <w:style w:type="table" w:customStyle="1" w:styleId="DKSTableStyle3">
    <w:name w:val="DKS Table Style3"/>
    <w:basedOn w:val="TableNormal"/>
    <w:next w:val="TableGrid"/>
    <w:rsid w:val="000A29EF"/>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KSTableStyle1">
    <w:name w:val="DKS Table Style1"/>
    <w:basedOn w:val="TableNormal"/>
    <w:next w:val="TableGrid"/>
    <w:rsid w:val="003249A7"/>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1">
    <w:name w:val="List Table 31"/>
    <w:basedOn w:val="TableNormal"/>
    <w:uiPriority w:val="48"/>
    <w:rsid w:val="003249A7"/>
    <w:rPr>
      <w:rFonts w:asciiTheme="minorHAnsi" w:eastAsiaTheme="minorHAnsi" w:hAnsiTheme="minorHAnsi" w:cstheme="minorBidi"/>
      <w:sz w:val="22"/>
      <w:szCs w:val="22"/>
    </w:r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tabletext1">
    <w:name w:val="table text"/>
    <w:basedOn w:val="Normal"/>
    <w:semiHidden/>
    <w:qFormat/>
    <w:rsid w:val="00704104"/>
    <w:pPr>
      <w:tabs>
        <w:tab w:val="left" w:pos="270"/>
      </w:tabs>
      <w:spacing w:after="0"/>
    </w:pPr>
    <w:rPr>
      <w:rFonts w:cs="Arial"/>
      <w:sz w:val="19"/>
      <w:szCs w:val="19"/>
    </w:rPr>
  </w:style>
  <w:style w:type="character" w:customStyle="1" w:styleId="ListParagraphChar">
    <w:name w:val="List Paragraph Char"/>
    <w:basedOn w:val="DefaultParagraphFont"/>
    <w:link w:val="ListParagraph"/>
    <w:uiPriority w:val="34"/>
    <w:semiHidden/>
    <w:locked/>
    <w:rsid w:val="00275B75"/>
    <w:rPr>
      <w:rFonts w:ascii="Arial" w:hAnsi="Arial"/>
    </w:rPr>
  </w:style>
  <w:style w:type="paragraph" w:customStyle="1" w:styleId="number">
    <w:name w:val="number +"/>
    <w:basedOn w:val="Normal"/>
    <w:semiHidden/>
    <w:rsid w:val="00E60C6A"/>
    <w:pPr>
      <w:numPr>
        <w:numId w:val="47"/>
      </w:numPr>
      <w:spacing w:before="120" w:after="0" w:line="252" w:lineRule="auto"/>
    </w:pPr>
    <w:rPr>
      <w:rFonts w:ascii="Calibri Light" w:hAnsi="Calibri Light"/>
      <w:kern w:val="20"/>
      <w:sz w:val="22"/>
    </w:rPr>
  </w:style>
  <w:style w:type="paragraph" w:customStyle="1" w:styleId="TblNote">
    <w:name w:val="Tbl Note"/>
    <w:semiHidden/>
    <w:qFormat/>
    <w:rsid w:val="00E60C6A"/>
    <w:rPr>
      <w:rFonts w:ascii="Calibri Light" w:hAnsi="Calibri Light"/>
      <w:kern w:val="20"/>
      <w:sz w:val="15"/>
    </w:rPr>
  </w:style>
  <w:style w:type="paragraph" w:customStyle="1" w:styleId="fcsbullet">
    <w:name w:val="fcs bullet"/>
    <w:basedOn w:val="Normal"/>
    <w:semiHidden/>
    <w:locked/>
    <w:rsid w:val="00E60C6A"/>
    <w:pPr>
      <w:numPr>
        <w:numId w:val="50"/>
      </w:numPr>
      <w:spacing w:after="0" w:line="264" w:lineRule="auto"/>
    </w:pPr>
    <w:rPr>
      <w:rFonts w:ascii="Calibri" w:hAnsi="Calibri"/>
      <w:kern w:val="16"/>
      <w:sz w:val="22"/>
      <w:szCs w:val="22"/>
    </w:rPr>
  </w:style>
  <w:style w:type="paragraph" w:customStyle="1" w:styleId="fcsbulletbullet">
    <w:name w:val="fcs bullet bullet"/>
    <w:basedOn w:val="Normal"/>
    <w:semiHidden/>
    <w:rsid w:val="00E60C6A"/>
    <w:pPr>
      <w:numPr>
        <w:numId w:val="51"/>
      </w:numPr>
      <w:spacing w:after="0" w:line="264" w:lineRule="auto"/>
    </w:pPr>
    <w:rPr>
      <w:rFonts w:ascii="Calibri" w:hAnsi="Calibri"/>
      <w:kern w:val="16"/>
      <w:sz w:val="22"/>
      <w:szCs w:val="22"/>
    </w:rPr>
  </w:style>
  <w:style w:type="paragraph" w:customStyle="1" w:styleId="BlankIntentionally">
    <w:name w:val="Blank Intentionally"/>
    <w:basedOn w:val="Normal"/>
    <w:link w:val="BlankIntentionallyChar"/>
    <w:uiPriority w:val="59"/>
    <w:semiHidden/>
    <w:qFormat/>
    <w:rsid w:val="00DD41EC"/>
    <w:pPr>
      <w:spacing w:before="6000"/>
      <w:jc w:val="center"/>
    </w:pPr>
    <w:rPr>
      <w:rFonts w:asciiTheme="minorHAnsi" w:hAnsiTheme="minorHAnsi"/>
      <w:i/>
      <w:sz w:val="24"/>
    </w:rPr>
  </w:style>
  <w:style w:type="character" w:customStyle="1" w:styleId="BlankIntentionallyChar">
    <w:name w:val="Blank Intentionally Char"/>
    <w:basedOn w:val="DefaultParagraphFont"/>
    <w:link w:val="BlankIntentionally"/>
    <w:uiPriority w:val="59"/>
    <w:semiHidden/>
    <w:rsid w:val="00275B75"/>
    <w:rPr>
      <w:rFonts w:asciiTheme="minorHAnsi" w:hAnsiTheme="minorHAnsi"/>
      <w:i/>
      <w:sz w:val="24"/>
    </w:rPr>
  </w:style>
  <w:style w:type="paragraph" w:customStyle="1" w:styleId="tableheading">
    <w:name w:val="table heading"/>
    <w:basedOn w:val="Normal"/>
    <w:uiPriority w:val="59"/>
    <w:semiHidden/>
    <w:qFormat/>
    <w:rsid w:val="001F0449"/>
    <w:pPr>
      <w:spacing w:before="80" w:after="80"/>
    </w:pPr>
    <w:rPr>
      <w:rFonts w:asciiTheme="minorHAnsi" w:hAnsiTheme="minorHAnsi" w:cstheme="minorHAnsi"/>
      <w:b/>
      <w:bCs/>
      <w:sz w:val="18"/>
      <w:szCs w:val="18"/>
    </w:rPr>
  </w:style>
  <w:style w:type="paragraph" w:customStyle="1" w:styleId="indentbullet">
    <w:name w:val="indent bullet"/>
    <w:basedOn w:val="BulletListLevel1"/>
    <w:uiPriority w:val="59"/>
    <w:semiHidden/>
    <w:qFormat/>
    <w:rsid w:val="00811C1C"/>
  </w:style>
  <w:style w:type="paragraph" w:customStyle="1" w:styleId="indentednumbered">
    <w:name w:val="indented numbered"/>
    <w:basedOn w:val="fcsbullet"/>
    <w:uiPriority w:val="59"/>
    <w:semiHidden/>
    <w:qFormat/>
    <w:rsid w:val="00811C1C"/>
    <w:pPr>
      <w:numPr>
        <w:numId w:val="54"/>
      </w:numPr>
      <w:spacing w:before="60" w:after="60" w:line="240" w:lineRule="auto"/>
      <w:contextualSpacing/>
    </w:pPr>
  </w:style>
  <w:style w:type="character" w:styleId="UnresolvedMention">
    <w:name w:val="Unresolved Mention"/>
    <w:basedOn w:val="DefaultParagraphFont"/>
    <w:uiPriority w:val="99"/>
    <w:semiHidden/>
    <w:rsid w:val="0047432A"/>
    <w:rPr>
      <w:color w:val="605E5C"/>
      <w:shd w:val="clear" w:color="auto" w:fill="E1DFDD"/>
    </w:rPr>
  </w:style>
  <w:style w:type="paragraph" w:customStyle="1" w:styleId="figurecaption0">
    <w:name w:val="figure caption"/>
    <w:basedOn w:val="FigureCaption"/>
    <w:semiHidden/>
    <w:qFormat/>
    <w:rsid w:val="0074419F"/>
  </w:style>
  <w:style w:type="paragraph" w:customStyle="1" w:styleId="tablecaption0">
    <w:name w:val="table caption"/>
    <w:basedOn w:val="TableCaption"/>
    <w:uiPriority w:val="59"/>
    <w:semiHidden/>
    <w:qFormat/>
    <w:rsid w:val="0074419F"/>
  </w:style>
  <w:style w:type="paragraph" w:customStyle="1" w:styleId="source">
    <w:name w:val="source"/>
    <w:basedOn w:val="Figureparagraph"/>
    <w:uiPriority w:val="59"/>
    <w:semiHidden/>
    <w:qFormat/>
    <w:rsid w:val="0074419F"/>
    <w:pPr>
      <w:jc w:val="left"/>
    </w:pPr>
    <w:rPr>
      <w:rFonts w:ascii="Calibri" w:hAnsi="Calibri"/>
      <w:sz w:val="16"/>
      <w:szCs w:val="16"/>
    </w:rPr>
  </w:style>
  <w:style w:type="character" w:styleId="Emphasis">
    <w:name w:val="Emphasis"/>
    <w:basedOn w:val="DefaultParagraphFont"/>
    <w:uiPriority w:val="20"/>
    <w:semiHidden/>
    <w:qFormat/>
    <w:rsid w:val="00C32947"/>
    <w:rPr>
      <w:i/>
      <w:iCs/>
    </w:rPr>
  </w:style>
  <w:style w:type="paragraph" w:customStyle="1" w:styleId="content3">
    <w:name w:val="content3"/>
    <w:basedOn w:val="Normal"/>
    <w:semiHidden/>
    <w:rsid w:val="00C2575A"/>
    <w:pPr>
      <w:spacing w:before="100" w:beforeAutospacing="1" w:after="100" w:afterAutospacing="1"/>
    </w:pPr>
    <w:rPr>
      <w:rFonts w:ascii="Times New Roman" w:hAnsi="Times New Roman"/>
      <w:sz w:val="24"/>
      <w:szCs w:val="24"/>
    </w:rPr>
  </w:style>
  <w:style w:type="paragraph" w:customStyle="1" w:styleId="incr2">
    <w:name w:val="incr2"/>
    <w:basedOn w:val="Normal"/>
    <w:semiHidden/>
    <w:rsid w:val="00C2575A"/>
    <w:pPr>
      <w:spacing w:before="100" w:beforeAutospacing="1" w:after="100" w:afterAutospacing="1"/>
    </w:pPr>
    <w:rPr>
      <w:rFonts w:ascii="Times New Roman" w:hAnsi="Times New Roman"/>
      <w:sz w:val="24"/>
      <w:szCs w:val="24"/>
    </w:rPr>
  </w:style>
  <w:style w:type="paragraph" w:customStyle="1" w:styleId="p0">
    <w:name w:val="p0"/>
    <w:basedOn w:val="Normal"/>
    <w:semiHidden/>
    <w:rsid w:val="004C4533"/>
    <w:pPr>
      <w:spacing w:before="100" w:beforeAutospacing="1" w:after="100" w:afterAutospacing="1"/>
    </w:pPr>
    <w:rPr>
      <w:rFonts w:ascii="Times New Roman" w:hAnsi="Times New Roman"/>
      <w:sz w:val="24"/>
      <w:szCs w:val="24"/>
    </w:rPr>
  </w:style>
  <w:style w:type="character" w:customStyle="1" w:styleId="bold">
    <w:name w:val="bold"/>
    <w:basedOn w:val="DefaultParagraphFont"/>
    <w:semiHidden/>
    <w:rsid w:val="004C4533"/>
  </w:style>
  <w:style w:type="paragraph" w:customStyle="1" w:styleId="content1">
    <w:name w:val="content1"/>
    <w:basedOn w:val="Normal"/>
    <w:semiHidden/>
    <w:rsid w:val="00D44763"/>
    <w:pPr>
      <w:spacing w:before="100" w:beforeAutospacing="1" w:after="100" w:afterAutospacing="1"/>
    </w:pPr>
    <w:rPr>
      <w:rFonts w:ascii="Times New Roman" w:hAnsi="Times New Roman"/>
      <w:sz w:val="24"/>
      <w:szCs w:val="24"/>
    </w:rPr>
  </w:style>
  <w:style w:type="paragraph" w:customStyle="1" w:styleId="incr0">
    <w:name w:val="incr0"/>
    <w:basedOn w:val="Normal"/>
    <w:semiHidden/>
    <w:rsid w:val="00D44763"/>
    <w:pPr>
      <w:spacing w:before="100" w:beforeAutospacing="1" w:after="100" w:afterAutospacing="1"/>
    </w:pPr>
    <w:rPr>
      <w:rFonts w:ascii="Times New Roman" w:hAnsi="Times New Roman"/>
      <w:sz w:val="24"/>
      <w:szCs w:val="24"/>
    </w:rPr>
  </w:style>
  <w:style w:type="character" w:customStyle="1" w:styleId="EIRBodyTextChar">
    <w:name w:val="EIR Body Text Char"/>
    <w:basedOn w:val="DefaultParagraphFont"/>
    <w:link w:val="EIRBodyText"/>
    <w:uiPriority w:val="59"/>
    <w:semiHidden/>
    <w:locked/>
    <w:rsid w:val="00275B75"/>
    <w:rPr>
      <w:rFonts w:asciiTheme="minorHAnsi" w:eastAsia="Calibri" w:hAnsiTheme="minorHAnsi" w:cs="Calibri"/>
      <w:sz w:val="22"/>
      <w:szCs w:val="22"/>
    </w:rPr>
  </w:style>
  <w:style w:type="paragraph" w:customStyle="1" w:styleId="EIRBodyText">
    <w:name w:val="EIR Body Text"/>
    <w:basedOn w:val="Normal"/>
    <w:link w:val="EIRBodyTextChar"/>
    <w:uiPriority w:val="59"/>
    <w:semiHidden/>
    <w:qFormat/>
    <w:rsid w:val="00D84EB6"/>
    <w:pPr>
      <w:spacing w:before="120"/>
    </w:pPr>
    <w:rPr>
      <w:rFonts w:asciiTheme="minorHAnsi" w:eastAsia="Calibri" w:hAnsiTheme="minorHAnsi" w:cs="Calibri"/>
      <w:sz w:val="22"/>
      <w:szCs w:val="22"/>
    </w:rPr>
  </w:style>
  <w:style w:type="paragraph" w:customStyle="1" w:styleId="BodyTextaftertable0">
    <w:name w:val="Body Text (after table)"/>
    <w:basedOn w:val="BodyText"/>
    <w:semiHidden/>
    <w:rsid w:val="00825318"/>
    <w:pPr>
      <w:spacing w:before="240"/>
    </w:pPr>
    <w:rPr>
      <w:iCs/>
    </w:rPr>
  </w:style>
  <w:style w:type="character" w:customStyle="1" w:styleId="ISHeading4Char">
    <w:name w:val="IS Heading 4 Char"/>
    <w:link w:val="ISHeading4"/>
    <w:uiPriority w:val="59"/>
    <w:semiHidden/>
    <w:locked/>
    <w:rsid w:val="00275B75"/>
    <w:rPr>
      <w:rFonts w:ascii="Century Gothic" w:hAnsi="Century Gothic"/>
      <w:b/>
      <w:sz w:val="24"/>
    </w:rPr>
  </w:style>
  <w:style w:type="paragraph" w:customStyle="1" w:styleId="ISHeading4">
    <w:name w:val="IS Heading 4"/>
    <w:basedOn w:val="Normal"/>
    <w:next w:val="Normal"/>
    <w:link w:val="ISHeading4Char"/>
    <w:uiPriority w:val="59"/>
    <w:semiHidden/>
    <w:qFormat/>
    <w:rsid w:val="00D35CA7"/>
    <w:pPr>
      <w:keepNext/>
      <w:spacing w:before="240" w:after="180"/>
    </w:pPr>
    <w:rPr>
      <w:rFonts w:ascii="Century Gothic" w:hAnsi="Century Gothic"/>
      <w:b/>
      <w:sz w:val="24"/>
    </w:rPr>
  </w:style>
  <w:style w:type="paragraph" w:customStyle="1" w:styleId="EIRTableNotes">
    <w:name w:val="EIR Table Notes"/>
    <w:basedOn w:val="EIRTableText"/>
    <w:uiPriority w:val="59"/>
    <w:semiHidden/>
    <w:qFormat/>
    <w:rsid w:val="004974C9"/>
    <w:pPr>
      <w:spacing w:before="60" w:after="60"/>
    </w:pPr>
    <w:rPr>
      <w:rFonts w:eastAsia="Calibri"/>
      <w:sz w:val="16"/>
      <w:szCs w:val="16"/>
    </w:rPr>
  </w:style>
  <w:style w:type="paragraph" w:customStyle="1" w:styleId="RTableFootnote">
    <w:name w:val="R Table Footnote"/>
    <w:basedOn w:val="Normal"/>
    <w:semiHidden/>
    <w:qFormat/>
    <w:rsid w:val="00E95B69"/>
    <w:pPr>
      <w:spacing w:after="0"/>
      <w:contextualSpacing/>
    </w:pPr>
    <w:rPr>
      <w:rFonts w:asciiTheme="minorHAnsi" w:hAnsiTheme="minorHAnsi" w:cstheme="minorHAnsi"/>
      <w:sz w:val="16"/>
    </w:rPr>
  </w:style>
  <w:style w:type="character" w:customStyle="1" w:styleId="fontstyle01">
    <w:name w:val="fontstyle01"/>
    <w:basedOn w:val="DefaultParagraphFont"/>
    <w:rsid w:val="009B3EAA"/>
    <w:rPr>
      <w:rFonts w:ascii="SegoeUI-BoldItalic" w:hAnsi="SegoeUI-BoldItalic" w:hint="default"/>
      <w:b/>
      <w:bCs/>
      <w:i/>
      <w:iCs/>
      <w:color w:val="000000"/>
      <w:sz w:val="20"/>
      <w:szCs w:val="20"/>
    </w:rPr>
  </w:style>
  <w:style w:type="character" w:customStyle="1" w:styleId="fontstyle21">
    <w:name w:val="fontstyle21"/>
    <w:basedOn w:val="DefaultParagraphFont"/>
    <w:semiHidden/>
    <w:rsid w:val="009B3EAA"/>
    <w:rPr>
      <w:rFonts w:ascii="SegoeUI" w:hAnsi="SegoeUI" w:hint="default"/>
      <w:b w:val="0"/>
      <w:bCs w:val="0"/>
      <w:i w:val="0"/>
      <w:iCs w:val="0"/>
      <w:color w:val="000000"/>
      <w:sz w:val="20"/>
      <w:szCs w:val="20"/>
    </w:rPr>
  </w:style>
  <w:style w:type="character" w:customStyle="1" w:styleId="fontstyle31">
    <w:name w:val="fontstyle31"/>
    <w:basedOn w:val="DefaultParagraphFont"/>
    <w:semiHidden/>
    <w:rsid w:val="00DD3D96"/>
    <w:rPr>
      <w:rFonts w:ascii="SymbolMT" w:hAnsi="SymbolMT" w:hint="default"/>
      <w:b w:val="0"/>
      <w:bCs w:val="0"/>
      <w:i w:val="0"/>
      <w:iCs w:val="0"/>
      <w:color w:val="000000"/>
      <w:sz w:val="20"/>
      <w:szCs w:val="20"/>
    </w:rPr>
  </w:style>
  <w:style w:type="paragraph" w:customStyle="1" w:styleId="Reference-General">
    <w:name w:val="Reference - General"/>
    <w:basedOn w:val="BodyText"/>
    <w:semiHidden/>
    <w:qFormat/>
    <w:rsid w:val="00D93C3B"/>
    <w:pPr>
      <w:ind w:left="720" w:hanging="720"/>
    </w:pPr>
    <w:rPr>
      <w:rFonts w:ascii="Calibri" w:eastAsia="Calibri" w:hAnsi="Calibri"/>
    </w:rPr>
  </w:style>
  <w:style w:type="paragraph" w:customStyle="1" w:styleId="bulletfortable">
    <w:name w:val="bullet for table"/>
    <w:basedOn w:val="BulletListLevel1"/>
    <w:uiPriority w:val="59"/>
    <w:qFormat/>
    <w:rsid w:val="0064015D"/>
    <w:pPr>
      <w:spacing w:before="40" w:after="40"/>
      <w:ind w:left="259" w:hanging="259"/>
    </w:pPr>
    <w:rPr>
      <w:sz w:val="18"/>
      <w:szCs w:val="18"/>
    </w:rPr>
  </w:style>
  <w:style w:type="paragraph" w:customStyle="1" w:styleId="BlankPage">
    <w:name w:val="Blank Page"/>
    <w:basedOn w:val="Normal"/>
    <w:link w:val="BlankPageChar"/>
    <w:uiPriority w:val="59"/>
    <w:semiHidden/>
    <w:qFormat/>
    <w:rsid w:val="009102C0"/>
    <w:pPr>
      <w:spacing w:before="6000"/>
      <w:jc w:val="center"/>
    </w:pPr>
    <w:rPr>
      <w:rFonts w:asciiTheme="minorHAnsi" w:hAnsiTheme="minorHAnsi"/>
      <w:i/>
      <w:sz w:val="24"/>
      <w:szCs w:val="21"/>
    </w:rPr>
  </w:style>
  <w:style w:type="character" w:customStyle="1" w:styleId="BlankPageChar">
    <w:name w:val="Blank Page Char"/>
    <w:basedOn w:val="DefaultParagraphFont"/>
    <w:link w:val="BlankPage"/>
    <w:uiPriority w:val="59"/>
    <w:semiHidden/>
    <w:rsid w:val="009102C0"/>
    <w:rPr>
      <w:rFonts w:asciiTheme="minorHAnsi" w:hAnsiTheme="minorHAnsi"/>
      <w:i/>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130">
      <w:bodyDiv w:val="1"/>
      <w:marLeft w:val="0"/>
      <w:marRight w:val="0"/>
      <w:marTop w:val="0"/>
      <w:marBottom w:val="0"/>
      <w:divBdr>
        <w:top w:val="none" w:sz="0" w:space="0" w:color="auto"/>
        <w:left w:val="none" w:sz="0" w:space="0" w:color="auto"/>
        <w:bottom w:val="none" w:sz="0" w:space="0" w:color="auto"/>
        <w:right w:val="none" w:sz="0" w:space="0" w:color="auto"/>
      </w:divBdr>
    </w:div>
    <w:div w:id="1856501">
      <w:bodyDiv w:val="1"/>
      <w:marLeft w:val="0"/>
      <w:marRight w:val="0"/>
      <w:marTop w:val="0"/>
      <w:marBottom w:val="0"/>
      <w:divBdr>
        <w:top w:val="none" w:sz="0" w:space="0" w:color="auto"/>
        <w:left w:val="none" w:sz="0" w:space="0" w:color="auto"/>
        <w:bottom w:val="none" w:sz="0" w:space="0" w:color="auto"/>
        <w:right w:val="none" w:sz="0" w:space="0" w:color="auto"/>
      </w:divBdr>
    </w:div>
    <w:div w:id="3560845">
      <w:bodyDiv w:val="1"/>
      <w:marLeft w:val="0"/>
      <w:marRight w:val="0"/>
      <w:marTop w:val="0"/>
      <w:marBottom w:val="0"/>
      <w:divBdr>
        <w:top w:val="none" w:sz="0" w:space="0" w:color="auto"/>
        <w:left w:val="none" w:sz="0" w:space="0" w:color="auto"/>
        <w:bottom w:val="none" w:sz="0" w:space="0" w:color="auto"/>
        <w:right w:val="none" w:sz="0" w:space="0" w:color="auto"/>
      </w:divBdr>
    </w:div>
    <w:div w:id="70929515">
      <w:bodyDiv w:val="1"/>
      <w:marLeft w:val="0"/>
      <w:marRight w:val="0"/>
      <w:marTop w:val="0"/>
      <w:marBottom w:val="0"/>
      <w:divBdr>
        <w:top w:val="none" w:sz="0" w:space="0" w:color="auto"/>
        <w:left w:val="none" w:sz="0" w:space="0" w:color="auto"/>
        <w:bottom w:val="none" w:sz="0" w:space="0" w:color="auto"/>
        <w:right w:val="none" w:sz="0" w:space="0" w:color="auto"/>
      </w:divBdr>
    </w:div>
    <w:div w:id="74404941">
      <w:bodyDiv w:val="1"/>
      <w:marLeft w:val="0"/>
      <w:marRight w:val="0"/>
      <w:marTop w:val="0"/>
      <w:marBottom w:val="0"/>
      <w:divBdr>
        <w:top w:val="none" w:sz="0" w:space="0" w:color="auto"/>
        <w:left w:val="none" w:sz="0" w:space="0" w:color="auto"/>
        <w:bottom w:val="none" w:sz="0" w:space="0" w:color="auto"/>
        <w:right w:val="none" w:sz="0" w:space="0" w:color="auto"/>
      </w:divBdr>
    </w:div>
    <w:div w:id="75397019">
      <w:bodyDiv w:val="1"/>
      <w:marLeft w:val="0"/>
      <w:marRight w:val="0"/>
      <w:marTop w:val="0"/>
      <w:marBottom w:val="0"/>
      <w:divBdr>
        <w:top w:val="none" w:sz="0" w:space="0" w:color="auto"/>
        <w:left w:val="none" w:sz="0" w:space="0" w:color="auto"/>
        <w:bottom w:val="none" w:sz="0" w:space="0" w:color="auto"/>
        <w:right w:val="none" w:sz="0" w:space="0" w:color="auto"/>
      </w:divBdr>
    </w:div>
    <w:div w:id="82919847">
      <w:bodyDiv w:val="1"/>
      <w:marLeft w:val="0"/>
      <w:marRight w:val="0"/>
      <w:marTop w:val="0"/>
      <w:marBottom w:val="0"/>
      <w:divBdr>
        <w:top w:val="none" w:sz="0" w:space="0" w:color="auto"/>
        <w:left w:val="none" w:sz="0" w:space="0" w:color="auto"/>
        <w:bottom w:val="none" w:sz="0" w:space="0" w:color="auto"/>
        <w:right w:val="none" w:sz="0" w:space="0" w:color="auto"/>
      </w:divBdr>
    </w:div>
    <w:div w:id="101464893">
      <w:bodyDiv w:val="1"/>
      <w:marLeft w:val="0"/>
      <w:marRight w:val="0"/>
      <w:marTop w:val="0"/>
      <w:marBottom w:val="0"/>
      <w:divBdr>
        <w:top w:val="none" w:sz="0" w:space="0" w:color="auto"/>
        <w:left w:val="none" w:sz="0" w:space="0" w:color="auto"/>
        <w:bottom w:val="none" w:sz="0" w:space="0" w:color="auto"/>
        <w:right w:val="none" w:sz="0" w:space="0" w:color="auto"/>
      </w:divBdr>
    </w:div>
    <w:div w:id="142623908">
      <w:bodyDiv w:val="1"/>
      <w:marLeft w:val="0"/>
      <w:marRight w:val="0"/>
      <w:marTop w:val="0"/>
      <w:marBottom w:val="0"/>
      <w:divBdr>
        <w:top w:val="none" w:sz="0" w:space="0" w:color="auto"/>
        <w:left w:val="none" w:sz="0" w:space="0" w:color="auto"/>
        <w:bottom w:val="none" w:sz="0" w:space="0" w:color="auto"/>
        <w:right w:val="none" w:sz="0" w:space="0" w:color="auto"/>
      </w:divBdr>
    </w:div>
    <w:div w:id="150610069">
      <w:bodyDiv w:val="1"/>
      <w:marLeft w:val="0"/>
      <w:marRight w:val="0"/>
      <w:marTop w:val="0"/>
      <w:marBottom w:val="0"/>
      <w:divBdr>
        <w:top w:val="none" w:sz="0" w:space="0" w:color="auto"/>
        <w:left w:val="none" w:sz="0" w:space="0" w:color="auto"/>
        <w:bottom w:val="none" w:sz="0" w:space="0" w:color="auto"/>
        <w:right w:val="none" w:sz="0" w:space="0" w:color="auto"/>
      </w:divBdr>
    </w:div>
    <w:div w:id="156654401">
      <w:bodyDiv w:val="1"/>
      <w:marLeft w:val="0"/>
      <w:marRight w:val="0"/>
      <w:marTop w:val="0"/>
      <w:marBottom w:val="0"/>
      <w:divBdr>
        <w:top w:val="none" w:sz="0" w:space="0" w:color="auto"/>
        <w:left w:val="none" w:sz="0" w:space="0" w:color="auto"/>
        <w:bottom w:val="none" w:sz="0" w:space="0" w:color="auto"/>
        <w:right w:val="none" w:sz="0" w:space="0" w:color="auto"/>
      </w:divBdr>
    </w:div>
    <w:div w:id="168251681">
      <w:bodyDiv w:val="1"/>
      <w:marLeft w:val="0"/>
      <w:marRight w:val="0"/>
      <w:marTop w:val="0"/>
      <w:marBottom w:val="0"/>
      <w:divBdr>
        <w:top w:val="none" w:sz="0" w:space="0" w:color="auto"/>
        <w:left w:val="none" w:sz="0" w:space="0" w:color="auto"/>
        <w:bottom w:val="none" w:sz="0" w:space="0" w:color="auto"/>
        <w:right w:val="none" w:sz="0" w:space="0" w:color="auto"/>
      </w:divBdr>
    </w:div>
    <w:div w:id="198055265">
      <w:bodyDiv w:val="1"/>
      <w:marLeft w:val="0"/>
      <w:marRight w:val="0"/>
      <w:marTop w:val="0"/>
      <w:marBottom w:val="0"/>
      <w:divBdr>
        <w:top w:val="none" w:sz="0" w:space="0" w:color="auto"/>
        <w:left w:val="none" w:sz="0" w:space="0" w:color="auto"/>
        <w:bottom w:val="none" w:sz="0" w:space="0" w:color="auto"/>
        <w:right w:val="none" w:sz="0" w:space="0" w:color="auto"/>
      </w:divBdr>
    </w:div>
    <w:div w:id="231625499">
      <w:bodyDiv w:val="1"/>
      <w:marLeft w:val="0"/>
      <w:marRight w:val="0"/>
      <w:marTop w:val="0"/>
      <w:marBottom w:val="0"/>
      <w:divBdr>
        <w:top w:val="none" w:sz="0" w:space="0" w:color="auto"/>
        <w:left w:val="none" w:sz="0" w:space="0" w:color="auto"/>
        <w:bottom w:val="none" w:sz="0" w:space="0" w:color="auto"/>
        <w:right w:val="none" w:sz="0" w:space="0" w:color="auto"/>
      </w:divBdr>
    </w:div>
    <w:div w:id="312174765">
      <w:bodyDiv w:val="1"/>
      <w:marLeft w:val="0"/>
      <w:marRight w:val="0"/>
      <w:marTop w:val="0"/>
      <w:marBottom w:val="0"/>
      <w:divBdr>
        <w:top w:val="none" w:sz="0" w:space="0" w:color="auto"/>
        <w:left w:val="none" w:sz="0" w:space="0" w:color="auto"/>
        <w:bottom w:val="none" w:sz="0" w:space="0" w:color="auto"/>
        <w:right w:val="none" w:sz="0" w:space="0" w:color="auto"/>
      </w:divBdr>
    </w:div>
    <w:div w:id="312829205">
      <w:bodyDiv w:val="1"/>
      <w:marLeft w:val="0"/>
      <w:marRight w:val="0"/>
      <w:marTop w:val="0"/>
      <w:marBottom w:val="0"/>
      <w:divBdr>
        <w:top w:val="none" w:sz="0" w:space="0" w:color="auto"/>
        <w:left w:val="none" w:sz="0" w:space="0" w:color="auto"/>
        <w:bottom w:val="none" w:sz="0" w:space="0" w:color="auto"/>
        <w:right w:val="none" w:sz="0" w:space="0" w:color="auto"/>
      </w:divBdr>
    </w:div>
    <w:div w:id="381831963">
      <w:bodyDiv w:val="1"/>
      <w:marLeft w:val="0"/>
      <w:marRight w:val="0"/>
      <w:marTop w:val="0"/>
      <w:marBottom w:val="0"/>
      <w:divBdr>
        <w:top w:val="none" w:sz="0" w:space="0" w:color="auto"/>
        <w:left w:val="none" w:sz="0" w:space="0" w:color="auto"/>
        <w:bottom w:val="none" w:sz="0" w:space="0" w:color="auto"/>
        <w:right w:val="none" w:sz="0" w:space="0" w:color="auto"/>
      </w:divBdr>
    </w:div>
    <w:div w:id="386339741">
      <w:bodyDiv w:val="1"/>
      <w:marLeft w:val="0"/>
      <w:marRight w:val="0"/>
      <w:marTop w:val="0"/>
      <w:marBottom w:val="0"/>
      <w:divBdr>
        <w:top w:val="none" w:sz="0" w:space="0" w:color="auto"/>
        <w:left w:val="none" w:sz="0" w:space="0" w:color="auto"/>
        <w:bottom w:val="none" w:sz="0" w:space="0" w:color="auto"/>
        <w:right w:val="none" w:sz="0" w:space="0" w:color="auto"/>
      </w:divBdr>
    </w:div>
    <w:div w:id="386609115">
      <w:bodyDiv w:val="1"/>
      <w:marLeft w:val="0"/>
      <w:marRight w:val="0"/>
      <w:marTop w:val="0"/>
      <w:marBottom w:val="0"/>
      <w:divBdr>
        <w:top w:val="none" w:sz="0" w:space="0" w:color="auto"/>
        <w:left w:val="none" w:sz="0" w:space="0" w:color="auto"/>
        <w:bottom w:val="none" w:sz="0" w:space="0" w:color="auto"/>
        <w:right w:val="none" w:sz="0" w:space="0" w:color="auto"/>
      </w:divBdr>
    </w:div>
    <w:div w:id="392855204">
      <w:bodyDiv w:val="1"/>
      <w:marLeft w:val="0"/>
      <w:marRight w:val="0"/>
      <w:marTop w:val="0"/>
      <w:marBottom w:val="0"/>
      <w:divBdr>
        <w:top w:val="none" w:sz="0" w:space="0" w:color="auto"/>
        <w:left w:val="none" w:sz="0" w:space="0" w:color="auto"/>
        <w:bottom w:val="none" w:sz="0" w:space="0" w:color="auto"/>
        <w:right w:val="none" w:sz="0" w:space="0" w:color="auto"/>
      </w:divBdr>
    </w:div>
    <w:div w:id="396631212">
      <w:bodyDiv w:val="1"/>
      <w:marLeft w:val="0"/>
      <w:marRight w:val="0"/>
      <w:marTop w:val="0"/>
      <w:marBottom w:val="0"/>
      <w:divBdr>
        <w:top w:val="none" w:sz="0" w:space="0" w:color="auto"/>
        <w:left w:val="none" w:sz="0" w:space="0" w:color="auto"/>
        <w:bottom w:val="none" w:sz="0" w:space="0" w:color="auto"/>
        <w:right w:val="none" w:sz="0" w:space="0" w:color="auto"/>
      </w:divBdr>
    </w:div>
    <w:div w:id="454563874">
      <w:bodyDiv w:val="1"/>
      <w:marLeft w:val="0"/>
      <w:marRight w:val="0"/>
      <w:marTop w:val="0"/>
      <w:marBottom w:val="0"/>
      <w:divBdr>
        <w:top w:val="none" w:sz="0" w:space="0" w:color="auto"/>
        <w:left w:val="none" w:sz="0" w:space="0" w:color="auto"/>
        <w:bottom w:val="none" w:sz="0" w:space="0" w:color="auto"/>
        <w:right w:val="none" w:sz="0" w:space="0" w:color="auto"/>
      </w:divBdr>
    </w:div>
    <w:div w:id="578057951">
      <w:bodyDiv w:val="1"/>
      <w:marLeft w:val="0"/>
      <w:marRight w:val="0"/>
      <w:marTop w:val="0"/>
      <w:marBottom w:val="0"/>
      <w:divBdr>
        <w:top w:val="none" w:sz="0" w:space="0" w:color="auto"/>
        <w:left w:val="none" w:sz="0" w:space="0" w:color="auto"/>
        <w:bottom w:val="none" w:sz="0" w:space="0" w:color="auto"/>
        <w:right w:val="none" w:sz="0" w:space="0" w:color="auto"/>
      </w:divBdr>
    </w:div>
    <w:div w:id="598565013">
      <w:bodyDiv w:val="1"/>
      <w:marLeft w:val="0"/>
      <w:marRight w:val="0"/>
      <w:marTop w:val="0"/>
      <w:marBottom w:val="0"/>
      <w:divBdr>
        <w:top w:val="none" w:sz="0" w:space="0" w:color="auto"/>
        <w:left w:val="none" w:sz="0" w:space="0" w:color="auto"/>
        <w:bottom w:val="none" w:sz="0" w:space="0" w:color="auto"/>
        <w:right w:val="none" w:sz="0" w:space="0" w:color="auto"/>
      </w:divBdr>
    </w:div>
    <w:div w:id="600379763">
      <w:bodyDiv w:val="1"/>
      <w:marLeft w:val="0"/>
      <w:marRight w:val="0"/>
      <w:marTop w:val="0"/>
      <w:marBottom w:val="0"/>
      <w:divBdr>
        <w:top w:val="none" w:sz="0" w:space="0" w:color="auto"/>
        <w:left w:val="none" w:sz="0" w:space="0" w:color="auto"/>
        <w:bottom w:val="none" w:sz="0" w:space="0" w:color="auto"/>
        <w:right w:val="none" w:sz="0" w:space="0" w:color="auto"/>
      </w:divBdr>
    </w:div>
    <w:div w:id="722942583">
      <w:bodyDiv w:val="1"/>
      <w:marLeft w:val="0"/>
      <w:marRight w:val="0"/>
      <w:marTop w:val="0"/>
      <w:marBottom w:val="0"/>
      <w:divBdr>
        <w:top w:val="none" w:sz="0" w:space="0" w:color="auto"/>
        <w:left w:val="none" w:sz="0" w:space="0" w:color="auto"/>
        <w:bottom w:val="none" w:sz="0" w:space="0" w:color="auto"/>
        <w:right w:val="none" w:sz="0" w:space="0" w:color="auto"/>
      </w:divBdr>
    </w:div>
    <w:div w:id="729156785">
      <w:bodyDiv w:val="1"/>
      <w:marLeft w:val="0"/>
      <w:marRight w:val="0"/>
      <w:marTop w:val="0"/>
      <w:marBottom w:val="0"/>
      <w:divBdr>
        <w:top w:val="none" w:sz="0" w:space="0" w:color="auto"/>
        <w:left w:val="none" w:sz="0" w:space="0" w:color="auto"/>
        <w:bottom w:val="none" w:sz="0" w:space="0" w:color="auto"/>
        <w:right w:val="none" w:sz="0" w:space="0" w:color="auto"/>
      </w:divBdr>
    </w:div>
    <w:div w:id="792217036">
      <w:bodyDiv w:val="1"/>
      <w:marLeft w:val="0"/>
      <w:marRight w:val="0"/>
      <w:marTop w:val="0"/>
      <w:marBottom w:val="0"/>
      <w:divBdr>
        <w:top w:val="none" w:sz="0" w:space="0" w:color="auto"/>
        <w:left w:val="none" w:sz="0" w:space="0" w:color="auto"/>
        <w:bottom w:val="none" w:sz="0" w:space="0" w:color="auto"/>
        <w:right w:val="none" w:sz="0" w:space="0" w:color="auto"/>
      </w:divBdr>
    </w:div>
    <w:div w:id="800147206">
      <w:bodyDiv w:val="1"/>
      <w:marLeft w:val="0"/>
      <w:marRight w:val="0"/>
      <w:marTop w:val="0"/>
      <w:marBottom w:val="0"/>
      <w:divBdr>
        <w:top w:val="none" w:sz="0" w:space="0" w:color="auto"/>
        <w:left w:val="none" w:sz="0" w:space="0" w:color="auto"/>
        <w:bottom w:val="none" w:sz="0" w:space="0" w:color="auto"/>
        <w:right w:val="none" w:sz="0" w:space="0" w:color="auto"/>
      </w:divBdr>
    </w:div>
    <w:div w:id="807672319">
      <w:bodyDiv w:val="1"/>
      <w:marLeft w:val="0"/>
      <w:marRight w:val="0"/>
      <w:marTop w:val="0"/>
      <w:marBottom w:val="0"/>
      <w:divBdr>
        <w:top w:val="none" w:sz="0" w:space="0" w:color="auto"/>
        <w:left w:val="none" w:sz="0" w:space="0" w:color="auto"/>
        <w:bottom w:val="none" w:sz="0" w:space="0" w:color="auto"/>
        <w:right w:val="none" w:sz="0" w:space="0" w:color="auto"/>
      </w:divBdr>
    </w:div>
    <w:div w:id="851649498">
      <w:bodyDiv w:val="1"/>
      <w:marLeft w:val="0"/>
      <w:marRight w:val="0"/>
      <w:marTop w:val="0"/>
      <w:marBottom w:val="0"/>
      <w:divBdr>
        <w:top w:val="none" w:sz="0" w:space="0" w:color="auto"/>
        <w:left w:val="none" w:sz="0" w:space="0" w:color="auto"/>
        <w:bottom w:val="none" w:sz="0" w:space="0" w:color="auto"/>
        <w:right w:val="none" w:sz="0" w:space="0" w:color="auto"/>
      </w:divBdr>
    </w:div>
    <w:div w:id="911043411">
      <w:bodyDiv w:val="1"/>
      <w:marLeft w:val="0"/>
      <w:marRight w:val="0"/>
      <w:marTop w:val="0"/>
      <w:marBottom w:val="0"/>
      <w:divBdr>
        <w:top w:val="none" w:sz="0" w:space="0" w:color="auto"/>
        <w:left w:val="none" w:sz="0" w:space="0" w:color="auto"/>
        <w:bottom w:val="none" w:sz="0" w:space="0" w:color="auto"/>
        <w:right w:val="none" w:sz="0" w:space="0" w:color="auto"/>
      </w:divBdr>
    </w:div>
    <w:div w:id="931276633">
      <w:bodyDiv w:val="1"/>
      <w:marLeft w:val="0"/>
      <w:marRight w:val="0"/>
      <w:marTop w:val="0"/>
      <w:marBottom w:val="0"/>
      <w:divBdr>
        <w:top w:val="none" w:sz="0" w:space="0" w:color="auto"/>
        <w:left w:val="none" w:sz="0" w:space="0" w:color="auto"/>
        <w:bottom w:val="none" w:sz="0" w:space="0" w:color="auto"/>
        <w:right w:val="none" w:sz="0" w:space="0" w:color="auto"/>
      </w:divBdr>
    </w:div>
    <w:div w:id="936641631">
      <w:bodyDiv w:val="1"/>
      <w:marLeft w:val="0"/>
      <w:marRight w:val="0"/>
      <w:marTop w:val="0"/>
      <w:marBottom w:val="0"/>
      <w:divBdr>
        <w:top w:val="none" w:sz="0" w:space="0" w:color="auto"/>
        <w:left w:val="none" w:sz="0" w:space="0" w:color="auto"/>
        <w:bottom w:val="none" w:sz="0" w:space="0" w:color="auto"/>
        <w:right w:val="none" w:sz="0" w:space="0" w:color="auto"/>
      </w:divBdr>
      <w:divsChild>
        <w:div w:id="1342705423">
          <w:marLeft w:val="0"/>
          <w:marRight w:val="0"/>
          <w:marTop w:val="0"/>
          <w:marBottom w:val="0"/>
          <w:divBdr>
            <w:top w:val="none" w:sz="0" w:space="0" w:color="auto"/>
            <w:left w:val="none" w:sz="0" w:space="0" w:color="auto"/>
            <w:bottom w:val="none" w:sz="0" w:space="0" w:color="auto"/>
            <w:right w:val="none" w:sz="0" w:space="0" w:color="auto"/>
          </w:divBdr>
        </w:div>
      </w:divsChild>
    </w:div>
    <w:div w:id="973679537">
      <w:bodyDiv w:val="1"/>
      <w:marLeft w:val="0"/>
      <w:marRight w:val="0"/>
      <w:marTop w:val="0"/>
      <w:marBottom w:val="0"/>
      <w:divBdr>
        <w:top w:val="none" w:sz="0" w:space="0" w:color="auto"/>
        <w:left w:val="none" w:sz="0" w:space="0" w:color="auto"/>
        <w:bottom w:val="none" w:sz="0" w:space="0" w:color="auto"/>
        <w:right w:val="none" w:sz="0" w:space="0" w:color="auto"/>
      </w:divBdr>
      <w:divsChild>
        <w:div w:id="478571395">
          <w:marLeft w:val="0"/>
          <w:marRight w:val="0"/>
          <w:marTop w:val="0"/>
          <w:marBottom w:val="0"/>
          <w:divBdr>
            <w:top w:val="none" w:sz="0" w:space="0" w:color="auto"/>
            <w:left w:val="none" w:sz="0" w:space="0" w:color="auto"/>
            <w:bottom w:val="none" w:sz="0" w:space="0" w:color="auto"/>
            <w:right w:val="none" w:sz="0" w:space="0" w:color="auto"/>
          </w:divBdr>
        </w:div>
      </w:divsChild>
    </w:div>
    <w:div w:id="1045063002">
      <w:bodyDiv w:val="1"/>
      <w:marLeft w:val="0"/>
      <w:marRight w:val="0"/>
      <w:marTop w:val="0"/>
      <w:marBottom w:val="0"/>
      <w:divBdr>
        <w:top w:val="none" w:sz="0" w:space="0" w:color="auto"/>
        <w:left w:val="none" w:sz="0" w:space="0" w:color="auto"/>
        <w:bottom w:val="none" w:sz="0" w:space="0" w:color="auto"/>
        <w:right w:val="none" w:sz="0" w:space="0" w:color="auto"/>
      </w:divBdr>
      <w:divsChild>
        <w:div w:id="474184317">
          <w:marLeft w:val="0"/>
          <w:marRight w:val="0"/>
          <w:marTop w:val="0"/>
          <w:marBottom w:val="0"/>
          <w:divBdr>
            <w:top w:val="none" w:sz="0" w:space="0" w:color="auto"/>
            <w:left w:val="none" w:sz="0" w:space="0" w:color="auto"/>
            <w:bottom w:val="none" w:sz="0" w:space="0" w:color="auto"/>
            <w:right w:val="none" w:sz="0" w:space="0" w:color="auto"/>
          </w:divBdr>
        </w:div>
      </w:divsChild>
    </w:div>
    <w:div w:id="1060443337">
      <w:bodyDiv w:val="1"/>
      <w:marLeft w:val="0"/>
      <w:marRight w:val="0"/>
      <w:marTop w:val="0"/>
      <w:marBottom w:val="0"/>
      <w:divBdr>
        <w:top w:val="none" w:sz="0" w:space="0" w:color="auto"/>
        <w:left w:val="none" w:sz="0" w:space="0" w:color="auto"/>
        <w:bottom w:val="none" w:sz="0" w:space="0" w:color="auto"/>
        <w:right w:val="none" w:sz="0" w:space="0" w:color="auto"/>
      </w:divBdr>
    </w:div>
    <w:div w:id="1077632594">
      <w:bodyDiv w:val="1"/>
      <w:marLeft w:val="0"/>
      <w:marRight w:val="0"/>
      <w:marTop w:val="0"/>
      <w:marBottom w:val="0"/>
      <w:divBdr>
        <w:top w:val="none" w:sz="0" w:space="0" w:color="auto"/>
        <w:left w:val="none" w:sz="0" w:space="0" w:color="auto"/>
        <w:bottom w:val="none" w:sz="0" w:space="0" w:color="auto"/>
        <w:right w:val="none" w:sz="0" w:space="0" w:color="auto"/>
      </w:divBdr>
    </w:div>
    <w:div w:id="1124926049">
      <w:bodyDiv w:val="1"/>
      <w:marLeft w:val="0"/>
      <w:marRight w:val="0"/>
      <w:marTop w:val="0"/>
      <w:marBottom w:val="0"/>
      <w:divBdr>
        <w:top w:val="none" w:sz="0" w:space="0" w:color="auto"/>
        <w:left w:val="none" w:sz="0" w:space="0" w:color="auto"/>
        <w:bottom w:val="none" w:sz="0" w:space="0" w:color="auto"/>
        <w:right w:val="none" w:sz="0" w:space="0" w:color="auto"/>
      </w:divBdr>
    </w:div>
    <w:div w:id="1138380176">
      <w:bodyDiv w:val="1"/>
      <w:marLeft w:val="0"/>
      <w:marRight w:val="0"/>
      <w:marTop w:val="0"/>
      <w:marBottom w:val="0"/>
      <w:divBdr>
        <w:top w:val="none" w:sz="0" w:space="0" w:color="auto"/>
        <w:left w:val="none" w:sz="0" w:space="0" w:color="auto"/>
        <w:bottom w:val="none" w:sz="0" w:space="0" w:color="auto"/>
        <w:right w:val="none" w:sz="0" w:space="0" w:color="auto"/>
      </w:divBdr>
    </w:div>
    <w:div w:id="1152598574">
      <w:bodyDiv w:val="1"/>
      <w:marLeft w:val="0"/>
      <w:marRight w:val="0"/>
      <w:marTop w:val="0"/>
      <w:marBottom w:val="0"/>
      <w:divBdr>
        <w:top w:val="none" w:sz="0" w:space="0" w:color="auto"/>
        <w:left w:val="none" w:sz="0" w:space="0" w:color="auto"/>
        <w:bottom w:val="none" w:sz="0" w:space="0" w:color="auto"/>
        <w:right w:val="none" w:sz="0" w:space="0" w:color="auto"/>
      </w:divBdr>
    </w:div>
    <w:div w:id="1154566464">
      <w:bodyDiv w:val="1"/>
      <w:marLeft w:val="0"/>
      <w:marRight w:val="0"/>
      <w:marTop w:val="0"/>
      <w:marBottom w:val="0"/>
      <w:divBdr>
        <w:top w:val="none" w:sz="0" w:space="0" w:color="auto"/>
        <w:left w:val="none" w:sz="0" w:space="0" w:color="auto"/>
        <w:bottom w:val="none" w:sz="0" w:space="0" w:color="auto"/>
        <w:right w:val="none" w:sz="0" w:space="0" w:color="auto"/>
      </w:divBdr>
    </w:div>
    <w:div w:id="1171482082">
      <w:bodyDiv w:val="1"/>
      <w:marLeft w:val="0"/>
      <w:marRight w:val="0"/>
      <w:marTop w:val="0"/>
      <w:marBottom w:val="0"/>
      <w:divBdr>
        <w:top w:val="none" w:sz="0" w:space="0" w:color="auto"/>
        <w:left w:val="none" w:sz="0" w:space="0" w:color="auto"/>
        <w:bottom w:val="none" w:sz="0" w:space="0" w:color="auto"/>
        <w:right w:val="none" w:sz="0" w:space="0" w:color="auto"/>
      </w:divBdr>
    </w:div>
    <w:div w:id="1192113719">
      <w:bodyDiv w:val="1"/>
      <w:marLeft w:val="0"/>
      <w:marRight w:val="0"/>
      <w:marTop w:val="0"/>
      <w:marBottom w:val="0"/>
      <w:divBdr>
        <w:top w:val="none" w:sz="0" w:space="0" w:color="auto"/>
        <w:left w:val="none" w:sz="0" w:space="0" w:color="auto"/>
        <w:bottom w:val="none" w:sz="0" w:space="0" w:color="auto"/>
        <w:right w:val="none" w:sz="0" w:space="0" w:color="auto"/>
      </w:divBdr>
    </w:div>
    <w:div w:id="1192451935">
      <w:bodyDiv w:val="1"/>
      <w:marLeft w:val="0"/>
      <w:marRight w:val="0"/>
      <w:marTop w:val="0"/>
      <w:marBottom w:val="0"/>
      <w:divBdr>
        <w:top w:val="none" w:sz="0" w:space="0" w:color="auto"/>
        <w:left w:val="none" w:sz="0" w:space="0" w:color="auto"/>
        <w:bottom w:val="none" w:sz="0" w:space="0" w:color="auto"/>
        <w:right w:val="none" w:sz="0" w:space="0" w:color="auto"/>
      </w:divBdr>
    </w:div>
    <w:div w:id="1207375337">
      <w:bodyDiv w:val="1"/>
      <w:marLeft w:val="0"/>
      <w:marRight w:val="0"/>
      <w:marTop w:val="0"/>
      <w:marBottom w:val="0"/>
      <w:divBdr>
        <w:top w:val="none" w:sz="0" w:space="0" w:color="auto"/>
        <w:left w:val="none" w:sz="0" w:space="0" w:color="auto"/>
        <w:bottom w:val="none" w:sz="0" w:space="0" w:color="auto"/>
        <w:right w:val="none" w:sz="0" w:space="0" w:color="auto"/>
      </w:divBdr>
    </w:div>
    <w:div w:id="1207836428">
      <w:bodyDiv w:val="1"/>
      <w:marLeft w:val="0"/>
      <w:marRight w:val="0"/>
      <w:marTop w:val="0"/>
      <w:marBottom w:val="0"/>
      <w:divBdr>
        <w:top w:val="none" w:sz="0" w:space="0" w:color="auto"/>
        <w:left w:val="none" w:sz="0" w:space="0" w:color="auto"/>
        <w:bottom w:val="none" w:sz="0" w:space="0" w:color="auto"/>
        <w:right w:val="none" w:sz="0" w:space="0" w:color="auto"/>
      </w:divBdr>
    </w:div>
    <w:div w:id="1290163148">
      <w:bodyDiv w:val="1"/>
      <w:marLeft w:val="0"/>
      <w:marRight w:val="0"/>
      <w:marTop w:val="0"/>
      <w:marBottom w:val="0"/>
      <w:divBdr>
        <w:top w:val="none" w:sz="0" w:space="0" w:color="auto"/>
        <w:left w:val="none" w:sz="0" w:space="0" w:color="auto"/>
        <w:bottom w:val="none" w:sz="0" w:space="0" w:color="auto"/>
        <w:right w:val="none" w:sz="0" w:space="0" w:color="auto"/>
      </w:divBdr>
    </w:div>
    <w:div w:id="1310399779">
      <w:bodyDiv w:val="1"/>
      <w:marLeft w:val="0"/>
      <w:marRight w:val="0"/>
      <w:marTop w:val="0"/>
      <w:marBottom w:val="0"/>
      <w:divBdr>
        <w:top w:val="none" w:sz="0" w:space="0" w:color="auto"/>
        <w:left w:val="none" w:sz="0" w:space="0" w:color="auto"/>
        <w:bottom w:val="none" w:sz="0" w:space="0" w:color="auto"/>
        <w:right w:val="none" w:sz="0" w:space="0" w:color="auto"/>
      </w:divBdr>
    </w:div>
    <w:div w:id="1384908549">
      <w:bodyDiv w:val="1"/>
      <w:marLeft w:val="0"/>
      <w:marRight w:val="0"/>
      <w:marTop w:val="0"/>
      <w:marBottom w:val="0"/>
      <w:divBdr>
        <w:top w:val="none" w:sz="0" w:space="0" w:color="auto"/>
        <w:left w:val="none" w:sz="0" w:space="0" w:color="auto"/>
        <w:bottom w:val="none" w:sz="0" w:space="0" w:color="auto"/>
        <w:right w:val="none" w:sz="0" w:space="0" w:color="auto"/>
      </w:divBdr>
    </w:div>
    <w:div w:id="1395926576">
      <w:bodyDiv w:val="1"/>
      <w:marLeft w:val="0"/>
      <w:marRight w:val="0"/>
      <w:marTop w:val="0"/>
      <w:marBottom w:val="0"/>
      <w:divBdr>
        <w:top w:val="none" w:sz="0" w:space="0" w:color="auto"/>
        <w:left w:val="none" w:sz="0" w:space="0" w:color="auto"/>
        <w:bottom w:val="none" w:sz="0" w:space="0" w:color="auto"/>
        <w:right w:val="none" w:sz="0" w:space="0" w:color="auto"/>
      </w:divBdr>
    </w:div>
    <w:div w:id="1494755078">
      <w:bodyDiv w:val="1"/>
      <w:marLeft w:val="0"/>
      <w:marRight w:val="0"/>
      <w:marTop w:val="0"/>
      <w:marBottom w:val="0"/>
      <w:divBdr>
        <w:top w:val="none" w:sz="0" w:space="0" w:color="auto"/>
        <w:left w:val="none" w:sz="0" w:space="0" w:color="auto"/>
        <w:bottom w:val="none" w:sz="0" w:space="0" w:color="auto"/>
        <w:right w:val="none" w:sz="0" w:space="0" w:color="auto"/>
      </w:divBdr>
    </w:div>
    <w:div w:id="1507600564">
      <w:bodyDiv w:val="1"/>
      <w:marLeft w:val="0"/>
      <w:marRight w:val="0"/>
      <w:marTop w:val="0"/>
      <w:marBottom w:val="0"/>
      <w:divBdr>
        <w:top w:val="none" w:sz="0" w:space="0" w:color="auto"/>
        <w:left w:val="none" w:sz="0" w:space="0" w:color="auto"/>
        <w:bottom w:val="none" w:sz="0" w:space="0" w:color="auto"/>
        <w:right w:val="none" w:sz="0" w:space="0" w:color="auto"/>
      </w:divBdr>
    </w:div>
    <w:div w:id="1517694552">
      <w:bodyDiv w:val="1"/>
      <w:marLeft w:val="0"/>
      <w:marRight w:val="0"/>
      <w:marTop w:val="0"/>
      <w:marBottom w:val="0"/>
      <w:divBdr>
        <w:top w:val="none" w:sz="0" w:space="0" w:color="auto"/>
        <w:left w:val="none" w:sz="0" w:space="0" w:color="auto"/>
        <w:bottom w:val="none" w:sz="0" w:space="0" w:color="auto"/>
        <w:right w:val="none" w:sz="0" w:space="0" w:color="auto"/>
      </w:divBdr>
    </w:div>
    <w:div w:id="1580672972">
      <w:bodyDiv w:val="1"/>
      <w:marLeft w:val="0"/>
      <w:marRight w:val="0"/>
      <w:marTop w:val="0"/>
      <w:marBottom w:val="0"/>
      <w:divBdr>
        <w:top w:val="none" w:sz="0" w:space="0" w:color="auto"/>
        <w:left w:val="none" w:sz="0" w:space="0" w:color="auto"/>
        <w:bottom w:val="none" w:sz="0" w:space="0" w:color="auto"/>
        <w:right w:val="none" w:sz="0" w:space="0" w:color="auto"/>
      </w:divBdr>
    </w:div>
    <w:div w:id="1611817035">
      <w:bodyDiv w:val="1"/>
      <w:marLeft w:val="0"/>
      <w:marRight w:val="0"/>
      <w:marTop w:val="0"/>
      <w:marBottom w:val="0"/>
      <w:divBdr>
        <w:top w:val="none" w:sz="0" w:space="0" w:color="auto"/>
        <w:left w:val="none" w:sz="0" w:space="0" w:color="auto"/>
        <w:bottom w:val="none" w:sz="0" w:space="0" w:color="auto"/>
        <w:right w:val="none" w:sz="0" w:space="0" w:color="auto"/>
      </w:divBdr>
    </w:div>
    <w:div w:id="1644432489">
      <w:bodyDiv w:val="1"/>
      <w:marLeft w:val="0"/>
      <w:marRight w:val="0"/>
      <w:marTop w:val="0"/>
      <w:marBottom w:val="0"/>
      <w:divBdr>
        <w:top w:val="none" w:sz="0" w:space="0" w:color="auto"/>
        <w:left w:val="none" w:sz="0" w:space="0" w:color="auto"/>
        <w:bottom w:val="none" w:sz="0" w:space="0" w:color="auto"/>
        <w:right w:val="none" w:sz="0" w:space="0" w:color="auto"/>
      </w:divBdr>
    </w:div>
    <w:div w:id="1770395607">
      <w:bodyDiv w:val="1"/>
      <w:marLeft w:val="0"/>
      <w:marRight w:val="0"/>
      <w:marTop w:val="0"/>
      <w:marBottom w:val="0"/>
      <w:divBdr>
        <w:top w:val="none" w:sz="0" w:space="0" w:color="auto"/>
        <w:left w:val="none" w:sz="0" w:space="0" w:color="auto"/>
        <w:bottom w:val="none" w:sz="0" w:space="0" w:color="auto"/>
        <w:right w:val="none" w:sz="0" w:space="0" w:color="auto"/>
      </w:divBdr>
    </w:div>
    <w:div w:id="1777363920">
      <w:bodyDiv w:val="1"/>
      <w:marLeft w:val="0"/>
      <w:marRight w:val="0"/>
      <w:marTop w:val="0"/>
      <w:marBottom w:val="0"/>
      <w:divBdr>
        <w:top w:val="none" w:sz="0" w:space="0" w:color="auto"/>
        <w:left w:val="none" w:sz="0" w:space="0" w:color="auto"/>
        <w:bottom w:val="none" w:sz="0" w:space="0" w:color="auto"/>
        <w:right w:val="none" w:sz="0" w:space="0" w:color="auto"/>
      </w:divBdr>
    </w:div>
    <w:div w:id="1787120505">
      <w:bodyDiv w:val="1"/>
      <w:marLeft w:val="0"/>
      <w:marRight w:val="0"/>
      <w:marTop w:val="0"/>
      <w:marBottom w:val="0"/>
      <w:divBdr>
        <w:top w:val="none" w:sz="0" w:space="0" w:color="auto"/>
        <w:left w:val="none" w:sz="0" w:space="0" w:color="auto"/>
        <w:bottom w:val="none" w:sz="0" w:space="0" w:color="auto"/>
        <w:right w:val="none" w:sz="0" w:space="0" w:color="auto"/>
      </w:divBdr>
    </w:div>
    <w:div w:id="1880777533">
      <w:bodyDiv w:val="1"/>
      <w:marLeft w:val="0"/>
      <w:marRight w:val="0"/>
      <w:marTop w:val="0"/>
      <w:marBottom w:val="0"/>
      <w:divBdr>
        <w:top w:val="none" w:sz="0" w:space="0" w:color="auto"/>
        <w:left w:val="none" w:sz="0" w:space="0" w:color="auto"/>
        <w:bottom w:val="none" w:sz="0" w:space="0" w:color="auto"/>
        <w:right w:val="none" w:sz="0" w:space="0" w:color="auto"/>
      </w:divBdr>
    </w:div>
    <w:div w:id="1899390112">
      <w:bodyDiv w:val="1"/>
      <w:marLeft w:val="0"/>
      <w:marRight w:val="0"/>
      <w:marTop w:val="0"/>
      <w:marBottom w:val="0"/>
      <w:divBdr>
        <w:top w:val="none" w:sz="0" w:space="0" w:color="auto"/>
        <w:left w:val="none" w:sz="0" w:space="0" w:color="auto"/>
        <w:bottom w:val="none" w:sz="0" w:space="0" w:color="auto"/>
        <w:right w:val="none" w:sz="0" w:space="0" w:color="auto"/>
      </w:divBdr>
    </w:div>
    <w:div w:id="1921056853">
      <w:bodyDiv w:val="1"/>
      <w:marLeft w:val="0"/>
      <w:marRight w:val="0"/>
      <w:marTop w:val="0"/>
      <w:marBottom w:val="0"/>
      <w:divBdr>
        <w:top w:val="none" w:sz="0" w:space="0" w:color="auto"/>
        <w:left w:val="none" w:sz="0" w:space="0" w:color="auto"/>
        <w:bottom w:val="none" w:sz="0" w:space="0" w:color="auto"/>
        <w:right w:val="none" w:sz="0" w:space="0" w:color="auto"/>
      </w:divBdr>
    </w:div>
    <w:div w:id="1944527783">
      <w:bodyDiv w:val="1"/>
      <w:marLeft w:val="0"/>
      <w:marRight w:val="0"/>
      <w:marTop w:val="0"/>
      <w:marBottom w:val="0"/>
      <w:divBdr>
        <w:top w:val="none" w:sz="0" w:space="0" w:color="auto"/>
        <w:left w:val="none" w:sz="0" w:space="0" w:color="auto"/>
        <w:bottom w:val="none" w:sz="0" w:space="0" w:color="auto"/>
        <w:right w:val="none" w:sz="0" w:space="0" w:color="auto"/>
      </w:divBdr>
    </w:div>
    <w:div w:id="1986008699">
      <w:bodyDiv w:val="1"/>
      <w:marLeft w:val="0"/>
      <w:marRight w:val="0"/>
      <w:marTop w:val="0"/>
      <w:marBottom w:val="0"/>
      <w:divBdr>
        <w:top w:val="none" w:sz="0" w:space="0" w:color="auto"/>
        <w:left w:val="none" w:sz="0" w:space="0" w:color="auto"/>
        <w:bottom w:val="none" w:sz="0" w:space="0" w:color="auto"/>
        <w:right w:val="none" w:sz="0" w:space="0" w:color="auto"/>
      </w:divBdr>
    </w:div>
    <w:div w:id="2003586833">
      <w:bodyDiv w:val="1"/>
      <w:marLeft w:val="0"/>
      <w:marRight w:val="0"/>
      <w:marTop w:val="0"/>
      <w:marBottom w:val="0"/>
      <w:divBdr>
        <w:top w:val="none" w:sz="0" w:space="0" w:color="auto"/>
        <w:left w:val="none" w:sz="0" w:space="0" w:color="auto"/>
        <w:bottom w:val="none" w:sz="0" w:space="0" w:color="auto"/>
        <w:right w:val="none" w:sz="0" w:space="0" w:color="auto"/>
      </w:divBdr>
    </w:div>
    <w:div w:id="2048286116">
      <w:bodyDiv w:val="1"/>
      <w:marLeft w:val="0"/>
      <w:marRight w:val="0"/>
      <w:marTop w:val="0"/>
      <w:marBottom w:val="0"/>
      <w:divBdr>
        <w:top w:val="none" w:sz="0" w:space="0" w:color="auto"/>
        <w:left w:val="none" w:sz="0" w:space="0" w:color="auto"/>
        <w:bottom w:val="none" w:sz="0" w:space="0" w:color="auto"/>
        <w:right w:val="none" w:sz="0" w:space="0" w:color="auto"/>
      </w:divBdr>
    </w:div>
    <w:div w:id="2063207269">
      <w:bodyDiv w:val="1"/>
      <w:marLeft w:val="0"/>
      <w:marRight w:val="0"/>
      <w:marTop w:val="0"/>
      <w:marBottom w:val="0"/>
      <w:divBdr>
        <w:top w:val="none" w:sz="0" w:space="0" w:color="auto"/>
        <w:left w:val="none" w:sz="0" w:space="0" w:color="auto"/>
        <w:bottom w:val="none" w:sz="0" w:space="0" w:color="auto"/>
        <w:right w:val="none" w:sz="0" w:space="0" w:color="auto"/>
      </w:divBdr>
    </w:div>
    <w:div w:id="2092464424">
      <w:bodyDiv w:val="1"/>
      <w:marLeft w:val="0"/>
      <w:marRight w:val="0"/>
      <w:marTop w:val="0"/>
      <w:marBottom w:val="0"/>
      <w:divBdr>
        <w:top w:val="none" w:sz="0" w:space="0" w:color="auto"/>
        <w:left w:val="none" w:sz="0" w:space="0" w:color="auto"/>
        <w:bottom w:val="none" w:sz="0" w:space="0" w:color="auto"/>
        <w:right w:val="none" w:sz="0" w:space="0" w:color="auto"/>
      </w:divBdr>
    </w:div>
    <w:div w:id="21380650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brittany.whitehill@mountainview.gov%20" TargetMode="External"/><Relationship Id="rId26" Type="http://schemas.openxmlformats.org/officeDocument/2006/relationships/footer" Target="footer8.xml"/><Relationship Id="rId39" Type="http://schemas.openxmlformats.org/officeDocument/2006/relationships/hyperlink" Target="https://www.mountainview.gov/civicax/filebank/blobdload.aspx?BlobID=10990" TargetMode="External"/><Relationship Id="rId21" Type="http://schemas.openxmlformats.org/officeDocument/2006/relationships/footer" Target="footer7.xml"/><Relationship Id="rId34" Type="http://schemas.openxmlformats.org/officeDocument/2006/relationships/hyperlink" Target="https://www.mountainview.gov/civicax/filebank/blobdload.aspx?BlobID=11508" TargetMode="External"/><Relationship Id="rId42" Type="http://schemas.openxmlformats.org/officeDocument/2006/relationships/hyperlink" Target="https://www.mountainview.gov/documents/MVFD/Annual%20Report%20FY%2020-21.pdf" TargetMode="External"/><Relationship Id="rId47"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https://egis.fire.ca.gov/FHSZ/" TargetMode="External"/><Relationship Id="rId11" Type="http://schemas.openxmlformats.org/officeDocument/2006/relationships/footer" Target="footer3.xml"/><Relationship Id="rId24" Type="http://schemas.openxmlformats.org/officeDocument/2006/relationships/image" Target="media/image8.png"/><Relationship Id="rId32" Type="http://schemas.openxmlformats.org/officeDocument/2006/relationships/hyperlink" Target="https://water.ca.gov/-/media/DWR-Website/Web-Pages/Programs/Groundwater-Management/Bulletin-118/Files/2003-Basin-Descriptions/2_009_02_SantaClaraSubbasin.pdf" TargetMode="External"/><Relationship Id="rId37" Type="http://schemas.openxmlformats.org/officeDocument/2006/relationships/hyperlink" Target="https://www.mountainview.gov/civicax/filebank/blobdload.aspx?BlobID=32975" TargetMode="External"/><Relationship Id="rId40" Type="http://schemas.openxmlformats.org/officeDocument/2006/relationships/hyperlink" Target="https://www.mountainview.gov/civicax/filebank/blobdload.aspx?blobID=35844" TargetMode="External"/><Relationship Id="rId45" Type="http://schemas.openxmlformats.org/officeDocument/2006/relationships/hyperlink" Target="https://stgenpln.blob.core.windows.net/document/ALUC_NUQ_CLUP.pdf" TargetMode="Externa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7.png"/><Relationship Id="rId28" Type="http://schemas.openxmlformats.org/officeDocument/2006/relationships/header" Target="header4.xml"/><Relationship Id="rId36" Type="http://schemas.openxmlformats.org/officeDocument/2006/relationships/hyperlink" Target="https://www.mountainview.gov/depts/pw/services/water/sources.asp" TargetMode="External"/><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4.jpeg"/><Relationship Id="rId31" Type="http://schemas.openxmlformats.org/officeDocument/2006/relationships/hyperlink" Target="https://www.dof.ca.gov/forecasting/demographics/estimates/e-1/" TargetMode="External"/><Relationship Id="rId44" Type="http://schemas.openxmlformats.org/officeDocument/2006/relationships/hyperlink" Target="https://www.waterboards.ca.gov/sanfranciscobay/"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6.png"/><Relationship Id="rId27" Type="http://schemas.openxmlformats.org/officeDocument/2006/relationships/footer" Target="footer9.xml"/><Relationship Id="rId30" Type="http://schemas.openxmlformats.org/officeDocument/2006/relationships/hyperlink" Target="https://www.conservation.ca.gov/cgs/tsunami/maps/santa-clara" TargetMode="External"/><Relationship Id="rId35" Type="http://schemas.openxmlformats.org/officeDocument/2006/relationships/hyperlink" Target="https://www.mountainview.gov/civicax/filebank/blobdload.aspx?blobid=10702" TargetMode="External"/><Relationship Id="rId43" Type="http://schemas.openxmlformats.org/officeDocument/2006/relationships/hyperlink" Target="https://myhazards.caloes.ca.gov/"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6.xml"/><Relationship Id="rId25" Type="http://schemas.openxmlformats.org/officeDocument/2006/relationships/image" Target="media/image9.png"/><Relationship Id="rId33" Type="http://schemas.openxmlformats.org/officeDocument/2006/relationships/hyperlink" Target="https://hazards-fema.maps.arcgis.com/apps/webappviewer/index.html?id=8b0adb51996444d4879338b5529aa9cd&amp;extent=-121.94529102661183,36.5159779735144,-121.90374897338809,36.53322138877889" TargetMode="External"/><Relationship Id="rId38" Type="http://schemas.openxmlformats.org/officeDocument/2006/relationships/hyperlink" Target="https://library.municode.com/ca/mountain_view/codes/code_of_ordinances?nodeId=PTIITHCO_CH8BU_ARTXIBUSE" TargetMode="External"/><Relationship Id="rId46" Type="http://schemas.openxmlformats.org/officeDocument/2006/relationships/hyperlink" Target="https://cleanwater.sccgov.org/sites/g/files/exjcpb461/files/SCVURPPP_C.pdf" TargetMode="External"/><Relationship Id="rId20" Type="http://schemas.openxmlformats.org/officeDocument/2006/relationships/image" Target="media/image5.jpeg"/><Relationship Id="rId41" Type="http://schemas.openxmlformats.org/officeDocument/2006/relationships/hyperlink" Target="https://library.municode.com/ca/mountain_view/codes/code_of_ordinances?nodeId=PTIITHCO_CH36ZO_ARTVIINZO_DIV5GEINMMZODIST"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6D90D3-B363-4E38-9855-4A229EA4D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66</Pages>
  <Words>54824</Words>
  <Characters>312497</Characters>
  <Application>Microsoft Office Word</Application>
  <DocSecurity>0</DocSecurity>
  <Lines>2604</Lines>
  <Paragraphs>733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366588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Leslie Trejo</dc:creator>
  <cp:keywords/>
  <dc:description/>
  <cp:lastModifiedBy>Leslie Trejo</cp:lastModifiedBy>
  <cp:revision>7</cp:revision>
  <cp:lastPrinted>2017-05-16T22:43:00Z</cp:lastPrinted>
  <dcterms:created xsi:type="dcterms:W3CDTF">2022-09-01T16:25:00Z</dcterms:created>
  <dcterms:modified xsi:type="dcterms:W3CDTF">2022-09-09T22:26:00Z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WG Trailer">
    <vt:lpwstr>B0785-0009\2012121v1.doc</vt:lpwstr>
  </property>
</Properties>
</file>