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0C56C" w14:textId="5A0C1353" w:rsidR="00973BAA" w:rsidRPr="00973BAA" w:rsidRDefault="00973BAA" w:rsidP="00973BAA">
      <w:pPr>
        <w:jc w:val="both"/>
        <w:rPr>
          <w:rFonts w:ascii="Arial" w:eastAsia="Times New Roman" w:hAnsi="Arial" w:cs="Arial"/>
        </w:rPr>
      </w:pPr>
      <w:r w:rsidRPr="00973BAA">
        <w:rPr>
          <w:rFonts w:ascii="Arial" w:eastAsia="Times New Roman" w:hAnsi="Arial" w:cs="Arial"/>
        </w:rPr>
        <w:t>Cultural Resources</w:t>
      </w:r>
    </w:p>
    <w:p w14:paraId="1C4E3497" w14:textId="7F444BBC" w:rsidR="00973BAA" w:rsidRPr="00973BAA" w:rsidRDefault="00973BAA" w:rsidP="00973BAA">
      <w:pPr>
        <w:jc w:val="both"/>
        <w:rPr>
          <w:rFonts w:ascii="Arial" w:eastAsia="Times New Roman" w:hAnsi="Arial" w:cs="Arial"/>
        </w:rPr>
      </w:pPr>
    </w:p>
    <w:p w14:paraId="218BDF4D" w14:textId="77777777" w:rsidR="00905A99" w:rsidRPr="00905A99" w:rsidRDefault="00905A99" w:rsidP="00905A99">
      <w:pPr>
        <w:ind w:left="2880" w:hanging="2880"/>
        <w:jc w:val="both"/>
        <w:rPr>
          <w:rFonts w:ascii="Arial" w:eastAsia="Times New Roman" w:hAnsi="Arial" w:cs="Arial"/>
        </w:rPr>
      </w:pPr>
      <w:r w:rsidRPr="00905A99">
        <w:rPr>
          <w:rFonts w:ascii="Arial" w:eastAsia="Times New Roman" w:hAnsi="Arial" w:cs="Arial"/>
          <w:b/>
          <w:bCs/>
        </w:rPr>
        <w:t>Mitigation Measure No. 2</w:t>
      </w:r>
      <w:r w:rsidRPr="00905A99">
        <w:rPr>
          <w:rFonts w:ascii="Arial" w:eastAsia="Times New Roman" w:hAnsi="Arial" w:cs="Arial"/>
        </w:rPr>
        <w:tab/>
        <w:t>The City shall retain a qualified professional archaeologist who meets U.S. Secretary of the Interior’s Professional Qualifications and Standards, to conduct an Archaeological Sensitivity Training for construction personnel prior to commencement of excavation activities. The training session shall be carried out by a cultural resource professional with expertise in archaeology, who meets the U.S. Secretary of the Interior’s Professional Qualifications and Standards. The training session shall include a handout and focus on how to identify archaeological resources that may be encountered during earthmoving activities and the procedures to be followed in such an event, the duties of archaeological monitors, and the general steps a qualified professional archaeologist would follow in conducting a salvage investigation if one is necessary.</w:t>
      </w:r>
    </w:p>
    <w:p w14:paraId="0E0259ED" w14:textId="77777777" w:rsidR="00905A99" w:rsidRPr="00905A99" w:rsidRDefault="00905A99" w:rsidP="00905A99">
      <w:pPr>
        <w:ind w:left="2880" w:hanging="2880"/>
        <w:jc w:val="both"/>
        <w:rPr>
          <w:rFonts w:ascii="Arial" w:eastAsia="Times New Roman" w:hAnsi="Arial" w:cs="Arial"/>
        </w:rPr>
      </w:pPr>
    </w:p>
    <w:p w14:paraId="0B40A17B" w14:textId="77777777" w:rsidR="00905A99" w:rsidRPr="00905A99" w:rsidRDefault="00905A99" w:rsidP="00905A99">
      <w:pPr>
        <w:ind w:left="2880" w:hanging="2880"/>
        <w:jc w:val="both"/>
        <w:rPr>
          <w:rFonts w:ascii="Arial" w:eastAsia="Times New Roman" w:hAnsi="Arial" w:cs="Arial"/>
        </w:rPr>
      </w:pPr>
      <w:r w:rsidRPr="00905A99">
        <w:rPr>
          <w:rFonts w:ascii="Arial" w:eastAsia="Times New Roman" w:hAnsi="Arial" w:cs="Arial"/>
          <w:b/>
          <w:bCs/>
        </w:rPr>
        <w:t>Mitigation Measure No. 3</w:t>
      </w:r>
      <w:r w:rsidRPr="00905A99">
        <w:rPr>
          <w:rFonts w:ascii="Arial" w:eastAsia="Times New Roman" w:hAnsi="Arial" w:cs="Arial"/>
        </w:rPr>
        <w:tab/>
        <w:t>In the event that archaeological resources are unearthed during ground-disturbing activities, ground-disturbing activities shall be halted or diverted away from the vicinity of the find so that the find can be evaluated.  A buffer area of at least 20 feet shall be established around the find where construction activities shall not be allowed to continue until a qualified archaeologist has examined the newly discovered artifact(s) and has evaluated the area of the find.  Work shall be allowed to continue outside of the buffer area.  All archaeological resources unearthed by project construction activities shall be evaluated by a qualified professional archaeologist, who meets the U.S. Secretary of the Interior’s Professional Qualifications and Standards.  Should the newly discovered artifacts be determined to be prehistoric, Native American Tribes/Individuals shall be contacted and consulted, and Native American construction monitoring shall be   initiated.  The City shall coordinate with the archaeologist to develop an appropriate treatment plan for the resources. The plan may include implementation of archaeological data recovery excavations to address treatment of the resource along with subsequent laboratory processing and analysis.</w:t>
      </w:r>
    </w:p>
    <w:p w14:paraId="497FB0FE" w14:textId="77777777" w:rsidR="00905A99" w:rsidRPr="00905A99" w:rsidRDefault="00905A99" w:rsidP="00905A99">
      <w:pPr>
        <w:ind w:left="2880" w:hanging="2880"/>
        <w:jc w:val="both"/>
        <w:rPr>
          <w:rFonts w:ascii="Arial" w:eastAsia="Times New Roman" w:hAnsi="Arial" w:cs="Arial"/>
        </w:rPr>
      </w:pPr>
    </w:p>
    <w:p w14:paraId="42B5DAC9" w14:textId="77777777" w:rsidR="00905A99" w:rsidRPr="00905A99" w:rsidRDefault="00905A99" w:rsidP="00905A99">
      <w:pPr>
        <w:ind w:left="2880" w:hanging="2880"/>
        <w:jc w:val="both"/>
        <w:rPr>
          <w:rFonts w:ascii="Arial" w:eastAsia="Times New Roman" w:hAnsi="Arial" w:cs="Arial"/>
        </w:rPr>
      </w:pPr>
      <w:r w:rsidRPr="00905A99">
        <w:rPr>
          <w:rFonts w:ascii="Arial" w:eastAsia="Times New Roman" w:hAnsi="Arial" w:cs="Arial"/>
          <w:b/>
          <w:bCs/>
        </w:rPr>
        <w:t>Mitigation Measure No. 4</w:t>
      </w:r>
      <w:r w:rsidRPr="00905A99">
        <w:rPr>
          <w:rFonts w:ascii="Arial" w:eastAsia="Times New Roman" w:hAnsi="Arial" w:cs="Arial"/>
        </w:rPr>
        <w:tab/>
        <w:t xml:space="preserve">The City shall retain a qualified professional archaeologist, who meets the U.S. Secretary of the Interior’s Professional Qualifications and Standards to conduct periodic Archaeological Spot Checks beginning at depths below 2’ feet to determine if construction excavations have exposed or have a high probability to expose archaeological resources.  After the initial Archaeological Spot Check, further periodic checks shall be conducted at the discretion of the qualified archaeologist.  If the qualified archaeologist determines that construction excavations have exposed or have a high probability to expose archaeological artifacts construction monitoring for Archaeological Resources shall be required. The project developer shall retain a qualified archaeological monitor, who will work under the guidance and direction of a professional archaeologist, who meets the </w:t>
      </w:r>
      <w:r w:rsidRPr="00905A99">
        <w:rPr>
          <w:rFonts w:ascii="Arial" w:eastAsia="Times New Roman" w:hAnsi="Arial" w:cs="Arial"/>
        </w:rPr>
        <w:lastRenderedPageBreak/>
        <w:t>qualifications set forth by the U.S. Secretary of the Interior’s Professional Qualifications and Standards.  The archaeological monitor shall be present during all construction excavations (e.g., grading, trenching, or clearing/grubbing) into non-fill younger Pleistocene alluvial sediments.  Multiple earth-moving construction activities may require multiple archaeological monitors. The frequency of monitoring shall be based on the rate of excavation and grading activities, proximity to known archaeological resources, the materials being excavated (native versus artificial fill soils), and the depth of excavation, and if found, the abundance and type of archaeological resources encountered.  Full-time monitoring can be reduced to part-time inspections if determined adequate by the project archaeologist.</w:t>
      </w:r>
    </w:p>
    <w:p w14:paraId="55973B0B" w14:textId="77777777" w:rsidR="00905A99" w:rsidRPr="00905A99" w:rsidRDefault="00905A99" w:rsidP="00905A99">
      <w:pPr>
        <w:ind w:left="2880" w:hanging="2880"/>
        <w:jc w:val="both"/>
        <w:rPr>
          <w:rFonts w:ascii="Arial" w:eastAsia="Times New Roman" w:hAnsi="Arial" w:cs="Arial"/>
        </w:rPr>
      </w:pPr>
    </w:p>
    <w:p w14:paraId="7A1A650D" w14:textId="25C0EFA9" w:rsidR="00973BAA" w:rsidRPr="00973BAA" w:rsidRDefault="00905A99" w:rsidP="00905A99">
      <w:pPr>
        <w:ind w:left="2880" w:hanging="2880"/>
        <w:jc w:val="both"/>
        <w:rPr>
          <w:rFonts w:ascii="Arial" w:eastAsia="Times New Roman" w:hAnsi="Arial" w:cs="Arial"/>
        </w:rPr>
      </w:pPr>
      <w:r w:rsidRPr="00905A99">
        <w:rPr>
          <w:rFonts w:ascii="Arial" w:eastAsia="Times New Roman" w:hAnsi="Arial" w:cs="Arial"/>
          <w:b/>
          <w:bCs/>
        </w:rPr>
        <w:t>Mitigation Measure No. 5</w:t>
      </w:r>
      <w:r w:rsidRPr="00905A99">
        <w:rPr>
          <w:rFonts w:ascii="Arial" w:eastAsia="Times New Roman" w:hAnsi="Arial" w:cs="Arial"/>
        </w:rPr>
        <w:tab/>
        <w:t>The archaeological monitor, under the direction of a qualified professional archaeologist who meets the U.S. Secretary of the Interior’s Professional Qualifications and Standards, shall prepare a final report at the conclusion of archaeological monitoring.  The report shall be submitted to the City, the South Central Costal Information Center and representatives of other appropriate or concerned agencies to signify the satisfactory completion of the project and required mitigation measures. The report shall include a description of resources unearthed, if any, evaluation of the resources with respect to the California Register and CEQA, and treatment of the resources.</w:t>
      </w:r>
    </w:p>
    <w:sectPr w:rsidR="00973BAA" w:rsidRPr="0097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A2C"/>
    <w:multiLevelType w:val="hybridMultilevel"/>
    <w:tmpl w:val="999C9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AA"/>
    <w:rsid w:val="0037426C"/>
    <w:rsid w:val="003928A5"/>
    <w:rsid w:val="00905A99"/>
    <w:rsid w:val="00973BAA"/>
    <w:rsid w:val="00D0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105D"/>
  <w15:chartTrackingRefBased/>
  <w15:docId w15:val="{8ED68999-E1CD-440C-939F-6FC45603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Martin</dc:creator>
  <cp:keywords/>
  <dc:description/>
  <cp:lastModifiedBy>Phil Martin</cp:lastModifiedBy>
  <cp:revision>2</cp:revision>
  <dcterms:created xsi:type="dcterms:W3CDTF">2022-02-16T16:59:00Z</dcterms:created>
  <dcterms:modified xsi:type="dcterms:W3CDTF">2022-02-16T16:59:00Z</dcterms:modified>
</cp:coreProperties>
</file>