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5F9A4" w14:textId="1B0B749A" w:rsidR="00283AB6" w:rsidRDefault="00AD68DC" w:rsidP="007C241E">
      <w:pPr>
        <w:pStyle w:val="StyleDateDocTypeBold"/>
      </w:pPr>
      <w:r>
        <w:rPr>
          <w:b w:val="0"/>
          <w:sz w:val="24"/>
        </w:rPr>
        <w:t>December</w:t>
      </w:r>
      <w:r w:rsidR="00E51AA0">
        <w:rPr>
          <w:b w:val="0"/>
          <w:sz w:val="24"/>
        </w:rPr>
        <w:t xml:space="preserve"> </w:t>
      </w:r>
      <w:r w:rsidR="002E2001">
        <w:rPr>
          <w:b w:val="0"/>
          <w:sz w:val="24"/>
        </w:rPr>
        <w:t>2021</w:t>
      </w:r>
      <w:r w:rsidR="00C9769F" w:rsidRPr="00B41F7A">
        <w:rPr>
          <w:b w:val="0"/>
          <w:sz w:val="24"/>
        </w:rPr>
        <w:t xml:space="preserve"> </w:t>
      </w:r>
      <w:r w:rsidR="00C9769F" w:rsidRPr="00C9769F">
        <w:t>|</w:t>
      </w:r>
      <w:r w:rsidR="00C9769F" w:rsidRPr="00CD2897">
        <w:t xml:space="preserve"> </w:t>
      </w:r>
      <w:r w:rsidR="005228F1" w:rsidRPr="00CD2897">
        <w:t>Initial Study</w:t>
      </w:r>
    </w:p>
    <w:p w14:paraId="18F6D109" w14:textId="77777777" w:rsidR="00C9769F" w:rsidRDefault="00681702" w:rsidP="00C9769F">
      <w:pPr>
        <w:pStyle w:val="PROJECTNAME"/>
      </w:pPr>
      <w:bookmarkStart w:id="0" w:name="_Hlk70589898"/>
      <w:r>
        <w:t xml:space="preserve">4416 </w:t>
      </w:r>
      <w:r w:rsidR="00810B47" w:rsidRPr="00810B47">
        <w:t>AZUSA CANYON ROAD</w:t>
      </w:r>
    </w:p>
    <w:bookmarkEnd w:id="0"/>
    <w:p w14:paraId="4FBE128C" w14:textId="77777777" w:rsidR="00B02EA7" w:rsidRDefault="00810B47" w:rsidP="00CD2897">
      <w:pPr>
        <w:pStyle w:val="ClientName"/>
        <w:spacing w:after="1200"/>
      </w:pPr>
      <w:r>
        <w:t>City of Irwindale</w:t>
      </w:r>
    </w:p>
    <w:p w14:paraId="49DA5B40" w14:textId="77777777" w:rsidR="006B648D" w:rsidRDefault="006B648D" w:rsidP="00E7003F">
      <w:pPr>
        <w:pStyle w:val="Preparedforby"/>
        <w:spacing w:after="140"/>
      </w:pPr>
      <w:r>
        <w:t>Prepared for:</w:t>
      </w:r>
    </w:p>
    <w:p w14:paraId="58EB90A6" w14:textId="77777777" w:rsidR="006B648D" w:rsidRPr="00414E23" w:rsidRDefault="00810B47" w:rsidP="00414E23">
      <w:pPr>
        <w:pStyle w:val="ClientPlaceWorks"/>
      </w:pPr>
      <w:r>
        <w:t>City of Irwindale</w:t>
      </w:r>
    </w:p>
    <w:p w14:paraId="60190772" w14:textId="77777777" w:rsidR="00090DB8" w:rsidRDefault="00090DB8" w:rsidP="00090DB8">
      <w:pPr>
        <w:pStyle w:val="ContactInfo"/>
      </w:pPr>
      <w:r>
        <w:t xml:space="preserve">Contact: </w:t>
      </w:r>
      <w:r w:rsidR="00810B47" w:rsidRPr="00810B47">
        <w:t>Brandi Jones</w:t>
      </w:r>
      <w:r>
        <w:t xml:space="preserve">, </w:t>
      </w:r>
      <w:r w:rsidR="00810B47">
        <w:t>Senior Planner</w:t>
      </w:r>
    </w:p>
    <w:p w14:paraId="3B3F83C5" w14:textId="77777777" w:rsidR="00090DB8" w:rsidRDefault="00810B47" w:rsidP="00090DB8">
      <w:pPr>
        <w:pStyle w:val="ContactInfo"/>
      </w:pPr>
      <w:r w:rsidRPr="00810B47">
        <w:t>5050 Irwindale Avenue</w:t>
      </w:r>
    </w:p>
    <w:p w14:paraId="0EAEF0DD" w14:textId="77777777" w:rsidR="00090DB8" w:rsidRDefault="00810B47" w:rsidP="00090DB8">
      <w:pPr>
        <w:pStyle w:val="ContactInfo"/>
      </w:pPr>
      <w:r>
        <w:t>Irwindale</w:t>
      </w:r>
      <w:r w:rsidR="00090DB8">
        <w:t xml:space="preserve">, California </w:t>
      </w:r>
      <w:r>
        <w:rPr>
          <w:szCs w:val="20"/>
        </w:rPr>
        <w:t>91706</w:t>
      </w:r>
    </w:p>
    <w:p w14:paraId="685B0F05" w14:textId="77777777" w:rsidR="00090DB8" w:rsidRDefault="00810B47" w:rsidP="00090DB8">
      <w:pPr>
        <w:pStyle w:val="ContactInfo"/>
      </w:pPr>
      <w:r w:rsidRPr="00810B47">
        <w:t>626.430.2260</w:t>
      </w:r>
    </w:p>
    <w:p w14:paraId="085C30A0" w14:textId="77777777" w:rsidR="00CD2897" w:rsidRDefault="00CD2897" w:rsidP="00090DB8">
      <w:pPr>
        <w:pStyle w:val="ContactInfo"/>
      </w:pPr>
    </w:p>
    <w:p w14:paraId="53C21CA0" w14:textId="77777777" w:rsidR="00FC46BE" w:rsidRDefault="00FC46BE" w:rsidP="00090DB8">
      <w:pPr>
        <w:pStyle w:val="ContactInfo"/>
      </w:pPr>
    </w:p>
    <w:p w14:paraId="58D1104C" w14:textId="77777777" w:rsidR="00090DB8" w:rsidRDefault="00090DB8" w:rsidP="00090DB8">
      <w:pPr>
        <w:pStyle w:val="Preparedforby"/>
      </w:pPr>
      <w:r>
        <w:t>Prepared by:</w:t>
      </w:r>
    </w:p>
    <w:p w14:paraId="676B1C35" w14:textId="77777777" w:rsidR="00090DB8" w:rsidRDefault="00090DB8" w:rsidP="00090DB8">
      <w:pPr>
        <w:pStyle w:val="ClientPlaceWorks"/>
      </w:pPr>
      <w:r>
        <w:t>PlaceWorks</w:t>
      </w:r>
    </w:p>
    <w:p w14:paraId="13260CFA" w14:textId="5599690C" w:rsidR="00810B47" w:rsidRDefault="00810B47" w:rsidP="00810B47">
      <w:pPr>
        <w:pStyle w:val="ContactInfo"/>
      </w:pPr>
      <w:r>
        <w:t xml:space="preserve">Contact: JoAnn </w:t>
      </w:r>
      <w:r w:rsidR="00D77A23">
        <w:t xml:space="preserve">C. </w:t>
      </w:r>
      <w:r>
        <w:t>Hadfield, Principal</w:t>
      </w:r>
    </w:p>
    <w:p w14:paraId="35CC7FA1" w14:textId="77777777" w:rsidR="00090DB8" w:rsidRDefault="00090DB8" w:rsidP="00090DB8">
      <w:pPr>
        <w:pStyle w:val="ContactInfo"/>
      </w:pPr>
      <w:r>
        <w:t>3 MacArthur Place, Suite 1100</w:t>
      </w:r>
    </w:p>
    <w:p w14:paraId="01490ECC" w14:textId="77777777" w:rsidR="00090DB8" w:rsidRDefault="00090DB8" w:rsidP="00090DB8">
      <w:pPr>
        <w:pStyle w:val="ContactInfo"/>
      </w:pPr>
      <w:r>
        <w:t>Santa Ana, California 92707</w:t>
      </w:r>
    </w:p>
    <w:p w14:paraId="6AC94A46" w14:textId="77777777" w:rsidR="00090DB8" w:rsidRDefault="00090DB8" w:rsidP="00090DB8">
      <w:pPr>
        <w:pStyle w:val="ContactInfo"/>
      </w:pPr>
      <w:r>
        <w:t>714.966.9220</w:t>
      </w:r>
    </w:p>
    <w:p w14:paraId="4733590A" w14:textId="77777777" w:rsidR="00090DB8" w:rsidRDefault="00090DB8" w:rsidP="00090DB8">
      <w:pPr>
        <w:pStyle w:val="ContactInfo"/>
      </w:pPr>
      <w:r w:rsidRPr="00090DB8">
        <w:t>info@placeworks.com</w:t>
      </w:r>
    </w:p>
    <w:p w14:paraId="17EBB285" w14:textId="77777777" w:rsidR="00656823" w:rsidRDefault="00656823" w:rsidP="00E51337">
      <w:pPr>
        <w:pStyle w:val="ContactInfo"/>
      </w:pPr>
      <w:r w:rsidRPr="00656823">
        <w:t>www.placeworks.com</w:t>
      </w:r>
    </w:p>
    <w:p w14:paraId="482C62A5" w14:textId="77777777" w:rsidR="00A505AE" w:rsidRDefault="00A505AE">
      <w:pPr>
        <w:rPr>
          <w:rFonts w:ascii="Calibri Light" w:hAnsi="Calibri Light"/>
          <w:sz w:val="20"/>
        </w:rPr>
      </w:pPr>
      <w:r>
        <w:br w:type="page"/>
      </w:r>
    </w:p>
    <w:p w14:paraId="69D134F9" w14:textId="77777777" w:rsidR="00656823" w:rsidRDefault="00656823" w:rsidP="00656823">
      <w:pPr>
        <w:pStyle w:val="ContactInfo"/>
        <w:jc w:val="center"/>
      </w:pPr>
    </w:p>
    <w:p w14:paraId="19EA16EA" w14:textId="77777777" w:rsidR="00D10CF6" w:rsidRDefault="00D10CF6" w:rsidP="00E51337">
      <w:pPr>
        <w:pStyle w:val="ContactInfo"/>
        <w:sectPr w:rsidR="00D10CF6" w:rsidSect="004304C8">
          <w:footerReference w:type="default" r:id="rId8"/>
          <w:pgSz w:w="12240" w:h="15840"/>
          <w:pgMar w:top="5760" w:right="1267" w:bottom="1260" w:left="720" w:header="720" w:footer="720" w:gutter="0"/>
          <w:cols w:space="720"/>
          <w:docGrid w:linePitch="360"/>
        </w:sectPr>
      </w:pPr>
    </w:p>
    <w:p w14:paraId="447DDC69" w14:textId="77777777" w:rsidR="00D10CF6" w:rsidRPr="007E52F7" w:rsidRDefault="00D10CF6" w:rsidP="00D10CF6">
      <w:pPr>
        <w:pStyle w:val="TOCHeading2"/>
      </w:pPr>
      <w:r w:rsidRPr="007E52F7">
        <w:lastRenderedPageBreak/>
        <w:t>Section</w:t>
      </w:r>
      <w:r w:rsidRPr="007E52F7">
        <w:tab/>
        <w:t>Page</w:t>
      </w:r>
    </w:p>
    <w:p w14:paraId="54398012" w14:textId="07DBC13D" w:rsidR="000C1AB6" w:rsidRDefault="006E2046">
      <w:pPr>
        <w:pStyle w:val="TOC1"/>
        <w:rPr>
          <w:rFonts w:asciiTheme="minorHAnsi" w:eastAsiaTheme="minorEastAsia" w:hAnsiTheme="minorHAnsi" w:cstheme="minorBidi"/>
          <w:b w:val="0"/>
          <w:caps w:val="0"/>
          <w:noProof/>
          <w:kern w:val="0"/>
          <w:szCs w:val="22"/>
        </w:rPr>
      </w:pPr>
      <w:r>
        <w:rPr>
          <w:b w:val="0"/>
          <w:caps w:val="0"/>
        </w:rPr>
        <w:fldChar w:fldCharType="begin"/>
      </w:r>
      <w:r>
        <w:rPr>
          <w:b w:val="0"/>
          <w:caps w:val="0"/>
        </w:rPr>
        <w:instrText xml:space="preserve"> TOC \o "1-2" \h \z </w:instrText>
      </w:r>
      <w:r>
        <w:rPr>
          <w:b w:val="0"/>
          <w:caps w:val="0"/>
        </w:rPr>
        <w:fldChar w:fldCharType="separate"/>
      </w:r>
      <w:hyperlink w:anchor="_Toc90882139" w:history="1">
        <w:r w:rsidR="000C1AB6" w:rsidRPr="00747211">
          <w:rPr>
            <w:rStyle w:val="Hyperlink"/>
            <w:noProof/>
          </w:rPr>
          <w:t>1.</w:t>
        </w:r>
        <w:r w:rsidR="000C1AB6">
          <w:rPr>
            <w:rFonts w:asciiTheme="minorHAnsi" w:eastAsiaTheme="minorEastAsia" w:hAnsiTheme="minorHAnsi" w:cstheme="minorBidi"/>
            <w:b w:val="0"/>
            <w:caps w:val="0"/>
            <w:noProof/>
            <w:kern w:val="0"/>
            <w:szCs w:val="22"/>
          </w:rPr>
          <w:tab/>
        </w:r>
        <w:r w:rsidR="000C1AB6" w:rsidRPr="00747211">
          <w:rPr>
            <w:rStyle w:val="Hyperlink"/>
            <w:noProof/>
          </w:rPr>
          <w:t>Introduction</w:t>
        </w:r>
        <w:r w:rsidR="000C1AB6">
          <w:rPr>
            <w:noProof/>
            <w:webHidden/>
          </w:rPr>
          <w:tab/>
        </w:r>
        <w:r w:rsidR="000C1AB6">
          <w:rPr>
            <w:noProof/>
            <w:webHidden/>
          </w:rPr>
          <w:fldChar w:fldCharType="begin"/>
        </w:r>
        <w:r w:rsidR="000C1AB6">
          <w:rPr>
            <w:noProof/>
            <w:webHidden/>
          </w:rPr>
          <w:instrText xml:space="preserve"> PAGEREF _Toc90882139 \h </w:instrText>
        </w:r>
        <w:r w:rsidR="000C1AB6">
          <w:rPr>
            <w:noProof/>
            <w:webHidden/>
          </w:rPr>
        </w:r>
        <w:r w:rsidR="000C1AB6">
          <w:rPr>
            <w:noProof/>
            <w:webHidden/>
          </w:rPr>
          <w:fldChar w:fldCharType="separate"/>
        </w:r>
        <w:r w:rsidR="000C1AB6">
          <w:rPr>
            <w:noProof/>
            <w:webHidden/>
          </w:rPr>
          <w:t>1</w:t>
        </w:r>
        <w:r w:rsidR="000C1AB6">
          <w:rPr>
            <w:noProof/>
            <w:webHidden/>
          </w:rPr>
          <w:fldChar w:fldCharType="end"/>
        </w:r>
      </w:hyperlink>
    </w:p>
    <w:p w14:paraId="3CF327A7" w14:textId="2CF53015" w:rsidR="000C1AB6" w:rsidRDefault="000C1AB6">
      <w:pPr>
        <w:pStyle w:val="TOC2"/>
        <w:tabs>
          <w:tab w:val="left" w:pos="1440"/>
        </w:tabs>
        <w:rPr>
          <w:rFonts w:asciiTheme="minorHAnsi" w:eastAsiaTheme="minorEastAsia" w:hAnsiTheme="minorHAnsi" w:cstheme="minorBidi"/>
          <w:caps w:val="0"/>
          <w:noProof/>
          <w:kern w:val="0"/>
          <w:szCs w:val="22"/>
        </w:rPr>
      </w:pPr>
      <w:hyperlink w:anchor="_Toc90882140" w:history="1">
        <w:r w:rsidRPr="00747211">
          <w:rPr>
            <w:rStyle w:val="Hyperlink"/>
            <w:noProof/>
          </w:rPr>
          <w:t>1.1</w:t>
        </w:r>
        <w:r>
          <w:rPr>
            <w:rFonts w:asciiTheme="minorHAnsi" w:eastAsiaTheme="minorEastAsia" w:hAnsiTheme="minorHAnsi" w:cstheme="minorBidi"/>
            <w:caps w:val="0"/>
            <w:noProof/>
            <w:kern w:val="0"/>
            <w:szCs w:val="22"/>
          </w:rPr>
          <w:tab/>
        </w:r>
        <w:r w:rsidRPr="00747211">
          <w:rPr>
            <w:rStyle w:val="Hyperlink"/>
            <w:noProof/>
          </w:rPr>
          <w:t>Project Overview</w:t>
        </w:r>
        <w:r>
          <w:rPr>
            <w:noProof/>
            <w:webHidden/>
          </w:rPr>
          <w:tab/>
        </w:r>
        <w:r>
          <w:rPr>
            <w:noProof/>
            <w:webHidden/>
          </w:rPr>
          <w:fldChar w:fldCharType="begin"/>
        </w:r>
        <w:r>
          <w:rPr>
            <w:noProof/>
            <w:webHidden/>
          </w:rPr>
          <w:instrText xml:space="preserve"> PAGEREF _Toc90882140 \h </w:instrText>
        </w:r>
        <w:r>
          <w:rPr>
            <w:noProof/>
            <w:webHidden/>
          </w:rPr>
        </w:r>
        <w:r>
          <w:rPr>
            <w:noProof/>
            <w:webHidden/>
          </w:rPr>
          <w:fldChar w:fldCharType="separate"/>
        </w:r>
        <w:r>
          <w:rPr>
            <w:noProof/>
            <w:webHidden/>
          </w:rPr>
          <w:t>1</w:t>
        </w:r>
        <w:r>
          <w:rPr>
            <w:noProof/>
            <w:webHidden/>
          </w:rPr>
          <w:fldChar w:fldCharType="end"/>
        </w:r>
      </w:hyperlink>
    </w:p>
    <w:p w14:paraId="574507D6" w14:textId="2181E838" w:rsidR="000C1AB6" w:rsidRDefault="000C1AB6">
      <w:pPr>
        <w:pStyle w:val="TOC2"/>
        <w:tabs>
          <w:tab w:val="left" w:pos="1440"/>
        </w:tabs>
        <w:rPr>
          <w:rFonts w:asciiTheme="minorHAnsi" w:eastAsiaTheme="minorEastAsia" w:hAnsiTheme="minorHAnsi" w:cstheme="minorBidi"/>
          <w:caps w:val="0"/>
          <w:noProof/>
          <w:kern w:val="0"/>
          <w:szCs w:val="22"/>
        </w:rPr>
      </w:pPr>
      <w:hyperlink w:anchor="_Toc90882141" w:history="1">
        <w:r w:rsidRPr="00747211">
          <w:rPr>
            <w:rStyle w:val="Hyperlink"/>
            <w:noProof/>
          </w:rPr>
          <w:t>1.2</w:t>
        </w:r>
        <w:r>
          <w:rPr>
            <w:rFonts w:asciiTheme="minorHAnsi" w:eastAsiaTheme="minorEastAsia" w:hAnsiTheme="minorHAnsi" w:cstheme="minorBidi"/>
            <w:caps w:val="0"/>
            <w:noProof/>
            <w:kern w:val="0"/>
            <w:szCs w:val="22"/>
          </w:rPr>
          <w:tab/>
        </w:r>
        <w:r w:rsidRPr="00747211">
          <w:rPr>
            <w:rStyle w:val="Hyperlink"/>
            <w:noProof/>
          </w:rPr>
          <w:t>Purpose of CEQA and the Initial Study</w:t>
        </w:r>
        <w:r>
          <w:rPr>
            <w:noProof/>
            <w:webHidden/>
          </w:rPr>
          <w:tab/>
        </w:r>
        <w:r>
          <w:rPr>
            <w:noProof/>
            <w:webHidden/>
          </w:rPr>
          <w:fldChar w:fldCharType="begin"/>
        </w:r>
        <w:r>
          <w:rPr>
            <w:noProof/>
            <w:webHidden/>
          </w:rPr>
          <w:instrText xml:space="preserve"> PAGEREF _Toc90882141 \h </w:instrText>
        </w:r>
        <w:r>
          <w:rPr>
            <w:noProof/>
            <w:webHidden/>
          </w:rPr>
        </w:r>
        <w:r>
          <w:rPr>
            <w:noProof/>
            <w:webHidden/>
          </w:rPr>
          <w:fldChar w:fldCharType="separate"/>
        </w:r>
        <w:r>
          <w:rPr>
            <w:noProof/>
            <w:webHidden/>
          </w:rPr>
          <w:t>1</w:t>
        </w:r>
        <w:r>
          <w:rPr>
            <w:noProof/>
            <w:webHidden/>
          </w:rPr>
          <w:fldChar w:fldCharType="end"/>
        </w:r>
      </w:hyperlink>
    </w:p>
    <w:p w14:paraId="0E4A723D" w14:textId="20931D50" w:rsidR="000C1AB6" w:rsidRDefault="000C1AB6">
      <w:pPr>
        <w:pStyle w:val="TOC2"/>
        <w:tabs>
          <w:tab w:val="left" w:pos="1440"/>
        </w:tabs>
        <w:rPr>
          <w:rFonts w:asciiTheme="minorHAnsi" w:eastAsiaTheme="minorEastAsia" w:hAnsiTheme="minorHAnsi" w:cstheme="minorBidi"/>
          <w:caps w:val="0"/>
          <w:noProof/>
          <w:kern w:val="0"/>
          <w:szCs w:val="22"/>
        </w:rPr>
      </w:pPr>
      <w:hyperlink w:anchor="_Toc90882142" w:history="1">
        <w:r w:rsidRPr="00747211">
          <w:rPr>
            <w:rStyle w:val="Hyperlink"/>
            <w:noProof/>
          </w:rPr>
          <w:t>1.3</w:t>
        </w:r>
        <w:r>
          <w:rPr>
            <w:rFonts w:asciiTheme="minorHAnsi" w:eastAsiaTheme="minorEastAsia" w:hAnsiTheme="minorHAnsi" w:cstheme="minorBidi"/>
            <w:caps w:val="0"/>
            <w:noProof/>
            <w:kern w:val="0"/>
            <w:szCs w:val="22"/>
          </w:rPr>
          <w:tab/>
        </w:r>
        <w:r w:rsidRPr="00747211">
          <w:rPr>
            <w:rStyle w:val="Hyperlink"/>
            <w:noProof/>
          </w:rPr>
          <w:t>Project Location</w:t>
        </w:r>
        <w:r>
          <w:rPr>
            <w:noProof/>
            <w:webHidden/>
          </w:rPr>
          <w:tab/>
        </w:r>
        <w:r>
          <w:rPr>
            <w:noProof/>
            <w:webHidden/>
          </w:rPr>
          <w:fldChar w:fldCharType="begin"/>
        </w:r>
        <w:r>
          <w:rPr>
            <w:noProof/>
            <w:webHidden/>
          </w:rPr>
          <w:instrText xml:space="preserve"> PAGEREF _Toc90882142 \h </w:instrText>
        </w:r>
        <w:r>
          <w:rPr>
            <w:noProof/>
            <w:webHidden/>
          </w:rPr>
        </w:r>
        <w:r>
          <w:rPr>
            <w:noProof/>
            <w:webHidden/>
          </w:rPr>
          <w:fldChar w:fldCharType="separate"/>
        </w:r>
        <w:r>
          <w:rPr>
            <w:noProof/>
            <w:webHidden/>
          </w:rPr>
          <w:t>2</w:t>
        </w:r>
        <w:r>
          <w:rPr>
            <w:noProof/>
            <w:webHidden/>
          </w:rPr>
          <w:fldChar w:fldCharType="end"/>
        </w:r>
      </w:hyperlink>
    </w:p>
    <w:p w14:paraId="590D4B4D" w14:textId="7DD6CE9B" w:rsidR="000C1AB6" w:rsidRDefault="000C1AB6">
      <w:pPr>
        <w:pStyle w:val="TOC2"/>
        <w:tabs>
          <w:tab w:val="left" w:pos="1440"/>
        </w:tabs>
        <w:rPr>
          <w:rFonts w:asciiTheme="minorHAnsi" w:eastAsiaTheme="minorEastAsia" w:hAnsiTheme="minorHAnsi" w:cstheme="minorBidi"/>
          <w:caps w:val="0"/>
          <w:noProof/>
          <w:kern w:val="0"/>
          <w:szCs w:val="22"/>
        </w:rPr>
      </w:pPr>
      <w:hyperlink w:anchor="_Toc90882143" w:history="1">
        <w:r w:rsidRPr="00747211">
          <w:rPr>
            <w:rStyle w:val="Hyperlink"/>
            <w:noProof/>
          </w:rPr>
          <w:t>1.4</w:t>
        </w:r>
        <w:r>
          <w:rPr>
            <w:rFonts w:asciiTheme="minorHAnsi" w:eastAsiaTheme="minorEastAsia" w:hAnsiTheme="minorHAnsi" w:cstheme="minorBidi"/>
            <w:caps w:val="0"/>
            <w:noProof/>
            <w:kern w:val="0"/>
            <w:szCs w:val="22"/>
          </w:rPr>
          <w:tab/>
        </w:r>
        <w:r w:rsidRPr="00747211">
          <w:rPr>
            <w:rStyle w:val="Hyperlink"/>
            <w:noProof/>
          </w:rPr>
          <w:t>Environmental Setting</w:t>
        </w:r>
        <w:r>
          <w:rPr>
            <w:noProof/>
            <w:webHidden/>
          </w:rPr>
          <w:tab/>
        </w:r>
        <w:r>
          <w:rPr>
            <w:noProof/>
            <w:webHidden/>
          </w:rPr>
          <w:fldChar w:fldCharType="begin"/>
        </w:r>
        <w:r>
          <w:rPr>
            <w:noProof/>
            <w:webHidden/>
          </w:rPr>
          <w:instrText xml:space="preserve"> PAGEREF _Toc90882143 \h </w:instrText>
        </w:r>
        <w:r>
          <w:rPr>
            <w:noProof/>
            <w:webHidden/>
          </w:rPr>
        </w:r>
        <w:r>
          <w:rPr>
            <w:noProof/>
            <w:webHidden/>
          </w:rPr>
          <w:fldChar w:fldCharType="separate"/>
        </w:r>
        <w:r>
          <w:rPr>
            <w:noProof/>
            <w:webHidden/>
          </w:rPr>
          <w:t>7</w:t>
        </w:r>
        <w:r>
          <w:rPr>
            <w:noProof/>
            <w:webHidden/>
          </w:rPr>
          <w:fldChar w:fldCharType="end"/>
        </w:r>
      </w:hyperlink>
    </w:p>
    <w:p w14:paraId="6E0EAB33" w14:textId="58ADFF36" w:rsidR="000C1AB6" w:rsidRDefault="000C1AB6">
      <w:pPr>
        <w:pStyle w:val="TOC2"/>
        <w:tabs>
          <w:tab w:val="left" w:pos="1440"/>
        </w:tabs>
        <w:rPr>
          <w:rFonts w:asciiTheme="minorHAnsi" w:eastAsiaTheme="minorEastAsia" w:hAnsiTheme="minorHAnsi" w:cstheme="minorBidi"/>
          <w:caps w:val="0"/>
          <w:noProof/>
          <w:kern w:val="0"/>
          <w:szCs w:val="22"/>
        </w:rPr>
      </w:pPr>
      <w:hyperlink w:anchor="_Toc90882144" w:history="1">
        <w:r w:rsidRPr="00747211">
          <w:rPr>
            <w:rStyle w:val="Hyperlink"/>
            <w:noProof/>
          </w:rPr>
          <w:t>1.5</w:t>
        </w:r>
        <w:r>
          <w:rPr>
            <w:rFonts w:asciiTheme="minorHAnsi" w:eastAsiaTheme="minorEastAsia" w:hAnsiTheme="minorHAnsi" w:cstheme="minorBidi"/>
            <w:caps w:val="0"/>
            <w:noProof/>
            <w:kern w:val="0"/>
            <w:szCs w:val="22"/>
          </w:rPr>
          <w:tab/>
        </w:r>
        <w:r w:rsidRPr="00747211">
          <w:rPr>
            <w:rStyle w:val="Hyperlink"/>
            <w:noProof/>
          </w:rPr>
          <w:t>Environmental Resources</w:t>
        </w:r>
        <w:r>
          <w:rPr>
            <w:noProof/>
            <w:webHidden/>
          </w:rPr>
          <w:tab/>
        </w:r>
        <w:r>
          <w:rPr>
            <w:noProof/>
            <w:webHidden/>
          </w:rPr>
          <w:fldChar w:fldCharType="begin"/>
        </w:r>
        <w:r>
          <w:rPr>
            <w:noProof/>
            <w:webHidden/>
          </w:rPr>
          <w:instrText xml:space="preserve"> PAGEREF _Toc90882144 \h </w:instrText>
        </w:r>
        <w:r>
          <w:rPr>
            <w:noProof/>
            <w:webHidden/>
          </w:rPr>
        </w:r>
        <w:r>
          <w:rPr>
            <w:noProof/>
            <w:webHidden/>
          </w:rPr>
          <w:fldChar w:fldCharType="separate"/>
        </w:r>
        <w:r>
          <w:rPr>
            <w:noProof/>
            <w:webHidden/>
          </w:rPr>
          <w:t>7</w:t>
        </w:r>
        <w:r>
          <w:rPr>
            <w:noProof/>
            <w:webHidden/>
          </w:rPr>
          <w:fldChar w:fldCharType="end"/>
        </w:r>
      </w:hyperlink>
    </w:p>
    <w:p w14:paraId="43CAC8C0" w14:textId="23DB99F3" w:rsidR="000C1AB6" w:rsidRDefault="000C1AB6">
      <w:pPr>
        <w:pStyle w:val="TOC2"/>
        <w:tabs>
          <w:tab w:val="left" w:pos="1440"/>
        </w:tabs>
        <w:rPr>
          <w:rFonts w:asciiTheme="minorHAnsi" w:eastAsiaTheme="minorEastAsia" w:hAnsiTheme="minorHAnsi" w:cstheme="minorBidi"/>
          <w:caps w:val="0"/>
          <w:noProof/>
          <w:kern w:val="0"/>
          <w:szCs w:val="22"/>
        </w:rPr>
      </w:pPr>
      <w:hyperlink w:anchor="_Toc90882145" w:history="1">
        <w:r w:rsidRPr="00747211">
          <w:rPr>
            <w:rStyle w:val="Hyperlink"/>
            <w:noProof/>
          </w:rPr>
          <w:t>1.6</w:t>
        </w:r>
        <w:r>
          <w:rPr>
            <w:rFonts w:asciiTheme="minorHAnsi" w:eastAsiaTheme="minorEastAsia" w:hAnsiTheme="minorHAnsi" w:cstheme="minorBidi"/>
            <w:caps w:val="0"/>
            <w:noProof/>
            <w:kern w:val="0"/>
            <w:szCs w:val="22"/>
          </w:rPr>
          <w:tab/>
        </w:r>
        <w:r w:rsidRPr="00747211">
          <w:rPr>
            <w:rStyle w:val="Hyperlink"/>
            <w:noProof/>
          </w:rPr>
          <w:t>PROJECT DESCRIPTION</w:t>
        </w:r>
        <w:r>
          <w:rPr>
            <w:noProof/>
            <w:webHidden/>
          </w:rPr>
          <w:tab/>
        </w:r>
        <w:r>
          <w:rPr>
            <w:noProof/>
            <w:webHidden/>
          </w:rPr>
          <w:fldChar w:fldCharType="begin"/>
        </w:r>
        <w:r>
          <w:rPr>
            <w:noProof/>
            <w:webHidden/>
          </w:rPr>
          <w:instrText xml:space="preserve"> PAGEREF _Toc90882145 \h </w:instrText>
        </w:r>
        <w:r>
          <w:rPr>
            <w:noProof/>
            <w:webHidden/>
          </w:rPr>
        </w:r>
        <w:r>
          <w:rPr>
            <w:noProof/>
            <w:webHidden/>
          </w:rPr>
          <w:fldChar w:fldCharType="separate"/>
        </w:r>
        <w:r>
          <w:rPr>
            <w:noProof/>
            <w:webHidden/>
          </w:rPr>
          <w:t>8</w:t>
        </w:r>
        <w:r>
          <w:rPr>
            <w:noProof/>
            <w:webHidden/>
          </w:rPr>
          <w:fldChar w:fldCharType="end"/>
        </w:r>
      </w:hyperlink>
    </w:p>
    <w:p w14:paraId="55844617" w14:textId="1BDD12A1" w:rsidR="000C1AB6" w:rsidRDefault="000C1AB6">
      <w:pPr>
        <w:pStyle w:val="TOC2"/>
        <w:tabs>
          <w:tab w:val="left" w:pos="1440"/>
        </w:tabs>
        <w:rPr>
          <w:rFonts w:asciiTheme="minorHAnsi" w:eastAsiaTheme="minorEastAsia" w:hAnsiTheme="minorHAnsi" w:cstheme="minorBidi"/>
          <w:caps w:val="0"/>
          <w:noProof/>
          <w:kern w:val="0"/>
          <w:szCs w:val="22"/>
        </w:rPr>
      </w:pPr>
      <w:hyperlink w:anchor="_Toc90882146" w:history="1">
        <w:r w:rsidRPr="00747211">
          <w:rPr>
            <w:rStyle w:val="Hyperlink"/>
            <w:noProof/>
          </w:rPr>
          <w:t>1.7</w:t>
        </w:r>
        <w:r>
          <w:rPr>
            <w:rFonts w:asciiTheme="minorHAnsi" w:eastAsiaTheme="minorEastAsia" w:hAnsiTheme="minorHAnsi" w:cstheme="minorBidi"/>
            <w:caps w:val="0"/>
            <w:noProof/>
            <w:kern w:val="0"/>
            <w:szCs w:val="22"/>
          </w:rPr>
          <w:tab/>
        </w:r>
        <w:r w:rsidRPr="00747211">
          <w:rPr>
            <w:rStyle w:val="Hyperlink"/>
            <w:noProof/>
          </w:rPr>
          <w:t>Baseline Conditions</w:t>
        </w:r>
        <w:r>
          <w:rPr>
            <w:noProof/>
            <w:webHidden/>
          </w:rPr>
          <w:tab/>
        </w:r>
        <w:r>
          <w:rPr>
            <w:noProof/>
            <w:webHidden/>
          </w:rPr>
          <w:fldChar w:fldCharType="begin"/>
        </w:r>
        <w:r>
          <w:rPr>
            <w:noProof/>
            <w:webHidden/>
          </w:rPr>
          <w:instrText xml:space="preserve"> PAGEREF _Toc90882146 \h </w:instrText>
        </w:r>
        <w:r>
          <w:rPr>
            <w:noProof/>
            <w:webHidden/>
          </w:rPr>
        </w:r>
        <w:r>
          <w:rPr>
            <w:noProof/>
            <w:webHidden/>
          </w:rPr>
          <w:fldChar w:fldCharType="separate"/>
        </w:r>
        <w:r>
          <w:rPr>
            <w:noProof/>
            <w:webHidden/>
          </w:rPr>
          <w:t>32</w:t>
        </w:r>
        <w:r>
          <w:rPr>
            <w:noProof/>
            <w:webHidden/>
          </w:rPr>
          <w:fldChar w:fldCharType="end"/>
        </w:r>
      </w:hyperlink>
    </w:p>
    <w:p w14:paraId="4E81C01D" w14:textId="5B391121" w:rsidR="000C1AB6" w:rsidRDefault="000C1AB6">
      <w:pPr>
        <w:pStyle w:val="TOC1"/>
        <w:rPr>
          <w:rFonts w:asciiTheme="minorHAnsi" w:eastAsiaTheme="minorEastAsia" w:hAnsiTheme="minorHAnsi" w:cstheme="minorBidi"/>
          <w:b w:val="0"/>
          <w:caps w:val="0"/>
          <w:noProof/>
          <w:kern w:val="0"/>
          <w:szCs w:val="22"/>
        </w:rPr>
      </w:pPr>
      <w:hyperlink w:anchor="_Toc90882147" w:history="1">
        <w:r w:rsidRPr="00747211">
          <w:rPr>
            <w:rStyle w:val="Hyperlink"/>
            <w:noProof/>
          </w:rPr>
          <w:t>2.</w:t>
        </w:r>
        <w:r>
          <w:rPr>
            <w:rFonts w:asciiTheme="minorHAnsi" w:eastAsiaTheme="minorEastAsia" w:hAnsiTheme="minorHAnsi" w:cstheme="minorBidi"/>
            <w:b w:val="0"/>
            <w:caps w:val="0"/>
            <w:noProof/>
            <w:kern w:val="0"/>
            <w:szCs w:val="22"/>
          </w:rPr>
          <w:tab/>
        </w:r>
        <w:r w:rsidRPr="00747211">
          <w:rPr>
            <w:rStyle w:val="Hyperlink"/>
            <w:noProof/>
          </w:rPr>
          <w:t>Environmental Checklist</w:t>
        </w:r>
        <w:r>
          <w:rPr>
            <w:noProof/>
            <w:webHidden/>
          </w:rPr>
          <w:tab/>
        </w:r>
        <w:r>
          <w:rPr>
            <w:noProof/>
            <w:webHidden/>
          </w:rPr>
          <w:fldChar w:fldCharType="begin"/>
        </w:r>
        <w:r>
          <w:rPr>
            <w:noProof/>
            <w:webHidden/>
          </w:rPr>
          <w:instrText xml:space="preserve"> PAGEREF _Toc90882147 \h </w:instrText>
        </w:r>
        <w:r>
          <w:rPr>
            <w:noProof/>
            <w:webHidden/>
          </w:rPr>
        </w:r>
        <w:r>
          <w:rPr>
            <w:noProof/>
            <w:webHidden/>
          </w:rPr>
          <w:fldChar w:fldCharType="separate"/>
        </w:r>
        <w:r>
          <w:rPr>
            <w:noProof/>
            <w:webHidden/>
          </w:rPr>
          <w:t>33</w:t>
        </w:r>
        <w:r>
          <w:rPr>
            <w:noProof/>
            <w:webHidden/>
          </w:rPr>
          <w:fldChar w:fldCharType="end"/>
        </w:r>
      </w:hyperlink>
    </w:p>
    <w:p w14:paraId="62B3F79E" w14:textId="4B464E1C" w:rsidR="000C1AB6" w:rsidRDefault="000C1AB6">
      <w:pPr>
        <w:pStyle w:val="TOC2"/>
        <w:tabs>
          <w:tab w:val="left" w:pos="1440"/>
        </w:tabs>
        <w:rPr>
          <w:rFonts w:asciiTheme="minorHAnsi" w:eastAsiaTheme="minorEastAsia" w:hAnsiTheme="minorHAnsi" w:cstheme="minorBidi"/>
          <w:caps w:val="0"/>
          <w:noProof/>
          <w:kern w:val="0"/>
          <w:szCs w:val="22"/>
        </w:rPr>
      </w:pPr>
      <w:hyperlink w:anchor="_Toc90882148" w:history="1">
        <w:r w:rsidRPr="00747211">
          <w:rPr>
            <w:rStyle w:val="Hyperlink"/>
            <w:noProof/>
          </w:rPr>
          <w:t>2.1</w:t>
        </w:r>
        <w:r>
          <w:rPr>
            <w:rFonts w:asciiTheme="minorHAnsi" w:eastAsiaTheme="minorEastAsia" w:hAnsiTheme="minorHAnsi" w:cstheme="minorBidi"/>
            <w:caps w:val="0"/>
            <w:noProof/>
            <w:kern w:val="0"/>
            <w:szCs w:val="22"/>
          </w:rPr>
          <w:tab/>
        </w:r>
        <w:r w:rsidRPr="00747211">
          <w:rPr>
            <w:rStyle w:val="Hyperlink"/>
            <w:noProof/>
          </w:rPr>
          <w:t>Project Information</w:t>
        </w:r>
        <w:r>
          <w:rPr>
            <w:noProof/>
            <w:webHidden/>
          </w:rPr>
          <w:tab/>
        </w:r>
        <w:r>
          <w:rPr>
            <w:noProof/>
            <w:webHidden/>
          </w:rPr>
          <w:fldChar w:fldCharType="begin"/>
        </w:r>
        <w:r>
          <w:rPr>
            <w:noProof/>
            <w:webHidden/>
          </w:rPr>
          <w:instrText xml:space="preserve"> PAGEREF _Toc90882148 \h </w:instrText>
        </w:r>
        <w:r>
          <w:rPr>
            <w:noProof/>
            <w:webHidden/>
          </w:rPr>
        </w:r>
        <w:r>
          <w:rPr>
            <w:noProof/>
            <w:webHidden/>
          </w:rPr>
          <w:fldChar w:fldCharType="separate"/>
        </w:r>
        <w:r>
          <w:rPr>
            <w:noProof/>
            <w:webHidden/>
          </w:rPr>
          <w:t>33</w:t>
        </w:r>
        <w:r>
          <w:rPr>
            <w:noProof/>
            <w:webHidden/>
          </w:rPr>
          <w:fldChar w:fldCharType="end"/>
        </w:r>
      </w:hyperlink>
    </w:p>
    <w:p w14:paraId="2D2F557F" w14:textId="65861180" w:rsidR="000C1AB6" w:rsidRDefault="000C1AB6">
      <w:pPr>
        <w:pStyle w:val="TOC2"/>
        <w:tabs>
          <w:tab w:val="left" w:pos="1440"/>
        </w:tabs>
        <w:rPr>
          <w:rFonts w:asciiTheme="minorHAnsi" w:eastAsiaTheme="minorEastAsia" w:hAnsiTheme="minorHAnsi" w:cstheme="minorBidi"/>
          <w:caps w:val="0"/>
          <w:noProof/>
          <w:kern w:val="0"/>
          <w:szCs w:val="22"/>
        </w:rPr>
      </w:pPr>
      <w:hyperlink w:anchor="_Toc90882149" w:history="1">
        <w:r w:rsidRPr="00747211">
          <w:rPr>
            <w:rStyle w:val="Hyperlink"/>
            <w:noProof/>
          </w:rPr>
          <w:t>2.2</w:t>
        </w:r>
        <w:r>
          <w:rPr>
            <w:rFonts w:asciiTheme="minorHAnsi" w:eastAsiaTheme="minorEastAsia" w:hAnsiTheme="minorHAnsi" w:cstheme="minorBidi"/>
            <w:caps w:val="0"/>
            <w:noProof/>
            <w:kern w:val="0"/>
            <w:szCs w:val="22"/>
          </w:rPr>
          <w:tab/>
        </w:r>
        <w:r w:rsidRPr="00747211">
          <w:rPr>
            <w:rStyle w:val="Hyperlink"/>
            <w:noProof/>
          </w:rPr>
          <w:t>ENVIRONMENTAL FACTORS POTENTIALLY AFFECTED</w:t>
        </w:r>
        <w:r>
          <w:rPr>
            <w:noProof/>
            <w:webHidden/>
          </w:rPr>
          <w:tab/>
        </w:r>
        <w:r>
          <w:rPr>
            <w:noProof/>
            <w:webHidden/>
          </w:rPr>
          <w:fldChar w:fldCharType="begin"/>
        </w:r>
        <w:r>
          <w:rPr>
            <w:noProof/>
            <w:webHidden/>
          </w:rPr>
          <w:instrText xml:space="preserve"> PAGEREF _Toc90882149 \h </w:instrText>
        </w:r>
        <w:r>
          <w:rPr>
            <w:noProof/>
            <w:webHidden/>
          </w:rPr>
        </w:r>
        <w:r>
          <w:rPr>
            <w:noProof/>
            <w:webHidden/>
          </w:rPr>
          <w:fldChar w:fldCharType="separate"/>
        </w:r>
        <w:r>
          <w:rPr>
            <w:noProof/>
            <w:webHidden/>
          </w:rPr>
          <w:t>36</w:t>
        </w:r>
        <w:r>
          <w:rPr>
            <w:noProof/>
            <w:webHidden/>
          </w:rPr>
          <w:fldChar w:fldCharType="end"/>
        </w:r>
      </w:hyperlink>
    </w:p>
    <w:p w14:paraId="0BEFAE99" w14:textId="6AD13AD4" w:rsidR="000C1AB6" w:rsidRDefault="000C1AB6">
      <w:pPr>
        <w:pStyle w:val="TOC2"/>
        <w:tabs>
          <w:tab w:val="left" w:pos="1440"/>
        </w:tabs>
        <w:rPr>
          <w:rFonts w:asciiTheme="minorHAnsi" w:eastAsiaTheme="minorEastAsia" w:hAnsiTheme="minorHAnsi" w:cstheme="minorBidi"/>
          <w:caps w:val="0"/>
          <w:noProof/>
          <w:kern w:val="0"/>
          <w:szCs w:val="22"/>
        </w:rPr>
      </w:pPr>
      <w:hyperlink w:anchor="_Toc90882150" w:history="1">
        <w:r w:rsidRPr="00747211">
          <w:rPr>
            <w:rStyle w:val="Hyperlink"/>
            <w:noProof/>
          </w:rPr>
          <w:t>2.3</w:t>
        </w:r>
        <w:r>
          <w:rPr>
            <w:rFonts w:asciiTheme="minorHAnsi" w:eastAsiaTheme="minorEastAsia" w:hAnsiTheme="minorHAnsi" w:cstheme="minorBidi"/>
            <w:caps w:val="0"/>
            <w:noProof/>
            <w:kern w:val="0"/>
            <w:szCs w:val="22"/>
          </w:rPr>
          <w:tab/>
        </w:r>
        <w:r w:rsidRPr="00747211">
          <w:rPr>
            <w:rStyle w:val="Hyperlink"/>
            <w:noProof/>
          </w:rPr>
          <w:t>DETERMINATION (To Be Completed by the Lead Agency)</w:t>
        </w:r>
        <w:r>
          <w:rPr>
            <w:noProof/>
            <w:webHidden/>
          </w:rPr>
          <w:tab/>
        </w:r>
        <w:r>
          <w:rPr>
            <w:noProof/>
            <w:webHidden/>
          </w:rPr>
          <w:fldChar w:fldCharType="begin"/>
        </w:r>
        <w:r>
          <w:rPr>
            <w:noProof/>
            <w:webHidden/>
          </w:rPr>
          <w:instrText xml:space="preserve"> PAGEREF _Toc90882150 \h </w:instrText>
        </w:r>
        <w:r>
          <w:rPr>
            <w:noProof/>
            <w:webHidden/>
          </w:rPr>
        </w:r>
        <w:r>
          <w:rPr>
            <w:noProof/>
            <w:webHidden/>
          </w:rPr>
          <w:fldChar w:fldCharType="separate"/>
        </w:r>
        <w:r>
          <w:rPr>
            <w:noProof/>
            <w:webHidden/>
          </w:rPr>
          <w:t>36</w:t>
        </w:r>
        <w:r>
          <w:rPr>
            <w:noProof/>
            <w:webHidden/>
          </w:rPr>
          <w:fldChar w:fldCharType="end"/>
        </w:r>
      </w:hyperlink>
    </w:p>
    <w:p w14:paraId="0509E5AC" w14:textId="7379B605" w:rsidR="000C1AB6" w:rsidRDefault="000C1AB6">
      <w:pPr>
        <w:pStyle w:val="TOC2"/>
        <w:tabs>
          <w:tab w:val="left" w:pos="1440"/>
        </w:tabs>
        <w:rPr>
          <w:rFonts w:asciiTheme="minorHAnsi" w:eastAsiaTheme="minorEastAsia" w:hAnsiTheme="minorHAnsi" w:cstheme="minorBidi"/>
          <w:caps w:val="0"/>
          <w:noProof/>
          <w:kern w:val="0"/>
          <w:szCs w:val="22"/>
        </w:rPr>
      </w:pPr>
      <w:hyperlink w:anchor="_Toc90882151" w:history="1">
        <w:r w:rsidRPr="00747211">
          <w:rPr>
            <w:rStyle w:val="Hyperlink"/>
            <w:noProof/>
          </w:rPr>
          <w:t>2.4</w:t>
        </w:r>
        <w:r>
          <w:rPr>
            <w:rFonts w:asciiTheme="minorHAnsi" w:eastAsiaTheme="minorEastAsia" w:hAnsiTheme="minorHAnsi" w:cstheme="minorBidi"/>
            <w:caps w:val="0"/>
            <w:noProof/>
            <w:kern w:val="0"/>
            <w:szCs w:val="22"/>
          </w:rPr>
          <w:tab/>
        </w:r>
        <w:r w:rsidRPr="00747211">
          <w:rPr>
            <w:rStyle w:val="Hyperlink"/>
            <w:noProof/>
          </w:rPr>
          <w:t>EVALUATION OF ENVIRONMENTAL IMPACTS</w:t>
        </w:r>
        <w:r>
          <w:rPr>
            <w:noProof/>
            <w:webHidden/>
          </w:rPr>
          <w:tab/>
        </w:r>
        <w:r>
          <w:rPr>
            <w:noProof/>
            <w:webHidden/>
          </w:rPr>
          <w:fldChar w:fldCharType="begin"/>
        </w:r>
        <w:r>
          <w:rPr>
            <w:noProof/>
            <w:webHidden/>
          </w:rPr>
          <w:instrText xml:space="preserve"> PAGEREF _Toc90882151 \h </w:instrText>
        </w:r>
        <w:r>
          <w:rPr>
            <w:noProof/>
            <w:webHidden/>
          </w:rPr>
        </w:r>
        <w:r>
          <w:rPr>
            <w:noProof/>
            <w:webHidden/>
          </w:rPr>
          <w:fldChar w:fldCharType="separate"/>
        </w:r>
        <w:r>
          <w:rPr>
            <w:noProof/>
            <w:webHidden/>
          </w:rPr>
          <w:t>37</w:t>
        </w:r>
        <w:r>
          <w:rPr>
            <w:noProof/>
            <w:webHidden/>
          </w:rPr>
          <w:fldChar w:fldCharType="end"/>
        </w:r>
      </w:hyperlink>
    </w:p>
    <w:p w14:paraId="67BCB2E7" w14:textId="591F3372" w:rsidR="000C1AB6" w:rsidRDefault="000C1AB6">
      <w:pPr>
        <w:pStyle w:val="TOC1"/>
        <w:rPr>
          <w:rFonts w:asciiTheme="minorHAnsi" w:eastAsiaTheme="minorEastAsia" w:hAnsiTheme="minorHAnsi" w:cstheme="minorBidi"/>
          <w:b w:val="0"/>
          <w:caps w:val="0"/>
          <w:noProof/>
          <w:kern w:val="0"/>
          <w:szCs w:val="22"/>
        </w:rPr>
      </w:pPr>
      <w:hyperlink w:anchor="_Toc90882152" w:history="1">
        <w:r w:rsidRPr="00747211">
          <w:rPr>
            <w:rStyle w:val="Hyperlink"/>
            <w:noProof/>
          </w:rPr>
          <w:t>3.</w:t>
        </w:r>
        <w:r>
          <w:rPr>
            <w:rFonts w:asciiTheme="minorHAnsi" w:eastAsiaTheme="minorEastAsia" w:hAnsiTheme="minorHAnsi" w:cstheme="minorBidi"/>
            <w:b w:val="0"/>
            <w:caps w:val="0"/>
            <w:noProof/>
            <w:kern w:val="0"/>
            <w:szCs w:val="22"/>
          </w:rPr>
          <w:tab/>
        </w:r>
        <w:r w:rsidRPr="00747211">
          <w:rPr>
            <w:rStyle w:val="Hyperlink"/>
            <w:noProof/>
          </w:rPr>
          <w:t>Environmental Analysis</w:t>
        </w:r>
        <w:r>
          <w:rPr>
            <w:noProof/>
            <w:webHidden/>
          </w:rPr>
          <w:tab/>
        </w:r>
        <w:r>
          <w:rPr>
            <w:noProof/>
            <w:webHidden/>
          </w:rPr>
          <w:fldChar w:fldCharType="begin"/>
        </w:r>
        <w:r>
          <w:rPr>
            <w:noProof/>
            <w:webHidden/>
          </w:rPr>
          <w:instrText xml:space="preserve"> PAGEREF _Toc90882152 \h </w:instrText>
        </w:r>
        <w:r>
          <w:rPr>
            <w:noProof/>
            <w:webHidden/>
          </w:rPr>
        </w:r>
        <w:r>
          <w:rPr>
            <w:noProof/>
            <w:webHidden/>
          </w:rPr>
          <w:fldChar w:fldCharType="separate"/>
        </w:r>
        <w:r>
          <w:rPr>
            <w:noProof/>
            <w:webHidden/>
          </w:rPr>
          <w:t>45</w:t>
        </w:r>
        <w:r>
          <w:rPr>
            <w:noProof/>
            <w:webHidden/>
          </w:rPr>
          <w:fldChar w:fldCharType="end"/>
        </w:r>
      </w:hyperlink>
    </w:p>
    <w:p w14:paraId="4D282354" w14:textId="1AF36ABC" w:rsidR="000C1AB6" w:rsidRDefault="000C1AB6">
      <w:pPr>
        <w:pStyle w:val="TOC2"/>
        <w:tabs>
          <w:tab w:val="left" w:pos="1440"/>
        </w:tabs>
        <w:rPr>
          <w:rFonts w:asciiTheme="minorHAnsi" w:eastAsiaTheme="minorEastAsia" w:hAnsiTheme="minorHAnsi" w:cstheme="minorBidi"/>
          <w:caps w:val="0"/>
          <w:noProof/>
          <w:kern w:val="0"/>
          <w:szCs w:val="22"/>
        </w:rPr>
      </w:pPr>
      <w:hyperlink w:anchor="_Toc90882153" w:history="1">
        <w:r w:rsidRPr="00747211">
          <w:rPr>
            <w:rStyle w:val="Hyperlink"/>
            <w:noProof/>
          </w:rPr>
          <w:t>3.1</w:t>
        </w:r>
        <w:r>
          <w:rPr>
            <w:rFonts w:asciiTheme="minorHAnsi" w:eastAsiaTheme="minorEastAsia" w:hAnsiTheme="minorHAnsi" w:cstheme="minorBidi"/>
            <w:caps w:val="0"/>
            <w:noProof/>
            <w:kern w:val="0"/>
            <w:szCs w:val="22"/>
          </w:rPr>
          <w:tab/>
        </w:r>
        <w:r w:rsidRPr="00747211">
          <w:rPr>
            <w:rStyle w:val="Hyperlink"/>
            <w:noProof/>
          </w:rPr>
          <w:t>AESTHETICS</w:t>
        </w:r>
        <w:r>
          <w:rPr>
            <w:noProof/>
            <w:webHidden/>
          </w:rPr>
          <w:tab/>
        </w:r>
        <w:r>
          <w:rPr>
            <w:noProof/>
            <w:webHidden/>
          </w:rPr>
          <w:fldChar w:fldCharType="begin"/>
        </w:r>
        <w:r>
          <w:rPr>
            <w:noProof/>
            <w:webHidden/>
          </w:rPr>
          <w:instrText xml:space="preserve"> PAGEREF _Toc90882153 \h </w:instrText>
        </w:r>
        <w:r>
          <w:rPr>
            <w:noProof/>
            <w:webHidden/>
          </w:rPr>
        </w:r>
        <w:r>
          <w:rPr>
            <w:noProof/>
            <w:webHidden/>
          </w:rPr>
          <w:fldChar w:fldCharType="separate"/>
        </w:r>
        <w:r>
          <w:rPr>
            <w:noProof/>
            <w:webHidden/>
          </w:rPr>
          <w:t>45</w:t>
        </w:r>
        <w:r>
          <w:rPr>
            <w:noProof/>
            <w:webHidden/>
          </w:rPr>
          <w:fldChar w:fldCharType="end"/>
        </w:r>
      </w:hyperlink>
    </w:p>
    <w:p w14:paraId="17E03E6F" w14:textId="13E582D6" w:rsidR="000C1AB6" w:rsidRDefault="000C1AB6">
      <w:pPr>
        <w:pStyle w:val="TOC2"/>
        <w:tabs>
          <w:tab w:val="left" w:pos="1440"/>
        </w:tabs>
        <w:rPr>
          <w:rFonts w:asciiTheme="minorHAnsi" w:eastAsiaTheme="minorEastAsia" w:hAnsiTheme="minorHAnsi" w:cstheme="minorBidi"/>
          <w:caps w:val="0"/>
          <w:noProof/>
          <w:kern w:val="0"/>
          <w:szCs w:val="22"/>
        </w:rPr>
      </w:pPr>
      <w:hyperlink w:anchor="_Toc90882154" w:history="1">
        <w:r w:rsidRPr="00747211">
          <w:rPr>
            <w:rStyle w:val="Hyperlink"/>
            <w:noProof/>
          </w:rPr>
          <w:t>3.2</w:t>
        </w:r>
        <w:r>
          <w:rPr>
            <w:rFonts w:asciiTheme="minorHAnsi" w:eastAsiaTheme="minorEastAsia" w:hAnsiTheme="minorHAnsi" w:cstheme="minorBidi"/>
            <w:caps w:val="0"/>
            <w:noProof/>
            <w:kern w:val="0"/>
            <w:szCs w:val="22"/>
          </w:rPr>
          <w:tab/>
        </w:r>
        <w:r w:rsidRPr="00747211">
          <w:rPr>
            <w:rStyle w:val="Hyperlink"/>
            <w:noProof/>
          </w:rPr>
          <w:t>AGRICULTURE AND FORESTRY RESOURCES</w:t>
        </w:r>
        <w:r>
          <w:rPr>
            <w:noProof/>
            <w:webHidden/>
          </w:rPr>
          <w:tab/>
        </w:r>
        <w:r>
          <w:rPr>
            <w:noProof/>
            <w:webHidden/>
          </w:rPr>
          <w:fldChar w:fldCharType="begin"/>
        </w:r>
        <w:r>
          <w:rPr>
            <w:noProof/>
            <w:webHidden/>
          </w:rPr>
          <w:instrText xml:space="preserve"> PAGEREF _Toc90882154 \h </w:instrText>
        </w:r>
        <w:r>
          <w:rPr>
            <w:noProof/>
            <w:webHidden/>
          </w:rPr>
        </w:r>
        <w:r>
          <w:rPr>
            <w:noProof/>
            <w:webHidden/>
          </w:rPr>
          <w:fldChar w:fldCharType="separate"/>
        </w:r>
        <w:r>
          <w:rPr>
            <w:noProof/>
            <w:webHidden/>
          </w:rPr>
          <w:t>53</w:t>
        </w:r>
        <w:r>
          <w:rPr>
            <w:noProof/>
            <w:webHidden/>
          </w:rPr>
          <w:fldChar w:fldCharType="end"/>
        </w:r>
      </w:hyperlink>
    </w:p>
    <w:p w14:paraId="10C7F7E7" w14:textId="3B6F80F0" w:rsidR="000C1AB6" w:rsidRDefault="000C1AB6">
      <w:pPr>
        <w:pStyle w:val="TOC2"/>
        <w:tabs>
          <w:tab w:val="left" w:pos="1440"/>
        </w:tabs>
        <w:rPr>
          <w:rFonts w:asciiTheme="minorHAnsi" w:eastAsiaTheme="minorEastAsia" w:hAnsiTheme="minorHAnsi" w:cstheme="minorBidi"/>
          <w:caps w:val="0"/>
          <w:noProof/>
          <w:kern w:val="0"/>
          <w:szCs w:val="22"/>
        </w:rPr>
      </w:pPr>
      <w:hyperlink w:anchor="_Toc90882155" w:history="1">
        <w:r w:rsidRPr="00747211">
          <w:rPr>
            <w:rStyle w:val="Hyperlink"/>
            <w:noProof/>
          </w:rPr>
          <w:t>3.3</w:t>
        </w:r>
        <w:r>
          <w:rPr>
            <w:rFonts w:asciiTheme="minorHAnsi" w:eastAsiaTheme="minorEastAsia" w:hAnsiTheme="minorHAnsi" w:cstheme="minorBidi"/>
            <w:caps w:val="0"/>
            <w:noProof/>
            <w:kern w:val="0"/>
            <w:szCs w:val="22"/>
          </w:rPr>
          <w:tab/>
        </w:r>
        <w:r w:rsidRPr="00747211">
          <w:rPr>
            <w:rStyle w:val="Hyperlink"/>
            <w:noProof/>
          </w:rPr>
          <w:t>AIR QUALITY</w:t>
        </w:r>
        <w:r>
          <w:rPr>
            <w:noProof/>
            <w:webHidden/>
          </w:rPr>
          <w:tab/>
        </w:r>
        <w:r>
          <w:rPr>
            <w:noProof/>
            <w:webHidden/>
          </w:rPr>
          <w:fldChar w:fldCharType="begin"/>
        </w:r>
        <w:r>
          <w:rPr>
            <w:noProof/>
            <w:webHidden/>
          </w:rPr>
          <w:instrText xml:space="preserve"> PAGEREF _Toc90882155 \h </w:instrText>
        </w:r>
        <w:r>
          <w:rPr>
            <w:noProof/>
            <w:webHidden/>
          </w:rPr>
        </w:r>
        <w:r>
          <w:rPr>
            <w:noProof/>
            <w:webHidden/>
          </w:rPr>
          <w:fldChar w:fldCharType="separate"/>
        </w:r>
        <w:r>
          <w:rPr>
            <w:noProof/>
            <w:webHidden/>
          </w:rPr>
          <w:t>55</w:t>
        </w:r>
        <w:r>
          <w:rPr>
            <w:noProof/>
            <w:webHidden/>
          </w:rPr>
          <w:fldChar w:fldCharType="end"/>
        </w:r>
      </w:hyperlink>
    </w:p>
    <w:p w14:paraId="627E08A5" w14:textId="4BB4190D" w:rsidR="000C1AB6" w:rsidRDefault="000C1AB6">
      <w:pPr>
        <w:pStyle w:val="TOC2"/>
        <w:tabs>
          <w:tab w:val="left" w:pos="1440"/>
        </w:tabs>
        <w:rPr>
          <w:rFonts w:asciiTheme="minorHAnsi" w:eastAsiaTheme="minorEastAsia" w:hAnsiTheme="minorHAnsi" w:cstheme="minorBidi"/>
          <w:caps w:val="0"/>
          <w:noProof/>
          <w:kern w:val="0"/>
          <w:szCs w:val="22"/>
        </w:rPr>
      </w:pPr>
      <w:hyperlink w:anchor="_Toc90882156" w:history="1">
        <w:r w:rsidRPr="00747211">
          <w:rPr>
            <w:rStyle w:val="Hyperlink"/>
            <w:noProof/>
          </w:rPr>
          <w:t>3.4</w:t>
        </w:r>
        <w:r>
          <w:rPr>
            <w:rFonts w:asciiTheme="minorHAnsi" w:eastAsiaTheme="minorEastAsia" w:hAnsiTheme="minorHAnsi" w:cstheme="minorBidi"/>
            <w:caps w:val="0"/>
            <w:noProof/>
            <w:kern w:val="0"/>
            <w:szCs w:val="22"/>
          </w:rPr>
          <w:tab/>
        </w:r>
        <w:r w:rsidRPr="00747211">
          <w:rPr>
            <w:rStyle w:val="Hyperlink"/>
            <w:noProof/>
          </w:rPr>
          <w:t>BIOLOGICAL RESOURCES</w:t>
        </w:r>
        <w:r>
          <w:rPr>
            <w:noProof/>
            <w:webHidden/>
          </w:rPr>
          <w:tab/>
        </w:r>
        <w:r>
          <w:rPr>
            <w:noProof/>
            <w:webHidden/>
          </w:rPr>
          <w:fldChar w:fldCharType="begin"/>
        </w:r>
        <w:r>
          <w:rPr>
            <w:noProof/>
            <w:webHidden/>
          </w:rPr>
          <w:instrText xml:space="preserve"> PAGEREF _Toc90882156 \h </w:instrText>
        </w:r>
        <w:r>
          <w:rPr>
            <w:noProof/>
            <w:webHidden/>
          </w:rPr>
        </w:r>
        <w:r>
          <w:rPr>
            <w:noProof/>
            <w:webHidden/>
          </w:rPr>
          <w:fldChar w:fldCharType="separate"/>
        </w:r>
        <w:r>
          <w:rPr>
            <w:noProof/>
            <w:webHidden/>
          </w:rPr>
          <w:t>64</w:t>
        </w:r>
        <w:r>
          <w:rPr>
            <w:noProof/>
            <w:webHidden/>
          </w:rPr>
          <w:fldChar w:fldCharType="end"/>
        </w:r>
      </w:hyperlink>
    </w:p>
    <w:p w14:paraId="181E96D5" w14:textId="4BBF10C0" w:rsidR="000C1AB6" w:rsidRDefault="000C1AB6">
      <w:pPr>
        <w:pStyle w:val="TOC2"/>
        <w:tabs>
          <w:tab w:val="left" w:pos="1440"/>
        </w:tabs>
        <w:rPr>
          <w:rFonts w:asciiTheme="minorHAnsi" w:eastAsiaTheme="minorEastAsia" w:hAnsiTheme="minorHAnsi" w:cstheme="minorBidi"/>
          <w:caps w:val="0"/>
          <w:noProof/>
          <w:kern w:val="0"/>
          <w:szCs w:val="22"/>
        </w:rPr>
      </w:pPr>
      <w:hyperlink w:anchor="_Toc90882157" w:history="1">
        <w:r w:rsidRPr="00747211">
          <w:rPr>
            <w:rStyle w:val="Hyperlink"/>
            <w:noProof/>
          </w:rPr>
          <w:t>3.5</w:t>
        </w:r>
        <w:r>
          <w:rPr>
            <w:rFonts w:asciiTheme="minorHAnsi" w:eastAsiaTheme="minorEastAsia" w:hAnsiTheme="minorHAnsi" w:cstheme="minorBidi"/>
            <w:caps w:val="0"/>
            <w:noProof/>
            <w:kern w:val="0"/>
            <w:szCs w:val="22"/>
          </w:rPr>
          <w:tab/>
        </w:r>
        <w:r w:rsidRPr="00747211">
          <w:rPr>
            <w:rStyle w:val="Hyperlink"/>
            <w:noProof/>
          </w:rPr>
          <w:t>CULTURAL RESOURCES</w:t>
        </w:r>
        <w:r>
          <w:rPr>
            <w:noProof/>
            <w:webHidden/>
          </w:rPr>
          <w:tab/>
        </w:r>
        <w:r>
          <w:rPr>
            <w:noProof/>
            <w:webHidden/>
          </w:rPr>
          <w:fldChar w:fldCharType="begin"/>
        </w:r>
        <w:r>
          <w:rPr>
            <w:noProof/>
            <w:webHidden/>
          </w:rPr>
          <w:instrText xml:space="preserve"> PAGEREF _Toc90882157 \h </w:instrText>
        </w:r>
        <w:r>
          <w:rPr>
            <w:noProof/>
            <w:webHidden/>
          </w:rPr>
        </w:r>
        <w:r>
          <w:rPr>
            <w:noProof/>
            <w:webHidden/>
          </w:rPr>
          <w:fldChar w:fldCharType="separate"/>
        </w:r>
        <w:r>
          <w:rPr>
            <w:noProof/>
            <w:webHidden/>
          </w:rPr>
          <w:t>66</w:t>
        </w:r>
        <w:r>
          <w:rPr>
            <w:noProof/>
            <w:webHidden/>
          </w:rPr>
          <w:fldChar w:fldCharType="end"/>
        </w:r>
      </w:hyperlink>
    </w:p>
    <w:p w14:paraId="688D2AA4" w14:textId="252B1DB8" w:rsidR="000C1AB6" w:rsidRDefault="000C1AB6">
      <w:pPr>
        <w:pStyle w:val="TOC2"/>
        <w:tabs>
          <w:tab w:val="left" w:pos="1440"/>
        </w:tabs>
        <w:rPr>
          <w:rFonts w:asciiTheme="minorHAnsi" w:eastAsiaTheme="minorEastAsia" w:hAnsiTheme="minorHAnsi" w:cstheme="minorBidi"/>
          <w:caps w:val="0"/>
          <w:noProof/>
          <w:kern w:val="0"/>
          <w:szCs w:val="22"/>
        </w:rPr>
      </w:pPr>
      <w:hyperlink w:anchor="_Toc90882158" w:history="1">
        <w:r w:rsidRPr="00747211">
          <w:rPr>
            <w:rStyle w:val="Hyperlink"/>
            <w:noProof/>
          </w:rPr>
          <w:t>3.6</w:t>
        </w:r>
        <w:r>
          <w:rPr>
            <w:rFonts w:asciiTheme="minorHAnsi" w:eastAsiaTheme="minorEastAsia" w:hAnsiTheme="minorHAnsi" w:cstheme="minorBidi"/>
            <w:caps w:val="0"/>
            <w:noProof/>
            <w:kern w:val="0"/>
            <w:szCs w:val="22"/>
          </w:rPr>
          <w:tab/>
        </w:r>
        <w:r w:rsidRPr="00747211">
          <w:rPr>
            <w:rStyle w:val="Hyperlink"/>
            <w:noProof/>
          </w:rPr>
          <w:t>ENERGY</w:t>
        </w:r>
        <w:r>
          <w:rPr>
            <w:noProof/>
            <w:webHidden/>
          </w:rPr>
          <w:tab/>
        </w:r>
        <w:r>
          <w:rPr>
            <w:noProof/>
            <w:webHidden/>
          </w:rPr>
          <w:fldChar w:fldCharType="begin"/>
        </w:r>
        <w:r>
          <w:rPr>
            <w:noProof/>
            <w:webHidden/>
          </w:rPr>
          <w:instrText xml:space="preserve"> PAGEREF _Toc90882158 \h </w:instrText>
        </w:r>
        <w:r>
          <w:rPr>
            <w:noProof/>
            <w:webHidden/>
          </w:rPr>
        </w:r>
        <w:r>
          <w:rPr>
            <w:noProof/>
            <w:webHidden/>
          </w:rPr>
          <w:fldChar w:fldCharType="separate"/>
        </w:r>
        <w:r>
          <w:rPr>
            <w:noProof/>
            <w:webHidden/>
          </w:rPr>
          <w:t>70</w:t>
        </w:r>
        <w:r>
          <w:rPr>
            <w:noProof/>
            <w:webHidden/>
          </w:rPr>
          <w:fldChar w:fldCharType="end"/>
        </w:r>
      </w:hyperlink>
    </w:p>
    <w:p w14:paraId="0AA9B770" w14:textId="7F2B8511" w:rsidR="000C1AB6" w:rsidRDefault="000C1AB6">
      <w:pPr>
        <w:pStyle w:val="TOC2"/>
        <w:tabs>
          <w:tab w:val="left" w:pos="1440"/>
        </w:tabs>
        <w:rPr>
          <w:rFonts w:asciiTheme="minorHAnsi" w:eastAsiaTheme="minorEastAsia" w:hAnsiTheme="minorHAnsi" w:cstheme="minorBidi"/>
          <w:caps w:val="0"/>
          <w:noProof/>
          <w:kern w:val="0"/>
          <w:szCs w:val="22"/>
        </w:rPr>
      </w:pPr>
      <w:hyperlink w:anchor="_Toc90882159" w:history="1">
        <w:r w:rsidRPr="00747211">
          <w:rPr>
            <w:rStyle w:val="Hyperlink"/>
            <w:noProof/>
          </w:rPr>
          <w:t>3.7</w:t>
        </w:r>
        <w:r>
          <w:rPr>
            <w:rFonts w:asciiTheme="minorHAnsi" w:eastAsiaTheme="minorEastAsia" w:hAnsiTheme="minorHAnsi" w:cstheme="minorBidi"/>
            <w:caps w:val="0"/>
            <w:noProof/>
            <w:kern w:val="0"/>
            <w:szCs w:val="22"/>
          </w:rPr>
          <w:tab/>
        </w:r>
        <w:r w:rsidRPr="00747211">
          <w:rPr>
            <w:rStyle w:val="Hyperlink"/>
            <w:noProof/>
          </w:rPr>
          <w:t>GEOLOGY AND SOILS</w:t>
        </w:r>
        <w:r>
          <w:rPr>
            <w:noProof/>
            <w:webHidden/>
          </w:rPr>
          <w:tab/>
        </w:r>
        <w:r>
          <w:rPr>
            <w:noProof/>
            <w:webHidden/>
          </w:rPr>
          <w:fldChar w:fldCharType="begin"/>
        </w:r>
        <w:r>
          <w:rPr>
            <w:noProof/>
            <w:webHidden/>
          </w:rPr>
          <w:instrText xml:space="preserve"> PAGEREF _Toc90882159 \h </w:instrText>
        </w:r>
        <w:r>
          <w:rPr>
            <w:noProof/>
            <w:webHidden/>
          </w:rPr>
        </w:r>
        <w:r>
          <w:rPr>
            <w:noProof/>
            <w:webHidden/>
          </w:rPr>
          <w:fldChar w:fldCharType="separate"/>
        </w:r>
        <w:r>
          <w:rPr>
            <w:noProof/>
            <w:webHidden/>
          </w:rPr>
          <w:t>75</w:t>
        </w:r>
        <w:r>
          <w:rPr>
            <w:noProof/>
            <w:webHidden/>
          </w:rPr>
          <w:fldChar w:fldCharType="end"/>
        </w:r>
      </w:hyperlink>
    </w:p>
    <w:p w14:paraId="2BEEFFB5" w14:textId="24CE55F1" w:rsidR="000C1AB6" w:rsidRDefault="000C1AB6">
      <w:pPr>
        <w:pStyle w:val="TOC2"/>
        <w:tabs>
          <w:tab w:val="left" w:pos="1440"/>
        </w:tabs>
        <w:rPr>
          <w:rFonts w:asciiTheme="minorHAnsi" w:eastAsiaTheme="minorEastAsia" w:hAnsiTheme="minorHAnsi" w:cstheme="minorBidi"/>
          <w:caps w:val="0"/>
          <w:noProof/>
          <w:kern w:val="0"/>
          <w:szCs w:val="22"/>
        </w:rPr>
      </w:pPr>
      <w:hyperlink w:anchor="_Toc90882160" w:history="1">
        <w:r w:rsidRPr="00747211">
          <w:rPr>
            <w:rStyle w:val="Hyperlink"/>
            <w:noProof/>
          </w:rPr>
          <w:t>3.8</w:t>
        </w:r>
        <w:r>
          <w:rPr>
            <w:rFonts w:asciiTheme="minorHAnsi" w:eastAsiaTheme="minorEastAsia" w:hAnsiTheme="minorHAnsi" w:cstheme="minorBidi"/>
            <w:caps w:val="0"/>
            <w:noProof/>
            <w:kern w:val="0"/>
            <w:szCs w:val="22"/>
          </w:rPr>
          <w:tab/>
        </w:r>
        <w:r w:rsidRPr="00747211">
          <w:rPr>
            <w:rStyle w:val="Hyperlink"/>
            <w:noProof/>
          </w:rPr>
          <w:t>GREENHOUSE GAS EMISSIONS</w:t>
        </w:r>
        <w:r>
          <w:rPr>
            <w:noProof/>
            <w:webHidden/>
          </w:rPr>
          <w:tab/>
        </w:r>
        <w:r>
          <w:rPr>
            <w:noProof/>
            <w:webHidden/>
          </w:rPr>
          <w:fldChar w:fldCharType="begin"/>
        </w:r>
        <w:r>
          <w:rPr>
            <w:noProof/>
            <w:webHidden/>
          </w:rPr>
          <w:instrText xml:space="preserve"> PAGEREF _Toc90882160 \h </w:instrText>
        </w:r>
        <w:r>
          <w:rPr>
            <w:noProof/>
            <w:webHidden/>
          </w:rPr>
        </w:r>
        <w:r>
          <w:rPr>
            <w:noProof/>
            <w:webHidden/>
          </w:rPr>
          <w:fldChar w:fldCharType="separate"/>
        </w:r>
        <w:r>
          <w:rPr>
            <w:noProof/>
            <w:webHidden/>
          </w:rPr>
          <w:t>83</w:t>
        </w:r>
        <w:r>
          <w:rPr>
            <w:noProof/>
            <w:webHidden/>
          </w:rPr>
          <w:fldChar w:fldCharType="end"/>
        </w:r>
      </w:hyperlink>
    </w:p>
    <w:p w14:paraId="0AD48931" w14:textId="429E73AC" w:rsidR="000C1AB6" w:rsidRDefault="000C1AB6">
      <w:pPr>
        <w:pStyle w:val="TOC2"/>
        <w:tabs>
          <w:tab w:val="left" w:pos="1440"/>
        </w:tabs>
        <w:rPr>
          <w:rFonts w:asciiTheme="minorHAnsi" w:eastAsiaTheme="minorEastAsia" w:hAnsiTheme="minorHAnsi" w:cstheme="minorBidi"/>
          <w:caps w:val="0"/>
          <w:noProof/>
          <w:kern w:val="0"/>
          <w:szCs w:val="22"/>
        </w:rPr>
      </w:pPr>
      <w:hyperlink w:anchor="_Toc90882161" w:history="1">
        <w:r w:rsidRPr="00747211">
          <w:rPr>
            <w:rStyle w:val="Hyperlink"/>
            <w:noProof/>
          </w:rPr>
          <w:t>3.9</w:t>
        </w:r>
        <w:r>
          <w:rPr>
            <w:rFonts w:asciiTheme="minorHAnsi" w:eastAsiaTheme="minorEastAsia" w:hAnsiTheme="minorHAnsi" w:cstheme="minorBidi"/>
            <w:caps w:val="0"/>
            <w:noProof/>
            <w:kern w:val="0"/>
            <w:szCs w:val="22"/>
          </w:rPr>
          <w:tab/>
        </w:r>
        <w:r w:rsidRPr="00747211">
          <w:rPr>
            <w:rStyle w:val="Hyperlink"/>
            <w:noProof/>
          </w:rPr>
          <w:t>HAZARDS AND HAZARDOUS MATERIALS</w:t>
        </w:r>
        <w:r>
          <w:rPr>
            <w:noProof/>
            <w:webHidden/>
          </w:rPr>
          <w:tab/>
        </w:r>
        <w:r>
          <w:rPr>
            <w:noProof/>
            <w:webHidden/>
          </w:rPr>
          <w:fldChar w:fldCharType="begin"/>
        </w:r>
        <w:r>
          <w:rPr>
            <w:noProof/>
            <w:webHidden/>
          </w:rPr>
          <w:instrText xml:space="preserve"> PAGEREF _Toc90882161 \h </w:instrText>
        </w:r>
        <w:r>
          <w:rPr>
            <w:noProof/>
            <w:webHidden/>
          </w:rPr>
        </w:r>
        <w:r>
          <w:rPr>
            <w:noProof/>
            <w:webHidden/>
          </w:rPr>
          <w:fldChar w:fldCharType="separate"/>
        </w:r>
        <w:r>
          <w:rPr>
            <w:noProof/>
            <w:webHidden/>
          </w:rPr>
          <w:t>87</w:t>
        </w:r>
        <w:r>
          <w:rPr>
            <w:noProof/>
            <w:webHidden/>
          </w:rPr>
          <w:fldChar w:fldCharType="end"/>
        </w:r>
      </w:hyperlink>
    </w:p>
    <w:p w14:paraId="169FC664" w14:textId="2854E914" w:rsidR="000C1AB6" w:rsidRDefault="000C1AB6">
      <w:pPr>
        <w:pStyle w:val="TOC2"/>
        <w:tabs>
          <w:tab w:val="left" w:pos="1440"/>
        </w:tabs>
        <w:rPr>
          <w:rFonts w:asciiTheme="minorHAnsi" w:eastAsiaTheme="minorEastAsia" w:hAnsiTheme="minorHAnsi" w:cstheme="minorBidi"/>
          <w:caps w:val="0"/>
          <w:noProof/>
          <w:kern w:val="0"/>
          <w:szCs w:val="22"/>
        </w:rPr>
      </w:pPr>
      <w:hyperlink w:anchor="_Toc90882162" w:history="1">
        <w:r w:rsidRPr="00747211">
          <w:rPr>
            <w:rStyle w:val="Hyperlink"/>
            <w:noProof/>
          </w:rPr>
          <w:t>3.10</w:t>
        </w:r>
        <w:r>
          <w:rPr>
            <w:rFonts w:asciiTheme="minorHAnsi" w:eastAsiaTheme="minorEastAsia" w:hAnsiTheme="minorHAnsi" w:cstheme="minorBidi"/>
            <w:caps w:val="0"/>
            <w:noProof/>
            <w:kern w:val="0"/>
            <w:szCs w:val="22"/>
          </w:rPr>
          <w:tab/>
        </w:r>
        <w:r w:rsidRPr="00747211">
          <w:rPr>
            <w:rStyle w:val="Hyperlink"/>
            <w:noProof/>
          </w:rPr>
          <w:t>HYDROLOGY AND WATER QUALITY</w:t>
        </w:r>
        <w:r>
          <w:rPr>
            <w:noProof/>
            <w:webHidden/>
          </w:rPr>
          <w:tab/>
        </w:r>
        <w:r>
          <w:rPr>
            <w:noProof/>
            <w:webHidden/>
          </w:rPr>
          <w:fldChar w:fldCharType="begin"/>
        </w:r>
        <w:r>
          <w:rPr>
            <w:noProof/>
            <w:webHidden/>
          </w:rPr>
          <w:instrText xml:space="preserve"> PAGEREF _Toc90882162 \h </w:instrText>
        </w:r>
        <w:r>
          <w:rPr>
            <w:noProof/>
            <w:webHidden/>
          </w:rPr>
        </w:r>
        <w:r>
          <w:rPr>
            <w:noProof/>
            <w:webHidden/>
          </w:rPr>
          <w:fldChar w:fldCharType="separate"/>
        </w:r>
        <w:r>
          <w:rPr>
            <w:noProof/>
            <w:webHidden/>
          </w:rPr>
          <w:t>93</w:t>
        </w:r>
        <w:r>
          <w:rPr>
            <w:noProof/>
            <w:webHidden/>
          </w:rPr>
          <w:fldChar w:fldCharType="end"/>
        </w:r>
      </w:hyperlink>
    </w:p>
    <w:p w14:paraId="0A8A968A" w14:textId="7F6B99A9" w:rsidR="000C1AB6" w:rsidRDefault="000C1AB6">
      <w:pPr>
        <w:pStyle w:val="TOC2"/>
        <w:tabs>
          <w:tab w:val="left" w:pos="1440"/>
        </w:tabs>
        <w:rPr>
          <w:rFonts w:asciiTheme="minorHAnsi" w:eastAsiaTheme="minorEastAsia" w:hAnsiTheme="minorHAnsi" w:cstheme="minorBidi"/>
          <w:caps w:val="0"/>
          <w:noProof/>
          <w:kern w:val="0"/>
          <w:szCs w:val="22"/>
        </w:rPr>
      </w:pPr>
      <w:hyperlink w:anchor="_Toc90882163" w:history="1">
        <w:r w:rsidRPr="00747211">
          <w:rPr>
            <w:rStyle w:val="Hyperlink"/>
            <w:noProof/>
          </w:rPr>
          <w:t>3.11</w:t>
        </w:r>
        <w:r>
          <w:rPr>
            <w:rFonts w:asciiTheme="minorHAnsi" w:eastAsiaTheme="minorEastAsia" w:hAnsiTheme="minorHAnsi" w:cstheme="minorBidi"/>
            <w:caps w:val="0"/>
            <w:noProof/>
            <w:kern w:val="0"/>
            <w:szCs w:val="22"/>
          </w:rPr>
          <w:tab/>
        </w:r>
        <w:r w:rsidRPr="00747211">
          <w:rPr>
            <w:rStyle w:val="Hyperlink"/>
            <w:noProof/>
          </w:rPr>
          <w:t>LAND USE AND PLANNING</w:t>
        </w:r>
        <w:r>
          <w:rPr>
            <w:noProof/>
            <w:webHidden/>
          </w:rPr>
          <w:tab/>
        </w:r>
        <w:r>
          <w:rPr>
            <w:noProof/>
            <w:webHidden/>
          </w:rPr>
          <w:fldChar w:fldCharType="begin"/>
        </w:r>
        <w:r>
          <w:rPr>
            <w:noProof/>
            <w:webHidden/>
          </w:rPr>
          <w:instrText xml:space="preserve"> PAGEREF _Toc90882163 \h </w:instrText>
        </w:r>
        <w:r>
          <w:rPr>
            <w:noProof/>
            <w:webHidden/>
          </w:rPr>
        </w:r>
        <w:r>
          <w:rPr>
            <w:noProof/>
            <w:webHidden/>
          </w:rPr>
          <w:fldChar w:fldCharType="separate"/>
        </w:r>
        <w:r>
          <w:rPr>
            <w:noProof/>
            <w:webHidden/>
          </w:rPr>
          <w:t>107</w:t>
        </w:r>
        <w:r>
          <w:rPr>
            <w:noProof/>
            <w:webHidden/>
          </w:rPr>
          <w:fldChar w:fldCharType="end"/>
        </w:r>
      </w:hyperlink>
    </w:p>
    <w:p w14:paraId="01BDE60E" w14:textId="108E847B" w:rsidR="000C1AB6" w:rsidRDefault="000C1AB6">
      <w:pPr>
        <w:pStyle w:val="TOC2"/>
        <w:tabs>
          <w:tab w:val="left" w:pos="1440"/>
        </w:tabs>
        <w:rPr>
          <w:rFonts w:asciiTheme="minorHAnsi" w:eastAsiaTheme="minorEastAsia" w:hAnsiTheme="minorHAnsi" w:cstheme="minorBidi"/>
          <w:caps w:val="0"/>
          <w:noProof/>
          <w:kern w:val="0"/>
          <w:szCs w:val="22"/>
        </w:rPr>
      </w:pPr>
      <w:hyperlink w:anchor="_Toc90882164" w:history="1">
        <w:r w:rsidRPr="00747211">
          <w:rPr>
            <w:rStyle w:val="Hyperlink"/>
            <w:noProof/>
          </w:rPr>
          <w:t>3.12</w:t>
        </w:r>
        <w:r>
          <w:rPr>
            <w:rFonts w:asciiTheme="minorHAnsi" w:eastAsiaTheme="minorEastAsia" w:hAnsiTheme="minorHAnsi" w:cstheme="minorBidi"/>
            <w:caps w:val="0"/>
            <w:noProof/>
            <w:kern w:val="0"/>
            <w:szCs w:val="22"/>
          </w:rPr>
          <w:tab/>
        </w:r>
        <w:r w:rsidRPr="00747211">
          <w:rPr>
            <w:rStyle w:val="Hyperlink"/>
            <w:noProof/>
          </w:rPr>
          <w:t>MINERAL RESOURCES</w:t>
        </w:r>
        <w:r>
          <w:rPr>
            <w:noProof/>
            <w:webHidden/>
          </w:rPr>
          <w:tab/>
        </w:r>
        <w:r>
          <w:rPr>
            <w:noProof/>
            <w:webHidden/>
          </w:rPr>
          <w:fldChar w:fldCharType="begin"/>
        </w:r>
        <w:r>
          <w:rPr>
            <w:noProof/>
            <w:webHidden/>
          </w:rPr>
          <w:instrText xml:space="preserve"> PAGEREF _Toc90882164 \h </w:instrText>
        </w:r>
        <w:r>
          <w:rPr>
            <w:noProof/>
            <w:webHidden/>
          </w:rPr>
        </w:r>
        <w:r>
          <w:rPr>
            <w:noProof/>
            <w:webHidden/>
          </w:rPr>
          <w:fldChar w:fldCharType="separate"/>
        </w:r>
        <w:r>
          <w:rPr>
            <w:noProof/>
            <w:webHidden/>
          </w:rPr>
          <w:t>111</w:t>
        </w:r>
        <w:r>
          <w:rPr>
            <w:noProof/>
            <w:webHidden/>
          </w:rPr>
          <w:fldChar w:fldCharType="end"/>
        </w:r>
      </w:hyperlink>
    </w:p>
    <w:p w14:paraId="6D2F6A38" w14:textId="767A47DE" w:rsidR="000C1AB6" w:rsidRDefault="000C1AB6">
      <w:pPr>
        <w:pStyle w:val="TOC2"/>
        <w:tabs>
          <w:tab w:val="left" w:pos="1440"/>
        </w:tabs>
        <w:rPr>
          <w:rFonts w:asciiTheme="minorHAnsi" w:eastAsiaTheme="minorEastAsia" w:hAnsiTheme="minorHAnsi" w:cstheme="minorBidi"/>
          <w:caps w:val="0"/>
          <w:noProof/>
          <w:kern w:val="0"/>
          <w:szCs w:val="22"/>
        </w:rPr>
      </w:pPr>
      <w:hyperlink w:anchor="_Toc90882165" w:history="1">
        <w:r w:rsidRPr="00747211">
          <w:rPr>
            <w:rStyle w:val="Hyperlink"/>
            <w:noProof/>
          </w:rPr>
          <w:t>3.13</w:t>
        </w:r>
        <w:r>
          <w:rPr>
            <w:rFonts w:asciiTheme="minorHAnsi" w:eastAsiaTheme="minorEastAsia" w:hAnsiTheme="minorHAnsi" w:cstheme="minorBidi"/>
            <w:caps w:val="0"/>
            <w:noProof/>
            <w:kern w:val="0"/>
            <w:szCs w:val="22"/>
          </w:rPr>
          <w:tab/>
        </w:r>
        <w:r w:rsidRPr="00747211">
          <w:rPr>
            <w:rStyle w:val="Hyperlink"/>
            <w:noProof/>
          </w:rPr>
          <w:t>NOISE</w:t>
        </w:r>
        <w:r>
          <w:rPr>
            <w:noProof/>
            <w:webHidden/>
          </w:rPr>
          <w:tab/>
        </w:r>
        <w:r>
          <w:rPr>
            <w:noProof/>
            <w:webHidden/>
          </w:rPr>
          <w:fldChar w:fldCharType="begin"/>
        </w:r>
        <w:r>
          <w:rPr>
            <w:noProof/>
            <w:webHidden/>
          </w:rPr>
          <w:instrText xml:space="preserve"> PAGEREF _Toc90882165 \h </w:instrText>
        </w:r>
        <w:r>
          <w:rPr>
            <w:noProof/>
            <w:webHidden/>
          </w:rPr>
        </w:r>
        <w:r>
          <w:rPr>
            <w:noProof/>
            <w:webHidden/>
          </w:rPr>
          <w:fldChar w:fldCharType="separate"/>
        </w:r>
        <w:r>
          <w:rPr>
            <w:noProof/>
            <w:webHidden/>
          </w:rPr>
          <w:t>112</w:t>
        </w:r>
        <w:r>
          <w:rPr>
            <w:noProof/>
            <w:webHidden/>
          </w:rPr>
          <w:fldChar w:fldCharType="end"/>
        </w:r>
      </w:hyperlink>
    </w:p>
    <w:p w14:paraId="4F0ADCF5" w14:textId="215E44E4" w:rsidR="000C1AB6" w:rsidRDefault="000C1AB6">
      <w:pPr>
        <w:pStyle w:val="TOC2"/>
        <w:tabs>
          <w:tab w:val="left" w:pos="1440"/>
        </w:tabs>
        <w:rPr>
          <w:rFonts w:asciiTheme="minorHAnsi" w:eastAsiaTheme="minorEastAsia" w:hAnsiTheme="minorHAnsi" w:cstheme="minorBidi"/>
          <w:caps w:val="0"/>
          <w:noProof/>
          <w:kern w:val="0"/>
          <w:szCs w:val="22"/>
        </w:rPr>
      </w:pPr>
      <w:hyperlink w:anchor="_Toc90882166" w:history="1">
        <w:r w:rsidRPr="00747211">
          <w:rPr>
            <w:rStyle w:val="Hyperlink"/>
            <w:noProof/>
          </w:rPr>
          <w:t>3.14</w:t>
        </w:r>
        <w:r>
          <w:rPr>
            <w:rFonts w:asciiTheme="minorHAnsi" w:eastAsiaTheme="minorEastAsia" w:hAnsiTheme="minorHAnsi" w:cstheme="minorBidi"/>
            <w:caps w:val="0"/>
            <w:noProof/>
            <w:kern w:val="0"/>
            <w:szCs w:val="22"/>
          </w:rPr>
          <w:tab/>
        </w:r>
        <w:r w:rsidRPr="00747211">
          <w:rPr>
            <w:rStyle w:val="Hyperlink"/>
            <w:noProof/>
          </w:rPr>
          <w:t>POPULATION AND HOUSING</w:t>
        </w:r>
        <w:r>
          <w:rPr>
            <w:noProof/>
            <w:webHidden/>
          </w:rPr>
          <w:tab/>
        </w:r>
        <w:r>
          <w:rPr>
            <w:noProof/>
            <w:webHidden/>
          </w:rPr>
          <w:fldChar w:fldCharType="begin"/>
        </w:r>
        <w:r>
          <w:rPr>
            <w:noProof/>
            <w:webHidden/>
          </w:rPr>
          <w:instrText xml:space="preserve"> PAGEREF _Toc90882166 \h </w:instrText>
        </w:r>
        <w:r>
          <w:rPr>
            <w:noProof/>
            <w:webHidden/>
          </w:rPr>
        </w:r>
        <w:r>
          <w:rPr>
            <w:noProof/>
            <w:webHidden/>
          </w:rPr>
          <w:fldChar w:fldCharType="separate"/>
        </w:r>
        <w:r>
          <w:rPr>
            <w:noProof/>
            <w:webHidden/>
          </w:rPr>
          <w:t>126</w:t>
        </w:r>
        <w:r>
          <w:rPr>
            <w:noProof/>
            <w:webHidden/>
          </w:rPr>
          <w:fldChar w:fldCharType="end"/>
        </w:r>
      </w:hyperlink>
    </w:p>
    <w:p w14:paraId="6ECB8216" w14:textId="2D03FFFD" w:rsidR="000C1AB6" w:rsidRDefault="000C1AB6">
      <w:pPr>
        <w:pStyle w:val="TOC2"/>
        <w:tabs>
          <w:tab w:val="left" w:pos="1440"/>
        </w:tabs>
        <w:rPr>
          <w:rFonts w:asciiTheme="minorHAnsi" w:eastAsiaTheme="minorEastAsia" w:hAnsiTheme="minorHAnsi" w:cstheme="minorBidi"/>
          <w:caps w:val="0"/>
          <w:noProof/>
          <w:kern w:val="0"/>
          <w:szCs w:val="22"/>
        </w:rPr>
      </w:pPr>
      <w:hyperlink w:anchor="_Toc90882167" w:history="1">
        <w:r w:rsidRPr="00747211">
          <w:rPr>
            <w:rStyle w:val="Hyperlink"/>
            <w:noProof/>
          </w:rPr>
          <w:t>3.15</w:t>
        </w:r>
        <w:r>
          <w:rPr>
            <w:rFonts w:asciiTheme="minorHAnsi" w:eastAsiaTheme="minorEastAsia" w:hAnsiTheme="minorHAnsi" w:cstheme="minorBidi"/>
            <w:caps w:val="0"/>
            <w:noProof/>
            <w:kern w:val="0"/>
            <w:szCs w:val="22"/>
          </w:rPr>
          <w:tab/>
        </w:r>
        <w:r w:rsidRPr="00747211">
          <w:rPr>
            <w:rStyle w:val="Hyperlink"/>
            <w:noProof/>
          </w:rPr>
          <w:t>PUBLIC SERVICES</w:t>
        </w:r>
        <w:r>
          <w:rPr>
            <w:noProof/>
            <w:webHidden/>
          </w:rPr>
          <w:tab/>
        </w:r>
        <w:r>
          <w:rPr>
            <w:noProof/>
            <w:webHidden/>
          </w:rPr>
          <w:fldChar w:fldCharType="begin"/>
        </w:r>
        <w:r>
          <w:rPr>
            <w:noProof/>
            <w:webHidden/>
          </w:rPr>
          <w:instrText xml:space="preserve"> PAGEREF _Toc90882167 \h </w:instrText>
        </w:r>
        <w:r>
          <w:rPr>
            <w:noProof/>
            <w:webHidden/>
          </w:rPr>
        </w:r>
        <w:r>
          <w:rPr>
            <w:noProof/>
            <w:webHidden/>
          </w:rPr>
          <w:fldChar w:fldCharType="separate"/>
        </w:r>
        <w:r>
          <w:rPr>
            <w:noProof/>
            <w:webHidden/>
          </w:rPr>
          <w:t>127</w:t>
        </w:r>
        <w:r>
          <w:rPr>
            <w:noProof/>
            <w:webHidden/>
          </w:rPr>
          <w:fldChar w:fldCharType="end"/>
        </w:r>
      </w:hyperlink>
    </w:p>
    <w:p w14:paraId="104A7317" w14:textId="62173F9A" w:rsidR="000C1AB6" w:rsidRDefault="000C1AB6">
      <w:pPr>
        <w:pStyle w:val="TOC2"/>
        <w:tabs>
          <w:tab w:val="left" w:pos="1440"/>
        </w:tabs>
        <w:rPr>
          <w:rFonts w:asciiTheme="minorHAnsi" w:eastAsiaTheme="minorEastAsia" w:hAnsiTheme="minorHAnsi" w:cstheme="minorBidi"/>
          <w:caps w:val="0"/>
          <w:noProof/>
          <w:kern w:val="0"/>
          <w:szCs w:val="22"/>
        </w:rPr>
      </w:pPr>
      <w:hyperlink w:anchor="_Toc90882168" w:history="1">
        <w:r w:rsidRPr="00747211">
          <w:rPr>
            <w:rStyle w:val="Hyperlink"/>
            <w:noProof/>
          </w:rPr>
          <w:t>3.16</w:t>
        </w:r>
        <w:r>
          <w:rPr>
            <w:rFonts w:asciiTheme="minorHAnsi" w:eastAsiaTheme="minorEastAsia" w:hAnsiTheme="minorHAnsi" w:cstheme="minorBidi"/>
            <w:caps w:val="0"/>
            <w:noProof/>
            <w:kern w:val="0"/>
            <w:szCs w:val="22"/>
          </w:rPr>
          <w:tab/>
        </w:r>
        <w:r w:rsidRPr="00747211">
          <w:rPr>
            <w:rStyle w:val="Hyperlink"/>
            <w:noProof/>
          </w:rPr>
          <w:t>RECREATION</w:t>
        </w:r>
        <w:r>
          <w:rPr>
            <w:noProof/>
            <w:webHidden/>
          </w:rPr>
          <w:tab/>
        </w:r>
        <w:r>
          <w:rPr>
            <w:noProof/>
            <w:webHidden/>
          </w:rPr>
          <w:fldChar w:fldCharType="begin"/>
        </w:r>
        <w:r>
          <w:rPr>
            <w:noProof/>
            <w:webHidden/>
          </w:rPr>
          <w:instrText xml:space="preserve"> PAGEREF _Toc90882168 \h </w:instrText>
        </w:r>
        <w:r>
          <w:rPr>
            <w:noProof/>
            <w:webHidden/>
          </w:rPr>
        </w:r>
        <w:r>
          <w:rPr>
            <w:noProof/>
            <w:webHidden/>
          </w:rPr>
          <w:fldChar w:fldCharType="separate"/>
        </w:r>
        <w:r>
          <w:rPr>
            <w:noProof/>
            <w:webHidden/>
          </w:rPr>
          <w:t>130</w:t>
        </w:r>
        <w:r>
          <w:rPr>
            <w:noProof/>
            <w:webHidden/>
          </w:rPr>
          <w:fldChar w:fldCharType="end"/>
        </w:r>
      </w:hyperlink>
    </w:p>
    <w:p w14:paraId="132DFED1" w14:textId="141A1B9A" w:rsidR="000C1AB6" w:rsidRDefault="000C1AB6">
      <w:pPr>
        <w:pStyle w:val="TOC2"/>
        <w:tabs>
          <w:tab w:val="left" w:pos="1440"/>
        </w:tabs>
        <w:rPr>
          <w:rFonts w:asciiTheme="minorHAnsi" w:eastAsiaTheme="minorEastAsia" w:hAnsiTheme="minorHAnsi" w:cstheme="minorBidi"/>
          <w:caps w:val="0"/>
          <w:noProof/>
          <w:kern w:val="0"/>
          <w:szCs w:val="22"/>
        </w:rPr>
      </w:pPr>
      <w:hyperlink w:anchor="_Toc90882169" w:history="1">
        <w:r w:rsidRPr="00747211">
          <w:rPr>
            <w:rStyle w:val="Hyperlink"/>
            <w:noProof/>
          </w:rPr>
          <w:t>3.17</w:t>
        </w:r>
        <w:r>
          <w:rPr>
            <w:rFonts w:asciiTheme="minorHAnsi" w:eastAsiaTheme="minorEastAsia" w:hAnsiTheme="minorHAnsi" w:cstheme="minorBidi"/>
            <w:caps w:val="0"/>
            <w:noProof/>
            <w:kern w:val="0"/>
            <w:szCs w:val="22"/>
          </w:rPr>
          <w:tab/>
        </w:r>
        <w:r w:rsidRPr="00747211">
          <w:rPr>
            <w:rStyle w:val="Hyperlink"/>
            <w:noProof/>
          </w:rPr>
          <w:t>TRANSPORTATION</w:t>
        </w:r>
        <w:r>
          <w:rPr>
            <w:noProof/>
            <w:webHidden/>
          </w:rPr>
          <w:tab/>
        </w:r>
        <w:r>
          <w:rPr>
            <w:noProof/>
            <w:webHidden/>
          </w:rPr>
          <w:fldChar w:fldCharType="begin"/>
        </w:r>
        <w:r>
          <w:rPr>
            <w:noProof/>
            <w:webHidden/>
          </w:rPr>
          <w:instrText xml:space="preserve"> PAGEREF _Toc90882169 \h </w:instrText>
        </w:r>
        <w:r>
          <w:rPr>
            <w:noProof/>
            <w:webHidden/>
          </w:rPr>
        </w:r>
        <w:r>
          <w:rPr>
            <w:noProof/>
            <w:webHidden/>
          </w:rPr>
          <w:fldChar w:fldCharType="separate"/>
        </w:r>
        <w:r>
          <w:rPr>
            <w:noProof/>
            <w:webHidden/>
          </w:rPr>
          <w:t>130</w:t>
        </w:r>
        <w:r>
          <w:rPr>
            <w:noProof/>
            <w:webHidden/>
          </w:rPr>
          <w:fldChar w:fldCharType="end"/>
        </w:r>
      </w:hyperlink>
    </w:p>
    <w:p w14:paraId="66955A03" w14:textId="4DC195E0" w:rsidR="000C1AB6" w:rsidRDefault="000C1AB6">
      <w:pPr>
        <w:pStyle w:val="TOC2"/>
        <w:tabs>
          <w:tab w:val="left" w:pos="1440"/>
        </w:tabs>
        <w:rPr>
          <w:rFonts w:asciiTheme="minorHAnsi" w:eastAsiaTheme="minorEastAsia" w:hAnsiTheme="minorHAnsi" w:cstheme="minorBidi"/>
          <w:caps w:val="0"/>
          <w:noProof/>
          <w:kern w:val="0"/>
          <w:szCs w:val="22"/>
        </w:rPr>
      </w:pPr>
      <w:hyperlink w:anchor="_Toc90882170" w:history="1">
        <w:r w:rsidRPr="00747211">
          <w:rPr>
            <w:rStyle w:val="Hyperlink"/>
            <w:noProof/>
          </w:rPr>
          <w:t>3.18</w:t>
        </w:r>
        <w:r>
          <w:rPr>
            <w:rFonts w:asciiTheme="minorHAnsi" w:eastAsiaTheme="minorEastAsia" w:hAnsiTheme="minorHAnsi" w:cstheme="minorBidi"/>
            <w:caps w:val="0"/>
            <w:noProof/>
            <w:kern w:val="0"/>
            <w:szCs w:val="22"/>
          </w:rPr>
          <w:tab/>
        </w:r>
        <w:r w:rsidRPr="00747211">
          <w:rPr>
            <w:rStyle w:val="Hyperlink"/>
            <w:noProof/>
          </w:rPr>
          <w:t>TRIBAL CULTURAL RESOURCES</w:t>
        </w:r>
        <w:r>
          <w:rPr>
            <w:noProof/>
            <w:webHidden/>
          </w:rPr>
          <w:tab/>
        </w:r>
        <w:r>
          <w:rPr>
            <w:noProof/>
            <w:webHidden/>
          </w:rPr>
          <w:fldChar w:fldCharType="begin"/>
        </w:r>
        <w:r>
          <w:rPr>
            <w:noProof/>
            <w:webHidden/>
          </w:rPr>
          <w:instrText xml:space="preserve"> PAGEREF _Toc90882170 \h </w:instrText>
        </w:r>
        <w:r>
          <w:rPr>
            <w:noProof/>
            <w:webHidden/>
          </w:rPr>
        </w:r>
        <w:r>
          <w:rPr>
            <w:noProof/>
            <w:webHidden/>
          </w:rPr>
          <w:fldChar w:fldCharType="separate"/>
        </w:r>
        <w:r>
          <w:rPr>
            <w:noProof/>
            <w:webHidden/>
          </w:rPr>
          <w:t>136</w:t>
        </w:r>
        <w:r>
          <w:rPr>
            <w:noProof/>
            <w:webHidden/>
          </w:rPr>
          <w:fldChar w:fldCharType="end"/>
        </w:r>
      </w:hyperlink>
    </w:p>
    <w:p w14:paraId="0AAB06E0" w14:textId="10B0C31B" w:rsidR="000C1AB6" w:rsidRDefault="000C1AB6">
      <w:pPr>
        <w:pStyle w:val="TOC2"/>
        <w:tabs>
          <w:tab w:val="left" w:pos="1440"/>
        </w:tabs>
        <w:rPr>
          <w:rFonts w:asciiTheme="minorHAnsi" w:eastAsiaTheme="minorEastAsia" w:hAnsiTheme="minorHAnsi" w:cstheme="minorBidi"/>
          <w:caps w:val="0"/>
          <w:noProof/>
          <w:kern w:val="0"/>
          <w:szCs w:val="22"/>
        </w:rPr>
      </w:pPr>
      <w:hyperlink w:anchor="_Toc90882171" w:history="1">
        <w:r w:rsidRPr="00747211">
          <w:rPr>
            <w:rStyle w:val="Hyperlink"/>
            <w:noProof/>
          </w:rPr>
          <w:t>3.19</w:t>
        </w:r>
        <w:r>
          <w:rPr>
            <w:rFonts w:asciiTheme="minorHAnsi" w:eastAsiaTheme="minorEastAsia" w:hAnsiTheme="minorHAnsi" w:cstheme="minorBidi"/>
            <w:caps w:val="0"/>
            <w:noProof/>
            <w:kern w:val="0"/>
            <w:szCs w:val="22"/>
          </w:rPr>
          <w:tab/>
        </w:r>
        <w:r w:rsidRPr="00747211">
          <w:rPr>
            <w:rStyle w:val="Hyperlink"/>
            <w:noProof/>
          </w:rPr>
          <w:t>UTILITIES AND SERVICE SYSTEMS</w:t>
        </w:r>
        <w:r>
          <w:rPr>
            <w:noProof/>
            <w:webHidden/>
          </w:rPr>
          <w:tab/>
        </w:r>
        <w:r>
          <w:rPr>
            <w:noProof/>
            <w:webHidden/>
          </w:rPr>
          <w:fldChar w:fldCharType="begin"/>
        </w:r>
        <w:r>
          <w:rPr>
            <w:noProof/>
            <w:webHidden/>
          </w:rPr>
          <w:instrText xml:space="preserve"> PAGEREF _Toc90882171 \h </w:instrText>
        </w:r>
        <w:r>
          <w:rPr>
            <w:noProof/>
            <w:webHidden/>
          </w:rPr>
        </w:r>
        <w:r>
          <w:rPr>
            <w:noProof/>
            <w:webHidden/>
          </w:rPr>
          <w:fldChar w:fldCharType="separate"/>
        </w:r>
        <w:r>
          <w:rPr>
            <w:noProof/>
            <w:webHidden/>
          </w:rPr>
          <w:t>142</w:t>
        </w:r>
        <w:r>
          <w:rPr>
            <w:noProof/>
            <w:webHidden/>
          </w:rPr>
          <w:fldChar w:fldCharType="end"/>
        </w:r>
      </w:hyperlink>
    </w:p>
    <w:p w14:paraId="5E33746C" w14:textId="7158A06D" w:rsidR="000C1AB6" w:rsidRDefault="000C1AB6">
      <w:pPr>
        <w:pStyle w:val="TOC2"/>
        <w:tabs>
          <w:tab w:val="left" w:pos="1440"/>
        </w:tabs>
        <w:rPr>
          <w:rFonts w:asciiTheme="minorHAnsi" w:eastAsiaTheme="minorEastAsia" w:hAnsiTheme="minorHAnsi" w:cstheme="minorBidi"/>
          <w:caps w:val="0"/>
          <w:noProof/>
          <w:kern w:val="0"/>
          <w:szCs w:val="22"/>
        </w:rPr>
      </w:pPr>
      <w:hyperlink w:anchor="_Toc90882172" w:history="1">
        <w:r w:rsidRPr="00747211">
          <w:rPr>
            <w:rStyle w:val="Hyperlink"/>
            <w:noProof/>
          </w:rPr>
          <w:t>3.20</w:t>
        </w:r>
        <w:r>
          <w:rPr>
            <w:rFonts w:asciiTheme="minorHAnsi" w:eastAsiaTheme="minorEastAsia" w:hAnsiTheme="minorHAnsi" w:cstheme="minorBidi"/>
            <w:caps w:val="0"/>
            <w:noProof/>
            <w:kern w:val="0"/>
            <w:szCs w:val="22"/>
          </w:rPr>
          <w:tab/>
        </w:r>
        <w:r w:rsidRPr="00747211">
          <w:rPr>
            <w:rStyle w:val="Hyperlink"/>
            <w:noProof/>
          </w:rPr>
          <w:t>WILDIFRE</w:t>
        </w:r>
        <w:r>
          <w:rPr>
            <w:noProof/>
            <w:webHidden/>
          </w:rPr>
          <w:tab/>
        </w:r>
        <w:r>
          <w:rPr>
            <w:noProof/>
            <w:webHidden/>
          </w:rPr>
          <w:fldChar w:fldCharType="begin"/>
        </w:r>
        <w:r>
          <w:rPr>
            <w:noProof/>
            <w:webHidden/>
          </w:rPr>
          <w:instrText xml:space="preserve"> PAGEREF _Toc90882172 \h </w:instrText>
        </w:r>
        <w:r>
          <w:rPr>
            <w:noProof/>
            <w:webHidden/>
          </w:rPr>
        </w:r>
        <w:r>
          <w:rPr>
            <w:noProof/>
            <w:webHidden/>
          </w:rPr>
          <w:fldChar w:fldCharType="separate"/>
        </w:r>
        <w:r>
          <w:rPr>
            <w:noProof/>
            <w:webHidden/>
          </w:rPr>
          <w:t>148</w:t>
        </w:r>
        <w:r>
          <w:rPr>
            <w:noProof/>
            <w:webHidden/>
          </w:rPr>
          <w:fldChar w:fldCharType="end"/>
        </w:r>
      </w:hyperlink>
    </w:p>
    <w:p w14:paraId="77064426" w14:textId="781224C0" w:rsidR="000C1AB6" w:rsidRDefault="000C1AB6">
      <w:pPr>
        <w:pStyle w:val="TOC2"/>
        <w:tabs>
          <w:tab w:val="left" w:pos="1440"/>
        </w:tabs>
        <w:rPr>
          <w:rFonts w:asciiTheme="minorHAnsi" w:eastAsiaTheme="minorEastAsia" w:hAnsiTheme="minorHAnsi" w:cstheme="minorBidi"/>
          <w:caps w:val="0"/>
          <w:noProof/>
          <w:kern w:val="0"/>
          <w:szCs w:val="22"/>
        </w:rPr>
      </w:pPr>
      <w:hyperlink w:anchor="_Toc90882173" w:history="1">
        <w:r w:rsidRPr="00747211">
          <w:rPr>
            <w:rStyle w:val="Hyperlink"/>
            <w:noProof/>
          </w:rPr>
          <w:t>3.21</w:t>
        </w:r>
        <w:r>
          <w:rPr>
            <w:rFonts w:asciiTheme="minorHAnsi" w:eastAsiaTheme="minorEastAsia" w:hAnsiTheme="minorHAnsi" w:cstheme="minorBidi"/>
            <w:caps w:val="0"/>
            <w:noProof/>
            <w:kern w:val="0"/>
            <w:szCs w:val="22"/>
          </w:rPr>
          <w:tab/>
        </w:r>
        <w:r w:rsidRPr="00747211">
          <w:rPr>
            <w:rStyle w:val="Hyperlink"/>
            <w:noProof/>
          </w:rPr>
          <w:t>MANDATORY FINDINGS OF SIGNIFICANCE</w:t>
        </w:r>
        <w:r>
          <w:rPr>
            <w:noProof/>
            <w:webHidden/>
          </w:rPr>
          <w:tab/>
        </w:r>
        <w:r>
          <w:rPr>
            <w:noProof/>
            <w:webHidden/>
          </w:rPr>
          <w:fldChar w:fldCharType="begin"/>
        </w:r>
        <w:r>
          <w:rPr>
            <w:noProof/>
            <w:webHidden/>
          </w:rPr>
          <w:instrText xml:space="preserve"> PAGEREF _Toc90882173 \h </w:instrText>
        </w:r>
        <w:r>
          <w:rPr>
            <w:noProof/>
            <w:webHidden/>
          </w:rPr>
        </w:r>
        <w:r>
          <w:rPr>
            <w:noProof/>
            <w:webHidden/>
          </w:rPr>
          <w:fldChar w:fldCharType="separate"/>
        </w:r>
        <w:r>
          <w:rPr>
            <w:noProof/>
            <w:webHidden/>
          </w:rPr>
          <w:t>149</w:t>
        </w:r>
        <w:r>
          <w:rPr>
            <w:noProof/>
            <w:webHidden/>
          </w:rPr>
          <w:fldChar w:fldCharType="end"/>
        </w:r>
      </w:hyperlink>
    </w:p>
    <w:p w14:paraId="46715BBE" w14:textId="3E9882CA" w:rsidR="000C1AB6" w:rsidRDefault="000C1AB6">
      <w:pPr>
        <w:pStyle w:val="TOC1"/>
        <w:rPr>
          <w:rFonts w:asciiTheme="minorHAnsi" w:eastAsiaTheme="minorEastAsia" w:hAnsiTheme="minorHAnsi" w:cstheme="minorBidi"/>
          <w:b w:val="0"/>
          <w:caps w:val="0"/>
          <w:noProof/>
          <w:kern w:val="0"/>
          <w:szCs w:val="22"/>
        </w:rPr>
      </w:pPr>
      <w:hyperlink w:anchor="_Toc90882174" w:history="1">
        <w:r w:rsidRPr="00747211">
          <w:rPr>
            <w:rStyle w:val="Hyperlink"/>
            <w:noProof/>
          </w:rPr>
          <w:t>4.</w:t>
        </w:r>
        <w:r>
          <w:rPr>
            <w:rFonts w:asciiTheme="minorHAnsi" w:eastAsiaTheme="minorEastAsia" w:hAnsiTheme="minorHAnsi" w:cstheme="minorBidi"/>
            <w:b w:val="0"/>
            <w:caps w:val="0"/>
            <w:noProof/>
            <w:kern w:val="0"/>
            <w:szCs w:val="22"/>
          </w:rPr>
          <w:tab/>
        </w:r>
        <w:r w:rsidRPr="00747211">
          <w:rPr>
            <w:rStyle w:val="Hyperlink"/>
            <w:noProof/>
          </w:rPr>
          <w:t>References</w:t>
        </w:r>
        <w:r>
          <w:rPr>
            <w:noProof/>
            <w:webHidden/>
          </w:rPr>
          <w:tab/>
        </w:r>
        <w:r>
          <w:rPr>
            <w:noProof/>
            <w:webHidden/>
          </w:rPr>
          <w:fldChar w:fldCharType="begin"/>
        </w:r>
        <w:r>
          <w:rPr>
            <w:noProof/>
            <w:webHidden/>
          </w:rPr>
          <w:instrText xml:space="preserve"> PAGEREF _Toc90882174 \h </w:instrText>
        </w:r>
        <w:r>
          <w:rPr>
            <w:noProof/>
            <w:webHidden/>
          </w:rPr>
        </w:r>
        <w:r>
          <w:rPr>
            <w:noProof/>
            <w:webHidden/>
          </w:rPr>
          <w:fldChar w:fldCharType="separate"/>
        </w:r>
        <w:r>
          <w:rPr>
            <w:noProof/>
            <w:webHidden/>
          </w:rPr>
          <w:t>153</w:t>
        </w:r>
        <w:r>
          <w:rPr>
            <w:noProof/>
            <w:webHidden/>
          </w:rPr>
          <w:fldChar w:fldCharType="end"/>
        </w:r>
      </w:hyperlink>
    </w:p>
    <w:p w14:paraId="05D95E45" w14:textId="4DB7F2DE" w:rsidR="000C1AB6" w:rsidRDefault="000C1AB6">
      <w:pPr>
        <w:pStyle w:val="TOC1"/>
        <w:rPr>
          <w:rFonts w:asciiTheme="minorHAnsi" w:eastAsiaTheme="minorEastAsia" w:hAnsiTheme="minorHAnsi" w:cstheme="minorBidi"/>
          <w:b w:val="0"/>
          <w:caps w:val="0"/>
          <w:noProof/>
          <w:kern w:val="0"/>
          <w:szCs w:val="22"/>
        </w:rPr>
      </w:pPr>
      <w:hyperlink w:anchor="_Toc90882175" w:history="1">
        <w:r w:rsidRPr="00747211">
          <w:rPr>
            <w:rStyle w:val="Hyperlink"/>
            <w:noProof/>
          </w:rPr>
          <w:t>5.</w:t>
        </w:r>
        <w:r>
          <w:rPr>
            <w:rFonts w:asciiTheme="minorHAnsi" w:eastAsiaTheme="minorEastAsia" w:hAnsiTheme="minorHAnsi" w:cstheme="minorBidi"/>
            <w:b w:val="0"/>
            <w:caps w:val="0"/>
            <w:noProof/>
            <w:kern w:val="0"/>
            <w:szCs w:val="22"/>
          </w:rPr>
          <w:tab/>
        </w:r>
        <w:r w:rsidRPr="00747211">
          <w:rPr>
            <w:rStyle w:val="Hyperlink"/>
            <w:noProof/>
          </w:rPr>
          <w:t>List of Preparers</w:t>
        </w:r>
        <w:r>
          <w:rPr>
            <w:noProof/>
            <w:webHidden/>
          </w:rPr>
          <w:tab/>
        </w:r>
        <w:r>
          <w:rPr>
            <w:noProof/>
            <w:webHidden/>
          </w:rPr>
          <w:fldChar w:fldCharType="begin"/>
        </w:r>
        <w:r>
          <w:rPr>
            <w:noProof/>
            <w:webHidden/>
          </w:rPr>
          <w:instrText xml:space="preserve"> PAGEREF _Toc90882175 \h </w:instrText>
        </w:r>
        <w:r>
          <w:rPr>
            <w:noProof/>
            <w:webHidden/>
          </w:rPr>
        </w:r>
        <w:r>
          <w:rPr>
            <w:noProof/>
            <w:webHidden/>
          </w:rPr>
          <w:fldChar w:fldCharType="separate"/>
        </w:r>
        <w:r>
          <w:rPr>
            <w:noProof/>
            <w:webHidden/>
          </w:rPr>
          <w:t>157</w:t>
        </w:r>
        <w:r>
          <w:rPr>
            <w:noProof/>
            <w:webHidden/>
          </w:rPr>
          <w:fldChar w:fldCharType="end"/>
        </w:r>
      </w:hyperlink>
    </w:p>
    <w:p w14:paraId="7F023329" w14:textId="1347A196" w:rsidR="000C1AB6" w:rsidRDefault="000C1AB6">
      <w:pPr>
        <w:pStyle w:val="TOC2"/>
        <w:rPr>
          <w:rFonts w:asciiTheme="minorHAnsi" w:eastAsiaTheme="minorEastAsia" w:hAnsiTheme="minorHAnsi" w:cstheme="minorBidi"/>
          <w:caps w:val="0"/>
          <w:noProof/>
          <w:kern w:val="0"/>
          <w:szCs w:val="22"/>
        </w:rPr>
      </w:pPr>
      <w:hyperlink w:anchor="_Toc90882176" w:history="1">
        <w:r w:rsidRPr="00747211">
          <w:rPr>
            <w:rStyle w:val="Hyperlink"/>
            <w:noProof/>
          </w:rPr>
          <w:t>Lead Agency</w:t>
        </w:r>
        <w:r>
          <w:rPr>
            <w:noProof/>
            <w:webHidden/>
          </w:rPr>
          <w:tab/>
        </w:r>
        <w:r>
          <w:rPr>
            <w:noProof/>
            <w:webHidden/>
          </w:rPr>
          <w:fldChar w:fldCharType="begin"/>
        </w:r>
        <w:r>
          <w:rPr>
            <w:noProof/>
            <w:webHidden/>
          </w:rPr>
          <w:instrText xml:space="preserve"> PAGEREF _Toc90882176 \h </w:instrText>
        </w:r>
        <w:r>
          <w:rPr>
            <w:noProof/>
            <w:webHidden/>
          </w:rPr>
        </w:r>
        <w:r>
          <w:rPr>
            <w:noProof/>
            <w:webHidden/>
          </w:rPr>
          <w:fldChar w:fldCharType="separate"/>
        </w:r>
        <w:r>
          <w:rPr>
            <w:noProof/>
            <w:webHidden/>
          </w:rPr>
          <w:t>157</w:t>
        </w:r>
        <w:r>
          <w:rPr>
            <w:noProof/>
            <w:webHidden/>
          </w:rPr>
          <w:fldChar w:fldCharType="end"/>
        </w:r>
      </w:hyperlink>
    </w:p>
    <w:p w14:paraId="1271B1A5" w14:textId="52DC778E" w:rsidR="000C1AB6" w:rsidRDefault="000C1AB6">
      <w:pPr>
        <w:pStyle w:val="TOC2"/>
        <w:rPr>
          <w:rFonts w:asciiTheme="minorHAnsi" w:eastAsiaTheme="minorEastAsia" w:hAnsiTheme="minorHAnsi" w:cstheme="minorBidi"/>
          <w:caps w:val="0"/>
          <w:noProof/>
          <w:kern w:val="0"/>
          <w:szCs w:val="22"/>
        </w:rPr>
      </w:pPr>
      <w:hyperlink w:anchor="_Toc90882177" w:history="1">
        <w:r w:rsidRPr="00747211">
          <w:rPr>
            <w:rStyle w:val="Hyperlink"/>
            <w:noProof/>
          </w:rPr>
          <w:t>PlaceWorks</w:t>
        </w:r>
        <w:r>
          <w:rPr>
            <w:noProof/>
            <w:webHidden/>
          </w:rPr>
          <w:tab/>
        </w:r>
        <w:r>
          <w:rPr>
            <w:noProof/>
            <w:webHidden/>
          </w:rPr>
          <w:fldChar w:fldCharType="begin"/>
        </w:r>
        <w:r>
          <w:rPr>
            <w:noProof/>
            <w:webHidden/>
          </w:rPr>
          <w:instrText xml:space="preserve"> PAGEREF _Toc90882177 \h </w:instrText>
        </w:r>
        <w:r>
          <w:rPr>
            <w:noProof/>
            <w:webHidden/>
          </w:rPr>
        </w:r>
        <w:r>
          <w:rPr>
            <w:noProof/>
            <w:webHidden/>
          </w:rPr>
          <w:fldChar w:fldCharType="separate"/>
        </w:r>
        <w:r>
          <w:rPr>
            <w:noProof/>
            <w:webHidden/>
          </w:rPr>
          <w:t>157</w:t>
        </w:r>
        <w:r>
          <w:rPr>
            <w:noProof/>
            <w:webHidden/>
          </w:rPr>
          <w:fldChar w:fldCharType="end"/>
        </w:r>
      </w:hyperlink>
    </w:p>
    <w:p w14:paraId="63CCC277" w14:textId="2EB8C343" w:rsidR="00D10CF6" w:rsidRDefault="006E2046" w:rsidP="00AC35CC">
      <w:r>
        <w:rPr>
          <w:rFonts w:ascii="Arial Bold" w:hAnsi="Arial Bold"/>
          <w:b/>
          <w:caps/>
          <w:kern w:val="20"/>
          <w:szCs w:val="20"/>
        </w:rPr>
        <w:fldChar w:fldCharType="end"/>
      </w:r>
    </w:p>
    <w:p w14:paraId="414D4CF6" w14:textId="77777777" w:rsidR="00FC46BE" w:rsidRDefault="00FC46BE" w:rsidP="00AC35CC"/>
    <w:p w14:paraId="4D8E4B43" w14:textId="77777777" w:rsidR="00BD1A67" w:rsidRDefault="00BD1A67">
      <w:pPr>
        <w:rPr>
          <w:b/>
          <w:kern w:val="20"/>
          <w:szCs w:val="20"/>
        </w:rPr>
      </w:pPr>
      <w:r>
        <w:br w:type="page"/>
      </w:r>
    </w:p>
    <w:p w14:paraId="66EA37A2" w14:textId="600A31F9" w:rsidR="00D10CF6" w:rsidRDefault="00D10CF6" w:rsidP="00D10CF6">
      <w:pPr>
        <w:pStyle w:val="BodyTextBold"/>
      </w:pPr>
      <w:r w:rsidRPr="00B35EA2">
        <w:lastRenderedPageBreak/>
        <w:t>APPENDICES</w:t>
      </w:r>
    </w:p>
    <w:p w14:paraId="022BFD98" w14:textId="3D99E604" w:rsidR="00EB1300" w:rsidRDefault="00395CE4" w:rsidP="00395CE4">
      <w:pPr>
        <w:pStyle w:val="BodyText"/>
        <w:spacing w:after="400"/>
      </w:pPr>
      <w:r>
        <w:t>Due to the number of pages the appendices are provided under separate cover in three volumes.</w:t>
      </w:r>
    </w:p>
    <w:p w14:paraId="5419FCF2" w14:textId="17F5342E" w:rsidR="00395CE4" w:rsidRPr="00395CE4" w:rsidRDefault="00395CE4" w:rsidP="00EB1300">
      <w:pPr>
        <w:pStyle w:val="BodyText"/>
        <w:rPr>
          <w:b/>
          <w:bCs/>
          <w:u w:val="single"/>
        </w:rPr>
      </w:pPr>
      <w:r w:rsidRPr="00395CE4">
        <w:rPr>
          <w:b/>
          <w:bCs/>
          <w:u w:val="single"/>
        </w:rPr>
        <w:t>Volume I</w:t>
      </w:r>
    </w:p>
    <w:p w14:paraId="42652A14" w14:textId="77777777" w:rsidR="00BD1A67" w:rsidRDefault="00BD1A67" w:rsidP="00BD1A67">
      <w:pPr>
        <w:pStyle w:val="TableofFigures"/>
        <w:spacing w:line="360" w:lineRule="auto"/>
        <w:rPr>
          <w:rFonts w:asciiTheme="minorHAnsi" w:eastAsiaTheme="minorEastAsia" w:hAnsiTheme="minorHAnsi" w:cstheme="minorBidi"/>
          <w:noProof/>
          <w:szCs w:val="22"/>
        </w:rPr>
      </w:pPr>
      <w:r w:rsidRPr="00D25C64">
        <w:fldChar w:fldCharType="begin"/>
      </w:r>
      <w:r w:rsidRPr="00D25C64">
        <w:instrText xml:space="preserve"> TOC \n \t "Appendix,1" \c "Figure" </w:instrText>
      </w:r>
      <w:r w:rsidRPr="00D25C64">
        <w:fldChar w:fldCharType="separate"/>
      </w:r>
      <w:r>
        <w:rPr>
          <w:noProof/>
        </w:rPr>
        <w:t>Appendix A</w:t>
      </w:r>
      <w:r>
        <w:rPr>
          <w:rFonts w:asciiTheme="minorHAnsi" w:eastAsiaTheme="minorEastAsia" w:hAnsiTheme="minorHAnsi" w:cstheme="minorBidi"/>
          <w:noProof/>
          <w:szCs w:val="22"/>
        </w:rPr>
        <w:tab/>
      </w:r>
      <w:r>
        <w:rPr>
          <w:noProof/>
        </w:rPr>
        <w:t>Air Quality and GHG Background and Modeling</w:t>
      </w:r>
    </w:p>
    <w:p w14:paraId="3E0C0E24" w14:textId="77777777" w:rsidR="00BD1A67" w:rsidRDefault="00BD1A67" w:rsidP="00BD1A67">
      <w:pPr>
        <w:pStyle w:val="TableofFigures"/>
        <w:spacing w:line="360" w:lineRule="auto"/>
        <w:rPr>
          <w:rFonts w:asciiTheme="minorHAnsi" w:eastAsiaTheme="minorEastAsia" w:hAnsiTheme="minorHAnsi" w:cstheme="minorBidi"/>
          <w:noProof/>
          <w:szCs w:val="22"/>
        </w:rPr>
      </w:pPr>
      <w:r>
        <w:rPr>
          <w:noProof/>
        </w:rPr>
        <w:t>Appendix B</w:t>
      </w:r>
      <w:r>
        <w:rPr>
          <w:rFonts w:asciiTheme="minorHAnsi" w:eastAsiaTheme="minorEastAsia" w:hAnsiTheme="minorHAnsi" w:cstheme="minorBidi"/>
          <w:noProof/>
          <w:szCs w:val="22"/>
        </w:rPr>
        <w:tab/>
      </w:r>
      <w:r>
        <w:rPr>
          <w:noProof/>
        </w:rPr>
        <w:t>Health Risk Assessment</w:t>
      </w:r>
    </w:p>
    <w:p w14:paraId="6F8762DA" w14:textId="77777777" w:rsidR="00BD1A67" w:rsidRDefault="00BD1A67" w:rsidP="00BD1A67">
      <w:pPr>
        <w:pStyle w:val="TableofFigures"/>
        <w:spacing w:line="360" w:lineRule="auto"/>
        <w:rPr>
          <w:rFonts w:asciiTheme="minorHAnsi" w:eastAsiaTheme="minorEastAsia" w:hAnsiTheme="minorHAnsi" w:cstheme="minorBidi"/>
          <w:noProof/>
          <w:szCs w:val="22"/>
        </w:rPr>
      </w:pPr>
      <w:r>
        <w:rPr>
          <w:noProof/>
        </w:rPr>
        <w:t>Appendix C</w:t>
      </w:r>
      <w:r>
        <w:rPr>
          <w:rFonts w:asciiTheme="minorHAnsi" w:eastAsiaTheme="minorEastAsia" w:hAnsiTheme="minorHAnsi" w:cstheme="minorBidi"/>
          <w:noProof/>
          <w:szCs w:val="22"/>
        </w:rPr>
        <w:tab/>
      </w:r>
      <w:r>
        <w:rPr>
          <w:noProof/>
        </w:rPr>
        <w:t>Cultural and Paleontological Resources Assessment Report</w:t>
      </w:r>
    </w:p>
    <w:p w14:paraId="37E834FD" w14:textId="57F5B87E" w:rsidR="00BD1A67" w:rsidRDefault="00BD1A67" w:rsidP="00BD1A67">
      <w:pPr>
        <w:pStyle w:val="TableofFigures"/>
        <w:spacing w:line="360" w:lineRule="auto"/>
        <w:rPr>
          <w:noProof/>
        </w:rPr>
      </w:pPr>
      <w:r>
        <w:rPr>
          <w:noProof/>
        </w:rPr>
        <w:t>Appendix D</w:t>
      </w:r>
      <w:r>
        <w:rPr>
          <w:rFonts w:asciiTheme="minorHAnsi" w:eastAsiaTheme="minorEastAsia" w:hAnsiTheme="minorHAnsi" w:cstheme="minorBidi"/>
          <w:noProof/>
          <w:szCs w:val="22"/>
        </w:rPr>
        <w:tab/>
      </w:r>
      <w:r>
        <w:rPr>
          <w:noProof/>
        </w:rPr>
        <w:t>Geotechnical Investigation and Results of Infiltration Testing</w:t>
      </w:r>
    </w:p>
    <w:p w14:paraId="08B3AAC5" w14:textId="6FAAF7BE" w:rsidR="00395CE4" w:rsidRDefault="00395CE4" w:rsidP="00395CE4">
      <w:pPr>
        <w:rPr>
          <w:rFonts w:eastAsiaTheme="minorEastAsia"/>
        </w:rPr>
      </w:pPr>
    </w:p>
    <w:p w14:paraId="4E859478" w14:textId="288E2448" w:rsidR="00395CE4" w:rsidRPr="00395CE4" w:rsidRDefault="00395CE4" w:rsidP="00395CE4">
      <w:pPr>
        <w:pStyle w:val="BodyText"/>
        <w:rPr>
          <w:b/>
          <w:bCs/>
          <w:u w:val="single"/>
        </w:rPr>
      </w:pPr>
      <w:r w:rsidRPr="00395CE4">
        <w:rPr>
          <w:b/>
          <w:bCs/>
          <w:u w:val="single"/>
        </w:rPr>
        <w:t>Volume I</w:t>
      </w:r>
      <w:r w:rsidR="00405CC1">
        <w:rPr>
          <w:b/>
          <w:bCs/>
          <w:u w:val="single"/>
        </w:rPr>
        <w:t>I</w:t>
      </w:r>
    </w:p>
    <w:p w14:paraId="6245A80C" w14:textId="759DB1A2" w:rsidR="00BD1A67" w:rsidRDefault="00BD1A67" w:rsidP="00BD1A67">
      <w:pPr>
        <w:pStyle w:val="TableofFigures"/>
        <w:spacing w:line="360" w:lineRule="auto"/>
        <w:rPr>
          <w:noProof/>
        </w:rPr>
      </w:pPr>
      <w:r>
        <w:rPr>
          <w:noProof/>
        </w:rPr>
        <w:t>Appendix E</w:t>
      </w:r>
      <w:r>
        <w:rPr>
          <w:rFonts w:asciiTheme="minorHAnsi" w:eastAsiaTheme="minorEastAsia" w:hAnsiTheme="minorHAnsi" w:cstheme="minorBidi"/>
          <w:noProof/>
          <w:szCs w:val="22"/>
        </w:rPr>
        <w:tab/>
      </w:r>
      <w:r>
        <w:rPr>
          <w:noProof/>
        </w:rPr>
        <w:t>Phase I Environmental Assessment</w:t>
      </w:r>
    </w:p>
    <w:p w14:paraId="3DB47F39" w14:textId="508192C9" w:rsidR="00395CE4" w:rsidRDefault="00395CE4" w:rsidP="00395CE4">
      <w:pPr>
        <w:rPr>
          <w:rFonts w:eastAsiaTheme="minorEastAsia"/>
        </w:rPr>
      </w:pPr>
    </w:p>
    <w:p w14:paraId="15E90423" w14:textId="1432FC79" w:rsidR="00395CE4" w:rsidRPr="00395CE4" w:rsidRDefault="00395CE4" w:rsidP="00395CE4">
      <w:pPr>
        <w:pStyle w:val="BodyText"/>
        <w:rPr>
          <w:b/>
          <w:bCs/>
          <w:u w:val="single"/>
        </w:rPr>
      </w:pPr>
      <w:r w:rsidRPr="00395CE4">
        <w:rPr>
          <w:b/>
          <w:bCs/>
          <w:u w:val="single"/>
        </w:rPr>
        <w:t>Volume I</w:t>
      </w:r>
      <w:r w:rsidR="00405CC1">
        <w:rPr>
          <w:b/>
          <w:bCs/>
          <w:u w:val="single"/>
        </w:rPr>
        <w:t>II</w:t>
      </w:r>
    </w:p>
    <w:p w14:paraId="254CC1E8" w14:textId="77777777" w:rsidR="00BD1A67" w:rsidRDefault="00BD1A67" w:rsidP="00BD1A67">
      <w:pPr>
        <w:pStyle w:val="TableofFigures"/>
        <w:spacing w:line="360" w:lineRule="auto"/>
        <w:rPr>
          <w:rFonts w:asciiTheme="minorHAnsi" w:eastAsiaTheme="minorEastAsia" w:hAnsiTheme="minorHAnsi" w:cstheme="minorBidi"/>
          <w:noProof/>
          <w:szCs w:val="22"/>
        </w:rPr>
      </w:pPr>
      <w:r>
        <w:rPr>
          <w:noProof/>
        </w:rPr>
        <w:t>Appendix F</w:t>
      </w:r>
      <w:r>
        <w:rPr>
          <w:rFonts w:asciiTheme="minorHAnsi" w:eastAsiaTheme="minorEastAsia" w:hAnsiTheme="minorHAnsi" w:cstheme="minorBidi"/>
          <w:noProof/>
          <w:szCs w:val="22"/>
        </w:rPr>
        <w:tab/>
      </w:r>
      <w:r>
        <w:rPr>
          <w:noProof/>
        </w:rPr>
        <w:t>LID Report and Hydrology and Detention Report</w:t>
      </w:r>
    </w:p>
    <w:p w14:paraId="0CB7AA31" w14:textId="77777777" w:rsidR="00BD1A67" w:rsidRDefault="00BD1A67" w:rsidP="00BD1A67">
      <w:pPr>
        <w:pStyle w:val="TableofFigures"/>
        <w:spacing w:line="360" w:lineRule="auto"/>
        <w:rPr>
          <w:rFonts w:asciiTheme="minorHAnsi" w:eastAsiaTheme="minorEastAsia" w:hAnsiTheme="minorHAnsi" w:cstheme="minorBidi"/>
          <w:noProof/>
          <w:szCs w:val="22"/>
        </w:rPr>
      </w:pPr>
      <w:r>
        <w:rPr>
          <w:noProof/>
        </w:rPr>
        <w:t>Appendix G</w:t>
      </w:r>
      <w:r>
        <w:rPr>
          <w:rFonts w:asciiTheme="minorHAnsi" w:eastAsiaTheme="minorEastAsia" w:hAnsiTheme="minorHAnsi" w:cstheme="minorBidi"/>
          <w:noProof/>
          <w:szCs w:val="22"/>
        </w:rPr>
        <w:tab/>
      </w:r>
      <w:r>
        <w:rPr>
          <w:noProof/>
        </w:rPr>
        <w:t>Noise Background</w:t>
      </w:r>
    </w:p>
    <w:p w14:paraId="7D08C328" w14:textId="77777777" w:rsidR="00BD1A67" w:rsidRDefault="00BD1A67" w:rsidP="00BD1A67">
      <w:pPr>
        <w:pStyle w:val="TableofFigures"/>
        <w:spacing w:line="360" w:lineRule="auto"/>
        <w:rPr>
          <w:rFonts w:asciiTheme="minorHAnsi" w:eastAsiaTheme="minorEastAsia" w:hAnsiTheme="minorHAnsi" w:cstheme="minorBidi"/>
          <w:noProof/>
          <w:szCs w:val="22"/>
        </w:rPr>
      </w:pPr>
      <w:r>
        <w:rPr>
          <w:noProof/>
        </w:rPr>
        <w:t>Appendix H</w:t>
      </w:r>
      <w:r>
        <w:rPr>
          <w:rFonts w:asciiTheme="minorHAnsi" w:eastAsiaTheme="minorEastAsia" w:hAnsiTheme="minorHAnsi" w:cstheme="minorBidi"/>
          <w:noProof/>
          <w:szCs w:val="22"/>
        </w:rPr>
        <w:tab/>
      </w:r>
      <w:r>
        <w:rPr>
          <w:noProof/>
        </w:rPr>
        <w:t>Public Services and Utility Provider Responses</w:t>
      </w:r>
    </w:p>
    <w:p w14:paraId="5433DFEC" w14:textId="77777777" w:rsidR="00BD1A67" w:rsidRDefault="00BD1A67" w:rsidP="00BD1A67">
      <w:pPr>
        <w:pStyle w:val="TableofFigures"/>
        <w:spacing w:line="360" w:lineRule="auto"/>
        <w:rPr>
          <w:rFonts w:asciiTheme="minorHAnsi" w:eastAsiaTheme="minorEastAsia" w:hAnsiTheme="minorHAnsi" w:cstheme="minorBidi"/>
          <w:noProof/>
          <w:szCs w:val="22"/>
        </w:rPr>
      </w:pPr>
      <w:r>
        <w:rPr>
          <w:noProof/>
        </w:rPr>
        <w:t>Appendix I</w:t>
      </w:r>
      <w:r>
        <w:rPr>
          <w:rFonts w:asciiTheme="minorHAnsi" w:eastAsiaTheme="minorEastAsia" w:hAnsiTheme="minorHAnsi" w:cstheme="minorBidi"/>
          <w:noProof/>
          <w:szCs w:val="22"/>
        </w:rPr>
        <w:tab/>
      </w:r>
      <w:r>
        <w:rPr>
          <w:noProof/>
        </w:rPr>
        <w:t>Transportation Analysis</w:t>
      </w:r>
    </w:p>
    <w:p w14:paraId="65224D74" w14:textId="77777777" w:rsidR="00BD1A67" w:rsidRPr="00BD1A67" w:rsidRDefault="00BD1A67" w:rsidP="00BD1A67">
      <w:pPr>
        <w:pStyle w:val="BodyText"/>
        <w:spacing w:line="360" w:lineRule="auto"/>
      </w:pPr>
      <w:r w:rsidRPr="00D25C64">
        <w:rPr>
          <w:b/>
        </w:rPr>
        <w:fldChar w:fldCharType="end"/>
      </w:r>
    </w:p>
    <w:p w14:paraId="70024A7B" w14:textId="77777777" w:rsidR="00D10CF6" w:rsidRDefault="00D10CF6" w:rsidP="00D10CF6">
      <w:pPr>
        <w:pStyle w:val="ListofFigsTblsTitle"/>
        <w:pageBreakBefore/>
      </w:pPr>
      <w:r>
        <w:lastRenderedPageBreak/>
        <w:t>List of Figures</w:t>
      </w:r>
    </w:p>
    <w:p w14:paraId="22F04DBE" w14:textId="77777777" w:rsidR="00D10CF6" w:rsidRPr="007E52F7" w:rsidRDefault="00D10CF6" w:rsidP="00D10CF6">
      <w:pPr>
        <w:pStyle w:val="TOCHeading2"/>
      </w:pPr>
      <w:r w:rsidRPr="007E52F7">
        <w:t>Figure</w:t>
      </w:r>
      <w:r w:rsidRPr="007E52F7">
        <w:tab/>
        <w:t>Page</w:t>
      </w:r>
    </w:p>
    <w:p w14:paraId="496777B0" w14:textId="11AAC609" w:rsidR="005E5903" w:rsidRDefault="00D10CF6">
      <w:pPr>
        <w:pStyle w:val="TableofFigures"/>
        <w:rPr>
          <w:rFonts w:asciiTheme="minorHAnsi" w:eastAsiaTheme="minorEastAsia" w:hAnsiTheme="minorHAnsi" w:cstheme="minorBidi"/>
          <w:noProof/>
          <w:szCs w:val="22"/>
        </w:rPr>
      </w:pPr>
      <w:r w:rsidRPr="006C5BAC">
        <w:fldChar w:fldCharType="begin"/>
      </w:r>
      <w:r w:rsidRPr="006C5BAC">
        <w:instrText xml:space="preserve"> TOC \t "Figure</w:instrText>
      </w:r>
      <w:r>
        <w:instrText xml:space="preserve"> </w:instrText>
      </w:r>
      <w:r w:rsidRPr="006C5BAC">
        <w:instrText xml:space="preserve">Title" \c </w:instrText>
      </w:r>
      <w:r w:rsidRPr="006C5BAC">
        <w:fldChar w:fldCharType="separate"/>
      </w:r>
      <w:r w:rsidR="005E5903">
        <w:rPr>
          <w:noProof/>
        </w:rPr>
        <w:t>Figure 1</w:t>
      </w:r>
      <w:r w:rsidR="005E5903">
        <w:rPr>
          <w:rFonts w:asciiTheme="minorHAnsi" w:eastAsiaTheme="minorEastAsia" w:hAnsiTheme="minorHAnsi" w:cstheme="minorBidi"/>
          <w:noProof/>
          <w:szCs w:val="22"/>
        </w:rPr>
        <w:tab/>
      </w:r>
      <w:r w:rsidR="005E5903">
        <w:rPr>
          <w:noProof/>
        </w:rPr>
        <w:t>Regional Location</w:t>
      </w:r>
      <w:r w:rsidR="005E5903">
        <w:rPr>
          <w:noProof/>
        </w:rPr>
        <w:tab/>
      </w:r>
      <w:r w:rsidR="005E5903">
        <w:rPr>
          <w:noProof/>
        </w:rPr>
        <w:fldChar w:fldCharType="begin"/>
      </w:r>
      <w:r w:rsidR="005E5903">
        <w:rPr>
          <w:noProof/>
        </w:rPr>
        <w:instrText xml:space="preserve"> PAGEREF _Toc90882216 \h </w:instrText>
      </w:r>
      <w:r w:rsidR="005E5903">
        <w:rPr>
          <w:noProof/>
        </w:rPr>
      </w:r>
      <w:r w:rsidR="005E5903">
        <w:rPr>
          <w:noProof/>
        </w:rPr>
        <w:fldChar w:fldCharType="separate"/>
      </w:r>
      <w:r w:rsidR="005E5903">
        <w:rPr>
          <w:noProof/>
        </w:rPr>
        <w:t>3</w:t>
      </w:r>
      <w:r w:rsidR="005E5903">
        <w:rPr>
          <w:noProof/>
        </w:rPr>
        <w:fldChar w:fldCharType="end"/>
      </w:r>
    </w:p>
    <w:p w14:paraId="21678410" w14:textId="60CCFB77" w:rsidR="005E5903" w:rsidRDefault="005E5903">
      <w:pPr>
        <w:pStyle w:val="TableofFigures"/>
        <w:rPr>
          <w:rFonts w:asciiTheme="minorHAnsi" w:eastAsiaTheme="minorEastAsia" w:hAnsiTheme="minorHAnsi" w:cstheme="minorBidi"/>
          <w:noProof/>
          <w:szCs w:val="22"/>
        </w:rPr>
      </w:pPr>
      <w:r>
        <w:rPr>
          <w:noProof/>
        </w:rPr>
        <w:t>Figure 2</w:t>
      </w:r>
      <w:r>
        <w:rPr>
          <w:rFonts w:asciiTheme="minorHAnsi" w:eastAsiaTheme="minorEastAsia" w:hAnsiTheme="minorHAnsi" w:cstheme="minorBidi"/>
          <w:noProof/>
          <w:szCs w:val="22"/>
        </w:rPr>
        <w:tab/>
      </w:r>
      <w:r>
        <w:rPr>
          <w:noProof/>
        </w:rPr>
        <w:t>Local Vicinity</w:t>
      </w:r>
      <w:r>
        <w:rPr>
          <w:noProof/>
        </w:rPr>
        <w:tab/>
      </w:r>
      <w:r>
        <w:rPr>
          <w:noProof/>
        </w:rPr>
        <w:fldChar w:fldCharType="begin"/>
      </w:r>
      <w:r>
        <w:rPr>
          <w:noProof/>
        </w:rPr>
        <w:instrText xml:space="preserve"> PAGEREF _Toc90882217 \h </w:instrText>
      </w:r>
      <w:r>
        <w:rPr>
          <w:noProof/>
        </w:rPr>
      </w:r>
      <w:r>
        <w:rPr>
          <w:noProof/>
        </w:rPr>
        <w:fldChar w:fldCharType="separate"/>
      </w:r>
      <w:r>
        <w:rPr>
          <w:noProof/>
        </w:rPr>
        <w:t>5</w:t>
      </w:r>
      <w:r>
        <w:rPr>
          <w:noProof/>
        </w:rPr>
        <w:fldChar w:fldCharType="end"/>
      </w:r>
    </w:p>
    <w:p w14:paraId="1B422D96" w14:textId="0C13D017" w:rsidR="005E5903" w:rsidRDefault="005E5903">
      <w:pPr>
        <w:pStyle w:val="TableofFigures"/>
        <w:rPr>
          <w:rFonts w:asciiTheme="minorHAnsi" w:eastAsiaTheme="minorEastAsia" w:hAnsiTheme="minorHAnsi" w:cstheme="minorBidi"/>
          <w:noProof/>
          <w:szCs w:val="22"/>
        </w:rPr>
      </w:pPr>
      <w:r>
        <w:rPr>
          <w:noProof/>
        </w:rPr>
        <w:t>Figure 3</w:t>
      </w:r>
      <w:r>
        <w:rPr>
          <w:rFonts w:asciiTheme="minorHAnsi" w:eastAsiaTheme="minorEastAsia" w:hAnsiTheme="minorHAnsi" w:cstheme="minorBidi"/>
          <w:noProof/>
          <w:szCs w:val="22"/>
        </w:rPr>
        <w:tab/>
      </w:r>
      <w:r>
        <w:rPr>
          <w:noProof/>
        </w:rPr>
        <w:t>Aerial Photograph</w:t>
      </w:r>
      <w:r>
        <w:rPr>
          <w:noProof/>
        </w:rPr>
        <w:tab/>
      </w:r>
      <w:r>
        <w:rPr>
          <w:noProof/>
        </w:rPr>
        <w:fldChar w:fldCharType="begin"/>
      </w:r>
      <w:r>
        <w:rPr>
          <w:noProof/>
        </w:rPr>
        <w:instrText xml:space="preserve"> PAGEREF _Toc90882218 \h </w:instrText>
      </w:r>
      <w:r>
        <w:rPr>
          <w:noProof/>
        </w:rPr>
      </w:r>
      <w:r>
        <w:rPr>
          <w:noProof/>
        </w:rPr>
        <w:fldChar w:fldCharType="separate"/>
      </w:r>
      <w:r>
        <w:rPr>
          <w:noProof/>
        </w:rPr>
        <w:t>9</w:t>
      </w:r>
      <w:r>
        <w:rPr>
          <w:noProof/>
        </w:rPr>
        <w:fldChar w:fldCharType="end"/>
      </w:r>
    </w:p>
    <w:p w14:paraId="54DB89D0" w14:textId="327F8676" w:rsidR="005E5903" w:rsidRDefault="005E5903">
      <w:pPr>
        <w:pStyle w:val="TableofFigures"/>
        <w:rPr>
          <w:rFonts w:asciiTheme="minorHAnsi" w:eastAsiaTheme="minorEastAsia" w:hAnsiTheme="minorHAnsi" w:cstheme="minorBidi"/>
          <w:noProof/>
          <w:szCs w:val="22"/>
        </w:rPr>
      </w:pPr>
      <w:r>
        <w:rPr>
          <w:noProof/>
        </w:rPr>
        <w:t>Figure 4</w:t>
      </w:r>
      <w:r>
        <w:rPr>
          <w:rFonts w:asciiTheme="minorHAnsi" w:eastAsiaTheme="minorEastAsia" w:hAnsiTheme="minorHAnsi" w:cstheme="minorBidi"/>
          <w:noProof/>
          <w:szCs w:val="22"/>
        </w:rPr>
        <w:tab/>
      </w:r>
      <w:r>
        <w:rPr>
          <w:noProof/>
        </w:rPr>
        <w:t>Site Photographs</w:t>
      </w:r>
      <w:r>
        <w:rPr>
          <w:noProof/>
        </w:rPr>
        <w:tab/>
      </w:r>
      <w:r>
        <w:rPr>
          <w:noProof/>
        </w:rPr>
        <w:fldChar w:fldCharType="begin"/>
      </w:r>
      <w:r>
        <w:rPr>
          <w:noProof/>
        </w:rPr>
        <w:instrText xml:space="preserve"> PAGEREF _Toc90882219 \h </w:instrText>
      </w:r>
      <w:r>
        <w:rPr>
          <w:noProof/>
        </w:rPr>
      </w:r>
      <w:r>
        <w:rPr>
          <w:noProof/>
        </w:rPr>
        <w:fldChar w:fldCharType="separate"/>
      </w:r>
      <w:r>
        <w:rPr>
          <w:noProof/>
        </w:rPr>
        <w:t>11</w:t>
      </w:r>
      <w:r>
        <w:rPr>
          <w:noProof/>
        </w:rPr>
        <w:fldChar w:fldCharType="end"/>
      </w:r>
    </w:p>
    <w:p w14:paraId="0542E4DB" w14:textId="35C302A6" w:rsidR="005E5903" w:rsidRDefault="005E5903">
      <w:pPr>
        <w:pStyle w:val="TableofFigures"/>
        <w:rPr>
          <w:rFonts w:asciiTheme="minorHAnsi" w:eastAsiaTheme="minorEastAsia" w:hAnsiTheme="minorHAnsi" w:cstheme="minorBidi"/>
          <w:noProof/>
          <w:szCs w:val="22"/>
        </w:rPr>
      </w:pPr>
      <w:r>
        <w:rPr>
          <w:noProof/>
        </w:rPr>
        <w:t>Figure 5</w:t>
      </w:r>
      <w:r>
        <w:rPr>
          <w:rFonts w:asciiTheme="minorHAnsi" w:eastAsiaTheme="minorEastAsia" w:hAnsiTheme="minorHAnsi" w:cstheme="minorBidi"/>
          <w:noProof/>
          <w:szCs w:val="22"/>
        </w:rPr>
        <w:tab/>
      </w:r>
      <w:r>
        <w:rPr>
          <w:noProof/>
        </w:rPr>
        <w:t>Conceptual Site Plan</w:t>
      </w:r>
      <w:r>
        <w:rPr>
          <w:noProof/>
        </w:rPr>
        <w:tab/>
      </w:r>
      <w:r>
        <w:rPr>
          <w:noProof/>
        </w:rPr>
        <w:fldChar w:fldCharType="begin"/>
      </w:r>
      <w:r>
        <w:rPr>
          <w:noProof/>
        </w:rPr>
        <w:instrText xml:space="preserve"> PAGEREF _Toc90882220 \h </w:instrText>
      </w:r>
      <w:r>
        <w:rPr>
          <w:noProof/>
        </w:rPr>
      </w:r>
      <w:r>
        <w:rPr>
          <w:noProof/>
        </w:rPr>
        <w:fldChar w:fldCharType="separate"/>
      </w:r>
      <w:r>
        <w:rPr>
          <w:noProof/>
        </w:rPr>
        <w:t>15</w:t>
      </w:r>
      <w:r>
        <w:rPr>
          <w:noProof/>
        </w:rPr>
        <w:fldChar w:fldCharType="end"/>
      </w:r>
    </w:p>
    <w:p w14:paraId="7252556F" w14:textId="47BEAD3B" w:rsidR="005E5903" w:rsidRDefault="005E5903">
      <w:pPr>
        <w:pStyle w:val="TableofFigures"/>
        <w:rPr>
          <w:rFonts w:asciiTheme="minorHAnsi" w:eastAsiaTheme="minorEastAsia" w:hAnsiTheme="minorHAnsi" w:cstheme="minorBidi"/>
          <w:noProof/>
          <w:szCs w:val="22"/>
        </w:rPr>
      </w:pPr>
      <w:r>
        <w:rPr>
          <w:noProof/>
        </w:rPr>
        <w:t>Figure 6</w:t>
      </w:r>
      <w:r>
        <w:rPr>
          <w:rFonts w:asciiTheme="minorHAnsi" w:eastAsiaTheme="minorEastAsia" w:hAnsiTheme="minorHAnsi" w:cstheme="minorBidi"/>
          <w:noProof/>
          <w:szCs w:val="22"/>
        </w:rPr>
        <w:tab/>
      </w:r>
      <w:r>
        <w:rPr>
          <w:noProof/>
        </w:rPr>
        <w:t>Conceptual Building Elevations</w:t>
      </w:r>
      <w:r>
        <w:rPr>
          <w:noProof/>
        </w:rPr>
        <w:tab/>
      </w:r>
      <w:r>
        <w:rPr>
          <w:noProof/>
        </w:rPr>
        <w:fldChar w:fldCharType="begin"/>
      </w:r>
      <w:r>
        <w:rPr>
          <w:noProof/>
        </w:rPr>
        <w:instrText xml:space="preserve"> PAGEREF _Toc90882221 \h </w:instrText>
      </w:r>
      <w:r>
        <w:rPr>
          <w:noProof/>
        </w:rPr>
      </w:r>
      <w:r>
        <w:rPr>
          <w:noProof/>
        </w:rPr>
        <w:fldChar w:fldCharType="separate"/>
      </w:r>
      <w:r>
        <w:rPr>
          <w:noProof/>
        </w:rPr>
        <w:t>17</w:t>
      </w:r>
      <w:r>
        <w:rPr>
          <w:noProof/>
        </w:rPr>
        <w:fldChar w:fldCharType="end"/>
      </w:r>
    </w:p>
    <w:p w14:paraId="5BA48626" w14:textId="2850566C" w:rsidR="005E5903" w:rsidRDefault="005E5903">
      <w:pPr>
        <w:pStyle w:val="TableofFigures"/>
        <w:rPr>
          <w:rFonts w:asciiTheme="minorHAnsi" w:eastAsiaTheme="minorEastAsia" w:hAnsiTheme="minorHAnsi" w:cstheme="minorBidi"/>
          <w:noProof/>
          <w:szCs w:val="22"/>
        </w:rPr>
      </w:pPr>
      <w:r>
        <w:rPr>
          <w:noProof/>
        </w:rPr>
        <w:t>Figure 7a</w:t>
      </w:r>
      <w:r>
        <w:rPr>
          <w:rFonts w:asciiTheme="minorHAnsi" w:eastAsiaTheme="minorEastAsia" w:hAnsiTheme="minorHAnsi" w:cstheme="minorBidi"/>
          <w:noProof/>
          <w:szCs w:val="22"/>
        </w:rPr>
        <w:tab/>
      </w:r>
      <w:r>
        <w:rPr>
          <w:noProof/>
        </w:rPr>
        <w:t>Conceptual Building Renderings</w:t>
      </w:r>
      <w:r>
        <w:rPr>
          <w:noProof/>
        </w:rPr>
        <w:tab/>
      </w:r>
      <w:r>
        <w:rPr>
          <w:noProof/>
        </w:rPr>
        <w:fldChar w:fldCharType="begin"/>
      </w:r>
      <w:r>
        <w:rPr>
          <w:noProof/>
        </w:rPr>
        <w:instrText xml:space="preserve"> PAGEREF _Toc90882222 \h </w:instrText>
      </w:r>
      <w:r>
        <w:rPr>
          <w:noProof/>
        </w:rPr>
      </w:r>
      <w:r>
        <w:rPr>
          <w:noProof/>
        </w:rPr>
        <w:fldChar w:fldCharType="separate"/>
      </w:r>
      <w:r>
        <w:rPr>
          <w:noProof/>
        </w:rPr>
        <w:t>19</w:t>
      </w:r>
      <w:r>
        <w:rPr>
          <w:noProof/>
        </w:rPr>
        <w:fldChar w:fldCharType="end"/>
      </w:r>
    </w:p>
    <w:p w14:paraId="51BB3F56" w14:textId="405E3924" w:rsidR="005E5903" w:rsidRDefault="005E5903">
      <w:pPr>
        <w:pStyle w:val="TableofFigures"/>
        <w:rPr>
          <w:rFonts w:asciiTheme="minorHAnsi" w:eastAsiaTheme="minorEastAsia" w:hAnsiTheme="minorHAnsi" w:cstheme="minorBidi"/>
          <w:noProof/>
          <w:szCs w:val="22"/>
        </w:rPr>
      </w:pPr>
      <w:r>
        <w:rPr>
          <w:noProof/>
        </w:rPr>
        <w:t>Figure 7b</w:t>
      </w:r>
      <w:r>
        <w:rPr>
          <w:rFonts w:asciiTheme="minorHAnsi" w:eastAsiaTheme="minorEastAsia" w:hAnsiTheme="minorHAnsi" w:cstheme="minorBidi"/>
          <w:noProof/>
          <w:szCs w:val="22"/>
        </w:rPr>
        <w:tab/>
      </w:r>
      <w:r>
        <w:rPr>
          <w:noProof/>
        </w:rPr>
        <w:t>Conceptual Building Renderings</w:t>
      </w:r>
      <w:r>
        <w:rPr>
          <w:noProof/>
        </w:rPr>
        <w:tab/>
      </w:r>
      <w:r>
        <w:rPr>
          <w:noProof/>
        </w:rPr>
        <w:fldChar w:fldCharType="begin"/>
      </w:r>
      <w:r>
        <w:rPr>
          <w:noProof/>
        </w:rPr>
        <w:instrText xml:space="preserve"> PAGEREF _Toc90882223 \h </w:instrText>
      </w:r>
      <w:r>
        <w:rPr>
          <w:noProof/>
        </w:rPr>
      </w:r>
      <w:r>
        <w:rPr>
          <w:noProof/>
        </w:rPr>
        <w:fldChar w:fldCharType="separate"/>
      </w:r>
      <w:r>
        <w:rPr>
          <w:noProof/>
        </w:rPr>
        <w:t>21</w:t>
      </w:r>
      <w:r>
        <w:rPr>
          <w:noProof/>
        </w:rPr>
        <w:fldChar w:fldCharType="end"/>
      </w:r>
    </w:p>
    <w:p w14:paraId="1779B6CA" w14:textId="69B3FF47" w:rsidR="005E5903" w:rsidRDefault="005E5903">
      <w:pPr>
        <w:pStyle w:val="TableofFigures"/>
        <w:rPr>
          <w:rFonts w:asciiTheme="minorHAnsi" w:eastAsiaTheme="minorEastAsia" w:hAnsiTheme="minorHAnsi" w:cstheme="minorBidi"/>
          <w:noProof/>
          <w:szCs w:val="22"/>
        </w:rPr>
      </w:pPr>
      <w:r>
        <w:rPr>
          <w:noProof/>
        </w:rPr>
        <w:t>Figure 8</w:t>
      </w:r>
      <w:r>
        <w:rPr>
          <w:rFonts w:asciiTheme="minorHAnsi" w:eastAsiaTheme="minorEastAsia" w:hAnsiTheme="minorHAnsi" w:cstheme="minorBidi"/>
          <w:noProof/>
          <w:szCs w:val="22"/>
        </w:rPr>
        <w:tab/>
      </w:r>
      <w:r>
        <w:rPr>
          <w:noProof/>
        </w:rPr>
        <w:t>Conceptual Landscape Plan</w:t>
      </w:r>
      <w:r>
        <w:rPr>
          <w:noProof/>
        </w:rPr>
        <w:tab/>
      </w:r>
      <w:r>
        <w:rPr>
          <w:noProof/>
        </w:rPr>
        <w:fldChar w:fldCharType="begin"/>
      </w:r>
      <w:r>
        <w:rPr>
          <w:noProof/>
        </w:rPr>
        <w:instrText xml:space="preserve"> PAGEREF _Toc90882224 \h </w:instrText>
      </w:r>
      <w:r>
        <w:rPr>
          <w:noProof/>
        </w:rPr>
      </w:r>
      <w:r>
        <w:rPr>
          <w:noProof/>
        </w:rPr>
        <w:fldChar w:fldCharType="separate"/>
      </w:r>
      <w:r>
        <w:rPr>
          <w:noProof/>
        </w:rPr>
        <w:t>23</w:t>
      </w:r>
      <w:r>
        <w:rPr>
          <w:noProof/>
        </w:rPr>
        <w:fldChar w:fldCharType="end"/>
      </w:r>
    </w:p>
    <w:p w14:paraId="3366101E" w14:textId="03C55772" w:rsidR="005E5903" w:rsidRDefault="005E5903">
      <w:pPr>
        <w:pStyle w:val="TableofFigures"/>
        <w:rPr>
          <w:rFonts w:asciiTheme="minorHAnsi" w:eastAsiaTheme="minorEastAsia" w:hAnsiTheme="minorHAnsi" w:cstheme="minorBidi"/>
          <w:noProof/>
          <w:szCs w:val="22"/>
        </w:rPr>
      </w:pPr>
      <w:r>
        <w:rPr>
          <w:noProof/>
        </w:rPr>
        <w:t>Figure 9</w:t>
      </w:r>
      <w:r>
        <w:rPr>
          <w:rFonts w:asciiTheme="minorHAnsi" w:eastAsiaTheme="minorEastAsia" w:hAnsiTheme="minorHAnsi" w:cstheme="minorBidi"/>
          <w:noProof/>
          <w:szCs w:val="22"/>
        </w:rPr>
        <w:tab/>
      </w:r>
      <w:r>
        <w:rPr>
          <w:noProof/>
        </w:rPr>
        <w:t>Site Lighting</w:t>
      </w:r>
      <w:r>
        <w:rPr>
          <w:noProof/>
        </w:rPr>
        <w:tab/>
      </w:r>
      <w:r>
        <w:rPr>
          <w:noProof/>
        </w:rPr>
        <w:fldChar w:fldCharType="begin"/>
      </w:r>
      <w:r>
        <w:rPr>
          <w:noProof/>
        </w:rPr>
        <w:instrText xml:space="preserve"> PAGEREF _Toc90882225 \h </w:instrText>
      </w:r>
      <w:r>
        <w:rPr>
          <w:noProof/>
        </w:rPr>
      </w:r>
      <w:r>
        <w:rPr>
          <w:noProof/>
        </w:rPr>
        <w:fldChar w:fldCharType="separate"/>
      </w:r>
      <w:r>
        <w:rPr>
          <w:noProof/>
        </w:rPr>
        <w:t>51</w:t>
      </w:r>
      <w:r>
        <w:rPr>
          <w:noProof/>
        </w:rPr>
        <w:fldChar w:fldCharType="end"/>
      </w:r>
    </w:p>
    <w:p w14:paraId="6D85133B" w14:textId="030FB0A5" w:rsidR="005E5903" w:rsidRDefault="005E5903">
      <w:pPr>
        <w:pStyle w:val="TableofFigures"/>
        <w:rPr>
          <w:rFonts w:asciiTheme="minorHAnsi" w:eastAsiaTheme="minorEastAsia" w:hAnsiTheme="minorHAnsi" w:cstheme="minorBidi"/>
          <w:noProof/>
          <w:szCs w:val="22"/>
        </w:rPr>
      </w:pPr>
      <w:r>
        <w:rPr>
          <w:noProof/>
        </w:rPr>
        <w:t>Figure 10</w:t>
      </w:r>
      <w:r>
        <w:rPr>
          <w:rFonts w:asciiTheme="minorHAnsi" w:eastAsiaTheme="minorEastAsia" w:hAnsiTheme="minorHAnsi" w:cstheme="minorBidi"/>
          <w:noProof/>
          <w:szCs w:val="22"/>
        </w:rPr>
        <w:tab/>
      </w:r>
      <w:r>
        <w:rPr>
          <w:noProof/>
        </w:rPr>
        <w:t>Existing Hydrology Map</w:t>
      </w:r>
      <w:r>
        <w:rPr>
          <w:noProof/>
        </w:rPr>
        <w:tab/>
      </w:r>
      <w:r>
        <w:rPr>
          <w:noProof/>
        </w:rPr>
        <w:fldChar w:fldCharType="begin"/>
      </w:r>
      <w:r>
        <w:rPr>
          <w:noProof/>
        </w:rPr>
        <w:instrText xml:space="preserve"> PAGEREF _Toc90882226 \h </w:instrText>
      </w:r>
      <w:r>
        <w:rPr>
          <w:noProof/>
        </w:rPr>
      </w:r>
      <w:r>
        <w:rPr>
          <w:noProof/>
        </w:rPr>
        <w:fldChar w:fldCharType="separate"/>
      </w:r>
      <w:r>
        <w:rPr>
          <w:noProof/>
        </w:rPr>
        <w:t>99</w:t>
      </w:r>
      <w:r>
        <w:rPr>
          <w:noProof/>
        </w:rPr>
        <w:fldChar w:fldCharType="end"/>
      </w:r>
    </w:p>
    <w:p w14:paraId="253FB173" w14:textId="16463178" w:rsidR="005E5903" w:rsidRDefault="005E5903">
      <w:pPr>
        <w:pStyle w:val="TableofFigures"/>
        <w:rPr>
          <w:rFonts w:asciiTheme="minorHAnsi" w:eastAsiaTheme="minorEastAsia" w:hAnsiTheme="minorHAnsi" w:cstheme="minorBidi"/>
          <w:noProof/>
          <w:szCs w:val="22"/>
        </w:rPr>
      </w:pPr>
      <w:r>
        <w:rPr>
          <w:noProof/>
        </w:rPr>
        <w:t>Figure 11</w:t>
      </w:r>
      <w:r>
        <w:rPr>
          <w:rFonts w:asciiTheme="minorHAnsi" w:eastAsiaTheme="minorEastAsia" w:hAnsiTheme="minorHAnsi" w:cstheme="minorBidi"/>
          <w:noProof/>
          <w:szCs w:val="22"/>
        </w:rPr>
        <w:tab/>
      </w:r>
      <w:r>
        <w:rPr>
          <w:noProof/>
        </w:rPr>
        <w:t>Proposed Condition Hydrology Map</w:t>
      </w:r>
      <w:r>
        <w:rPr>
          <w:noProof/>
        </w:rPr>
        <w:tab/>
      </w:r>
      <w:r>
        <w:rPr>
          <w:noProof/>
        </w:rPr>
        <w:fldChar w:fldCharType="begin"/>
      </w:r>
      <w:r>
        <w:rPr>
          <w:noProof/>
        </w:rPr>
        <w:instrText xml:space="preserve"> PAGEREF _Toc90882227 \h </w:instrText>
      </w:r>
      <w:r>
        <w:rPr>
          <w:noProof/>
        </w:rPr>
      </w:r>
      <w:r>
        <w:rPr>
          <w:noProof/>
        </w:rPr>
        <w:fldChar w:fldCharType="separate"/>
      </w:r>
      <w:r>
        <w:rPr>
          <w:noProof/>
        </w:rPr>
        <w:t>10</w:t>
      </w:r>
      <w:r>
        <w:rPr>
          <w:noProof/>
        </w:rPr>
        <w:t>1</w:t>
      </w:r>
      <w:r>
        <w:rPr>
          <w:noProof/>
        </w:rPr>
        <w:fldChar w:fldCharType="end"/>
      </w:r>
    </w:p>
    <w:p w14:paraId="7B43DDE2" w14:textId="17875BBA" w:rsidR="00D10CF6" w:rsidRDefault="00D10CF6" w:rsidP="0032682E">
      <w:pPr>
        <w:pStyle w:val="TOC2"/>
        <w:ind w:left="2340" w:hanging="2340"/>
      </w:pPr>
      <w:r w:rsidRPr="006C5BAC">
        <w:fldChar w:fldCharType="end"/>
      </w:r>
    </w:p>
    <w:p w14:paraId="75A42A86" w14:textId="77777777" w:rsidR="00D10CF6" w:rsidRDefault="00D10CF6" w:rsidP="00BB660D">
      <w:pPr>
        <w:pStyle w:val="ListofFigsTblsTitle"/>
        <w:spacing w:before="1200"/>
      </w:pPr>
      <w:r>
        <w:t>List of Tables</w:t>
      </w:r>
    </w:p>
    <w:p w14:paraId="36004799" w14:textId="77777777" w:rsidR="00D10CF6" w:rsidRPr="007E52F7" w:rsidRDefault="00D10CF6" w:rsidP="00D10CF6">
      <w:pPr>
        <w:pStyle w:val="TOCHeading2"/>
      </w:pPr>
      <w:r w:rsidRPr="007E52F7">
        <w:t>Table</w:t>
      </w:r>
      <w:r w:rsidRPr="007E52F7">
        <w:tab/>
        <w:t>Page</w:t>
      </w:r>
    </w:p>
    <w:p w14:paraId="7B1F8AE1" w14:textId="2062DB80" w:rsidR="005E5903" w:rsidRDefault="00D25C64">
      <w:pPr>
        <w:pStyle w:val="TableofFigures"/>
        <w:rPr>
          <w:rFonts w:asciiTheme="minorHAnsi" w:eastAsiaTheme="minorEastAsia" w:hAnsiTheme="minorHAnsi" w:cstheme="minorBidi"/>
          <w:noProof/>
          <w:szCs w:val="22"/>
        </w:rPr>
      </w:pPr>
      <w:r>
        <w:rPr>
          <w:highlight w:val="yellow"/>
        </w:rPr>
        <w:fldChar w:fldCharType="begin"/>
      </w:r>
      <w:r>
        <w:rPr>
          <w:highlight w:val="yellow"/>
        </w:rPr>
        <w:instrText xml:space="preserve"> TOC \h \z \t "TblTitles" \c </w:instrText>
      </w:r>
      <w:r>
        <w:rPr>
          <w:highlight w:val="yellow"/>
        </w:rPr>
        <w:fldChar w:fldCharType="separate"/>
      </w:r>
      <w:hyperlink w:anchor="_Toc90882247" w:history="1">
        <w:r w:rsidR="005E5903" w:rsidRPr="008B0459">
          <w:rPr>
            <w:rStyle w:val="Hyperlink"/>
            <w:noProof/>
          </w:rPr>
          <w:t>Table 1</w:t>
        </w:r>
        <w:r w:rsidR="005E5903">
          <w:rPr>
            <w:rFonts w:asciiTheme="minorHAnsi" w:eastAsiaTheme="minorEastAsia" w:hAnsiTheme="minorHAnsi" w:cstheme="minorBidi"/>
            <w:noProof/>
            <w:szCs w:val="22"/>
          </w:rPr>
          <w:tab/>
        </w:r>
        <w:r w:rsidR="005E5903" w:rsidRPr="008B0459">
          <w:rPr>
            <w:rStyle w:val="Hyperlink"/>
            <w:noProof/>
          </w:rPr>
          <w:t>Floor Area Distribution for Proposed Use</w:t>
        </w:r>
        <w:r w:rsidR="005E5903">
          <w:rPr>
            <w:noProof/>
            <w:webHidden/>
          </w:rPr>
          <w:tab/>
        </w:r>
        <w:r w:rsidR="005E5903">
          <w:rPr>
            <w:noProof/>
            <w:webHidden/>
          </w:rPr>
          <w:fldChar w:fldCharType="begin"/>
        </w:r>
        <w:r w:rsidR="005E5903">
          <w:rPr>
            <w:noProof/>
            <w:webHidden/>
          </w:rPr>
          <w:instrText xml:space="preserve"> PAGEREF _Toc90882247 \h </w:instrText>
        </w:r>
        <w:r w:rsidR="005E5903">
          <w:rPr>
            <w:noProof/>
            <w:webHidden/>
          </w:rPr>
        </w:r>
        <w:r w:rsidR="005E5903">
          <w:rPr>
            <w:noProof/>
            <w:webHidden/>
          </w:rPr>
          <w:fldChar w:fldCharType="separate"/>
        </w:r>
        <w:r w:rsidR="005E5903">
          <w:rPr>
            <w:noProof/>
            <w:webHidden/>
          </w:rPr>
          <w:t>8</w:t>
        </w:r>
        <w:r w:rsidR="005E5903">
          <w:rPr>
            <w:noProof/>
            <w:webHidden/>
          </w:rPr>
          <w:fldChar w:fldCharType="end"/>
        </w:r>
      </w:hyperlink>
    </w:p>
    <w:p w14:paraId="041FD8E5" w14:textId="2A24CD47" w:rsidR="005E5903" w:rsidRDefault="005E5903">
      <w:pPr>
        <w:pStyle w:val="TableofFigures"/>
        <w:rPr>
          <w:rFonts w:asciiTheme="minorHAnsi" w:eastAsiaTheme="minorEastAsia" w:hAnsiTheme="minorHAnsi" w:cstheme="minorBidi"/>
          <w:noProof/>
          <w:szCs w:val="22"/>
        </w:rPr>
      </w:pPr>
      <w:hyperlink w:anchor="_Toc90882248" w:history="1">
        <w:r w:rsidRPr="008B0459">
          <w:rPr>
            <w:rStyle w:val="Hyperlink"/>
            <w:noProof/>
          </w:rPr>
          <w:t>Table 2</w:t>
        </w:r>
        <w:r>
          <w:rPr>
            <w:rFonts w:asciiTheme="minorHAnsi" w:eastAsiaTheme="minorEastAsia" w:hAnsiTheme="minorHAnsi" w:cstheme="minorBidi"/>
            <w:noProof/>
            <w:szCs w:val="22"/>
          </w:rPr>
          <w:tab/>
        </w:r>
        <w:r w:rsidRPr="008B0459">
          <w:rPr>
            <w:rStyle w:val="Hyperlink"/>
            <w:noProof/>
          </w:rPr>
          <w:t>Construction Schedule and Equipment</w:t>
        </w:r>
        <w:r>
          <w:rPr>
            <w:noProof/>
            <w:webHidden/>
          </w:rPr>
          <w:tab/>
        </w:r>
        <w:r>
          <w:rPr>
            <w:noProof/>
            <w:webHidden/>
          </w:rPr>
          <w:fldChar w:fldCharType="begin"/>
        </w:r>
        <w:r>
          <w:rPr>
            <w:noProof/>
            <w:webHidden/>
          </w:rPr>
          <w:instrText xml:space="preserve"> PAGEREF _Toc90882248 \h </w:instrText>
        </w:r>
        <w:r>
          <w:rPr>
            <w:noProof/>
            <w:webHidden/>
          </w:rPr>
        </w:r>
        <w:r>
          <w:rPr>
            <w:noProof/>
            <w:webHidden/>
          </w:rPr>
          <w:fldChar w:fldCharType="separate"/>
        </w:r>
        <w:r>
          <w:rPr>
            <w:noProof/>
            <w:webHidden/>
          </w:rPr>
          <w:t>29</w:t>
        </w:r>
        <w:r>
          <w:rPr>
            <w:noProof/>
            <w:webHidden/>
          </w:rPr>
          <w:fldChar w:fldCharType="end"/>
        </w:r>
      </w:hyperlink>
    </w:p>
    <w:p w14:paraId="54D0861B" w14:textId="1331F264" w:rsidR="005E5903" w:rsidRDefault="005E5903">
      <w:pPr>
        <w:pStyle w:val="TableofFigures"/>
        <w:rPr>
          <w:rFonts w:asciiTheme="minorHAnsi" w:eastAsiaTheme="minorEastAsia" w:hAnsiTheme="minorHAnsi" w:cstheme="minorBidi"/>
          <w:noProof/>
          <w:szCs w:val="22"/>
        </w:rPr>
      </w:pPr>
      <w:hyperlink w:anchor="_Toc90882249" w:history="1">
        <w:r w:rsidRPr="008B0459">
          <w:rPr>
            <w:rStyle w:val="Hyperlink"/>
            <w:noProof/>
          </w:rPr>
          <w:t>Table 3</w:t>
        </w:r>
        <w:r>
          <w:rPr>
            <w:rFonts w:asciiTheme="minorHAnsi" w:eastAsiaTheme="minorEastAsia" w:hAnsiTheme="minorHAnsi" w:cstheme="minorBidi"/>
            <w:noProof/>
            <w:szCs w:val="22"/>
          </w:rPr>
          <w:tab/>
        </w:r>
        <w:r w:rsidRPr="008B0459">
          <w:rPr>
            <w:rStyle w:val="Hyperlink"/>
            <w:noProof/>
          </w:rPr>
          <w:t>Responsible Agencies</w:t>
        </w:r>
        <w:r>
          <w:rPr>
            <w:noProof/>
            <w:webHidden/>
          </w:rPr>
          <w:tab/>
        </w:r>
        <w:r>
          <w:rPr>
            <w:noProof/>
            <w:webHidden/>
          </w:rPr>
          <w:fldChar w:fldCharType="begin"/>
        </w:r>
        <w:r>
          <w:rPr>
            <w:noProof/>
            <w:webHidden/>
          </w:rPr>
          <w:instrText xml:space="preserve"> PAGEREF _Toc90882249 \h </w:instrText>
        </w:r>
        <w:r>
          <w:rPr>
            <w:noProof/>
            <w:webHidden/>
          </w:rPr>
        </w:r>
        <w:r>
          <w:rPr>
            <w:noProof/>
            <w:webHidden/>
          </w:rPr>
          <w:fldChar w:fldCharType="separate"/>
        </w:r>
        <w:r>
          <w:rPr>
            <w:noProof/>
            <w:webHidden/>
          </w:rPr>
          <w:t>31</w:t>
        </w:r>
        <w:r>
          <w:rPr>
            <w:noProof/>
            <w:webHidden/>
          </w:rPr>
          <w:fldChar w:fldCharType="end"/>
        </w:r>
      </w:hyperlink>
    </w:p>
    <w:p w14:paraId="5EB5AD7F" w14:textId="1180E695" w:rsidR="005E5903" w:rsidRDefault="005E5903">
      <w:pPr>
        <w:pStyle w:val="TableofFigures"/>
        <w:rPr>
          <w:rFonts w:asciiTheme="minorHAnsi" w:eastAsiaTheme="minorEastAsia" w:hAnsiTheme="minorHAnsi" w:cstheme="minorBidi"/>
          <w:noProof/>
          <w:szCs w:val="22"/>
        </w:rPr>
      </w:pPr>
      <w:hyperlink w:anchor="_Toc90882250" w:history="1">
        <w:r w:rsidRPr="008B0459">
          <w:rPr>
            <w:rStyle w:val="Hyperlink"/>
            <w:noProof/>
          </w:rPr>
          <w:t>Table 4</w:t>
        </w:r>
        <w:r>
          <w:rPr>
            <w:rFonts w:asciiTheme="minorHAnsi" w:eastAsiaTheme="minorEastAsia" w:hAnsiTheme="minorHAnsi" w:cstheme="minorBidi"/>
            <w:noProof/>
            <w:szCs w:val="22"/>
          </w:rPr>
          <w:tab/>
        </w:r>
        <w:r w:rsidRPr="008B0459">
          <w:rPr>
            <w:rStyle w:val="Hyperlink"/>
            <w:noProof/>
          </w:rPr>
          <w:t>Maximum Daily Regional Construction Emissions</w:t>
        </w:r>
        <w:r>
          <w:rPr>
            <w:noProof/>
            <w:webHidden/>
          </w:rPr>
          <w:tab/>
        </w:r>
        <w:r>
          <w:rPr>
            <w:noProof/>
            <w:webHidden/>
          </w:rPr>
          <w:fldChar w:fldCharType="begin"/>
        </w:r>
        <w:r>
          <w:rPr>
            <w:noProof/>
            <w:webHidden/>
          </w:rPr>
          <w:instrText xml:space="preserve"> PAGEREF _Toc90882250 \h </w:instrText>
        </w:r>
        <w:r>
          <w:rPr>
            <w:noProof/>
            <w:webHidden/>
          </w:rPr>
        </w:r>
        <w:r>
          <w:rPr>
            <w:noProof/>
            <w:webHidden/>
          </w:rPr>
          <w:fldChar w:fldCharType="separate"/>
        </w:r>
        <w:r>
          <w:rPr>
            <w:noProof/>
            <w:webHidden/>
          </w:rPr>
          <w:t>56</w:t>
        </w:r>
        <w:r>
          <w:rPr>
            <w:noProof/>
            <w:webHidden/>
          </w:rPr>
          <w:fldChar w:fldCharType="end"/>
        </w:r>
      </w:hyperlink>
    </w:p>
    <w:p w14:paraId="7ACDCC5B" w14:textId="59383870" w:rsidR="005E5903" w:rsidRDefault="005E5903">
      <w:pPr>
        <w:pStyle w:val="TableofFigures"/>
        <w:rPr>
          <w:rFonts w:asciiTheme="minorHAnsi" w:eastAsiaTheme="minorEastAsia" w:hAnsiTheme="minorHAnsi" w:cstheme="minorBidi"/>
          <w:noProof/>
          <w:szCs w:val="22"/>
        </w:rPr>
      </w:pPr>
      <w:hyperlink w:anchor="_Toc90882251" w:history="1">
        <w:r w:rsidRPr="008B0459">
          <w:rPr>
            <w:rStyle w:val="Hyperlink"/>
            <w:noProof/>
          </w:rPr>
          <w:t>Table 5</w:t>
        </w:r>
        <w:r>
          <w:rPr>
            <w:rFonts w:asciiTheme="minorHAnsi" w:eastAsiaTheme="minorEastAsia" w:hAnsiTheme="minorHAnsi" w:cstheme="minorBidi"/>
            <w:noProof/>
            <w:szCs w:val="22"/>
          </w:rPr>
          <w:tab/>
        </w:r>
        <w:r w:rsidRPr="008B0459">
          <w:rPr>
            <w:rStyle w:val="Hyperlink"/>
            <w:noProof/>
          </w:rPr>
          <w:t>Maximum Daily Regional Operation Emissions</w:t>
        </w:r>
        <w:r>
          <w:rPr>
            <w:noProof/>
            <w:webHidden/>
          </w:rPr>
          <w:tab/>
        </w:r>
        <w:r>
          <w:rPr>
            <w:noProof/>
            <w:webHidden/>
          </w:rPr>
          <w:fldChar w:fldCharType="begin"/>
        </w:r>
        <w:r>
          <w:rPr>
            <w:noProof/>
            <w:webHidden/>
          </w:rPr>
          <w:instrText xml:space="preserve"> PAGEREF _Toc90882251 \h </w:instrText>
        </w:r>
        <w:r>
          <w:rPr>
            <w:noProof/>
            <w:webHidden/>
          </w:rPr>
        </w:r>
        <w:r>
          <w:rPr>
            <w:noProof/>
            <w:webHidden/>
          </w:rPr>
          <w:fldChar w:fldCharType="separate"/>
        </w:r>
        <w:r>
          <w:rPr>
            <w:noProof/>
            <w:webHidden/>
          </w:rPr>
          <w:t>58</w:t>
        </w:r>
        <w:r>
          <w:rPr>
            <w:noProof/>
            <w:webHidden/>
          </w:rPr>
          <w:fldChar w:fldCharType="end"/>
        </w:r>
      </w:hyperlink>
    </w:p>
    <w:p w14:paraId="4425BC7D" w14:textId="1E3DC237" w:rsidR="005E5903" w:rsidRDefault="005E5903">
      <w:pPr>
        <w:pStyle w:val="TableofFigures"/>
        <w:rPr>
          <w:rFonts w:asciiTheme="minorHAnsi" w:eastAsiaTheme="minorEastAsia" w:hAnsiTheme="minorHAnsi" w:cstheme="minorBidi"/>
          <w:noProof/>
          <w:szCs w:val="22"/>
        </w:rPr>
      </w:pPr>
      <w:hyperlink w:anchor="_Toc90882252" w:history="1">
        <w:r w:rsidRPr="008B0459">
          <w:rPr>
            <w:rStyle w:val="Hyperlink"/>
            <w:noProof/>
          </w:rPr>
          <w:t>Table 6</w:t>
        </w:r>
        <w:r>
          <w:rPr>
            <w:rFonts w:asciiTheme="minorHAnsi" w:eastAsiaTheme="minorEastAsia" w:hAnsiTheme="minorHAnsi" w:cstheme="minorBidi"/>
            <w:noProof/>
            <w:szCs w:val="22"/>
          </w:rPr>
          <w:tab/>
        </w:r>
        <w:r w:rsidRPr="008B0459">
          <w:rPr>
            <w:rStyle w:val="Hyperlink"/>
            <w:noProof/>
          </w:rPr>
          <w:t>Maximum Daily On-Site Localized Construction Emissions</w:t>
        </w:r>
        <w:r>
          <w:rPr>
            <w:noProof/>
            <w:webHidden/>
          </w:rPr>
          <w:tab/>
        </w:r>
        <w:r>
          <w:rPr>
            <w:noProof/>
            <w:webHidden/>
          </w:rPr>
          <w:fldChar w:fldCharType="begin"/>
        </w:r>
        <w:r>
          <w:rPr>
            <w:noProof/>
            <w:webHidden/>
          </w:rPr>
          <w:instrText xml:space="preserve"> PAGEREF _Toc90882252 \h </w:instrText>
        </w:r>
        <w:r>
          <w:rPr>
            <w:noProof/>
            <w:webHidden/>
          </w:rPr>
        </w:r>
        <w:r>
          <w:rPr>
            <w:noProof/>
            <w:webHidden/>
          </w:rPr>
          <w:fldChar w:fldCharType="separate"/>
        </w:r>
        <w:r>
          <w:rPr>
            <w:noProof/>
            <w:webHidden/>
          </w:rPr>
          <w:t>59</w:t>
        </w:r>
        <w:r>
          <w:rPr>
            <w:noProof/>
            <w:webHidden/>
          </w:rPr>
          <w:fldChar w:fldCharType="end"/>
        </w:r>
      </w:hyperlink>
    </w:p>
    <w:p w14:paraId="76BCE3F2" w14:textId="1974A6CF" w:rsidR="005E5903" w:rsidRDefault="005E5903">
      <w:pPr>
        <w:pStyle w:val="TableofFigures"/>
        <w:rPr>
          <w:rFonts w:asciiTheme="minorHAnsi" w:eastAsiaTheme="minorEastAsia" w:hAnsiTheme="minorHAnsi" w:cstheme="minorBidi"/>
          <w:noProof/>
          <w:szCs w:val="22"/>
        </w:rPr>
      </w:pPr>
      <w:hyperlink w:anchor="_Toc90882253" w:history="1">
        <w:r w:rsidRPr="008B0459">
          <w:rPr>
            <w:rStyle w:val="Hyperlink"/>
            <w:noProof/>
          </w:rPr>
          <w:t>Table 7</w:t>
        </w:r>
        <w:r>
          <w:rPr>
            <w:rFonts w:asciiTheme="minorHAnsi" w:eastAsiaTheme="minorEastAsia" w:hAnsiTheme="minorHAnsi" w:cstheme="minorBidi"/>
            <w:noProof/>
            <w:szCs w:val="22"/>
          </w:rPr>
          <w:tab/>
        </w:r>
        <w:r w:rsidRPr="008B0459">
          <w:rPr>
            <w:rStyle w:val="Hyperlink"/>
            <w:noProof/>
          </w:rPr>
          <w:t>Localized On-Site Operational Emissions</w:t>
        </w:r>
        <w:r>
          <w:rPr>
            <w:noProof/>
            <w:webHidden/>
          </w:rPr>
          <w:tab/>
        </w:r>
        <w:r>
          <w:rPr>
            <w:noProof/>
            <w:webHidden/>
          </w:rPr>
          <w:fldChar w:fldCharType="begin"/>
        </w:r>
        <w:r>
          <w:rPr>
            <w:noProof/>
            <w:webHidden/>
          </w:rPr>
          <w:instrText xml:space="preserve"> PAGEREF _Toc90882253 \h </w:instrText>
        </w:r>
        <w:r>
          <w:rPr>
            <w:noProof/>
            <w:webHidden/>
          </w:rPr>
        </w:r>
        <w:r>
          <w:rPr>
            <w:noProof/>
            <w:webHidden/>
          </w:rPr>
          <w:fldChar w:fldCharType="separate"/>
        </w:r>
        <w:r>
          <w:rPr>
            <w:noProof/>
            <w:webHidden/>
          </w:rPr>
          <w:t>61</w:t>
        </w:r>
        <w:r>
          <w:rPr>
            <w:noProof/>
            <w:webHidden/>
          </w:rPr>
          <w:fldChar w:fldCharType="end"/>
        </w:r>
      </w:hyperlink>
    </w:p>
    <w:p w14:paraId="4781A144" w14:textId="010CD858" w:rsidR="005E5903" w:rsidRDefault="005E5903">
      <w:pPr>
        <w:pStyle w:val="TableofFigures"/>
        <w:rPr>
          <w:rFonts w:asciiTheme="minorHAnsi" w:eastAsiaTheme="minorEastAsia" w:hAnsiTheme="minorHAnsi" w:cstheme="minorBidi"/>
          <w:noProof/>
          <w:szCs w:val="22"/>
        </w:rPr>
      </w:pPr>
      <w:hyperlink w:anchor="_Toc90882254" w:history="1">
        <w:r w:rsidRPr="008B0459">
          <w:rPr>
            <w:rStyle w:val="Hyperlink"/>
            <w:noProof/>
          </w:rPr>
          <w:t>Table 8</w:t>
        </w:r>
        <w:r>
          <w:rPr>
            <w:rFonts w:asciiTheme="minorHAnsi" w:eastAsiaTheme="minorEastAsia" w:hAnsiTheme="minorHAnsi" w:cstheme="minorBidi"/>
            <w:noProof/>
            <w:szCs w:val="22"/>
          </w:rPr>
          <w:tab/>
        </w:r>
        <w:r w:rsidRPr="008B0459">
          <w:rPr>
            <w:rStyle w:val="Hyperlink"/>
            <w:noProof/>
          </w:rPr>
          <w:t>Operational HRA Results</w:t>
        </w:r>
        <w:r>
          <w:rPr>
            <w:noProof/>
            <w:webHidden/>
          </w:rPr>
          <w:tab/>
        </w:r>
        <w:r>
          <w:rPr>
            <w:noProof/>
            <w:webHidden/>
          </w:rPr>
          <w:fldChar w:fldCharType="begin"/>
        </w:r>
        <w:r>
          <w:rPr>
            <w:noProof/>
            <w:webHidden/>
          </w:rPr>
          <w:instrText xml:space="preserve"> PAGEREF _Toc90882254 \h </w:instrText>
        </w:r>
        <w:r>
          <w:rPr>
            <w:noProof/>
            <w:webHidden/>
          </w:rPr>
        </w:r>
        <w:r>
          <w:rPr>
            <w:noProof/>
            <w:webHidden/>
          </w:rPr>
          <w:fldChar w:fldCharType="separate"/>
        </w:r>
        <w:r>
          <w:rPr>
            <w:noProof/>
            <w:webHidden/>
          </w:rPr>
          <w:t>62</w:t>
        </w:r>
        <w:r>
          <w:rPr>
            <w:noProof/>
            <w:webHidden/>
          </w:rPr>
          <w:fldChar w:fldCharType="end"/>
        </w:r>
      </w:hyperlink>
    </w:p>
    <w:p w14:paraId="53148C56" w14:textId="18B17749" w:rsidR="005E5903" w:rsidRDefault="005E5903">
      <w:pPr>
        <w:pStyle w:val="TableofFigures"/>
        <w:rPr>
          <w:rFonts w:asciiTheme="minorHAnsi" w:eastAsiaTheme="minorEastAsia" w:hAnsiTheme="minorHAnsi" w:cstheme="minorBidi"/>
          <w:noProof/>
          <w:szCs w:val="22"/>
        </w:rPr>
      </w:pPr>
      <w:hyperlink w:anchor="_Toc90882255" w:history="1">
        <w:r w:rsidRPr="008B0459">
          <w:rPr>
            <w:rStyle w:val="Hyperlink"/>
            <w:noProof/>
          </w:rPr>
          <w:t>Table 9</w:t>
        </w:r>
        <w:r>
          <w:rPr>
            <w:rFonts w:asciiTheme="minorHAnsi" w:eastAsiaTheme="minorEastAsia" w:hAnsiTheme="minorHAnsi" w:cstheme="minorBidi"/>
            <w:noProof/>
            <w:szCs w:val="22"/>
          </w:rPr>
          <w:tab/>
        </w:r>
        <w:r w:rsidRPr="008B0459">
          <w:rPr>
            <w:rStyle w:val="Hyperlink"/>
            <w:noProof/>
          </w:rPr>
          <w:t>Construction-Related Fuel Usage</w:t>
        </w:r>
        <w:r>
          <w:rPr>
            <w:noProof/>
            <w:webHidden/>
          </w:rPr>
          <w:tab/>
        </w:r>
        <w:r>
          <w:rPr>
            <w:noProof/>
            <w:webHidden/>
          </w:rPr>
          <w:fldChar w:fldCharType="begin"/>
        </w:r>
        <w:r>
          <w:rPr>
            <w:noProof/>
            <w:webHidden/>
          </w:rPr>
          <w:instrText xml:space="preserve"> PAGEREF _Toc90882255 \h </w:instrText>
        </w:r>
        <w:r>
          <w:rPr>
            <w:noProof/>
            <w:webHidden/>
          </w:rPr>
        </w:r>
        <w:r>
          <w:rPr>
            <w:noProof/>
            <w:webHidden/>
          </w:rPr>
          <w:fldChar w:fldCharType="separate"/>
        </w:r>
        <w:r>
          <w:rPr>
            <w:noProof/>
            <w:webHidden/>
          </w:rPr>
          <w:t>71</w:t>
        </w:r>
        <w:r>
          <w:rPr>
            <w:noProof/>
            <w:webHidden/>
          </w:rPr>
          <w:fldChar w:fldCharType="end"/>
        </w:r>
      </w:hyperlink>
    </w:p>
    <w:p w14:paraId="5658A8E4" w14:textId="0BEE32E9" w:rsidR="005E5903" w:rsidRDefault="005E5903">
      <w:pPr>
        <w:pStyle w:val="TableofFigures"/>
        <w:rPr>
          <w:rFonts w:asciiTheme="minorHAnsi" w:eastAsiaTheme="minorEastAsia" w:hAnsiTheme="minorHAnsi" w:cstheme="minorBidi"/>
          <w:noProof/>
          <w:szCs w:val="22"/>
        </w:rPr>
      </w:pPr>
      <w:hyperlink w:anchor="_Toc90882256" w:history="1">
        <w:r w:rsidRPr="008B0459">
          <w:rPr>
            <w:rStyle w:val="Hyperlink"/>
            <w:noProof/>
          </w:rPr>
          <w:t>Table 10</w:t>
        </w:r>
        <w:r>
          <w:rPr>
            <w:rFonts w:asciiTheme="minorHAnsi" w:eastAsiaTheme="minorEastAsia" w:hAnsiTheme="minorHAnsi" w:cstheme="minorBidi"/>
            <w:noProof/>
            <w:szCs w:val="22"/>
          </w:rPr>
          <w:tab/>
        </w:r>
        <w:r w:rsidRPr="008B0459">
          <w:rPr>
            <w:rStyle w:val="Hyperlink"/>
            <w:noProof/>
          </w:rPr>
          <w:t>Electricity Consumption</w:t>
        </w:r>
        <w:r>
          <w:rPr>
            <w:noProof/>
            <w:webHidden/>
          </w:rPr>
          <w:tab/>
        </w:r>
        <w:r>
          <w:rPr>
            <w:noProof/>
            <w:webHidden/>
          </w:rPr>
          <w:fldChar w:fldCharType="begin"/>
        </w:r>
        <w:r>
          <w:rPr>
            <w:noProof/>
            <w:webHidden/>
          </w:rPr>
          <w:instrText xml:space="preserve"> PAGEREF _Toc90882256 \h </w:instrText>
        </w:r>
        <w:r>
          <w:rPr>
            <w:noProof/>
            <w:webHidden/>
          </w:rPr>
        </w:r>
        <w:r>
          <w:rPr>
            <w:noProof/>
            <w:webHidden/>
          </w:rPr>
          <w:fldChar w:fldCharType="separate"/>
        </w:r>
        <w:r>
          <w:rPr>
            <w:noProof/>
            <w:webHidden/>
          </w:rPr>
          <w:t>72</w:t>
        </w:r>
        <w:r>
          <w:rPr>
            <w:noProof/>
            <w:webHidden/>
          </w:rPr>
          <w:fldChar w:fldCharType="end"/>
        </w:r>
      </w:hyperlink>
    </w:p>
    <w:p w14:paraId="22541104" w14:textId="4620F3AB" w:rsidR="005E5903" w:rsidRDefault="005E5903">
      <w:pPr>
        <w:pStyle w:val="TableofFigures"/>
        <w:rPr>
          <w:rFonts w:asciiTheme="minorHAnsi" w:eastAsiaTheme="minorEastAsia" w:hAnsiTheme="minorHAnsi" w:cstheme="minorBidi"/>
          <w:noProof/>
          <w:szCs w:val="22"/>
        </w:rPr>
      </w:pPr>
      <w:hyperlink w:anchor="_Toc90882257" w:history="1">
        <w:r w:rsidRPr="008B0459">
          <w:rPr>
            <w:rStyle w:val="Hyperlink"/>
            <w:noProof/>
          </w:rPr>
          <w:t>Table 11</w:t>
        </w:r>
        <w:r>
          <w:rPr>
            <w:rFonts w:asciiTheme="minorHAnsi" w:eastAsiaTheme="minorEastAsia" w:hAnsiTheme="minorHAnsi" w:cstheme="minorBidi"/>
            <w:noProof/>
            <w:szCs w:val="22"/>
          </w:rPr>
          <w:tab/>
        </w:r>
        <w:r w:rsidRPr="008B0459">
          <w:rPr>
            <w:rStyle w:val="Hyperlink"/>
            <w:noProof/>
          </w:rPr>
          <w:t>Natural Gas Consumption</w:t>
        </w:r>
        <w:r>
          <w:rPr>
            <w:noProof/>
            <w:webHidden/>
          </w:rPr>
          <w:tab/>
        </w:r>
        <w:r>
          <w:rPr>
            <w:noProof/>
            <w:webHidden/>
          </w:rPr>
          <w:fldChar w:fldCharType="begin"/>
        </w:r>
        <w:r>
          <w:rPr>
            <w:noProof/>
            <w:webHidden/>
          </w:rPr>
          <w:instrText xml:space="preserve"> PAGEREF _Toc90882257 \h </w:instrText>
        </w:r>
        <w:r>
          <w:rPr>
            <w:noProof/>
            <w:webHidden/>
          </w:rPr>
        </w:r>
        <w:r>
          <w:rPr>
            <w:noProof/>
            <w:webHidden/>
          </w:rPr>
          <w:fldChar w:fldCharType="separate"/>
        </w:r>
        <w:r>
          <w:rPr>
            <w:noProof/>
            <w:webHidden/>
          </w:rPr>
          <w:t>73</w:t>
        </w:r>
        <w:r>
          <w:rPr>
            <w:noProof/>
            <w:webHidden/>
          </w:rPr>
          <w:fldChar w:fldCharType="end"/>
        </w:r>
      </w:hyperlink>
    </w:p>
    <w:p w14:paraId="0E1D864C" w14:textId="3511A551" w:rsidR="005E5903" w:rsidRDefault="005E5903">
      <w:pPr>
        <w:pStyle w:val="TableofFigures"/>
        <w:rPr>
          <w:rFonts w:asciiTheme="minorHAnsi" w:eastAsiaTheme="minorEastAsia" w:hAnsiTheme="minorHAnsi" w:cstheme="minorBidi"/>
          <w:noProof/>
          <w:szCs w:val="22"/>
        </w:rPr>
      </w:pPr>
      <w:hyperlink w:anchor="_Toc90882258" w:history="1">
        <w:r w:rsidRPr="008B0459">
          <w:rPr>
            <w:rStyle w:val="Hyperlink"/>
            <w:noProof/>
          </w:rPr>
          <w:t>Table 12</w:t>
        </w:r>
        <w:r>
          <w:rPr>
            <w:rFonts w:asciiTheme="minorHAnsi" w:eastAsiaTheme="minorEastAsia" w:hAnsiTheme="minorHAnsi" w:cstheme="minorBidi"/>
            <w:noProof/>
            <w:szCs w:val="22"/>
          </w:rPr>
          <w:tab/>
        </w:r>
        <w:r w:rsidRPr="008B0459">
          <w:rPr>
            <w:rStyle w:val="Hyperlink"/>
            <w:noProof/>
          </w:rPr>
          <w:t>Project Annual Operation-Related Fuel Usage</w:t>
        </w:r>
        <w:r>
          <w:rPr>
            <w:noProof/>
            <w:webHidden/>
          </w:rPr>
          <w:tab/>
        </w:r>
        <w:r>
          <w:rPr>
            <w:noProof/>
            <w:webHidden/>
          </w:rPr>
          <w:fldChar w:fldCharType="begin"/>
        </w:r>
        <w:r>
          <w:rPr>
            <w:noProof/>
            <w:webHidden/>
          </w:rPr>
          <w:instrText xml:space="preserve"> PAGEREF _Toc90882258 \h </w:instrText>
        </w:r>
        <w:r>
          <w:rPr>
            <w:noProof/>
            <w:webHidden/>
          </w:rPr>
        </w:r>
        <w:r>
          <w:rPr>
            <w:noProof/>
            <w:webHidden/>
          </w:rPr>
          <w:fldChar w:fldCharType="separate"/>
        </w:r>
        <w:r>
          <w:rPr>
            <w:noProof/>
            <w:webHidden/>
          </w:rPr>
          <w:t>74</w:t>
        </w:r>
        <w:r>
          <w:rPr>
            <w:noProof/>
            <w:webHidden/>
          </w:rPr>
          <w:fldChar w:fldCharType="end"/>
        </w:r>
      </w:hyperlink>
    </w:p>
    <w:p w14:paraId="1DB5BBCC" w14:textId="2E6AA2B9" w:rsidR="005E5903" w:rsidRDefault="005E5903">
      <w:pPr>
        <w:pStyle w:val="TableofFigures"/>
        <w:rPr>
          <w:rFonts w:asciiTheme="minorHAnsi" w:eastAsiaTheme="minorEastAsia" w:hAnsiTheme="minorHAnsi" w:cstheme="minorBidi"/>
          <w:noProof/>
          <w:szCs w:val="22"/>
        </w:rPr>
      </w:pPr>
      <w:hyperlink w:anchor="_Toc90882259" w:history="1">
        <w:r w:rsidRPr="008B0459">
          <w:rPr>
            <w:rStyle w:val="Hyperlink"/>
            <w:noProof/>
          </w:rPr>
          <w:t>Table 13</w:t>
        </w:r>
        <w:r>
          <w:rPr>
            <w:rFonts w:asciiTheme="minorHAnsi" w:eastAsiaTheme="minorEastAsia" w:hAnsiTheme="minorHAnsi" w:cstheme="minorBidi"/>
            <w:noProof/>
            <w:szCs w:val="22"/>
          </w:rPr>
          <w:tab/>
        </w:r>
        <w:r w:rsidRPr="008B0459">
          <w:rPr>
            <w:rStyle w:val="Hyperlink"/>
            <w:noProof/>
          </w:rPr>
          <w:t>Net Project-Related Operation GHG Emissions</w:t>
        </w:r>
        <w:r>
          <w:rPr>
            <w:noProof/>
            <w:webHidden/>
          </w:rPr>
          <w:tab/>
        </w:r>
        <w:r>
          <w:rPr>
            <w:noProof/>
            <w:webHidden/>
          </w:rPr>
          <w:fldChar w:fldCharType="begin"/>
        </w:r>
        <w:r>
          <w:rPr>
            <w:noProof/>
            <w:webHidden/>
          </w:rPr>
          <w:instrText xml:space="preserve"> PAGEREF _Toc90882259 \h </w:instrText>
        </w:r>
        <w:r>
          <w:rPr>
            <w:noProof/>
            <w:webHidden/>
          </w:rPr>
        </w:r>
        <w:r>
          <w:rPr>
            <w:noProof/>
            <w:webHidden/>
          </w:rPr>
          <w:fldChar w:fldCharType="separate"/>
        </w:r>
        <w:r>
          <w:rPr>
            <w:noProof/>
            <w:webHidden/>
          </w:rPr>
          <w:t>84</w:t>
        </w:r>
        <w:r>
          <w:rPr>
            <w:noProof/>
            <w:webHidden/>
          </w:rPr>
          <w:fldChar w:fldCharType="end"/>
        </w:r>
      </w:hyperlink>
    </w:p>
    <w:p w14:paraId="5FF23EB3" w14:textId="3BB4DC78" w:rsidR="005E5903" w:rsidRDefault="005E5903">
      <w:pPr>
        <w:pStyle w:val="TableofFigures"/>
        <w:rPr>
          <w:rFonts w:asciiTheme="minorHAnsi" w:eastAsiaTheme="minorEastAsia" w:hAnsiTheme="minorHAnsi" w:cstheme="minorBidi"/>
          <w:noProof/>
          <w:szCs w:val="22"/>
        </w:rPr>
      </w:pPr>
      <w:hyperlink w:anchor="_Toc90882260" w:history="1">
        <w:r w:rsidRPr="008B0459">
          <w:rPr>
            <w:rStyle w:val="Hyperlink"/>
            <w:noProof/>
          </w:rPr>
          <w:t>Table 14</w:t>
        </w:r>
        <w:r>
          <w:rPr>
            <w:rFonts w:asciiTheme="minorHAnsi" w:eastAsiaTheme="minorEastAsia" w:hAnsiTheme="minorHAnsi" w:cstheme="minorBidi"/>
            <w:noProof/>
            <w:szCs w:val="22"/>
          </w:rPr>
          <w:tab/>
        </w:r>
        <w:r w:rsidRPr="008B0459">
          <w:rPr>
            <w:rStyle w:val="Hyperlink"/>
            <w:noProof/>
          </w:rPr>
          <w:t>Construction Best Management Practices</w:t>
        </w:r>
        <w:r>
          <w:rPr>
            <w:noProof/>
            <w:webHidden/>
          </w:rPr>
          <w:tab/>
        </w:r>
        <w:r>
          <w:rPr>
            <w:noProof/>
            <w:webHidden/>
          </w:rPr>
          <w:fldChar w:fldCharType="begin"/>
        </w:r>
        <w:r>
          <w:rPr>
            <w:noProof/>
            <w:webHidden/>
          </w:rPr>
          <w:instrText xml:space="preserve"> PAGEREF _Toc90882260 \h </w:instrText>
        </w:r>
        <w:r>
          <w:rPr>
            <w:noProof/>
            <w:webHidden/>
          </w:rPr>
        </w:r>
        <w:r>
          <w:rPr>
            <w:noProof/>
            <w:webHidden/>
          </w:rPr>
          <w:fldChar w:fldCharType="separate"/>
        </w:r>
        <w:r>
          <w:rPr>
            <w:noProof/>
            <w:webHidden/>
          </w:rPr>
          <w:t>95</w:t>
        </w:r>
        <w:r>
          <w:rPr>
            <w:noProof/>
            <w:webHidden/>
          </w:rPr>
          <w:fldChar w:fldCharType="end"/>
        </w:r>
      </w:hyperlink>
    </w:p>
    <w:p w14:paraId="6B5C3EB4" w14:textId="386348EC" w:rsidR="005E5903" w:rsidRDefault="005E5903">
      <w:pPr>
        <w:pStyle w:val="TableofFigures"/>
        <w:rPr>
          <w:rFonts w:asciiTheme="minorHAnsi" w:eastAsiaTheme="minorEastAsia" w:hAnsiTheme="minorHAnsi" w:cstheme="minorBidi"/>
          <w:noProof/>
          <w:szCs w:val="22"/>
        </w:rPr>
      </w:pPr>
      <w:hyperlink w:anchor="_Toc90882261" w:history="1">
        <w:r w:rsidRPr="008B0459">
          <w:rPr>
            <w:rStyle w:val="Hyperlink"/>
            <w:noProof/>
          </w:rPr>
          <w:t>Table 15</w:t>
        </w:r>
        <w:r>
          <w:rPr>
            <w:rFonts w:asciiTheme="minorHAnsi" w:eastAsiaTheme="minorEastAsia" w:hAnsiTheme="minorHAnsi" w:cstheme="minorBidi"/>
            <w:noProof/>
            <w:szCs w:val="22"/>
          </w:rPr>
          <w:tab/>
        </w:r>
        <w:r w:rsidRPr="008B0459">
          <w:rPr>
            <w:rStyle w:val="Hyperlink"/>
            <w:noProof/>
          </w:rPr>
          <w:t>Proposed Development Infiltration BMPs</w:t>
        </w:r>
        <w:r>
          <w:rPr>
            <w:noProof/>
            <w:webHidden/>
          </w:rPr>
          <w:tab/>
        </w:r>
        <w:r>
          <w:rPr>
            <w:noProof/>
            <w:webHidden/>
          </w:rPr>
          <w:fldChar w:fldCharType="begin"/>
        </w:r>
        <w:r>
          <w:rPr>
            <w:noProof/>
            <w:webHidden/>
          </w:rPr>
          <w:instrText xml:space="preserve"> PAGEREF _Toc90882261 \h </w:instrText>
        </w:r>
        <w:r>
          <w:rPr>
            <w:noProof/>
            <w:webHidden/>
          </w:rPr>
        </w:r>
        <w:r>
          <w:rPr>
            <w:noProof/>
            <w:webHidden/>
          </w:rPr>
          <w:fldChar w:fldCharType="separate"/>
        </w:r>
        <w:r>
          <w:rPr>
            <w:noProof/>
            <w:webHidden/>
          </w:rPr>
          <w:t>98</w:t>
        </w:r>
        <w:r>
          <w:rPr>
            <w:noProof/>
            <w:webHidden/>
          </w:rPr>
          <w:fldChar w:fldCharType="end"/>
        </w:r>
      </w:hyperlink>
    </w:p>
    <w:p w14:paraId="4CDE6BE3" w14:textId="48890D86" w:rsidR="005E5903" w:rsidRDefault="005E5903">
      <w:pPr>
        <w:pStyle w:val="TableofFigures"/>
        <w:rPr>
          <w:rFonts w:asciiTheme="minorHAnsi" w:eastAsiaTheme="minorEastAsia" w:hAnsiTheme="minorHAnsi" w:cstheme="minorBidi"/>
          <w:noProof/>
          <w:szCs w:val="22"/>
        </w:rPr>
      </w:pPr>
      <w:hyperlink w:anchor="_Toc90882262" w:history="1">
        <w:r w:rsidRPr="008B0459">
          <w:rPr>
            <w:rStyle w:val="Hyperlink"/>
            <w:noProof/>
          </w:rPr>
          <w:t>Table 16</w:t>
        </w:r>
        <w:r>
          <w:rPr>
            <w:rFonts w:asciiTheme="minorHAnsi" w:eastAsiaTheme="minorEastAsia" w:hAnsiTheme="minorHAnsi" w:cstheme="minorBidi"/>
            <w:noProof/>
            <w:szCs w:val="22"/>
          </w:rPr>
          <w:tab/>
        </w:r>
        <w:r w:rsidRPr="008B0459">
          <w:rPr>
            <w:rStyle w:val="Hyperlink"/>
            <w:noProof/>
          </w:rPr>
          <w:t>Existing and Proposed Runoff Flows</w:t>
        </w:r>
        <w:r>
          <w:rPr>
            <w:noProof/>
            <w:webHidden/>
          </w:rPr>
          <w:tab/>
        </w:r>
        <w:r>
          <w:rPr>
            <w:noProof/>
            <w:webHidden/>
          </w:rPr>
          <w:fldChar w:fldCharType="begin"/>
        </w:r>
        <w:r>
          <w:rPr>
            <w:noProof/>
            <w:webHidden/>
          </w:rPr>
          <w:instrText xml:space="preserve"> PAGEREF _Toc90882262 \h </w:instrText>
        </w:r>
        <w:r>
          <w:rPr>
            <w:noProof/>
            <w:webHidden/>
          </w:rPr>
        </w:r>
        <w:r>
          <w:rPr>
            <w:noProof/>
            <w:webHidden/>
          </w:rPr>
          <w:fldChar w:fldCharType="separate"/>
        </w:r>
        <w:r>
          <w:rPr>
            <w:noProof/>
            <w:webHidden/>
          </w:rPr>
          <w:t>105</w:t>
        </w:r>
        <w:r>
          <w:rPr>
            <w:noProof/>
            <w:webHidden/>
          </w:rPr>
          <w:fldChar w:fldCharType="end"/>
        </w:r>
      </w:hyperlink>
    </w:p>
    <w:p w14:paraId="0BDDBDE8" w14:textId="7674CA5E" w:rsidR="005E5903" w:rsidRDefault="005E5903">
      <w:pPr>
        <w:pStyle w:val="TableofFigures"/>
        <w:rPr>
          <w:rFonts w:asciiTheme="minorHAnsi" w:eastAsiaTheme="minorEastAsia" w:hAnsiTheme="minorHAnsi" w:cstheme="minorBidi"/>
          <w:noProof/>
          <w:szCs w:val="22"/>
        </w:rPr>
      </w:pPr>
      <w:hyperlink w:anchor="_Toc90882263" w:history="1">
        <w:r w:rsidRPr="008B0459">
          <w:rPr>
            <w:rStyle w:val="Hyperlink"/>
            <w:noProof/>
          </w:rPr>
          <w:t>Table 17</w:t>
        </w:r>
        <w:r>
          <w:rPr>
            <w:rFonts w:asciiTheme="minorHAnsi" w:eastAsiaTheme="minorEastAsia" w:hAnsiTheme="minorHAnsi" w:cstheme="minorBidi"/>
            <w:noProof/>
            <w:szCs w:val="22"/>
          </w:rPr>
          <w:tab/>
        </w:r>
        <w:r w:rsidRPr="008B0459">
          <w:rPr>
            <w:rStyle w:val="Hyperlink"/>
            <w:noProof/>
          </w:rPr>
          <w:t>Existing Traffic Noise Levels</w:t>
        </w:r>
        <w:r>
          <w:rPr>
            <w:noProof/>
            <w:webHidden/>
          </w:rPr>
          <w:tab/>
        </w:r>
        <w:r>
          <w:rPr>
            <w:noProof/>
            <w:webHidden/>
          </w:rPr>
          <w:fldChar w:fldCharType="begin"/>
        </w:r>
        <w:r>
          <w:rPr>
            <w:noProof/>
            <w:webHidden/>
          </w:rPr>
          <w:instrText xml:space="preserve"> PAGEREF _Toc90882263 \h </w:instrText>
        </w:r>
        <w:r>
          <w:rPr>
            <w:noProof/>
            <w:webHidden/>
          </w:rPr>
        </w:r>
        <w:r>
          <w:rPr>
            <w:noProof/>
            <w:webHidden/>
          </w:rPr>
          <w:fldChar w:fldCharType="separate"/>
        </w:r>
        <w:r>
          <w:rPr>
            <w:noProof/>
            <w:webHidden/>
          </w:rPr>
          <w:t>113</w:t>
        </w:r>
        <w:r>
          <w:rPr>
            <w:noProof/>
            <w:webHidden/>
          </w:rPr>
          <w:fldChar w:fldCharType="end"/>
        </w:r>
      </w:hyperlink>
    </w:p>
    <w:p w14:paraId="54CB29F9" w14:textId="4617733E" w:rsidR="005E5903" w:rsidRDefault="005E5903">
      <w:pPr>
        <w:pStyle w:val="TableofFigures"/>
        <w:rPr>
          <w:rFonts w:asciiTheme="minorHAnsi" w:eastAsiaTheme="minorEastAsia" w:hAnsiTheme="minorHAnsi" w:cstheme="minorBidi"/>
          <w:noProof/>
          <w:szCs w:val="22"/>
        </w:rPr>
      </w:pPr>
      <w:hyperlink w:anchor="_Toc90882264" w:history="1">
        <w:r w:rsidRPr="008B0459">
          <w:rPr>
            <w:rStyle w:val="Hyperlink"/>
            <w:noProof/>
          </w:rPr>
          <w:t>Table 18</w:t>
        </w:r>
        <w:r>
          <w:rPr>
            <w:rFonts w:asciiTheme="minorHAnsi" w:eastAsiaTheme="minorEastAsia" w:hAnsiTheme="minorHAnsi" w:cstheme="minorBidi"/>
            <w:noProof/>
            <w:szCs w:val="22"/>
          </w:rPr>
          <w:tab/>
        </w:r>
        <w:r w:rsidRPr="008B0459">
          <w:rPr>
            <w:rStyle w:val="Hyperlink"/>
            <w:noProof/>
          </w:rPr>
          <w:t>County of Los Angeles Residential Exterior Noise Standards</w:t>
        </w:r>
        <w:r>
          <w:rPr>
            <w:noProof/>
            <w:webHidden/>
          </w:rPr>
          <w:tab/>
        </w:r>
        <w:r>
          <w:rPr>
            <w:noProof/>
            <w:webHidden/>
          </w:rPr>
          <w:fldChar w:fldCharType="begin"/>
        </w:r>
        <w:r>
          <w:rPr>
            <w:noProof/>
            <w:webHidden/>
          </w:rPr>
          <w:instrText xml:space="preserve"> PAGEREF _Toc90882264 \h </w:instrText>
        </w:r>
        <w:r>
          <w:rPr>
            <w:noProof/>
            <w:webHidden/>
          </w:rPr>
        </w:r>
        <w:r>
          <w:rPr>
            <w:noProof/>
            <w:webHidden/>
          </w:rPr>
          <w:fldChar w:fldCharType="separate"/>
        </w:r>
        <w:r>
          <w:rPr>
            <w:noProof/>
            <w:webHidden/>
          </w:rPr>
          <w:t>115</w:t>
        </w:r>
        <w:r>
          <w:rPr>
            <w:noProof/>
            <w:webHidden/>
          </w:rPr>
          <w:fldChar w:fldCharType="end"/>
        </w:r>
      </w:hyperlink>
    </w:p>
    <w:p w14:paraId="1116143F" w14:textId="56F46778" w:rsidR="005E5903" w:rsidRDefault="005E5903">
      <w:pPr>
        <w:pStyle w:val="TableofFigures"/>
        <w:rPr>
          <w:rFonts w:asciiTheme="minorHAnsi" w:eastAsiaTheme="minorEastAsia" w:hAnsiTheme="minorHAnsi" w:cstheme="minorBidi"/>
          <w:noProof/>
          <w:szCs w:val="22"/>
        </w:rPr>
      </w:pPr>
      <w:hyperlink w:anchor="_Toc90882265" w:history="1">
        <w:r w:rsidRPr="008B0459">
          <w:rPr>
            <w:rStyle w:val="Hyperlink"/>
            <w:noProof/>
          </w:rPr>
          <w:t>Table 19</w:t>
        </w:r>
        <w:r>
          <w:rPr>
            <w:rFonts w:asciiTheme="minorHAnsi" w:eastAsiaTheme="minorEastAsia" w:hAnsiTheme="minorHAnsi" w:cstheme="minorBidi"/>
            <w:noProof/>
            <w:szCs w:val="22"/>
          </w:rPr>
          <w:tab/>
        </w:r>
        <w:r w:rsidRPr="008B0459">
          <w:rPr>
            <w:rStyle w:val="Hyperlink"/>
            <w:noProof/>
          </w:rPr>
          <w:t>County of Los Angeles Stationary Construction Equipment Noise Limits</w:t>
        </w:r>
        <w:r>
          <w:rPr>
            <w:noProof/>
            <w:webHidden/>
          </w:rPr>
          <w:tab/>
        </w:r>
        <w:r>
          <w:rPr>
            <w:noProof/>
            <w:webHidden/>
          </w:rPr>
          <w:fldChar w:fldCharType="begin"/>
        </w:r>
        <w:r>
          <w:rPr>
            <w:noProof/>
            <w:webHidden/>
          </w:rPr>
          <w:instrText xml:space="preserve"> PAGEREF _Toc90882265 \h </w:instrText>
        </w:r>
        <w:r>
          <w:rPr>
            <w:noProof/>
            <w:webHidden/>
          </w:rPr>
        </w:r>
        <w:r>
          <w:rPr>
            <w:noProof/>
            <w:webHidden/>
          </w:rPr>
          <w:fldChar w:fldCharType="separate"/>
        </w:r>
        <w:r>
          <w:rPr>
            <w:noProof/>
            <w:webHidden/>
          </w:rPr>
          <w:t>116</w:t>
        </w:r>
        <w:r>
          <w:rPr>
            <w:noProof/>
            <w:webHidden/>
          </w:rPr>
          <w:fldChar w:fldCharType="end"/>
        </w:r>
      </w:hyperlink>
    </w:p>
    <w:p w14:paraId="17135FC0" w14:textId="2E676530" w:rsidR="005E5903" w:rsidRDefault="005E5903">
      <w:pPr>
        <w:pStyle w:val="TableofFigures"/>
        <w:rPr>
          <w:rFonts w:asciiTheme="minorHAnsi" w:eastAsiaTheme="minorEastAsia" w:hAnsiTheme="minorHAnsi" w:cstheme="minorBidi"/>
          <w:noProof/>
          <w:szCs w:val="22"/>
        </w:rPr>
      </w:pPr>
      <w:hyperlink w:anchor="_Toc90882266" w:history="1">
        <w:r w:rsidRPr="008B0459">
          <w:rPr>
            <w:rStyle w:val="Hyperlink"/>
            <w:noProof/>
          </w:rPr>
          <w:t>Table 20</w:t>
        </w:r>
        <w:r>
          <w:rPr>
            <w:rFonts w:asciiTheme="minorHAnsi" w:eastAsiaTheme="minorEastAsia" w:hAnsiTheme="minorHAnsi" w:cstheme="minorBidi"/>
            <w:noProof/>
            <w:szCs w:val="22"/>
          </w:rPr>
          <w:tab/>
        </w:r>
        <w:r w:rsidRPr="008B0459">
          <w:rPr>
            <w:rStyle w:val="Hyperlink"/>
            <w:noProof/>
          </w:rPr>
          <w:t>Construction Equipment Noise Emission Levels</w:t>
        </w:r>
        <w:r>
          <w:rPr>
            <w:noProof/>
            <w:webHidden/>
          </w:rPr>
          <w:tab/>
        </w:r>
        <w:r>
          <w:rPr>
            <w:noProof/>
            <w:webHidden/>
          </w:rPr>
          <w:fldChar w:fldCharType="begin"/>
        </w:r>
        <w:r>
          <w:rPr>
            <w:noProof/>
            <w:webHidden/>
          </w:rPr>
          <w:instrText xml:space="preserve"> PAGEREF _Toc90882266 \h </w:instrText>
        </w:r>
        <w:r>
          <w:rPr>
            <w:noProof/>
            <w:webHidden/>
          </w:rPr>
        </w:r>
        <w:r>
          <w:rPr>
            <w:noProof/>
            <w:webHidden/>
          </w:rPr>
          <w:fldChar w:fldCharType="separate"/>
        </w:r>
        <w:r>
          <w:rPr>
            <w:noProof/>
            <w:webHidden/>
          </w:rPr>
          <w:t>118</w:t>
        </w:r>
        <w:r>
          <w:rPr>
            <w:noProof/>
            <w:webHidden/>
          </w:rPr>
          <w:fldChar w:fldCharType="end"/>
        </w:r>
      </w:hyperlink>
    </w:p>
    <w:p w14:paraId="5D4CF854" w14:textId="6879CA03" w:rsidR="005E5903" w:rsidRDefault="005E5903">
      <w:pPr>
        <w:pStyle w:val="TableofFigures"/>
        <w:rPr>
          <w:rFonts w:asciiTheme="minorHAnsi" w:eastAsiaTheme="minorEastAsia" w:hAnsiTheme="minorHAnsi" w:cstheme="minorBidi"/>
          <w:noProof/>
          <w:szCs w:val="22"/>
        </w:rPr>
      </w:pPr>
      <w:hyperlink w:anchor="_Toc90882267" w:history="1">
        <w:r w:rsidRPr="008B0459">
          <w:rPr>
            <w:rStyle w:val="Hyperlink"/>
            <w:noProof/>
          </w:rPr>
          <w:t>Table 21</w:t>
        </w:r>
        <w:r>
          <w:rPr>
            <w:rFonts w:asciiTheme="minorHAnsi" w:eastAsiaTheme="minorEastAsia" w:hAnsiTheme="minorHAnsi" w:cstheme="minorBidi"/>
            <w:noProof/>
            <w:szCs w:val="22"/>
          </w:rPr>
          <w:tab/>
        </w:r>
        <w:r w:rsidRPr="008B0459">
          <w:rPr>
            <w:rStyle w:val="Hyperlink"/>
            <w:noProof/>
          </w:rPr>
          <w:t>Project and Cumulative Traffic Noise Increases</w:t>
        </w:r>
        <w:r>
          <w:rPr>
            <w:noProof/>
            <w:webHidden/>
          </w:rPr>
          <w:tab/>
        </w:r>
        <w:r>
          <w:rPr>
            <w:noProof/>
            <w:webHidden/>
          </w:rPr>
          <w:fldChar w:fldCharType="begin"/>
        </w:r>
        <w:r>
          <w:rPr>
            <w:noProof/>
            <w:webHidden/>
          </w:rPr>
          <w:instrText xml:space="preserve"> PAGEREF _Toc90882267 \h </w:instrText>
        </w:r>
        <w:r>
          <w:rPr>
            <w:noProof/>
            <w:webHidden/>
          </w:rPr>
        </w:r>
        <w:r>
          <w:rPr>
            <w:noProof/>
            <w:webHidden/>
          </w:rPr>
          <w:fldChar w:fldCharType="separate"/>
        </w:r>
        <w:r>
          <w:rPr>
            <w:noProof/>
            <w:webHidden/>
          </w:rPr>
          <w:t>121</w:t>
        </w:r>
        <w:r>
          <w:rPr>
            <w:noProof/>
            <w:webHidden/>
          </w:rPr>
          <w:fldChar w:fldCharType="end"/>
        </w:r>
      </w:hyperlink>
    </w:p>
    <w:p w14:paraId="6CDF9577" w14:textId="7B621135" w:rsidR="005E5903" w:rsidRDefault="005E5903">
      <w:pPr>
        <w:pStyle w:val="TableofFigures"/>
        <w:rPr>
          <w:rFonts w:asciiTheme="minorHAnsi" w:eastAsiaTheme="minorEastAsia" w:hAnsiTheme="minorHAnsi" w:cstheme="minorBidi"/>
          <w:noProof/>
          <w:szCs w:val="22"/>
        </w:rPr>
      </w:pPr>
      <w:hyperlink w:anchor="_Toc90882268" w:history="1">
        <w:r w:rsidRPr="008B0459">
          <w:rPr>
            <w:rStyle w:val="Hyperlink"/>
            <w:noProof/>
          </w:rPr>
          <w:t>Table 22</w:t>
        </w:r>
        <w:r>
          <w:rPr>
            <w:rFonts w:asciiTheme="minorHAnsi" w:eastAsiaTheme="minorEastAsia" w:hAnsiTheme="minorHAnsi" w:cstheme="minorBidi"/>
            <w:noProof/>
            <w:szCs w:val="22"/>
          </w:rPr>
          <w:tab/>
        </w:r>
        <w:r w:rsidRPr="008B0459">
          <w:rPr>
            <w:rStyle w:val="Hyperlink"/>
            <w:noProof/>
          </w:rPr>
          <w:t>Truck Loading Dock Noise, dBA L</w:t>
        </w:r>
        <w:r w:rsidRPr="008B0459">
          <w:rPr>
            <w:rStyle w:val="Hyperlink"/>
            <w:noProof/>
            <w:vertAlign w:val="subscript"/>
          </w:rPr>
          <w:t>50</w:t>
        </w:r>
        <w:r>
          <w:rPr>
            <w:noProof/>
            <w:webHidden/>
          </w:rPr>
          <w:tab/>
        </w:r>
        <w:r>
          <w:rPr>
            <w:noProof/>
            <w:webHidden/>
          </w:rPr>
          <w:fldChar w:fldCharType="begin"/>
        </w:r>
        <w:r>
          <w:rPr>
            <w:noProof/>
            <w:webHidden/>
          </w:rPr>
          <w:instrText xml:space="preserve"> PAGEREF _Toc90882268 \h </w:instrText>
        </w:r>
        <w:r>
          <w:rPr>
            <w:noProof/>
            <w:webHidden/>
          </w:rPr>
        </w:r>
        <w:r>
          <w:rPr>
            <w:noProof/>
            <w:webHidden/>
          </w:rPr>
          <w:fldChar w:fldCharType="separate"/>
        </w:r>
        <w:r>
          <w:rPr>
            <w:noProof/>
            <w:webHidden/>
          </w:rPr>
          <w:t>123</w:t>
        </w:r>
        <w:r>
          <w:rPr>
            <w:noProof/>
            <w:webHidden/>
          </w:rPr>
          <w:fldChar w:fldCharType="end"/>
        </w:r>
      </w:hyperlink>
    </w:p>
    <w:p w14:paraId="5875E619" w14:textId="1CA6E51F" w:rsidR="005E5903" w:rsidRDefault="005E5903">
      <w:pPr>
        <w:pStyle w:val="TableofFigures"/>
        <w:rPr>
          <w:rFonts w:asciiTheme="minorHAnsi" w:eastAsiaTheme="minorEastAsia" w:hAnsiTheme="minorHAnsi" w:cstheme="minorBidi"/>
          <w:noProof/>
          <w:szCs w:val="22"/>
        </w:rPr>
      </w:pPr>
      <w:hyperlink w:anchor="_Toc90882269" w:history="1">
        <w:r w:rsidRPr="008B0459">
          <w:rPr>
            <w:rStyle w:val="Hyperlink"/>
            <w:noProof/>
          </w:rPr>
          <w:t>Table 23</w:t>
        </w:r>
        <w:r>
          <w:rPr>
            <w:rFonts w:asciiTheme="minorHAnsi" w:eastAsiaTheme="minorEastAsia" w:hAnsiTheme="minorHAnsi" w:cstheme="minorBidi"/>
            <w:noProof/>
            <w:szCs w:val="22"/>
          </w:rPr>
          <w:tab/>
        </w:r>
        <w:r w:rsidRPr="008B0459">
          <w:rPr>
            <w:rStyle w:val="Hyperlink"/>
            <w:noProof/>
          </w:rPr>
          <w:t>Vibration Damage Levels for Typical Construction Equipment</w:t>
        </w:r>
        <w:r>
          <w:rPr>
            <w:noProof/>
            <w:webHidden/>
          </w:rPr>
          <w:tab/>
        </w:r>
        <w:r>
          <w:rPr>
            <w:noProof/>
            <w:webHidden/>
          </w:rPr>
          <w:fldChar w:fldCharType="begin"/>
        </w:r>
        <w:r>
          <w:rPr>
            <w:noProof/>
            <w:webHidden/>
          </w:rPr>
          <w:instrText xml:space="preserve"> PAGEREF _Toc90882269 \h </w:instrText>
        </w:r>
        <w:r>
          <w:rPr>
            <w:noProof/>
            <w:webHidden/>
          </w:rPr>
        </w:r>
        <w:r>
          <w:rPr>
            <w:noProof/>
            <w:webHidden/>
          </w:rPr>
          <w:fldChar w:fldCharType="separate"/>
        </w:r>
        <w:r>
          <w:rPr>
            <w:noProof/>
            <w:webHidden/>
          </w:rPr>
          <w:t>125</w:t>
        </w:r>
        <w:r>
          <w:rPr>
            <w:noProof/>
            <w:webHidden/>
          </w:rPr>
          <w:fldChar w:fldCharType="end"/>
        </w:r>
      </w:hyperlink>
    </w:p>
    <w:p w14:paraId="3E092E44" w14:textId="03BECDBE" w:rsidR="005E5903" w:rsidRDefault="005E5903">
      <w:pPr>
        <w:pStyle w:val="TableofFigures"/>
        <w:rPr>
          <w:rFonts w:asciiTheme="minorHAnsi" w:eastAsiaTheme="minorEastAsia" w:hAnsiTheme="minorHAnsi" w:cstheme="minorBidi"/>
          <w:noProof/>
          <w:szCs w:val="22"/>
        </w:rPr>
      </w:pPr>
      <w:hyperlink w:anchor="_Toc90882270" w:history="1">
        <w:r w:rsidRPr="008B0459">
          <w:rPr>
            <w:rStyle w:val="Hyperlink"/>
            <w:noProof/>
          </w:rPr>
          <w:t>Table 24</w:t>
        </w:r>
        <w:r>
          <w:rPr>
            <w:rFonts w:asciiTheme="minorHAnsi" w:eastAsiaTheme="minorEastAsia" w:hAnsiTheme="minorHAnsi" w:cstheme="minorBidi"/>
            <w:noProof/>
            <w:szCs w:val="22"/>
          </w:rPr>
          <w:tab/>
        </w:r>
        <w:r w:rsidRPr="008B0459">
          <w:rPr>
            <w:rStyle w:val="Hyperlink"/>
            <w:noProof/>
          </w:rPr>
          <w:t>Vibration Annoyance Levels for Typical Construction Equipment</w:t>
        </w:r>
        <w:r>
          <w:rPr>
            <w:noProof/>
            <w:webHidden/>
          </w:rPr>
          <w:tab/>
        </w:r>
        <w:r>
          <w:rPr>
            <w:noProof/>
            <w:webHidden/>
          </w:rPr>
          <w:fldChar w:fldCharType="begin"/>
        </w:r>
        <w:r>
          <w:rPr>
            <w:noProof/>
            <w:webHidden/>
          </w:rPr>
          <w:instrText xml:space="preserve"> PAGEREF _Toc90882270 \h </w:instrText>
        </w:r>
        <w:r>
          <w:rPr>
            <w:noProof/>
            <w:webHidden/>
          </w:rPr>
        </w:r>
        <w:r>
          <w:rPr>
            <w:noProof/>
            <w:webHidden/>
          </w:rPr>
          <w:fldChar w:fldCharType="separate"/>
        </w:r>
        <w:r>
          <w:rPr>
            <w:noProof/>
            <w:webHidden/>
          </w:rPr>
          <w:t>125</w:t>
        </w:r>
        <w:r>
          <w:rPr>
            <w:noProof/>
            <w:webHidden/>
          </w:rPr>
          <w:fldChar w:fldCharType="end"/>
        </w:r>
      </w:hyperlink>
    </w:p>
    <w:p w14:paraId="0140B0BD" w14:textId="423EC3D0" w:rsidR="005E5903" w:rsidRDefault="005E5903">
      <w:pPr>
        <w:pStyle w:val="TableofFigures"/>
        <w:rPr>
          <w:rFonts w:asciiTheme="minorHAnsi" w:eastAsiaTheme="minorEastAsia" w:hAnsiTheme="minorHAnsi" w:cstheme="minorBidi"/>
          <w:noProof/>
          <w:szCs w:val="22"/>
        </w:rPr>
      </w:pPr>
      <w:hyperlink w:anchor="_Toc90882271" w:history="1">
        <w:r w:rsidRPr="008B0459">
          <w:rPr>
            <w:rStyle w:val="Hyperlink"/>
            <w:noProof/>
          </w:rPr>
          <w:t>Table 25</w:t>
        </w:r>
        <w:r>
          <w:rPr>
            <w:rFonts w:asciiTheme="minorHAnsi" w:eastAsiaTheme="minorEastAsia" w:hAnsiTheme="minorHAnsi" w:cstheme="minorBidi"/>
            <w:noProof/>
            <w:szCs w:val="22"/>
          </w:rPr>
          <w:tab/>
        </w:r>
        <w:r w:rsidRPr="008B0459">
          <w:rPr>
            <w:rStyle w:val="Hyperlink"/>
            <w:noProof/>
          </w:rPr>
          <w:t>Former and Proposed Trip Generation Summary</w:t>
        </w:r>
        <w:r>
          <w:rPr>
            <w:noProof/>
            <w:webHidden/>
          </w:rPr>
          <w:tab/>
        </w:r>
        <w:r>
          <w:rPr>
            <w:noProof/>
            <w:webHidden/>
          </w:rPr>
          <w:fldChar w:fldCharType="begin"/>
        </w:r>
        <w:r>
          <w:rPr>
            <w:noProof/>
            <w:webHidden/>
          </w:rPr>
          <w:instrText xml:space="preserve"> PAGEREF _Toc90882271 \h </w:instrText>
        </w:r>
        <w:r>
          <w:rPr>
            <w:noProof/>
            <w:webHidden/>
          </w:rPr>
        </w:r>
        <w:r>
          <w:rPr>
            <w:noProof/>
            <w:webHidden/>
          </w:rPr>
          <w:fldChar w:fldCharType="separate"/>
        </w:r>
        <w:r>
          <w:rPr>
            <w:noProof/>
            <w:webHidden/>
          </w:rPr>
          <w:t>134</w:t>
        </w:r>
        <w:r>
          <w:rPr>
            <w:noProof/>
            <w:webHidden/>
          </w:rPr>
          <w:fldChar w:fldCharType="end"/>
        </w:r>
      </w:hyperlink>
    </w:p>
    <w:p w14:paraId="29C8E175" w14:textId="651EEDC0" w:rsidR="005E5903" w:rsidRDefault="005E5903">
      <w:pPr>
        <w:pStyle w:val="TableofFigures"/>
        <w:rPr>
          <w:rFonts w:asciiTheme="minorHAnsi" w:eastAsiaTheme="minorEastAsia" w:hAnsiTheme="minorHAnsi" w:cstheme="minorBidi"/>
          <w:noProof/>
          <w:szCs w:val="22"/>
        </w:rPr>
      </w:pPr>
      <w:hyperlink w:anchor="_Toc90882272" w:history="1">
        <w:r w:rsidRPr="008B0459">
          <w:rPr>
            <w:rStyle w:val="Hyperlink"/>
            <w:noProof/>
          </w:rPr>
          <w:t>Table 26</w:t>
        </w:r>
        <w:r>
          <w:rPr>
            <w:rFonts w:asciiTheme="minorHAnsi" w:eastAsiaTheme="minorEastAsia" w:hAnsiTheme="minorHAnsi" w:cstheme="minorBidi"/>
            <w:noProof/>
            <w:szCs w:val="22"/>
          </w:rPr>
          <w:tab/>
        </w:r>
        <w:r w:rsidRPr="008B0459">
          <w:rPr>
            <w:rStyle w:val="Hyperlink"/>
            <w:noProof/>
          </w:rPr>
          <w:t>Proposed and Former Wastewater Generation</w:t>
        </w:r>
        <w:r>
          <w:rPr>
            <w:noProof/>
            <w:webHidden/>
          </w:rPr>
          <w:tab/>
        </w:r>
        <w:r>
          <w:rPr>
            <w:noProof/>
            <w:webHidden/>
          </w:rPr>
          <w:fldChar w:fldCharType="begin"/>
        </w:r>
        <w:r>
          <w:rPr>
            <w:noProof/>
            <w:webHidden/>
          </w:rPr>
          <w:instrText xml:space="preserve"> PAGEREF _Toc90882272 \h </w:instrText>
        </w:r>
        <w:r>
          <w:rPr>
            <w:noProof/>
            <w:webHidden/>
          </w:rPr>
        </w:r>
        <w:r>
          <w:rPr>
            <w:noProof/>
            <w:webHidden/>
          </w:rPr>
          <w:fldChar w:fldCharType="separate"/>
        </w:r>
        <w:r>
          <w:rPr>
            <w:noProof/>
            <w:webHidden/>
          </w:rPr>
          <w:t>144</w:t>
        </w:r>
        <w:r>
          <w:rPr>
            <w:noProof/>
            <w:webHidden/>
          </w:rPr>
          <w:fldChar w:fldCharType="end"/>
        </w:r>
      </w:hyperlink>
    </w:p>
    <w:p w14:paraId="1A7E1216" w14:textId="5EBCA64B" w:rsidR="005E5903" w:rsidRDefault="005E5903">
      <w:pPr>
        <w:pStyle w:val="TableofFigures"/>
        <w:rPr>
          <w:rFonts w:asciiTheme="minorHAnsi" w:eastAsiaTheme="minorEastAsia" w:hAnsiTheme="minorHAnsi" w:cstheme="minorBidi"/>
          <w:noProof/>
          <w:szCs w:val="22"/>
        </w:rPr>
      </w:pPr>
      <w:hyperlink w:anchor="_Toc90882273" w:history="1">
        <w:r w:rsidRPr="008B0459">
          <w:rPr>
            <w:rStyle w:val="Hyperlink"/>
            <w:noProof/>
          </w:rPr>
          <w:t>Table 27</w:t>
        </w:r>
        <w:r>
          <w:rPr>
            <w:rFonts w:asciiTheme="minorHAnsi" w:eastAsiaTheme="minorEastAsia" w:hAnsiTheme="minorHAnsi" w:cstheme="minorBidi"/>
            <w:noProof/>
            <w:szCs w:val="22"/>
          </w:rPr>
          <w:tab/>
        </w:r>
        <w:r w:rsidRPr="008B0459">
          <w:rPr>
            <w:rStyle w:val="Hyperlink"/>
            <w:noProof/>
          </w:rPr>
          <w:t>Landfill Capacity</w:t>
        </w:r>
        <w:r>
          <w:rPr>
            <w:noProof/>
            <w:webHidden/>
          </w:rPr>
          <w:tab/>
        </w:r>
        <w:r>
          <w:rPr>
            <w:noProof/>
            <w:webHidden/>
          </w:rPr>
          <w:fldChar w:fldCharType="begin"/>
        </w:r>
        <w:r>
          <w:rPr>
            <w:noProof/>
            <w:webHidden/>
          </w:rPr>
          <w:instrText xml:space="preserve"> PAGEREF _Toc90882273 \h </w:instrText>
        </w:r>
        <w:r>
          <w:rPr>
            <w:noProof/>
            <w:webHidden/>
          </w:rPr>
        </w:r>
        <w:r>
          <w:rPr>
            <w:noProof/>
            <w:webHidden/>
          </w:rPr>
          <w:fldChar w:fldCharType="separate"/>
        </w:r>
        <w:r>
          <w:rPr>
            <w:noProof/>
            <w:webHidden/>
          </w:rPr>
          <w:t>146</w:t>
        </w:r>
        <w:r>
          <w:rPr>
            <w:noProof/>
            <w:webHidden/>
          </w:rPr>
          <w:fldChar w:fldCharType="end"/>
        </w:r>
      </w:hyperlink>
    </w:p>
    <w:p w14:paraId="71888708" w14:textId="490F2551" w:rsidR="005E5903" w:rsidRDefault="005E5903">
      <w:pPr>
        <w:pStyle w:val="TableofFigures"/>
        <w:rPr>
          <w:rFonts w:asciiTheme="minorHAnsi" w:eastAsiaTheme="minorEastAsia" w:hAnsiTheme="minorHAnsi" w:cstheme="minorBidi"/>
          <w:noProof/>
          <w:szCs w:val="22"/>
        </w:rPr>
      </w:pPr>
      <w:hyperlink w:anchor="_Toc90882274" w:history="1">
        <w:r w:rsidRPr="008B0459">
          <w:rPr>
            <w:rStyle w:val="Hyperlink"/>
            <w:noProof/>
          </w:rPr>
          <w:t>Table 28</w:t>
        </w:r>
        <w:r>
          <w:rPr>
            <w:rFonts w:asciiTheme="minorHAnsi" w:eastAsiaTheme="minorEastAsia" w:hAnsiTheme="minorHAnsi" w:cstheme="minorBidi"/>
            <w:noProof/>
            <w:szCs w:val="22"/>
          </w:rPr>
          <w:tab/>
        </w:r>
        <w:r w:rsidRPr="008B0459">
          <w:rPr>
            <w:rStyle w:val="Hyperlink"/>
            <w:noProof/>
          </w:rPr>
          <w:t>Former and Proposed Solid Waste Generation</w:t>
        </w:r>
        <w:r>
          <w:rPr>
            <w:noProof/>
            <w:webHidden/>
          </w:rPr>
          <w:tab/>
        </w:r>
        <w:r>
          <w:rPr>
            <w:noProof/>
            <w:webHidden/>
          </w:rPr>
          <w:fldChar w:fldCharType="begin"/>
        </w:r>
        <w:r>
          <w:rPr>
            <w:noProof/>
            <w:webHidden/>
          </w:rPr>
          <w:instrText xml:space="preserve"> PAGEREF _Toc90882274 \h </w:instrText>
        </w:r>
        <w:r>
          <w:rPr>
            <w:noProof/>
            <w:webHidden/>
          </w:rPr>
        </w:r>
        <w:r>
          <w:rPr>
            <w:noProof/>
            <w:webHidden/>
          </w:rPr>
          <w:fldChar w:fldCharType="separate"/>
        </w:r>
        <w:r>
          <w:rPr>
            <w:noProof/>
            <w:webHidden/>
          </w:rPr>
          <w:t>147</w:t>
        </w:r>
        <w:r>
          <w:rPr>
            <w:noProof/>
            <w:webHidden/>
          </w:rPr>
          <w:fldChar w:fldCharType="end"/>
        </w:r>
      </w:hyperlink>
    </w:p>
    <w:p w14:paraId="79025731" w14:textId="1DB12679" w:rsidR="00D10CF6" w:rsidRDefault="00D25C64" w:rsidP="00D25C64">
      <w:pPr>
        <w:rPr>
          <w:highlight w:val="yellow"/>
        </w:rPr>
      </w:pPr>
      <w:r>
        <w:rPr>
          <w:highlight w:val="yellow"/>
        </w:rPr>
        <w:fldChar w:fldCharType="end"/>
      </w:r>
    </w:p>
    <w:p w14:paraId="69D7DA6D" w14:textId="77777777" w:rsidR="00D10CF6" w:rsidRDefault="00D10CF6" w:rsidP="00D10CF6">
      <w:pPr>
        <w:rPr>
          <w:highlight w:val="yellow"/>
        </w:rPr>
        <w:sectPr w:rsidR="00D10CF6" w:rsidSect="00360CA8">
          <w:headerReference w:type="even" r:id="rId9"/>
          <w:headerReference w:type="default" r:id="rId10"/>
          <w:footerReference w:type="even" r:id="rId11"/>
          <w:footerReference w:type="default" r:id="rId12"/>
          <w:pgSz w:w="12240" w:h="15840" w:code="1"/>
          <w:pgMar w:top="2376" w:right="1440" w:bottom="1440" w:left="1440" w:header="720" w:footer="720" w:gutter="0"/>
          <w:pgNumType w:fmt="lowerRoman" w:start="1"/>
          <w:cols w:space="720"/>
          <w:noEndnote/>
          <w:docGrid w:linePitch="299"/>
        </w:sectPr>
      </w:pPr>
    </w:p>
    <w:p w14:paraId="18E36988" w14:textId="77777777" w:rsidR="00D10CF6" w:rsidRDefault="00D10CF6" w:rsidP="00D10CF6">
      <w:pPr>
        <w:pStyle w:val="TOCListofAbbrevs"/>
      </w:pPr>
      <w:r>
        <w:lastRenderedPageBreak/>
        <w:t>AAQS</w:t>
      </w:r>
      <w:r>
        <w:tab/>
      </w:r>
      <w:r w:rsidR="00E73392">
        <w:t>ambient air quality standards</w:t>
      </w:r>
    </w:p>
    <w:p w14:paraId="67544964" w14:textId="77777777" w:rsidR="00D10CF6" w:rsidRDefault="00D10CF6" w:rsidP="00D10CF6">
      <w:pPr>
        <w:pStyle w:val="TOCListofAbbrevs"/>
      </w:pPr>
      <w:r>
        <w:t>AB</w:t>
      </w:r>
      <w:r>
        <w:tab/>
        <w:t>Assembly Bill</w:t>
      </w:r>
    </w:p>
    <w:p w14:paraId="27906A01" w14:textId="77777777" w:rsidR="00D10CF6" w:rsidRDefault="00D10CF6" w:rsidP="00D10CF6">
      <w:pPr>
        <w:pStyle w:val="TOCListofAbbrevs"/>
      </w:pPr>
      <w:r>
        <w:t>ACM</w:t>
      </w:r>
      <w:r>
        <w:tab/>
      </w:r>
      <w:r w:rsidR="00E73392">
        <w:t>asbestos-containing materials</w:t>
      </w:r>
    </w:p>
    <w:p w14:paraId="6A3F78AF" w14:textId="77777777" w:rsidR="00D10CF6" w:rsidRDefault="00D10CF6" w:rsidP="00D10CF6">
      <w:pPr>
        <w:pStyle w:val="TOCListofAbbrevs"/>
      </w:pPr>
      <w:r>
        <w:t>ADT</w:t>
      </w:r>
      <w:r>
        <w:tab/>
      </w:r>
      <w:r w:rsidR="00E73392">
        <w:t>average daily traffic</w:t>
      </w:r>
    </w:p>
    <w:p w14:paraId="2005C6FD" w14:textId="77777777" w:rsidR="00E73392" w:rsidRDefault="00E73392" w:rsidP="00D10CF6">
      <w:pPr>
        <w:pStyle w:val="TOCListofAbbrevs"/>
      </w:pPr>
      <w:r>
        <w:t>amsl</w:t>
      </w:r>
      <w:r>
        <w:tab/>
        <w:t>above mean sea level</w:t>
      </w:r>
    </w:p>
    <w:p w14:paraId="18AFA397" w14:textId="77777777" w:rsidR="00D10CF6" w:rsidRDefault="00D10CF6" w:rsidP="00D10CF6">
      <w:pPr>
        <w:pStyle w:val="TOCListofAbbrevs"/>
      </w:pPr>
      <w:r>
        <w:t>AQMP</w:t>
      </w:r>
      <w:r>
        <w:tab/>
      </w:r>
      <w:r w:rsidR="00E73392">
        <w:t>air quality management plan</w:t>
      </w:r>
    </w:p>
    <w:p w14:paraId="25239CDE" w14:textId="77777777" w:rsidR="00D10CF6" w:rsidRDefault="00D10CF6" w:rsidP="00D10CF6">
      <w:pPr>
        <w:pStyle w:val="TOCListofAbbrevs"/>
      </w:pPr>
      <w:r>
        <w:t>AST</w:t>
      </w:r>
      <w:r>
        <w:tab/>
      </w:r>
      <w:r w:rsidR="00E73392">
        <w:t>aboveground storage tank</w:t>
      </w:r>
    </w:p>
    <w:p w14:paraId="6245AF49" w14:textId="77777777" w:rsidR="006D0F5C" w:rsidRDefault="006D0F5C" w:rsidP="00D10CF6">
      <w:pPr>
        <w:pStyle w:val="TOCListofAbbrevs"/>
      </w:pPr>
      <w:r w:rsidRPr="006D0F5C">
        <w:t>BAU</w:t>
      </w:r>
      <w:r w:rsidRPr="006D0F5C">
        <w:tab/>
        <w:t>business as usual</w:t>
      </w:r>
    </w:p>
    <w:p w14:paraId="26627E07" w14:textId="77777777" w:rsidR="00D10CF6" w:rsidRDefault="00D10CF6" w:rsidP="00D10CF6">
      <w:pPr>
        <w:pStyle w:val="TOCListofAbbrevs"/>
      </w:pPr>
      <w:r>
        <w:t>bgs</w:t>
      </w:r>
      <w:r>
        <w:tab/>
        <w:t>below ground surface</w:t>
      </w:r>
    </w:p>
    <w:p w14:paraId="2B89ABB6" w14:textId="77777777" w:rsidR="00D10CF6" w:rsidRDefault="00D10CF6" w:rsidP="00D10CF6">
      <w:pPr>
        <w:pStyle w:val="TOCListofAbbrevs"/>
      </w:pPr>
      <w:r>
        <w:t>BMP</w:t>
      </w:r>
      <w:r>
        <w:tab/>
      </w:r>
      <w:r w:rsidR="00E73392">
        <w:t>best management practices</w:t>
      </w:r>
    </w:p>
    <w:p w14:paraId="5B8D1E70" w14:textId="77777777" w:rsidR="00D10CF6" w:rsidRDefault="00D10CF6" w:rsidP="00D10CF6">
      <w:pPr>
        <w:pStyle w:val="TOCListofAbbrevs"/>
      </w:pPr>
      <w:r>
        <w:t>CAA</w:t>
      </w:r>
      <w:r>
        <w:tab/>
        <w:t>Clean Air Act</w:t>
      </w:r>
    </w:p>
    <w:p w14:paraId="4FD586CD" w14:textId="77777777" w:rsidR="006D0F5C" w:rsidRDefault="006D0F5C" w:rsidP="00D10CF6">
      <w:pPr>
        <w:pStyle w:val="TOCListofAbbrevs"/>
      </w:pPr>
      <w:r w:rsidRPr="006D0F5C">
        <w:t>CAFE</w:t>
      </w:r>
      <w:r w:rsidRPr="006D0F5C">
        <w:tab/>
        <w:t>corporate average fuel economy</w:t>
      </w:r>
    </w:p>
    <w:p w14:paraId="4DA157B0" w14:textId="77777777" w:rsidR="006D0F5C" w:rsidRDefault="006D0F5C" w:rsidP="006D0F5C">
      <w:pPr>
        <w:pStyle w:val="TOCListofAbbrevs"/>
      </w:pPr>
      <w:r>
        <w:t>CalARP</w:t>
      </w:r>
      <w:r>
        <w:tab/>
        <w:t>California Accidental Release Prevention Program</w:t>
      </w:r>
    </w:p>
    <w:p w14:paraId="41ADE663" w14:textId="77777777" w:rsidR="006D0F5C" w:rsidRDefault="006D0F5C" w:rsidP="006D0F5C">
      <w:pPr>
        <w:pStyle w:val="TOCListofAbbrevs"/>
      </w:pPr>
      <w:r>
        <w:t>CalEMA</w:t>
      </w:r>
      <w:r>
        <w:tab/>
        <w:t>California Emergency Management Agency</w:t>
      </w:r>
    </w:p>
    <w:p w14:paraId="476C2993" w14:textId="77777777" w:rsidR="006D0F5C" w:rsidRDefault="006D0F5C" w:rsidP="006D0F5C">
      <w:pPr>
        <w:pStyle w:val="TOCListofAbbrevs"/>
      </w:pPr>
      <w:r>
        <w:t>Cal/EPA</w:t>
      </w:r>
      <w:r>
        <w:tab/>
        <w:t>California Environmental Protection Agency</w:t>
      </w:r>
    </w:p>
    <w:p w14:paraId="1B83BC6E" w14:textId="77777777" w:rsidR="006D0F5C" w:rsidRDefault="006D0F5C" w:rsidP="006D0F5C">
      <w:pPr>
        <w:pStyle w:val="TOCListofAbbrevs"/>
      </w:pPr>
      <w:r>
        <w:t>CAL FIRE</w:t>
      </w:r>
      <w:r>
        <w:tab/>
        <w:t>California Department of Forestry and Fire Protection</w:t>
      </w:r>
    </w:p>
    <w:p w14:paraId="27E07B24" w14:textId="77777777" w:rsidR="006D0F5C" w:rsidRDefault="006D0F5C" w:rsidP="006D0F5C">
      <w:pPr>
        <w:pStyle w:val="TOCListofAbbrevs"/>
      </w:pPr>
      <w:r>
        <w:t>CALGreen</w:t>
      </w:r>
      <w:r>
        <w:tab/>
        <w:t>California Green Building Standards Code</w:t>
      </w:r>
    </w:p>
    <w:p w14:paraId="69E0C9E0" w14:textId="77777777" w:rsidR="006D0F5C" w:rsidRDefault="006D0F5C" w:rsidP="006D0F5C">
      <w:pPr>
        <w:pStyle w:val="TOCListofAbbrevs"/>
      </w:pPr>
      <w:r>
        <w:t>Cal/OSHA</w:t>
      </w:r>
      <w:r>
        <w:tab/>
        <w:t>California Occupational Safety and Health Administration</w:t>
      </w:r>
    </w:p>
    <w:p w14:paraId="6FAD803F" w14:textId="77777777" w:rsidR="006D0F5C" w:rsidRDefault="006D0F5C" w:rsidP="006D0F5C">
      <w:pPr>
        <w:pStyle w:val="TOCListofAbbrevs"/>
      </w:pPr>
      <w:r>
        <w:t>CalRecycle</w:t>
      </w:r>
      <w:r>
        <w:tab/>
        <w:t>California Department of Resources, Recycling, and Recovery</w:t>
      </w:r>
    </w:p>
    <w:p w14:paraId="6E1DE3F9" w14:textId="77777777" w:rsidR="00D10CF6" w:rsidRDefault="00D10CF6" w:rsidP="006D0F5C">
      <w:pPr>
        <w:pStyle w:val="TOCListofAbbrevs"/>
      </w:pPr>
      <w:r>
        <w:t>Caltrans</w:t>
      </w:r>
      <w:r>
        <w:tab/>
        <w:t>California Department of Transportation</w:t>
      </w:r>
    </w:p>
    <w:p w14:paraId="0BBFC7AA" w14:textId="77777777" w:rsidR="00D10CF6" w:rsidRDefault="00D10CF6" w:rsidP="00D10CF6">
      <w:pPr>
        <w:pStyle w:val="TOCListofAbbrevs"/>
      </w:pPr>
      <w:r>
        <w:t>CARB</w:t>
      </w:r>
      <w:r>
        <w:tab/>
        <w:t>California Air Resources Board</w:t>
      </w:r>
    </w:p>
    <w:p w14:paraId="575B7024" w14:textId="77777777" w:rsidR="00D10CF6" w:rsidRDefault="00D10CF6" w:rsidP="00D10CF6">
      <w:pPr>
        <w:pStyle w:val="TOCListofAbbrevs"/>
      </w:pPr>
      <w:r>
        <w:t>CBC</w:t>
      </w:r>
      <w:r>
        <w:tab/>
        <w:t>California Building Code</w:t>
      </w:r>
    </w:p>
    <w:p w14:paraId="69E9F56F" w14:textId="77777777" w:rsidR="00D10CF6" w:rsidRDefault="00D10CF6" w:rsidP="00D10CF6">
      <w:pPr>
        <w:pStyle w:val="TOCListofAbbrevs"/>
      </w:pPr>
      <w:r>
        <w:t>CCAA</w:t>
      </w:r>
      <w:r>
        <w:tab/>
        <w:t>California Clean Air Act</w:t>
      </w:r>
    </w:p>
    <w:p w14:paraId="4F7993CA" w14:textId="77777777" w:rsidR="00D10CF6" w:rsidRDefault="00D10CF6" w:rsidP="00D10CF6">
      <w:pPr>
        <w:pStyle w:val="TOCListofAbbrevs"/>
      </w:pPr>
      <w:r>
        <w:t>CCR</w:t>
      </w:r>
      <w:r>
        <w:tab/>
        <w:t>California Code of Regulations</w:t>
      </w:r>
    </w:p>
    <w:p w14:paraId="06279EE1" w14:textId="77777777" w:rsidR="006D0F5C" w:rsidRDefault="006D0F5C" w:rsidP="006D0F5C">
      <w:pPr>
        <w:pStyle w:val="TOCListofAbbrevs"/>
      </w:pPr>
      <w:r>
        <w:t>CDE</w:t>
      </w:r>
      <w:r>
        <w:tab/>
        <w:t>California Department of Education</w:t>
      </w:r>
    </w:p>
    <w:p w14:paraId="3906BFD5" w14:textId="77777777" w:rsidR="006D0F5C" w:rsidRDefault="006D0F5C" w:rsidP="006D0F5C">
      <w:pPr>
        <w:pStyle w:val="TOCListofAbbrevs"/>
      </w:pPr>
      <w:r>
        <w:t>CDFW</w:t>
      </w:r>
      <w:r>
        <w:tab/>
        <w:t>California Department of Fish and Wildlife</w:t>
      </w:r>
    </w:p>
    <w:p w14:paraId="52FA1AA8" w14:textId="77777777" w:rsidR="00D10CF6" w:rsidRDefault="00D10CF6" w:rsidP="00D10CF6">
      <w:pPr>
        <w:pStyle w:val="TOCListofAbbrevs"/>
      </w:pPr>
      <w:r>
        <w:t>CEQA</w:t>
      </w:r>
      <w:r>
        <w:tab/>
        <w:t>California Environmental Quality Act</w:t>
      </w:r>
    </w:p>
    <w:p w14:paraId="5FDD756C" w14:textId="77777777" w:rsidR="00D10CF6" w:rsidRDefault="00D10CF6" w:rsidP="00D10CF6">
      <w:pPr>
        <w:pStyle w:val="TOCListofAbbrevs"/>
      </w:pPr>
      <w:r>
        <w:t>CERCLA</w:t>
      </w:r>
      <w:r>
        <w:tab/>
        <w:t>Comprehensive Environmental Response, Compensation and Liability Act</w:t>
      </w:r>
    </w:p>
    <w:p w14:paraId="4DEE9AA2" w14:textId="77777777" w:rsidR="006D0F5C" w:rsidRDefault="006D0F5C" w:rsidP="00D10CF6">
      <w:pPr>
        <w:pStyle w:val="TOCListofAbbrevs"/>
      </w:pPr>
      <w:r w:rsidRPr="006D0F5C">
        <w:t>cfs</w:t>
      </w:r>
      <w:r w:rsidRPr="006D0F5C">
        <w:tab/>
        <w:t>cubic feet per second</w:t>
      </w:r>
    </w:p>
    <w:p w14:paraId="55AF0FFE" w14:textId="77777777" w:rsidR="00D10CF6" w:rsidRDefault="00D10CF6" w:rsidP="00D10CF6">
      <w:pPr>
        <w:pStyle w:val="TOCListofAbbrevs"/>
      </w:pPr>
      <w:r>
        <w:t>CGS</w:t>
      </w:r>
      <w:r>
        <w:tab/>
        <w:t>California Geologic Survey</w:t>
      </w:r>
    </w:p>
    <w:p w14:paraId="380566A1" w14:textId="77777777" w:rsidR="00D10CF6" w:rsidRDefault="00D10CF6" w:rsidP="00D10CF6">
      <w:pPr>
        <w:pStyle w:val="TOCListofAbbrevs"/>
      </w:pPr>
      <w:r>
        <w:t>CMP</w:t>
      </w:r>
      <w:r>
        <w:tab/>
      </w:r>
      <w:r w:rsidR="00E73392">
        <w:t>congestion management program</w:t>
      </w:r>
    </w:p>
    <w:p w14:paraId="423F02C8" w14:textId="77777777" w:rsidR="006D0F5C" w:rsidRDefault="006D0F5C" w:rsidP="00D10CF6">
      <w:pPr>
        <w:pStyle w:val="TOCListofAbbrevs"/>
      </w:pPr>
      <w:r w:rsidRPr="006D0F5C">
        <w:t>CNDDB</w:t>
      </w:r>
      <w:r w:rsidRPr="006D0F5C">
        <w:tab/>
        <w:t>California Natural Diversity Database</w:t>
      </w:r>
    </w:p>
    <w:p w14:paraId="065A99C3" w14:textId="77777777" w:rsidR="00D10CF6" w:rsidRDefault="00D10CF6" w:rsidP="00D10CF6">
      <w:pPr>
        <w:pStyle w:val="TOCListofAbbrevs"/>
      </w:pPr>
      <w:r>
        <w:t>CNEL</w:t>
      </w:r>
      <w:r>
        <w:tab/>
      </w:r>
      <w:r w:rsidR="00E73392">
        <w:t>community noise equivalent level</w:t>
      </w:r>
    </w:p>
    <w:p w14:paraId="5CC97EEB" w14:textId="77777777" w:rsidR="00D10CF6" w:rsidRDefault="00D10CF6" w:rsidP="00D10CF6">
      <w:pPr>
        <w:pStyle w:val="TOCListofAbbrevs"/>
      </w:pPr>
      <w:r>
        <w:lastRenderedPageBreak/>
        <w:t>CO</w:t>
      </w:r>
      <w:r>
        <w:tab/>
        <w:t>carbon monoxide</w:t>
      </w:r>
    </w:p>
    <w:p w14:paraId="3916D63D" w14:textId="77777777" w:rsidR="006D0F5C" w:rsidRPr="006D0F5C" w:rsidRDefault="006D0F5C" w:rsidP="00D10CF6">
      <w:pPr>
        <w:pStyle w:val="TOCListofAbbrevs"/>
        <w:rPr>
          <w:szCs w:val="22"/>
        </w:rPr>
      </w:pPr>
      <w:r w:rsidRPr="0032507C">
        <w:rPr>
          <w:szCs w:val="22"/>
        </w:rPr>
        <w:t>CO</w:t>
      </w:r>
      <w:r w:rsidRPr="0032507C">
        <w:rPr>
          <w:szCs w:val="22"/>
          <w:vertAlign w:val="subscript"/>
        </w:rPr>
        <w:t>2</w:t>
      </w:r>
      <w:r w:rsidRPr="0032507C">
        <w:rPr>
          <w:szCs w:val="22"/>
        </w:rPr>
        <w:t>e</w:t>
      </w:r>
      <w:r w:rsidRPr="0032507C">
        <w:rPr>
          <w:szCs w:val="22"/>
        </w:rPr>
        <w:tab/>
        <w:t>carbon dioxide equivalent</w:t>
      </w:r>
    </w:p>
    <w:p w14:paraId="3C25A5F9" w14:textId="77777777" w:rsidR="00E73392" w:rsidRDefault="00E73392" w:rsidP="00D10CF6">
      <w:pPr>
        <w:pStyle w:val="TOCListofAbbrevs"/>
      </w:pPr>
      <w:r>
        <w:t>Corps</w:t>
      </w:r>
      <w:r>
        <w:tab/>
        <w:t>U</w:t>
      </w:r>
      <w:r w:rsidRPr="00E73392">
        <w:t>S Army Corps of Engineers</w:t>
      </w:r>
    </w:p>
    <w:p w14:paraId="0B5D03B2" w14:textId="77777777" w:rsidR="00D10CF6" w:rsidRDefault="00D10CF6" w:rsidP="00D10CF6">
      <w:pPr>
        <w:pStyle w:val="TOCListofAbbrevs"/>
      </w:pPr>
      <w:r>
        <w:t>CSO</w:t>
      </w:r>
      <w:r>
        <w:tab/>
      </w:r>
      <w:r w:rsidR="00E73392">
        <w:t>combined sewer overflows</w:t>
      </w:r>
    </w:p>
    <w:p w14:paraId="0A638D06" w14:textId="77777777" w:rsidR="00D10CF6" w:rsidRDefault="00D10CF6" w:rsidP="00D10CF6">
      <w:pPr>
        <w:pStyle w:val="TOCListofAbbrevs"/>
      </w:pPr>
      <w:r>
        <w:t>CUPA</w:t>
      </w:r>
      <w:r>
        <w:tab/>
        <w:t>Certified Unified Program Agency</w:t>
      </w:r>
    </w:p>
    <w:p w14:paraId="2825CBFD" w14:textId="77777777" w:rsidR="00D10CF6" w:rsidRDefault="00D10CF6" w:rsidP="00D10CF6">
      <w:pPr>
        <w:pStyle w:val="TOCListofAbbrevs"/>
      </w:pPr>
      <w:r>
        <w:t>CWA</w:t>
      </w:r>
      <w:r>
        <w:tab/>
        <w:t>Clean Water Act</w:t>
      </w:r>
    </w:p>
    <w:p w14:paraId="4D0F7436" w14:textId="77777777" w:rsidR="00D10CF6" w:rsidRDefault="00D10CF6" w:rsidP="00D10CF6">
      <w:pPr>
        <w:pStyle w:val="TOCListofAbbrevs"/>
      </w:pPr>
      <w:r>
        <w:t>dB</w:t>
      </w:r>
      <w:r>
        <w:tab/>
        <w:t>decibel</w:t>
      </w:r>
    </w:p>
    <w:p w14:paraId="64EA2A82" w14:textId="77777777" w:rsidR="00D10CF6" w:rsidRDefault="00D10CF6" w:rsidP="00D10CF6">
      <w:pPr>
        <w:pStyle w:val="TOCListofAbbrevs"/>
      </w:pPr>
      <w:r>
        <w:t>dBA</w:t>
      </w:r>
      <w:r>
        <w:tab/>
        <w:t>A-weighted decibel</w:t>
      </w:r>
    </w:p>
    <w:p w14:paraId="066DB6D7" w14:textId="77777777" w:rsidR="006D0F5C" w:rsidRDefault="006D0F5C" w:rsidP="00D10CF6">
      <w:pPr>
        <w:pStyle w:val="TOCListofAbbrevs"/>
      </w:pPr>
      <w:r w:rsidRPr="006D0F5C">
        <w:t>DPM</w:t>
      </w:r>
      <w:r w:rsidRPr="006D0F5C">
        <w:tab/>
        <w:t>diesel particulate matter</w:t>
      </w:r>
    </w:p>
    <w:p w14:paraId="3A0C0204" w14:textId="77777777" w:rsidR="006D0F5C" w:rsidRDefault="006D0F5C" w:rsidP="00D10CF6">
      <w:pPr>
        <w:pStyle w:val="TOCListofAbbrevs"/>
      </w:pPr>
      <w:r w:rsidRPr="006D0F5C">
        <w:t>DTSC</w:t>
      </w:r>
      <w:r w:rsidRPr="006D0F5C">
        <w:tab/>
        <w:t>Department of Toxic Substances Control</w:t>
      </w:r>
    </w:p>
    <w:p w14:paraId="79B617DC" w14:textId="77777777" w:rsidR="00D10CF6" w:rsidRDefault="00D10CF6" w:rsidP="00D10CF6">
      <w:pPr>
        <w:pStyle w:val="TOCListofAbbrevs"/>
      </w:pPr>
      <w:r>
        <w:t>EIR</w:t>
      </w:r>
      <w:r>
        <w:tab/>
      </w:r>
      <w:r w:rsidR="00E73392">
        <w:t>environmental impact report</w:t>
      </w:r>
    </w:p>
    <w:p w14:paraId="59BE4CE7" w14:textId="77777777" w:rsidR="00E73392" w:rsidRDefault="00E73392" w:rsidP="00D10CF6">
      <w:pPr>
        <w:pStyle w:val="TOCListofAbbrevs"/>
      </w:pPr>
      <w:r w:rsidRPr="00E73392">
        <w:t>EPA</w:t>
      </w:r>
      <w:r w:rsidRPr="00E73392">
        <w:tab/>
        <w:t>United States Environmental Protection Agency</w:t>
      </w:r>
    </w:p>
    <w:p w14:paraId="74992F07" w14:textId="77777777" w:rsidR="00D10CF6" w:rsidRDefault="00D10CF6" w:rsidP="00D10CF6">
      <w:pPr>
        <w:pStyle w:val="TOCListofAbbrevs"/>
      </w:pPr>
      <w:r>
        <w:t>EPCRA</w:t>
      </w:r>
      <w:r>
        <w:tab/>
        <w:t>Emergency Planning and Community Right-to-Know Act</w:t>
      </w:r>
    </w:p>
    <w:p w14:paraId="33AE1C13" w14:textId="77777777" w:rsidR="00D10CF6" w:rsidRDefault="00D10CF6" w:rsidP="00D10CF6">
      <w:pPr>
        <w:pStyle w:val="TOCListofAbbrevs"/>
      </w:pPr>
      <w:r>
        <w:t>FEMA</w:t>
      </w:r>
      <w:r>
        <w:tab/>
        <w:t>Federal Emergency Management Agency</w:t>
      </w:r>
    </w:p>
    <w:p w14:paraId="3977DA8C" w14:textId="77777777" w:rsidR="00D10CF6" w:rsidRDefault="00D10CF6" w:rsidP="00D10CF6">
      <w:pPr>
        <w:pStyle w:val="TOCListofAbbrevs"/>
      </w:pPr>
      <w:r>
        <w:t>FHWA</w:t>
      </w:r>
      <w:r>
        <w:tab/>
        <w:t>Federal Highway Administration</w:t>
      </w:r>
    </w:p>
    <w:p w14:paraId="4607F7F0" w14:textId="77777777" w:rsidR="00D10CF6" w:rsidRDefault="00D10CF6" w:rsidP="00D10CF6">
      <w:pPr>
        <w:pStyle w:val="TOCListofAbbrevs"/>
      </w:pPr>
      <w:r>
        <w:t>FTA</w:t>
      </w:r>
      <w:r>
        <w:tab/>
        <w:t>Federal Transit Administration</w:t>
      </w:r>
    </w:p>
    <w:p w14:paraId="3ABF8C2D" w14:textId="77777777" w:rsidR="006D0F5C" w:rsidRDefault="006D0F5C" w:rsidP="00D10CF6">
      <w:pPr>
        <w:pStyle w:val="TOCListofAbbrevs"/>
      </w:pPr>
      <w:r w:rsidRPr="006D0F5C">
        <w:t>GHG</w:t>
      </w:r>
      <w:r w:rsidRPr="006D0F5C">
        <w:tab/>
        <w:t>greenhouse gases</w:t>
      </w:r>
    </w:p>
    <w:p w14:paraId="617179F4" w14:textId="77777777" w:rsidR="006D0F5C" w:rsidRDefault="006D0F5C" w:rsidP="00D10CF6">
      <w:pPr>
        <w:pStyle w:val="TOCListofAbbrevs"/>
      </w:pPr>
      <w:r w:rsidRPr="006D0F5C">
        <w:t>GWP</w:t>
      </w:r>
      <w:r w:rsidRPr="006D0F5C">
        <w:tab/>
        <w:t>global warming potential</w:t>
      </w:r>
    </w:p>
    <w:p w14:paraId="59607D26" w14:textId="77777777" w:rsidR="00D10CF6" w:rsidRDefault="00D10CF6" w:rsidP="00D10CF6">
      <w:pPr>
        <w:pStyle w:val="TOCListofAbbrevs"/>
      </w:pPr>
      <w:r>
        <w:t>HCM</w:t>
      </w:r>
      <w:r>
        <w:tab/>
        <w:t>Highway Capacity Manual</w:t>
      </w:r>
    </w:p>
    <w:p w14:paraId="65AE1024" w14:textId="77777777" w:rsidR="006D0F5C" w:rsidRDefault="006D0F5C" w:rsidP="00D10CF6">
      <w:pPr>
        <w:pStyle w:val="TOCListofAbbrevs"/>
      </w:pPr>
      <w:r w:rsidRPr="006D0F5C">
        <w:t>HQTA</w:t>
      </w:r>
      <w:r w:rsidRPr="006D0F5C">
        <w:tab/>
        <w:t>high quality transit area</w:t>
      </w:r>
    </w:p>
    <w:p w14:paraId="61AE2026" w14:textId="77777777" w:rsidR="00D10CF6" w:rsidRDefault="00D10CF6" w:rsidP="00D10CF6">
      <w:pPr>
        <w:pStyle w:val="TOCListofAbbrevs"/>
      </w:pPr>
      <w:r>
        <w:t>HVAC</w:t>
      </w:r>
      <w:r>
        <w:tab/>
      </w:r>
      <w:r w:rsidR="00E73392">
        <w:t>heating, ventilating, and air conditioning system</w:t>
      </w:r>
    </w:p>
    <w:p w14:paraId="7014414C" w14:textId="77777777" w:rsidR="00D10CF6" w:rsidRDefault="00D10CF6" w:rsidP="00D10CF6">
      <w:pPr>
        <w:pStyle w:val="TOCListofAbbrevs"/>
      </w:pPr>
      <w:r>
        <w:t>IPCC</w:t>
      </w:r>
      <w:r>
        <w:tab/>
        <w:t>Intergovernmental Panel on Climate Change</w:t>
      </w:r>
    </w:p>
    <w:p w14:paraId="5419E53D" w14:textId="77777777" w:rsidR="006D0F5C" w:rsidRDefault="006D0F5C" w:rsidP="006D0F5C">
      <w:pPr>
        <w:pStyle w:val="TOCListofAbbrevs"/>
      </w:pPr>
      <w:r>
        <w:t>L</w:t>
      </w:r>
      <w:r w:rsidRPr="006D0F5C">
        <w:rPr>
          <w:vertAlign w:val="subscript"/>
        </w:rPr>
        <w:t>eq</w:t>
      </w:r>
      <w:r>
        <w:tab/>
        <w:t>equivalent continuous noise level</w:t>
      </w:r>
    </w:p>
    <w:p w14:paraId="007C2CE8" w14:textId="77777777" w:rsidR="006D0F5C" w:rsidRDefault="006D0F5C" w:rsidP="00D10CF6">
      <w:pPr>
        <w:pStyle w:val="TOCListofAbbrevs"/>
      </w:pPr>
      <w:r w:rsidRPr="006D0F5C">
        <w:t>LBP</w:t>
      </w:r>
      <w:r w:rsidRPr="006D0F5C">
        <w:tab/>
        <w:t>lead-based paint</w:t>
      </w:r>
    </w:p>
    <w:p w14:paraId="36D3684B" w14:textId="77777777" w:rsidR="006D0F5C" w:rsidRDefault="006D0F5C" w:rsidP="00D10CF6">
      <w:pPr>
        <w:pStyle w:val="TOCListofAbbrevs"/>
      </w:pPr>
      <w:r w:rsidRPr="006D0F5C">
        <w:t>LCFS</w:t>
      </w:r>
      <w:r w:rsidRPr="006D0F5C">
        <w:tab/>
        <w:t>low-carbon fuel standard</w:t>
      </w:r>
    </w:p>
    <w:p w14:paraId="6754DEEF" w14:textId="77777777" w:rsidR="00D10CF6" w:rsidRDefault="00D10CF6" w:rsidP="00D10CF6">
      <w:pPr>
        <w:pStyle w:val="TOCListofAbbrevs"/>
      </w:pPr>
      <w:r>
        <w:t>LOS</w:t>
      </w:r>
      <w:r>
        <w:tab/>
      </w:r>
      <w:r w:rsidR="00E73392">
        <w:t>level of service</w:t>
      </w:r>
    </w:p>
    <w:p w14:paraId="3DF96C63" w14:textId="77777777" w:rsidR="006D0F5C" w:rsidRDefault="00D10CF6" w:rsidP="00D10CF6">
      <w:pPr>
        <w:pStyle w:val="TOCListofAbbrevs"/>
      </w:pPr>
      <w:r>
        <w:t>LST</w:t>
      </w:r>
      <w:r>
        <w:tab/>
      </w:r>
      <w:r w:rsidR="00E73392">
        <w:t>localized significance thresholds</w:t>
      </w:r>
    </w:p>
    <w:p w14:paraId="24BFEB95" w14:textId="77777777" w:rsidR="006D0F5C" w:rsidRPr="008A14C1" w:rsidRDefault="006D0F5C" w:rsidP="006D0F5C">
      <w:pPr>
        <w:pStyle w:val="TOCListofAbbrevs"/>
        <w:rPr>
          <w:szCs w:val="22"/>
        </w:rPr>
      </w:pPr>
      <w:r>
        <w:rPr>
          <w:szCs w:val="22"/>
        </w:rPr>
        <w:t>M</w:t>
      </w:r>
      <w:r w:rsidRPr="008A14C1">
        <w:rPr>
          <w:szCs w:val="22"/>
          <w:vertAlign w:val="subscript"/>
        </w:rPr>
        <w:t>W</w:t>
      </w:r>
      <w:r>
        <w:rPr>
          <w:szCs w:val="22"/>
        </w:rPr>
        <w:tab/>
      </w:r>
      <w:r w:rsidRPr="008A14C1">
        <w:rPr>
          <w:szCs w:val="22"/>
        </w:rPr>
        <w:t>moment magnitude</w:t>
      </w:r>
    </w:p>
    <w:p w14:paraId="71BD6FE5" w14:textId="77777777" w:rsidR="00D10CF6" w:rsidRDefault="00D10CF6" w:rsidP="00D10CF6">
      <w:pPr>
        <w:pStyle w:val="TOCListofAbbrevs"/>
      </w:pPr>
      <w:r>
        <w:t>MCL</w:t>
      </w:r>
      <w:r>
        <w:tab/>
      </w:r>
      <w:r w:rsidR="00E73392">
        <w:t>maximum contaminant level</w:t>
      </w:r>
    </w:p>
    <w:p w14:paraId="0B7A89F3" w14:textId="77777777" w:rsidR="00D10CF6" w:rsidRDefault="00D10CF6" w:rsidP="00D10CF6">
      <w:pPr>
        <w:pStyle w:val="TOCListofAbbrevs"/>
      </w:pPr>
      <w:r>
        <w:t>MEP</w:t>
      </w:r>
      <w:r>
        <w:tab/>
      </w:r>
      <w:r w:rsidR="00E73392">
        <w:t>maximum extent practicable</w:t>
      </w:r>
    </w:p>
    <w:p w14:paraId="770AD629" w14:textId="77777777" w:rsidR="00D10CF6" w:rsidRDefault="00D10CF6" w:rsidP="00D10CF6">
      <w:pPr>
        <w:pStyle w:val="TOCListofAbbrevs"/>
      </w:pPr>
      <w:r>
        <w:t>mgd</w:t>
      </w:r>
      <w:r>
        <w:tab/>
        <w:t>million gallons per day</w:t>
      </w:r>
    </w:p>
    <w:p w14:paraId="75C6ED82" w14:textId="77777777" w:rsidR="006D0F5C" w:rsidRDefault="006D0F5C" w:rsidP="00D10CF6">
      <w:pPr>
        <w:pStyle w:val="TOCListofAbbrevs"/>
      </w:pPr>
      <w:r w:rsidRPr="006D0F5C">
        <w:t>MMT</w:t>
      </w:r>
      <w:r w:rsidRPr="006D0F5C">
        <w:tab/>
        <w:t>million metric tons</w:t>
      </w:r>
    </w:p>
    <w:p w14:paraId="6B9295ED" w14:textId="77777777" w:rsidR="006D0F5C" w:rsidRDefault="006D0F5C" w:rsidP="00D10CF6">
      <w:pPr>
        <w:pStyle w:val="TOCListofAbbrevs"/>
      </w:pPr>
      <w:r w:rsidRPr="006D0F5C">
        <w:t>MPO</w:t>
      </w:r>
      <w:r w:rsidRPr="006D0F5C">
        <w:tab/>
        <w:t>metropolitan planning organization</w:t>
      </w:r>
    </w:p>
    <w:p w14:paraId="718E8F1E" w14:textId="77777777" w:rsidR="006D0F5C" w:rsidRDefault="006D0F5C" w:rsidP="006D0F5C">
      <w:pPr>
        <w:pStyle w:val="TOCListofAbbrevs"/>
        <w:rPr>
          <w:szCs w:val="22"/>
        </w:rPr>
      </w:pPr>
      <w:r>
        <w:rPr>
          <w:szCs w:val="22"/>
        </w:rPr>
        <w:t>MT</w:t>
      </w:r>
      <w:r w:rsidRPr="0032507C">
        <w:rPr>
          <w:szCs w:val="22"/>
        </w:rPr>
        <w:tab/>
        <w:t>metric ton</w:t>
      </w:r>
    </w:p>
    <w:p w14:paraId="05157301" w14:textId="77777777" w:rsidR="006D0F5C" w:rsidRPr="0032507C" w:rsidRDefault="006D0F5C" w:rsidP="006D0F5C">
      <w:pPr>
        <w:pStyle w:val="TOCListofAbbrevs"/>
        <w:rPr>
          <w:szCs w:val="22"/>
        </w:rPr>
      </w:pPr>
      <w:r w:rsidRPr="006D0F5C">
        <w:rPr>
          <w:szCs w:val="22"/>
        </w:rPr>
        <w:t>MWD</w:t>
      </w:r>
      <w:r w:rsidRPr="006D0F5C">
        <w:rPr>
          <w:szCs w:val="22"/>
        </w:rPr>
        <w:tab/>
        <w:t>Metropolitan Water District of Southern California</w:t>
      </w:r>
    </w:p>
    <w:p w14:paraId="22E99FA4" w14:textId="77777777" w:rsidR="00D10CF6" w:rsidRDefault="00D10CF6" w:rsidP="00D10CF6">
      <w:pPr>
        <w:pStyle w:val="TOCListofAbbrevs"/>
      </w:pPr>
      <w:r>
        <w:t>NAHC</w:t>
      </w:r>
      <w:r>
        <w:tab/>
        <w:t>Native American Heritage Commission</w:t>
      </w:r>
    </w:p>
    <w:p w14:paraId="779E2BD8" w14:textId="77777777" w:rsidR="00D10CF6" w:rsidRDefault="00D10CF6" w:rsidP="00D10CF6">
      <w:pPr>
        <w:pStyle w:val="TOCListofAbbrevs"/>
      </w:pPr>
      <w:r>
        <w:t>NO</w:t>
      </w:r>
      <w:r w:rsidRPr="00E73392">
        <w:rPr>
          <w:vertAlign w:val="subscript"/>
        </w:rPr>
        <w:t>X</w:t>
      </w:r>
      <w:r>
        <w:tab/>
        <w:t>nitrogen oxides</w:t>
      </w:r>
    </w:p>
    <w:p w14:paraId="0A04F26F" w14:textId="77777777" w:rsidR="00D10CF6" w:rsidRDefault="00D10CF6" w:rsidP="00D10CF6">
      <w:pPr>
        <w:pStyle w:val="TOCListofAbbrevs"/>
      </w:pPr>
      <w:r>
        <w:t>NPDES</w:t>
      </w:r>
      <w:r>
        <w:tab/>
        <w:t>National Pollution Discharge Elimination System</w:t>
      </w:r>
    </w:p>
    <w:p w14:paraId="7AD554A0" w14:textId="77777777" w:rsidR="00D10CF6" w:rsidRDefault="00D10CF6" w:rsidP="00D10CF6">
      <w:pPr>
        <w:pStyle w:val="TOCListofAbbrevs"/>
      </w:pPr>
      <w:r>
        <w:t>O</w:t>
      </w:r>
      <w:r w:rsidRPr="00E73392">
        <w:rPr>
          <w:vertAlign w:val="subscript"/>
        </w:rPr>
        <w:t>3</w:t>
      </w:r>
      <w:r>
        <w:tab/>
        <w:t>ozone</w:t>
      </w:r>
    </w:p>
    <w:p w14:paraId="651C8931" w14:textId="77777777" w:rsidR="00D10CF6" w:rsidRDefault="00D10CF6" w:rsidP="00D10CF6">
      <w:pPr>
        <w:pStyle w:val="TOCListofAbbrevs"/>
      </w:pPr>
      <w:r>
        <w:t>OES</w:t>
      </w:r>
      <w:r>
        <w:tab/>
        <w:t>California Office of Emergency Services</w:t>
      </w:r>
    </w:p>
    <w:p w14:paraId="12C7FB70" w14:textId="77777777" w:rsidR="00D10CF6" w:rsidRDefault="00D10CF6" w:rsidP="00D10CF6">
      <w:pPr>
        <w:pStyle w:val="TOCListofAbbrevs"/>
      </w:pPr>
      <w:r>
        <w:t>PM</w:t>
      </w:r>
      <w:r>
        <w:tab/>
        <w:t>particulate matter</w:t>
      </w:r>
    </w:p>
    <w:p w14:paraId="1D05BAFA" w14:textId="77777777" w:rsidR="00D10CF6" w:rsidRDefault="00D10CF6" w:rsidP="00D10CF6">
      <w:pPr>
        <w:pStyle w:val="TOCListofAbbrevs"/>
      </w:pPr>
      <w:r>
        <w:t>POTW</w:t>
      </w:r>
      <w:r>
        <w:tab/>
      </w:r>
      <w:r w:rsidR="00E73392">
        <w:t>publicly owned treatment works</w:t>
      </w:r>
    </w:p>
    <w:p w14:paraId="7FE2C0A3" w14:textId="77777777" w:rsidR="006D0F5C" w:rsidRPr="0032507C" w:rsidRDefault="006D0F5C" w:rsidP="006D0F5C">
      <w:pPr>
        <w:pStyle w:val="TOCListofAbbrevs"/>
        <w:rPr>
          <w:szCs w:val="22"/>
        </w:rPr>
      </w:pPr>
      <w:r w:rsidRPr="0032507C">
        <w:rPr>
          <w:szCs w:val="22"/>
        </w:rPr>
        <w:t>ppm</w:t>
      </w:r>
      <w:r w:rsidRPr="0032507C">
        <w:rPr>
          <w:szCs w:val="22"/>
        </w:rPr>
        <w:tab/>
        <w:t>parts per million</w:t>
      </w:r>
    </w:p>
    <w:p w14:paraId="390539C8" w14:textId="77777777" w:rsidR="00D10CF6" w:rsidRDefault="00D10CF6" w:rsidP="00D10CF6">
      <w:pPr>
        <w:pStyle w:val="TOCListofAbbrevs"/>
      </w:pPr>
      <w:r>
        <w:t>PPV</w:t>
      </w:r>
      <w:r>
        <w:tab/>
      </w:r>
      <w:r w:rsidR="00E73392">
        <w:t>peak particle velocity</w:t>
      </w:r>
    </w:p>
    <w:p w14:paraId="18867E35" w14:textId="77777777" w:rsidR="00D10CF6" w:rsidRDefault="00D10CF6" w:rsidP="00D10CF6">
      <w:pPr>
        <w:pStyle w:val="TOCListofAbbrevs"/>
      </w:pPr>
      <w:r>
        <w:t>RCRA</w:t>
      </w:r>
      <w:r>
        <w:tab/>
        <w:t>Resource Conservation and Recovery Act</w:t>
      </w:r>
    </w:p>
    <w:p w14:paraId="7AA474D7" w14:textId="77777777" w:rsidR="00D10CF6" w:rsidRDefault="00D10CF6" w:rsidP="00D10CF6">
      <w:pPr>
        <w:pStyle w:val="TOCListofAbbrevs"/>
      </w:pPr>
      <w:r>
        <w:t>REC</w:t>
      </w:r>
      <w:r>
        <w:tab/>
      </w:r>
      <w:r w:rsidR="00E73392">
        <w:t>recognized environmental condition</w:t>
      </w:r>
    </w:p>
    <w:p w14:paraId="12236826" w14:textId="77777777" w:rsidR="00D10CF6" w:rsidRDefault="00D10CF6" w:rsidP="00D10CF6">
      <w:pPr>
        <w:pStyle w:val="TOCListofAbbrevs"/>
      </w:pPr>
      <w:r>
        <w:t>RMP</w:t>
      </w:r>
      <w:r>
        <w:tab/>
      </w:r>
      <w:r w:rsidR="00E73392">
        <w:t>risk management plan</w:t>
      </w:r>
    </w:p>
    <w:p w14:paraId="735F4002" w14:textId="77777777" w:rsidR="00D10CF6" w:rsidRDefault="00D10CF6" w:rsidP="00D10CF6">
      <w:pPr>
        <w:pStyle w:val="TOCListofAbbrevs"/>
      </w:pPr>
      <w:r>
        <w:t>RMS</w:t>
      </w:r>
      <w:r>
        <w:tab/>
        <w:t>root mean square</w:t>
      </w:r>
    </w:p>
    <w:p w14:paraId="28279480" w14:textId="77777777" w:rsidR="006D0F5C" w:rsidRPr="0032507C" w:rsidRDefault="006D0F5C" w:rsidP="006D0F5C">
      <w:pPr>
        <w:pStyle w:val="TOCListofAbbrevs"/>
        <w:rPr>
          <w:szCs w:val="22"/>
        </w:rPr>
      </w:pPr>
      <w:r w:rsidRPr="0032507C">
        <w:rPr>
          <w:szCs w:val="22"/>
        </w:rPr>
        <w:t>RPS</w:t>
      </w:r>
      <w:r w:rsidRPr="0032507C">
        <w:rPr>
          <w:szCs w:val="22"/>
        </w:rPr>
        <w:tab/>
        <w:t>renewable portfolio standard</w:t>
      </w:r>
    </w:p>
    <w:p w14:paraId="1178AB13" w14:textId="77777777" w:rsidR="00D10CF6" w:rsidRDefault="00D10CF6" w:rsidP="00D10CF6">
      <w:pPr>
        <w:pStyle w:val="TOCListofAbbrevs"/>
      </w:pPr>
      <w:r>
        <w:t>RWQCB</w:t>
      </w:r>
      <w:r>
        <w:tab/>
        <w:t>Regional Water Quality Control Board</w:t>
      </w:r>
    </w:p>
    <w:p w14:paraId="5D47B0B2" w14:textId="77777777" w:rsidR="00D10CF6" w:rsidRDefault="00D10CF6" w:rsidP="00D10CF6">
      <w:pPr>
        <w:pStyle w:val="TOCListofAbbrevs"/>
      </w:pPr>
      <w:r>
        <w:t>SB</w:t>
      </w:r>
      <w:r>
        <w:tab/>
        <w:t>Senate Bill</w:t>
      </w:r>
    </w:p>
    <w:p w14:paraId="225290BB" w14:textId="77777777" w:rsidR="00D10CF6" w:rsidRDefault="00D10CF6" w:rsidP="00D10CF6">
      <w:pPr>
        <w:pStyle w:val="TOCListofAbbrevs"/>
      </w:pPr>
      <w:r>
        <w:t>SCAG</w:t>
      </w:r>
      <w:r>
        <w:tab/>
        <w:t>Southern California Association of Governments</w:t>
      </w:r>
    </w:p>
    <w:p w14:paraId="54871745" w14:textId="77777777" w:rsidR="00D10CF6" w:rsidRDefault="00D10CF6" w:rsidP="00D10CF6">
      <w:pPr>
        <w:pStyle w:val="TOCListofAbbrevs"/>
      </w:pPr>
      <w:r>
        <w:t>SCAQMD</w:t>
      </w:r>
      <w:r>
        <w:tab/>
        <w:t>South Coast Air Quality Management District</w:t>
      </w:r>
    </w:p>
    <w:p w14:paraId="5D949AE4" w14:textId="77777777" w:rsidR="006D0F5C" w:rsidRDefault="006D0F5C" w:rsidP="00D10CF6">
      <w:pPr>
        <w:pStyle w:val="TOCListofAbbrevs"/>
      </w:pPr>
      <w:r w:rsidRPr="006D0F5C">
        <w:t>SIP</w:t>
      </w:r>
      <w:r w:rsidRPr="006D0F5C">
        <w:tab/>
        <w:t>state implementation plan</w:t>
      </w:r>
    </w:p>
    <w:p w14:paraId="2906FB17" w14:textId="77777777" w:rsidR="006D0F5C" w:rsidRDefault="006D0F5C" w:rsidP="00D10CF6">
      <w:pPr>
        <w:pStyle w:val="TOCListofAbbrevs"/>
      </w:pPr>
      <w:r w:rsidRPr="006D0F5C">
        <w:t>SLM</w:t>
      </w:r>
      <w:r w:rsidRPr="006D0F5C">
        <w:tab/>
        <w:t>sound level meter</w:t>
      </w:r>
    </w:p>
    <w:p w14:paraId="0BDB682B" w14:textId="77777777" w:rsidR="00D10CF6" w:rsidRDefault="00D10CF6" w:rsidP="00D10CF6">
      <w:pPr>
        <w:pStyle w:val="TOCListofAbbrevs"/>
      </w:pPr>
      <w:r>
        <w:t>SoCAB</w:t>
      </w:r>
      <w:r>
        <w:tab/>
        <w:t>South Coast Air Basin</w:t>
      </w:r>
    </w:p>
    <w:p w14:paraId="7B37DFAE" w14:textId="77777777" w:rsidR="00D10CF6" w:rsidRDefault="00D10CF6" w:rsidP="00D10CF6">
      <w:pPr>
        <w:pStyle w:val="TOCListofAbbrevs"/>
      </w:pPr>
      <w:r>
        <w:t>SO</w:t>
      </w:r>
      <w:r w:rsidR="00E73392" w:rsidRPr="00E73392">
        <w:rPr>
          <w:vertAlign w:val="subscript"/>
        </w:rPr>
        <w:t>X</w:t>
      </w:r>
      <w:r>
        <w:tab/>
        <w:t>sulfur oxides</w:t>
      </w:r>
    </w:p>
    <w:p w14:paraId="298D20E8" w14:textId="77777777" w:rsidR="00D10CF6" w:rsidRDefault="00D10CF6" w:rsidP="00D10CF6">
      <w:pPr>
        <w:pStyle w:val="TOCListofAbbrevs"/>
      </w:pPr>
      <w:r>
        <w:t>SQMP</w:t>
      </w:r>
      <w:r>
        <w:tab/>
      </w:r>
      <w:r w:rsidR="00E73392">
        <w:t>stormwater quality management plan</w:t>
      </w:r>
    </w:p>
    <w:p w14:paraId="26342027" w14:textId="77777777" w:rsidR="00D10CF6" w:rsidRDefault="00D10CF6" w:rsidP="00D10CF6">
      <w:pPr>
        <w:pStyle w:val="TOCListofAbbrevs"/>
      </w:pPr>
      <w:r>
        <w:t>SRA</w:t>
      </w:r>
      <w:r>
        <w:tab/>
      </w:r>
      <w:r w:rsidR="00E73392">
        <w:t>source receptor area</w:t>
      </w:r>
      <w:r w:rsidR="006D0F5C">
        <w:t xml:space="preserve"> [or state responsibility area]</w:t>
      </w:r>
    </w:p>
    <w:p w14:paraId="38C230AA" w14:textId="77777777" w:rsidR="00D10CF6" w:rsidRDefault="00D10CF6" w:rsidP="00D10CF6">
      <w:pPr>
        <w:pStyle w:val="TOCListofAbbrevs"/>
      </w:pPr>
      <w:r>
        <w:t>SUSMP</w:t>
      </w:r>
      <w:r>
        <w:tab/>
      </w:r>
      <w:r w:rsidR="00E73392">
        <w:t>standard urban stormwater mitigation plan</w:t>
      </w:r>
    </w:p>
    <w:p w14:paraId="0CD1C1F4" w14:textId="77777777" w:rsidR="006D0F5C" w:rsidRDefault="006D0F5C" w:rsidP="00D10CF6">
      <w:pPr>
        <w:pStyle w:val="TOCListofAbbrevs"/>
      </w:pPr>
      <w:r w:rsidRPr="006D0F5C">
        <w:t>SWP</w:t>
      </w:r>
      <w:r w:rsidRPr="006D0F5C">
        <w:tab/>
        <w:t>State Water Project</w:t>
      </w:r>
    </w:p>
    <w:p w14:paraId="660A5919" w14:textId="77777777" w:rsidR="00D10CF6" w:rsidRDefault="00D10CF6" w:rsidP="00D10CF6">
      <w:pPr>
        <w:pStyle w:val="TOCListofAbbrevs"/>
      </w:pPr>
      <w:r>
        <w:t>SWPPP</w:t>
      </w:r>
      <w:r>
        <w:tab/>
        <w:t>Storm</w:t>
      </w:r>
      <w:r w:rsidR="00E73392">
        <w:t xml:space="preserve"> W</w:t>
      </w:r>
      <w:r>
        <w:t>ater Pollution Prevention Plan</w:t>
      </w:r>
    </w:p>
    <w:p w14:paraId="3608FB69" w14:textId="77777777" w:rsidR="00D10CF6" w:rsidRDefault="00D10CF6" w:rsidP="00D10CF6">
      <w:pPr>
        <w:pStyle w:val="TOCListofAbbrevs"/>
      </w:pPr>
      <w:r>
        <w:t>SWRCB</w:t>
      </w:r>
      <w:r>
        <w:tab/>
        <w:t>State Water Resources Control Board</w:t>
      </w:r>
    </w:p>
    <w:p w14:paraId="11A1B121" w14:textId="77777777" w:rsidR="00D10CF6" w:rsidRDefault="00D10CF6" w:rsidP="00D10CF6">
      <w:pPr>
        <w:pStyle w:val="TOCListofAbbrevs"/>
      </w:pPr>
      <w:r>
        <w:t>TAC</w:t>
      </w:r>
      <w:r>
        <w:tab/>
      </w:r>
      <w:r w:rsidR="00E73392">
        <w:t>toxic air contaminants</w:t>
      </w:r>
    </w:p>
    <w:p w14:paraId="03150B7E" w14:textId="77777777" w:rsidR="00D10CF6" w:rsidRDefault="00D10CF6" w:rsidP="00D10CF6">
      <w:pPr>
        <w:pStyle w:val="TOCListofAbbrevs"/>
      </w:pPr>
      <w:r>
        <w:t>TNM</w:t>
      </w:r>
      <w:r>
        <w:tab/>
      </w:r>
      <w:r w:rsidR="00E73392">
        <w:t>transportation noise model</w:t>
      </w:r>
    </w:p>
    <w:p w14:paraId="5966A5B5" w14:textId="77777777" w:rsidR="00D10CF6" w:rsidRDefault="00D10CF6" w:rsidP="00D10CF6">
      <w:pPr>
        <w:pStyle w:val="TOCListofAbbrevs"/>
      </w:pPr>
      <w:r>
        <w:t>tpd</w:t>
      </w:r>
      <w:r>
        <w:tab/>
        <w:t>tons per day</w:t>
      </w:r>
    </w:p>
    <w:p w14:paraId="51EFEECA" w14:textId="77777777" w:rsidR="00D10CF6" w:rsidRDefault="00D10CF6" w:rsidP="00D10CF6">
      <w:pPr>
        <w:pStyle w:val="TOCListofAbbrevs"/>
      </w:pPr>
      <w:r>
        <w:t>TRI</w:t>
      </w:r>
      <w:r>
        <w:tab/>
      </w:r>
      <w:r w:rsidR="00E73392">
        <w:t>toxic release inventory</w:t>
      </w:r>
    </w:p>
    <w:p w14:paraId="7CA8AAA6" w14:textId="77777777" w:rsidR="00D10CF6" w:rsidRDefault="00D10CF6" w:rsidP="00D10CF6">
      <w:pPr>
        <w:pStyle w:val="TOCListofAbbrevs"/>
      </w:pPr>
      <w:r>
        <w:t>TTCP</w:t>
      </w:r>
      <w:r>
        <w:tab/>
      </w:r>
      <w:r w:rsidR="00E73392">
        <w:t>traditional tribal cultural places</w:t>
      </w:r>
    </w:p>
    <w:p w14:paraId="6DA79864" w14:textId="77777777" w:rsidR="006D0F5C" w:rsidRDefault="006D0F5C" w:rsidP="00D10CF6">
      <w:pPr>
        <w:pStyle w:val="TOCListofAbbrevs"/>
      </w:pPr>
      <w:r w:rsidRPr="006D0F5C">
        <w:t>USFWS</w:t>
      </w:r>
      <w:r w:rsidRPr="006D0F5C">
        <w:tab/>
        <w:t>United States Fish and Wildlife Service</w:t>
      </w:r>
    </w:p>
    <w:p w14:paraId="518E185B" w14:textId="77777777" w:rsidR="006D0F5C" w:rsidRDefault="006D0F5C" w:rsidP="00D10CF6">
      <w:pPr>
        <w:pStyle w:val="TOCListofAbbrevs"/>
      </w:pPr>
      <w:r w:rsidRPr="006D0F5C">
        <w:t>USGS</w:t>
      </w:r>
      <w:r w:rsidRPr="006D0F5C">
        <w:tab/>
        <w:t>United States Geological Survey</w:t>
      </w:r>
    </w:p>
    <w:p w14:paraId="534947C7" w14:textId="77777777" w:rsidR="00D10CF6" w:rsidRDefault="00D10CF6" w:rsidP="00D10CF6">
      <w:pPr>
        <w:pStyle w:val="TOCListofAbbrevs"/>
      </w:pPr>
      <w:r>
        <w:t>UST</w:t>
      </w:r>
      <w:r>
        <w:tab/>
      </w:r>
      <w:r w:rsidR="00E73392">
        <w:t>underground storage tank</w:t>
      </w:r>
    </w:p>
    <w:p w14:paraId="3D538CA3" w14:textId="77777777" w:rsidR="00D10CF6" w:rsidRDefault="00D10CF6" w:rsidP="00D10CF6">
      <w:pPr>
        <w:pStyle w:val="TOCListofAbbrevs"/>
      </w:pPr>
      <w:r>
        <w:t>UWMP</w:t>
      </w:r>
      <w:r>
        <w:tab/>
      </w:r>
      <w:r w:rsidR="00E73392">
        <w:t>urban water management plan</w:t>
      </w:r>
    </w:p>
    <w:p w14:paraId="49471FE8" w14:textId="77777777" w:rsidR="00D10CF6" w:rsidRDefault="00D10CF6" w:rsidP="00D10CF6">
      <w:pPr>
        <w:pStyle w:val="TOCListofAbbrevs"/>
      </w:pPr>
      <w:r>
        <w:t>V/C</w:t>
      </w:r>
      <w:r>
        <w:tab/>
        <w:t>volume-to-capacity ratio</w:t>
      </w:r>
    </w:p>
    <w:p w14:paraId="489FE730" w14:textId="77777777" w:rsidR="00D10CF6" w:rsidRDefault="00D10CF6" w:rsidP="00D10CF6">
      <w:pPr>
        <w:pStyle w:val="TOCListofAbbrevs"/>
      </w:pPr>
      <w:r>
        <w:t>VdB</w:t>
      </w:r>
      <w:r>
        <w:tab/>
        <w:t>velocity decibels</w:t>
      </w:r>
    </w:p>
    <w:p w14:paraId="39750975" w14:textId="77777777" w:rsidR="006D0F5C" w:rsidRDefault="006D0F5C" w:rsidP="006D0F5C">
      <w:pPr>
        <w:pStyle w:val="TOCListofAbbrevs"/>
      </w:pPr>
      <w:r>
        <w:t>VHFHSZ</w:t>
      </w:r>
      <w:r>
        <w:tab/>
        <w:t>very high fire hazard severity zone</w:t>
      </w:r>
    </w:p>
    <w:p w14:paraId="59F8B25B" w14:textId="77777777" w:rsidR="006D0F5C" w:rsidRDefault="006D0F5C" w:rsidP="006D0F5C">
      <w:pPr>
        <w:pStyle w:val="TOCListofAbbrevs"/>
      </w:pPr>
      <w:r>
        <w:t>VMT</w:t>
      </w:r>
      <w:r>
        <w:tab/>
        <w:t>vehicle miles traveled</w:t>
      </w:r>
    </w:p>
    <w:p w14:paraId="34DF39A1" w14:textId="77777777" w:rsidR="00D10CF6" w:rsidRDefault="00D10CF6" w:rsidP="00D10CF6">
      <w:pPr>
        <w:pStyle w:val="TOCListofAbbrevs"/>
      </w:pPr>
      <w:r>
        <w:t>VOC</w:t>
      </w:r>
      <w:r>
        <w:tab/>
      </w:r>
      <w:r w:rsidR="00E73392">
        <w:t>volatile organic compound</w:t>
      </w:r>
    </w:p>
    <w:p w14:paraId="72B2B6E4" w14:textId="77777777" w:rsidR="00D10CF6" w:rsidRDefault="00D10CF6" w:rsidP="00D10CF6">
      <w:pPr>
        <w:pStyle w:val="TOCListofAbbrevs"/>
      </w:pPr>
      <w:r>
        <w:t>WQMP</w:t>
      </w:r>
      <w:r>
        <w:tab/>
      </w:r>
      <w:r w:rsidR="00E73392">
        <w:t>water quality management plan</w:t>
      </w:r>
    </w:p>
    <w:p w14:paraId="4D1F4E20" w14:textId="77777777" w:rsidR="00FC46BE" w:rsidRDefault="006D0F5C" w:rsidP="00D10CF6">
      <w:pPr>
        <w:pStyle w:val="TOCListofAbbrevs"/>
      </w:pPr>
      <w:r w:rsidRPr="006D0F5C">
        <w:t>WSA</w:t>
      </w:r>
      <w:r w:rsidRPr="006D0F5C">
        <w:tab/>
        <w:t xml:space="preserve">water supply assessment </w:t>
      </w:r>
    </w:p>
    <w:p w14:paraId="450500DC" w14:textId="77777777" w:rsidR="00916187" w:rsidRDefault="00916187" w:rsidP="00D10CF6">
      <w:pPr>
        <w:pStyle w:val="TOCListofAbbrevs"/>
        <w:rPr>
          <w:highlight w:val="yellow"/>
        </w:rPr>
      </w:pPr>
    </w:p>
    <w:p w14:paraId="6BFECC97" w14:textId="77777777" w:rsidR="00D10CF6" w:rsidRPr="007E52F7" w:rsidRDefault="00D10CF6" w:rsidP="00D10CF6">
      <w:pPr>
        <w:pStyle w:val="BodyText"/>
        <w:sectPr w:rsidR="00D10CF6" w:rsidRPr="007E52F7" w:rsidSect="00D24B10">
          <w:headerReference w:type="even" r:id="rId13"/>
          <w:headerReference w:type="default" r:id="rId14"/>
          <w:headerReference w:type="first" r:id="rId15"/>
          <w:footerReference w:type="first" r:id="rId16"/>
          <w:type w:val="oddPage"/>
          <w:pgSz w:w="12240" w:h="15840" w:code="1"/>
          <w:pgMar w:top="2376" w:right="1440" w:bottom="1440" w:left="1440" w:header="720" w:footer="720" w:gutter="0"/>
          <w:pgNumType w:fmt="lowerRoman"/>
          <w:cols w:space="720"/>
          <w:noEndnote/>
          <w:docGrid w:linePitch="299"/>
        </w:sectPr>
      </w:pPr>
      <w:bookmarkStart w:id="2" w:name="_Toc124671931"/>
      <w:bookmarkStart w:id="3" w:name="_Toc433763408"/>
      <w:bookmarkEnd w:id="2"/>
    </w:p>
    <w:p w14:paraId="28FBA070" w14:textId="77777777" w:rsidR="00D10CF6" w:rsidRDefault="00D10CF6" w:rsidP="00D10CF6">
      <w:pPr>
        <w:pStyle w:val="Heading1"/>
      </w:pPr>
      <w:bookmarkStart w:id="4" w:name="_Hlt493474293"/>
      <w:bookmarkStart w:id="5" w:name="_Toc90882139"/>
      <w:bookmarkEnd w:id="4"/>
      <w:r>
        <w:t>Introduction</w:t>
      </w:r>
      <w:bookmarkEnd w:id="3"/>
      <w:bookmarkEnd w:id="5"/>
    </w:p>
    <w:p w14:paraId="5846AB99" w14:textId="77777777" w:rsidR="003C1F30" w:rsidRPr="00617ACC" w:rsidRDefault="003C1F30" w:rsidP="003C1F30">
      <w:pPr>
        <w:pStyle w:val="Heading2"/>
      </w:pPr>
      <w:bookmarkStart w:id="6" w:name="_Toc24541272"/>
      <w:bookmarkStart w:id="7" w:name="_Toc433763410"/>
      <w:bookmarkStart w:id="8" w:name="_Toc90882140"/>
      <w:r w:rsidRPr="00617ACC">
        <w:t>Project Overview</w:t>
      </w:r>
      <w:bookmarkEnd w:id="6"/>
      <w:bookmarkEnd w:id="8"/>
    </w:p>
    <w:p w14:paraId="2A31EE4A" w14:textId="77777777" w:rsidR="003C1F30" w:rsidRPr="00330532" w:rsidRDefault="003C1F30" w:rsidP="003C1F30">
      <w:pPr>
        <w:pStyle w:val="BodyText"/>
      </w:pPr>
      <w:r w:rsidRPr="00330532">
        <w:t xml:space="preserve">The </w:t>
      </w:r>
      <w:r w:rsidR="00681702" w:rsidRPr="00330532">
        <w:t xml:space="preserve">4416 </w:t>
      </w:r>
      <w:r w:rsidRPr="00330532">
        <w:t xml:space="preserve">Azusa Canyon </w:t>
      </w:r>
      <w:r w:rsidR="001822BB" w:rsidRPr="00330532">
        <w:t xml:space="preserve">Road </w:t>
      </w:r>
      <w:r w:rsidR="00AD53D5">
        <w:t xml:space="preserve">project </w:t>
      </w:r>
      <w:r w:rsidR="00681702" w:rsidRPr="00330532">
        <w:t>(proposed project)</w:t>
      </w:r>
      <w:r w:rsidRPr="00330532">
        <w:t xml:space="preserve"> involves the construction and operation of a new warehouse and </w:t>
      </w:r>
      <w:r w:rsidR="00612B15" w:rsidRPr="00330532">
        <w:t>manufacturing</w:t>
      </w:r>
      <w:r w:rsidRPr="00330532">
        <w:t xml:space="preserve"> facility on a </w:t>
      </w:r>
      <w:r w:rsidR="00EE7C1A" w:rsidRPr="00330532">
        <w:t>currently developed</w:t>
      </w:r>
      <w:r w:rsidRPr="00330532">
        <w:t xml:space="preserve"> site. The warehouse and </w:t>
      </w:r>
      <w:r w:rsidR="00EE7C1A" w:rsidRPr="00330532">
        <w:t>manufacturing</w:t>
      </w:r>
      <w:r w:rsidRPr="00330532">
        <w:t xml:space="preserve"> business</w:t>
      </w:r>
      <w:r w:rsidR="00EE7C1A" w:rsidRPr="00330532">
        <w:t>es</w:t>
      </w:r>
      <w:r w:rsidRPr="00330532">
        <w:t xml:space="preserve"> (prospective </w:t>
      </w:r>
      <w:r w:rsidR="00EE7C1A" w:rsidRPr="00330532">
        <w:t>tenants are</w:t>
      </w:r>
      <w:r w:rsidRPr="00330532">
        <w:t xml:space="preserve"> unknown at this time) would operate out of a proposed building that would encompass a total of </w:t>
      </w:r>
      <w:bookmarkStart w:id="9" w:name="_Hlk71536241"/>
      <w:r w:rsidR="00896D27" w:rsidRPr="00ED7135">
        <w:t>129,</w:t>
      </w:r>
      <w:r w:rsidR="00896D27">
        <w:t xml:space="preserve">830 </w:t>
      </w:r>
      <w:bookmarkEnd w:id="9"/>
      <w:r w:rsidRPr="00330532">
        <w:t xml:space="preserve">square feet, </w:t>
      </w:r>
      <w:r w:rsidR="006E4815">
        <w:t>with</w:t>
      </w:r>
      <w:r w:rsidRPr="00330532">
        <w:t xml:space="preserve"> </w:t>
      </w:r>
      <w:r w:rsidR="00EE7C1A" w:rsidRPr="00330532">
        <w:t>17,</w:t>
      </w:r>
      <w:r w:rsidR="00896D27">
        <w:t>0</w:t>
      </w:r>
      <w:r w:rsidR="00EE7C1A" w:rsidRPr="00330532">
        <w:t xml:space="preserve">00 </w:t>
      </w:r>
      <w:r w:rsidRPr="00330532">
        <w:t xml:space="preserve">square feet of </w:t>
      </w:r>
      <w:r w:rsidR="00EE7C1A" w:rsidRPr="00330532">
        <w:t>manufacturing space,</w:t>
      </w:r>
      <w:r w:rsidRPr="00330532">
        <w:t xml:space="preserve"> </w:t>
      </w:r>
      <w:r w:rsidR="00896D27" w:rsidRPr="00ED7135">
        <w:t>103,</w:t>
      </w:r>
      <w:r w:rsidR="00896D27">
        <w:t xml:space="preserve">670 </w:t>
      </w:r>
      <w:r w:rsidR="00EE7C1A" w:rsidRPr="00330532">
        <w:t xml:space="preserve">square feet of </w:t>
      </w:r>
      <w:r w:rsidRPr="00330532">
        <w:t>warehous</w:t>
      </w:r>
      <w:r w:rsidR="00430BC6">
        <w:t>ing</w:t>
      </w:r>
      <w:r w:rsidRPr="00330532">
        <w:t xml:space="preserve"> space</w:t>
      </w:r>
      <w:r w:rsidR="00EE7C1A" w:rsidRPr="00330532">
        <w:t>,</w:t>
      </w:r>
      <w:r w:rsidRPr="00330532">
        <w:t xml:space="preserve"> and </w:t>
      </w:r>
      <w:r w:rsidR="00896D27">
        <w:t>9,160</w:t>
      </w:r>
      <w:r w:rsidRPr="00330532">
        <w:t xml:space="preserve"> square feet of ancillary office space to support the industrial </w:t>
      </w:r>
      <w:r w:rsidR="00EE7C1A" w:rsidRPr="00330532">
        <w:t xml:space="preserve">and warehousing </w:t>
      </w:r>
      <w:r w:rsidRPr="00330532">
        <w:t xml:space="preserve">tenant(s). </w:t>
      </w:r>
      <w:r w:rsidR="00330532" w:rsidRPr="00330532">
        <w:t xml:space="preserve">The proposed project would also </w:t>
      </w:r>
      <w:r w:rsidR="00330532" w:rsidRPr="00240B41">
        <w:t>include 1</w:t>
      </w:r>
      <w:r w:rsidR="003F79A9" w:rsidRPr="00240B41">
        <w:t>8</w:t>
      </w:r>
      <w:r w:rsidR="00330532" w:rsidRPr="00240B41">
        <w:t xml:space="preserve"> dock</w:t>
      </w:r>
      <w:r w:rsidR="00330532" w:rsidRPr="00330532">
        <w:t xml:space="preserve"> door positions within </w:t>
      </w:r>
      <w:r w:rsidR="00430BC6">
        <w:t xml:space="preserve">a </w:t>
      </w:r>
      <w:r w:rsidR="00330532" w:rsidRPr="00330532">
        <w:t>secured truck court area on the southeastern side of the site</w:t>
      </w:r>
      <w:r w:rsidRPr="00330532">
        <w:t>. Other project components include vehicular and pedestrian access and circulation improvements</w:t>
      </w:r>
      <w:r w:rsidR="006E4815">
        <w:t>,</w:t>
      </w:r>
      <w:r w:rsidRPr="00330532">
        <w:t xml:space="preserve"> asphalt parking areas</w:t>
      </w:r>
      <w:r w:rsidR="006E4815">
        <w:t>,</w:t>
      </w:r>
      <w:r w:rsidRPr="00330532">
        <w:t xml:space="preserve"> utility and infrastructure improvements</w:t>
      </w:r>
      <w:r w:rsidR="006E4815">
        <w:t>,</w:t>
      </w:r>
      <w:r w:rsidRPr="00330532">
        <w:t xml:space="preserve"> and various hardscape and landscape improvements. Project development would require </w:t>
      </w:r>
      <w:r w:rsidR="00330532" w:rsidRPr="00330532">
        <w:t>a site plan and design review permit from the City of Irwindale.</w:t>
      </w:r>
    </w:p>
    <w:p w14:paraId="588F6153" w14:textId="77777777" w:rsidR="003C1F30" w:rsidRPr="00617ACC" w:rsidRDefault="003C1F30" w:rsidP="003C1F30">
      <w:pPr>
        <w:pStyle w:val="Heading2"/>
      </w:pPr>
      <w:bookmarkStart w:id="10" w:name="_Toc24541273"/>
      <w:bookmarkStart w:id="11" w:name="_Toc90882141"/>
      <w:r w:rsidRPr="00617ACC">
        <w:t xml:space="preserve">Purpose of </w:t>
      </w:r>
      <w:r w:rsidR="009219E3">
        <w:t>CEQA</w:t>
      </w:r>
      <w:r w:rsidRPr="00617ACC">
        <w:t xml:space="preserve"> and the Initial Study</w:t>
      </w:r>
      <w:bookmarkEnd w:id="10"/>
      <w:bookmarkEnd w:id="11"/>
    </w:p>
    <w:p w14:paraId="0F95A232" w14:textId="47F98BF5" w:rsidR="003C1F30" w:rsidRPr="00AB41B6" w:rsidRDefault="003C1F30" w:rsidP="003C1F30">
      <w:pPr>
        <w:pStyle w:val="BodyText"/>
      </w:pPr>
      <w:r w:rsidRPr="00617ACC">
        <w:t xml:space="preserve">CEQA (California Environmental Quality Act; Public Resources Code Section 21000 et seq.) requires that </w:t>
      </w:r>
      <w:r w:rsidRPr="00AB41B6">
        <w:t>before a lead agency makes a decision to approve a project that could have one or more adverse effects on the physical environment, the agency must inform itself about and consider the project's potential environmental impacts, inform the public about the project's potential environmental impacts</w:t>
      </w:r>
      <w:r w:rsidR="006E4815">
        <w:t>,</w:t>
      </w:r>
      <w:r w:rsidRPr="00AB41B6">
        <w:t xml:space="preserve"> </w:t>
      </w:r>
      <w:r w:rsidR="006E4815">
        <w:t>give</w:t>
      </w:r>
      <w:r w:rsidR="006E4815" w:rsidRPr="00AB41B6">
        <w:t xml:space="preserve"> </w:t>
      </w:r>
      <w:r w:rsidRPr="00AB41B6">
        <w:t>them an opportunity to comment on the environmental issues, and take feasible measures to avoid or reduce potential harm to the physical environment.</w:t>
      </w:r>
      <w:r w:rsidR="006E4815" w:rsidRPr="00AB41B6">
        <w:rPr>
          <w:rStyle w:val="FootnoteReference"/>
        </w:rPr>
        <w:footnoteReference w:id="2"/>
      </w:r>
    </w:p>
    <w:p w14:paraId="7A7C00FF" w14:textId="77777777" w:rsidR="003C1F30" w:rsidRPr="00AB41B6" w:rsidRDefault="003C1F30" w:rsidP="003C1F30">
      <w:pPr>
        <w:pStyle w:val="BodyText"/>
      </w:pPr>
      <w:r w:rsidRPr="00AB41B6">
        <w:t>The City of Irwindale—in its capacity as lead agency pursuant to CEQA Guidelines Section 15050—is responsible for preparing environmental documentation in accordance with CEQA to determine if approval of the discretionary actions and subsequent development associated with the proposed project would have a significant impact on the environment. As part of the project's environmental review and in its capacity as lead agency, the City authorized the preparation of this Initial Study in accordance with the provisions of CEQA Guidelines Section 15063. Pursuant to Section 15063, purposes of an Initial Study are to:</w:t>
      </w:r>
    </w:p>
    <w:p w14:paraId="023F369E" w14:textId="77777777" w:rsidR="003C1F30" w:rsidRPr="00AB41B6" w:rsidRDefault="003C1F30" w:rsidP="003C1F30">
      <w:pPr>
        <w:pStyle w:val="Bullet1last"/>
        <w:spacing w:after="100"/>
      </w:pPr>
      <w:r w:rsidRPr="00AB41B6">
        <w:t>Provide the lead agency information to use as the basis for deciding whether to prepare an environmental impact report (EIR) or negative declaration.</w:t>
      </w:r>
    </w:p>
    <w:p w14:paraId="4E1F082A" w14:textId="4B7B13D0" w:rsidR="003C1F30" w:rsidRPr="00AB41B6" w:rsidRDefault="003C1F30" w:rsidP="003C1F30">
      <w:pPr>
        <w:pStyle w:val="Bullet1last"/>
        <w:spacing w:after="100"/>
      </w:pPr>
      <w:r w:rsidRPr="00AB41B6">
        <w:t>Enable an applicant or lead agency to modify a project, mitigating adverse impacts before an EIR is prepared, thereby enabling the project to quali</w:t>
      </w:r>
      <w:r w:rsidR="00F30F0D">
        <w:t>f</w:t>
      </w:r>
      <w:r w:rsidRPr="00AB41B6">
        <w:t xml:space="preserve">y for a negative declaration. </w:t>
      </w:r>
    </w:p>
    <w:p w14:paraId="17891904" w14:textId="77777777" w:rsidR="003C1F30" w:rsidRPr="00AB41B6" w:rsidRDefault="003C1F30" w:rsidP="003C1F30">
      <w:pPr>
        <w:pStyle w:val="Bullet1last"/>
        <w:spacing w:after="100"/>
      </w:pPr>
      <w:r w:rsidRPr="00AB41B6">
        <w:t xml:space="preserve">Assist in the preparation of an EIR, if one is required. </w:t>
      </w:r>
    </w:p>
    <w:p w14:paraId="01916C33" w14:textId="77777777" w:rsidR="003C1F30" w:rsidRPr="00AB41B6" w:rsidRDefault="003C1F30" w:rsidP="003C1F30">
      <w:pPr>
        <w:pStyle w:val="Bullet1last"/>
        <w:spacing w:after="100"/>
      </w:pPr>
      <w:r w:rsidRPr="00AB41B6">
        <w:t>Facilitate environmental assessment early in the design of a project.</w:t>
      </w:r>
    </w:p>
    <w:p w14:paraId="42F0876A" w14:textId="77777777" w:rsidR="003C1F30" w:rsidRPr="00AB41B6" w:rsidRDefault="003C1F30" w:rsidP="003C1F30">
      <w:pPr>
        <w:pStyle w:val="Bullet1last"/>
        <w:spacing w:after="100"/>
      </w:pPr>
      <w:r w:rsidRPr="00AB41B6">
        <w:t xml:space="preserve">Provide documentation of the factual basis for the finding in a negative declaration that a project will not have a significant effect on the environment. </w:t>
      </w:r>
    </w:p>
    <w:p w14:paraId="2087D1C4" w14:textId="77777777" w:rsidR="003C1F30" w:rsidRPr="00AB41B6" w:rsidRDefault="003C1F30" w:rsidP="003C1F30">
      <w:pPr>
        <w:pStyle w:val="Bullet1last"/>
        <w:spacing w:after="100"/>
      </w:pPr>
      <w:r w:rsidRPr="00AB41B6">
        <w:t>Eliminate unnecessary EIRs.</w:t>
      </w:r>
    </w:p>
    <w:p w14:paraId="15870C7F" w14:textId="77777777" w:rsidR="003C1F30" w:rsidRPr="00AB41B6" w:rsidRDefault="003C1F30" w:rsidP="003C1F30">
      <w:pPr>
        <w:pStyle w:val="Bullet1last"/>
      </w:pPr>
      <w:r w:rsidRPr="00AB41B6">
        <w:t xml:space="preserve">Determine whether a previously prepared EIR could be used with the project. </w:t>
      </w:r>
    </w:p>
    <w:p w14:paraId="78F711C4" w14:textId="77777777" w:rsidR="003C1F30" w:rsidRPr="00AB41B6" w:rsidRDefault="003C1F30" w:rsidP="003C1F30">
      <w:pPr>
        <w:pStyle w:val="BodyText"/>
        <w:spacing w:line="264" w:lineRule="auto"/>
      </w:pPr>
      <w:r w:rsidRPr="00AB41B6">
        <w:t xml:space="preserve">As further defined by Section 15063, an Initial Study is prepared to provide the City with information to use as the basis for determining whether an EIR, Negative Declaration, or Mitigated Negative Declaration (MND) would be appropriate for providing the necessary environmental documentation and clearance for the proposed project. </w:t>
      </w:r>
    </w:p>
    <w:p w14:paraId="39717DCC" w14:textId="4BB3FC49" w:rsidR="003C1F30" w:rsidRPr="00AB41B6" w:rsidRDefault="003C1F30" w:rsidP="003C1F30">
      <w:pPr>
        <w:pStyle w:val="BodyText"/>
        <w:spacing w:line="264" w:lineRule="auto"/>
      </w:pPr>
      <w:r w:rsidRPr="00AB41B6">
        <w:t xml:space="preserve">In its preparation of this Initial Study, the City determined that an MND is the most appropriate CEQA document for the proposed project. This Initial Study has been prepared to support the adoption of an MND, which is a written statement by the lead agency that briefly describes the reasons why a project that is not exempt from the requirements of CEQA will not have a significant effect on the environment and, therefore, does not require preparation of an EIR (CEQA Guidelines Section 15371). The CEQA Guidelines require preparation of an MND if the Initial Study prepared for a project identifies potentially significant effects, but: 1) revisions in the project plans or proposals made by, or agreed to by the applicant before a proposed MND and Initial Study are released for public review would avoid the effects or mitigate the effects to a point where clearly no significant effects would occur; and 2) there is no substantial evidence, in light of the whole record before the Lead Agency, that the project may have a significant effect on the environment. (CEQA Guidelines Section 15070[b]). </w:t>
      </w:r>
    </w:p>
    <w:p w14:paraId="51F3BCAC" w14:textId="77777777" w:rsidR="003C1F30" w:rsidRPr="00AB41B6" w:rsidRDefault="003C1F30" w:rsidP="003C1F30">
      <w:pPr>
        <w:pStyle w:val="BodyText"/>
        <w:spacing w:line="264" w:lineRule="auto"/>
      </w:pPr>
      <w:r w:rsidRPr="00AB41B6">
        <w:t xml:space="preserve">The City has considered the information contained in this Initial Study in its decision-making processes. </w:t>
      </w:r>
      <w:r w:rsidR="00D00815">
        <w:t>T</w:t>
      </w:r>
      <w:r w:rsidRPr="00AB41B6">
        <w:t xml:space="preserve">he Initial Study was prepared with consultant support, </w:t>
      </w:r>
      <w:r w:rsidR="00D00815">
        <w:t xml:space="preserve">but </w:t>
      </w:r>
      <w:r w:rsidRPr="00AB41B6">
        <w:t>the analysis, conclusions, and findings made as part of its preparation fully represent the independent judgment and analysis of the City.</w:t>
      </w:r>
    </w:p>
    <w:p w14:paraId="0E99E9DB" w14:textId="77777777" w:rsidR="003C1F30" w:rsidRPr="00AB41B6" w:rsidRDefault="003C1F30" w:rsidP="00D10CF6">
      <w:pPr>
        <w:pStyle w:val="Heading2"/>
      </w:pPr>
      <w:bookmarkStart w:id="12" w:name="_Toc90882142"/>
      <w:r w:rsidRPr="00AB41B6">
        <w:t>Project Location</w:t>
      </w:r>
      <w:bookmarkEnd w:id="12"/>
    </w:p>
    <w:p w14:paraId="41AD2218" w14:textId="77777777" w:rsidR="003C1F30" w:rsidRPr="00AB41B6" w:rsidRDefault="003C1F30" w:rsidP="003C1F30">
      <w:pPr>
        <w:pStyle w:val="BodyText"/>
        <w:spacing w:line="264" w:lineRule="auto"/>
      </w:pPr>
      <w:bookmarkStart w:id="13" w:name="_Hlk79233557"/>
      <w:r w:rsidRPr="00AB41B6">
        <w:t>The approximately 5.</w:t>
      </w:r>
      <w:r w:rsidR="00F16BA2">
        <w:t>89</w:t>
      </w:r>
      <w:r w:rsidRPr="00AB41B6">
        <w:t xml:space="preserve">-acre project site is in the southeastern portion of Irwindale in Los Angeles County. The </w:t>
      </w:r>
      <w:r w:rsidR="00FA3728" w:rsidRPr="00AB41B6">
        <w:t>city</w:t>
      </w:r>
      <w:r w:rsidRPr="00AB41B6">
        <w:t xml:space="preserve"> is approximately 20 miles east of downtown Los Angeles</w:t>
      </w:r>
      <w:r w:rsidR="00D00815">
        <w:t>,</w:t>
      </w:r>
      <w:r w:rsidRPr="00AB41B6">
        <w:t xml:space="preserve"> with neighboring cities of </w:t>
      </w:r>
      <w:r w:rsidR="00BB4CA3">
        <w:t xml:space="preserve">West Covina, </w:t>
      </w:r>
      <w:r w:rsidR="00630EC9" w:rsidRPr="00AB41B6">
        <w:t>Baldwin Park</w:t>
      </w:r>
      <w:r w:rsidRPr="00AB41B6">
        <w:t xml:space="preserve">, </w:t>
      </w:r>
      <w:r w:rsidR="00D302A3" w:rsidRPr="00D302A3">
        <w:t xml:space="preserve">the unincorporated area of </w:t>
      </w:r>
      <w:r w:rsidR="00630EC9" w:rsidRPr="00AB41B6">
        <w:t>Vincent</w:t>
      </w:r>
      <w:r w:rsidRPr="00AB41B6">
        <w:t xml:space="preserve">, </w:t>
      </w:r>
      <w:r w:rsidR="00630EC9" w:rsidRPr="00AB41B6">
        <w:t>Azusa</w:t>
      </w:r>
      <w:r w:rsidRPr="00AB41B6">
        <w:t xml:space="preserve">, </w:t>
      </w:r>
      <w:r w:rsidR="00630EC9" w:rsidRPr="00AB41B6">
        <w:t>Duarte</w:t>
      </w:r>
      <w:r w:rsidRPr="00AB41B6">
        <w:t xml:space="preserve">, </w:t>
      </w:r>
      <w:r w:rsidR="00630EC9" w:rsidRPr="00AB41B6">
        <w:t>El Monte</w:t>
      </w:r>
      <w:r w:rsidRPr="00AB41B6">
        <w:t xml:space="preserve">, </w:t>
      </w:r>
      <w:r w:rsidR="00630EC9" w:rsidRPr="00AB41B6">
        <w:t xml:space="preserve">North El Monte, and Monrovia </w:t>
      </w:r>
      <w:r w:rsidRPr="00AB41B6">
        <w:t xml:space="preserve">(see </w:t>
      </w:r>
      <w:bookmarkStart w:id="14" w:name="_Hlk70589803"/>
      <w:r w:rsidRPr="00AB41B6">
        <w:t xml:space="preserve">Figure 1, </w:t>
      </w:r>
      <w:r w:rsidRPr="00AB41B6">
        <w:rPr>
          <w:rStyle w:val="BodyTextItalicChar"/>
        </w:rPr>
        <w:t>Regional Location</w:t>
      </w:r>
      <w:r w:rsidRPr="00AB41B6">
        <w:t xml:space="preserve">). As shown in Figures 2, </w:t>
      </w:r>
      <w:r w:rsidRPr="00AB41B6">
        <w:rPr>
          <w:rStyle w:val="BodyTextItalicChar"/>
        </w:rPr>
        <w:t>Local Vicinity</w:t>
      </w:r>
      <w:r w:rsidRPr="00AB41B6">
        <w:t xml:space="preserve">, and 3, </w:t>
      </w:r>
      <w:r w:rsidRPr="00AB41B6">
        <w:rPr>
          <w:rStyle w:val="BodyTextItalicChar"/>
        </w:rPr>
        <w:t>Aerial Photograph</w:t>
      </w:r>
      <w:r w:rsidRPr="00AB41B6">
        <w:t>,</w:t>
      </w:r>
      <w:bookmarkEnd w:id="14"/>
      <w:r w:rsidRPr="00AB41B6">
        <w:t xml:space="preserve"> the project site is at the north</w:t>
      </w:r>
      <w:r w:rsidR="00630EC9" w:rsidRPr="00AB41B6">
        <w:t>eastern</w:t>
      </w:r>
      <w:r w:rsidRPr="00AB41B6">
        <w:t xml:space="preserve"> corner of the </w:t>
      </w:r>
      <w:r w:rsidR="00630EC9" w:rsidRPr="00AB41B6">
        <w:t>Azusa Canyon Road</w:t>
      </w:r>
      <w:r w:rsidRPr="00AB41B6">
        <w:t>/</w:t>
      </w:r>
      <w:r w:rsidR="00630EC9" w:rsidRPr="00AB41B6">
        <w:t>Los Angeles Street</w:t>
      </w:r>
      <w:r w:rsidRPr="00AB41B6">
        <w:t xml:space="preserve"> intersection</w:t>
      </w:r>
      <w:r w:rsidR="00D00815">
        <w:t xml:space="preserve">. </w:t>
      </w:r>
      <w:r w:rsidR="00D00815" w:rsidRPr="00AB41B6">
        <w:t xml:space="preserve">It </w:t>
      </w:r>
      <w:r w:rsidRPr="00AB41B6">
        <w:t xml:space="preserve">is bound by </w:t>
      </w:r>
      <w:r w:rsidR="001336E6" w:rsidRPr="00AB41B6">
        <w:t xml:space="preserve">Big Dalton </w:t>
      </w:r>
      <w:r w:rsidR="00554B63">
        <w:t>W</w:t>
      </w:r>
      <w:r w:rsidR="001336E6" w:rsidRPr="00AB41B6">
        <w:t>ash</w:t>
      </w:r>
      <w:r w:rsidRPr="00AB41B6">
        <w:t xml:space="preserve"> to the </w:t>
      </w:r>
      <w:r w:rsidR="001336E6" w:rsidRPr="00AB41B6">
        <w:t>north</w:t>
      </w:r>
      <w:r w:rsidR="00D00815">
        <w:t>,</w:t>
      </w:r>
      <w:r w:rsidRPr="00AB41B6">
        <w:t xml:space="preserve"> </w:t>
      </w:r>
      <w:r w:rsidR="00AB41B6" w:rsidRPr="00AB41B6">
        <w:t xml:space="preserve">Los Angeles County Metro (LA Metro) railroad </w:t>
      </w:r>
      <w:r w:rsidR="00D00815">
        <w:t xml:space="preserve">and </w:t>
      </w:r>
      <w:r w:rsidR="00AB41B6" w:rsidRPr="00AB41B6">
        <w:t xml:space="preserve">Los Angeles Street to the </w:t>
      </w:r>
      <w:r w:rsidR="00FA3728">
        <w:t>south</w:t>
      </w:r>
      <w:r w:rsidR="00D00815">
        <w:t>,</w:t>
      </w:r>
      <w:r w:rsidR="00AB41B6" w:rsidRPr="00AB41B6">
        <w:t xml:space="preserve"> </w:t>
      </w:r>
      <w:r w:rsidR="00FA3728">
        <w:t>a railroad spur to the east</w:t>
      </w:r>
      <w:r w:rsidR="00953A26">
        <w:t>,</w:t>
      </w:r>
      <w:r w:rsidR="00FA3728">
        <w:t xml:space="preserve"> </w:t>
      </w:r>
      <w:r w:rsidRPr="00AB41B6">
        <w:t xml:space="preserve">and </w:t>
      </w:r>
      <w:r w:rsidR="00AB41B6" w:rsidRPr="00AB41B6">
        <w:t>Azusa Canyon</w:t>
      </w:r>
      <w:r w:rsidRPr="00AB41B6">
        <w:t xml:space="preserve"> Road to the west. The project site</w:t>
      </w:r>
      <w:r w:rsidR="00953A26">
        <w:t>’s</w:t>
      </w:r>
      <w:r w:rsidRPr="00AB41B6">
        <w:t xml:space="preserve"> Assessor</w:t>
      </w:r>
      <w:r w:rsidR="00953A26">
        <w:t>’s</w:t>
      </w:r>
      <w:r w:rsidRPr="00AB41B6">
        <w:t xml:space="preserve"> Parcel Number </w:t>
      </w:r>
      <w:r w:rsidR="00953A26">
        <w:t xml:space="preserve">is </w:t>
      </w:r>
      <w:r w:rsidR="00AB41B6" w:rsidRPr="00AB41B6">
        <w:t>8417-004-006</w:t>
      </w:r>
      <w:r w:rsidRPr="00AB41B6">
        <w:t>.</w:t>
      </w:r>
    </w:p>
    <w:bookmarkEnd w:id="13"/>
    <w:p w14:paraId="2A01BAA7" w14:textId="77777777" w:rsidR="00AB41B6" w:rsidRDefault="003C1F30" w:rsidP="003C1F30">
      <w:pPr>
        <w:pStyle w:val="BodyText"/>
        <w:spacing w:line="264" w:lineRule="auto"/>
      </w:pPr>
      <w:r w:rsidRPr="00AB41B6">
        <w:t xml:space="preserve">Regional access to the project site is from Interstate </w:t>
      </w:r>
      <w:r w:rsidR="00AB41B6" w:rsidRPr="00AB41B6">
        <w:t>10</w:t>
      </w:r>
      <w:r w:rsidRPr="00AB41B6">
        <w:t xml:space="preserve"> (I-</w:t>
      </w:r>
      <w:r w:rsidR="00ED0AB1">
        <w:t>10</w:t>
      </w:r>
      <w:r w:rsidRPr="00AB41B6">
        <w:t xml:space="preserve">), approximately </w:t>
      </w:r>
      <w:r w:rsidR="00AB41B6" w:rsidRPr="00AB41B6">
        <w:t>1.4</w:t>
      </w:r>
      <w:r w:rsidRPr="00AB41B6">
        <w:t xml:space="preserve"> miles to the south via </w:t>
      </w:r>
      <w:r w:rsidR="00AB41B6" w:rsidRPr="00AB41B6">
        <w:t>North Orange Avenue, West San Bernardino Road, and Azusa Canyon Road</w:t>
      </w:r>
      <w:r w:rsidRPr="00AB41B6">
        <w:t>, and from I-605 approximately 2.</w:t>
      </w:r>
      <w:r w:rsidR="00AB41B6" w:rsidRPr="00AB41B6">
        <w:t>5</w:t>
      </w:r>
      <w:r w:rsidRPr="00AB41B6">
        <w:t xml:space="preserve"> miles to the </w:t>
      </w:r>
      <w:r w:rsidR="00AB41B6" w:rsidRPr="00AB41B6">
        <w:t>north</w:t>
      </w:r>
      <w:r w:rsidRPr="00AB41B6">
        <w:t xml:space="preserve">west via </w:t>
      </w:r>
      <w:r w:rsidR="00AB41B6" w:rsidRPr="00AB41B6">
        <w:t>Live Oak Avenue, Arrow Highway, and Azusa Canyon Road</w:t>
      </w:r>
      <w:r w:rsidRPr="00AB41B6">
        <w:t xml:space="preserve">. State Route </w:t>
      </w:r>
      <w:r w:rsidR="00AB41B6" w:rsidRPr="00AB41B6">
        <w:t>39</w:t>
      </w:r>
      <w:r w:rsidRPr="00AB41B6">
        <w:t xml:space="preserve"> (SR-</w:t>
      </w:r>
      <w:r w:rsidR="00AB41B6" w:rsidRPr="00AB41B6">
        <w:t>39</w:t>
      </w:r>
      <w:r w:rsidRPr="00AB41B6">
        <w:t>) also provides regional access to the project site</w:t>
      </w:r>
      <w:r w:rsidR="00953A26">
        <w:t xml:space="preserve"> and</w:t>
      </w:r>
      <w:r w:rsidRPr="00AB41B6">
        <w:t xml:space="preserve"> is approximately </w:t>
      </w:r>
      <w:r w:rsidR="00AB41B6" w:rsidRPr="00AB41B6">
        <w:t>2</w:t>
      </w:r>
      <w:r w:rsidRPr="00AB41B6">
        <w:t xml:space="preserve"> miles east of the site. Local access to the project site is via </w:t>
      </w:r>
      <w:r w:rsidR="00AB41B6" w:rsidRPr="00AB41B6">
        <w:t xml:space="preserve">Azusa Canyon Road </w:t>
      </w:r>
      <w:r w:rsidRPr="00AB41B6">
        <w:t xml:space="preserve">and </w:t>
      </w:r>
      <w:r w:rsidR="00AB41B6" w:rsidRPr="00AB41B6">
        <w:t>Los Angeles Street</w:t>
      </w:r>
      <w:r w:rsidRPr="00AB41B6">
        <w:t>.</w:t>
      </w:r>
    </w:p>
    <w:p w14:paraId="1F625A88" w14:textId="77777777" w:rsidR="00FC46BE" w:rsidRPr="00617ACC" w:rsidRDefault="00FC46BE" w:rsidP="00FC46BE">
      <w:pPr>
        <w:pStyle w:val="FigureTitle"/>
      </w:pPr>
      <w:bookmarkStart w:id="15" w:name="_Toc24541313"/>
      <w:bookmarkStart w:id="16" w:name="_Toc90882216"/>
      <w:r w:rsidRPr="00617ACC">
        <w:t>Figure 1</w:t>
      </w:r>
      <w:r w:rsidRPr="00617ACC">
        <w:tab/>
        <w:t>Regional Location</w:t>
      </w:r>
      <w:bookmarkEnd w:id="15"/>
      <w:bookmarkEnd w:id="16"/>
    </w:p>
    <w:p w14:paraId="1B37E049" w14:textId="77777777" w:rsidR="00FC46BE" w:rsidRPr="00617ACC" w:rsidRDefault="00FC46BE" w:rsidP="00FC46BE">
      <w:pPr>
        <w:rPr>
          <w:i/>
        </w:rPr>
      </w:pPr>
      <w:r w:rsidRPr="00617ACC">
        <w:br w:type="page"/>
      </w:r>
      <w:bookmarkStart w:id="17" w:name="_Hlk20989028"/>
      <w:r w:rsidRPr="00617ACC">
        <w:rPr>
          <w:i/>
        </w:rPr>
        <w:t>This page intentionally left blank.</w:t>
      </w:r>
    </w:p>
    <w:bookmarkEnd w:id="17"/>
    <w:p w14:paraId="49A411EF" w14:textId="77777777" w:rsidR="00FC46BE" w:rsidRPr="00617ACC" w:rsidRDefault="00FC46BE" w:rsidP="00FC46BE">
      <w:pPr>
        <w:rPr>
          <w:i/>
        </w:rPr>
      </w:pPr>
      <w:r w:rsidRPr="00617ACC">
        <w:rPr>
          <w:i/>
        </w:rPr>
        <w:br w:type="page"/>
      </w:r>
    </w:p>
    <w:p w14:paraId="3650C741" w14:textId="77777777" w:rsidR="00FC46BE" w:rsidRPr="00617ACC" w:rsidRDefault="00FC46BE" w:rsidP="00FC46BE">
      <w:pPr>
        <w:pStyle w:val="FigureTitle"/>
      </w:pPr>
      <w:bookmarkStart w:id="18" w:name="_Toc24541314"/>
      <w:bookmarkStart w:id="19" w:name="_Toc90882217"/>
      <w:r w:rsidRPr="00617ACC">
        <w:t>Figure 2</w:t>
      </w:r>
      <w:r w:rsidRPr="00617ACC">
        <w:tab/>
        <w:t>Local Vicinity</w:t>
      </w:r>
      <w:bookmarkEnd w:id="18"/>
      <w:bookmarkEnd w:id="19"/>
    </w:p>
    <w:p w14:paraId="53F8E2C0" w14:textId="77777777" w:rsidR="00FC46BE" w:rsidRPr="00617ACC" w:rsidRDefault="00FC46BE" w:rsidP="00FC46BE">
      <w:pPr>
        <w:pStyle w:val="BodyText"/>
        <w:rPr>
          <w:i/>
        </w:rPr>
      </w:pPr>
      <w:r w:rsidRPr="00617ACC">
        <w:br w:type="page"/>
      </w:r>
      <w:r w:rsidRPr="00617ACC">
        <w:rPr>
          <w:i/>
        </w:rPr>
        <w:t>This page intentionally left blank.</w:t>
      </w:r>
    </w:p>
    <w:p w14:paraId="0E1FCD4C" w14:textId="77777777" w:rsidR="00FC46BE" w:rsidRPr="00FC46BE" w:rsidRDefault="00FC46BE" w:rsidP="00FC46BE">
      <w:pPr>
        <w:rPr>
          <w:i/>
          <w:kern w:val="20"/>
          <w:szCs w:val="20"/>
        </w:rPr>
      </w:pPr>
      <w:r w:rsidRPr="00617ACC">
        <w:rPr>
          <w:i/>
        </w:rPr>
        <w:br w:type="page"/>
      </w:r>
    </w:p>
    <w:p w14:paraId="7513A583" w14:textId="77777777" w:rsidR="00AB41B6" w:rsidRDefault="00612B15" w:rsidP="00AB41B6">
      <w:pPr>
        <w:pStyle w:val="Heading2"/>
      </w:pPr>
      <w:bookmarkStart w:id="20" w:name="_Toc90882143"/>
      <w:r>
        <w:t>Environmental Setting</w:t>
      </w:r>
      <w:bookmarkEnd w:id="20"/>
      <w:r>
        <w:t xml:space="preserve"> </w:t>
      </w:r>
    </w:p>
    <w:p w14:paraId="0DC188AE" w14:textId="77777777" w:rsidR="00AB41B6" w:rsidRDefault="00AB41B6" w:rsidP="00AB41B6">
      <w:pPr>
        <w:pStyle w:val="Heading3"/>
      </w:pPr>
      <w:bookmarkStart w:id="21" w:name="_Toc433763411"/>
      <w:r>
        <w:t>Existing Land Use</w:t>
      </w:r>
      <w:bookmarkEnd w:id="21"/>
    </w:p>
    <w:p w14:paraId="54A538E0" w14:textId="77777777" w:rsidR="00AB41B6" w:rsidRDefault="00AB41B6" w:rsidP="00CF6B9B">
      <w:pPr>
        <w:pStyle w:val="BodyText"/>
      </w:pPr>
      <w:bookmarkStart w:id="22" w:name="_Hlk20989238"/>
      <w:r w:rsidRPr="00275282">
        <w:t xml:space="preserve">As shown in Figure 3, </w:t>
      </w:r>
      <w:r w:rsidRPr="00275282">
        <w:rPr>
          <w:rStyle w:val="BodyTextItalicChar"/>
        </w:rPr>
        <w:t>Aerial Photograph</w:t>
      </w:r>
      <w:r w:rsidRPr="00275282">
        <w:t>,</w:t>
      </w:r>
      <w:r w:rsidR="002C1B31">
        <w:t xml:space="preserve"> and Figure 4, </w:t>
      </w:r>
      <w:r w:rsidR="002C1B31">
        <w:rPr>
          <w:i/>
          <w:iCs/>
        </w:rPr>
        <w:t>Site Photographs,</w:t>
      </w:r>
      <w:r w:rsidRPr="00275282">
        <w:t xml:space="preserve"> </w:t>
      </w:r>
      <w:r w:rsidR="00ED2E07" w:rsidRPr="00275282">
        <w:t xml:space="preserve">the site is </w:t>
      </w:r>
      <w:r w:rsidR="00967D0A" w:rsidRPr="00967D0A">
        <w:t xml:space="preserve">presently developed with one </w:t>
      </w:r>
      <w:r w:rsidR="007F1464">
        <w:t xml:space="preserve">building </w:t>
      </w:r>
      <w:r w:rsidR="00953A26">
        <w:t>of</w:t>
      </w:r>
      <w:r w:rsidR="00953A26" w:rsidRPr="00967D0A">
        <w:t xml:space="preserve"> </w:t>
      </w:r>
      <w:r w:rsidR="00967D0A">
        <w:t xml:space="preserve">approximately </w:t>
      </w:r>
      <w:bookmarkStart w:id="23" w:name="_Hlk75686602"/>
      <w:r w:rsidR="003F79A9" w:rsidRPr="003F79A9">
        <w:t>62</w:t>
      </w:r>
      <w:r w:rsidR="003F79A9">
        <w:t>,</w:t>
      </w:r>
      <w:r w:rsidR="003F79A9" w:rsidRPr="003F79A9">
        <w:t>713</w:t>
      </w:r>
      <w:r w:rsidR="003F79A9">
        <w:t xml:space="preserve"> </w:t>
      </w:r>
      <w:r w:rsidR="00967D0A" w:rsidRPr="00275282">
        <w:t xml:space="preserve">square feet </w:t>
      </w:r>
      <w:r w:rsidR="00967D0A" w:rsidRPr="00967D0A">
        <w:t>in the western half of the site</w:t>
      </w:r>
      <w:r w:rsidR="00ED0AB1">
        <w:t>,</w:t>
      </w:r>
      <w:r w:rsidR="006337C5">
        <w:t xml:space="preserve"> </w:t>
      </w:r>
      <w:r w:rsidR="00FA3728">
        <w:t xml:space="preserve">a large metal shed north of the building, and a loading dock and large truck yard on the eastern portion of the site </w:t>
      </w:r>
      <w:r w:rsidR="003F79A9">
        <w:t>(LACOA 2021)</w:t>
      </w:r>
      <w:r w:rsidR="00967D0A" w:rsidRPr="00967D0A">
        <w:t xml:space="preserve">. </w:t>
      </w:r>
      <w:r w:rsidR="00CF6B9B" w:rsidRPr="00967D0A">
        <w:t>The building is a single-story structure of concrete tilt-up construction</w:t>
      </w:r>
      <w:r w:rsidR="00CF6B9B">
        <w:t xml:space="preserve"> on a concrete slab floor</w:t>
      </w:r>
      <w:r w:rsidR="00CF6B9B" w:rsidRPr="00967D0A">
        <w:t>.</w:t>
      </w:r>
      <w:r w:rsidR="00CF6B9B">
        <w:t xml:space="preserve"> The metal shed was part of the old truck wash area that is connected to the building by an overhang. The loading dock area is </w:t>
      </w:r>
      <w:r w:rsidR="00953A26">
        <w:t xml:space="preserve">made </w:t>
      </w:r>
      <w:r w:rsidR="00CF6B9B">
        <w:t xml:space="preserve">of metal siding that is attached to the concrete building. The loading dock has a ramp for five trucks. </w:t>
      </w:r>
      <w:r w:rsidR="00967D0A" w:rsidRPr="00967D0A">
        <w:t xml:space="preserve">The </w:t>
      </w:r>
      <w:r w:rsidR="007F1464">
        <w:t>building</w:t>
      </w:r>
      <w:r w:rsidR="007F1464" w:rsidRPr="00967D0A">
        <w:t xml:space="preserve"> </w:t>
      </w:r>
      <w:r w:rsidR="00FA3728">
        <w:t>was</w:t>
      </w:r>
      <w:r w:rsidR="00967D0A" w:rsidRPr="00967D0A">
        <w:t xml:space="preserve"> occupied by Pepsi Bottling Group</w:t>
      </w:r>
      <w:r w:rsidR="00FA3728">
        <w:t xml:space="preserve">. The bottling plant </w:t>
      </w:r>
      <w:r w:rsidR="00953A26">
        <w:t xml:space="preserve">ceased </w:t>
      </w:r>
      <w:r w:rsidR="00FA3728">
        <w:t>operation in December 2020</w:t>
      </w:r>
      <w:r w:rsidR="00613EF2">
        <w:t xml:space="preserve"> </w:t>
      </w:r>
      <w:r w:rsidR="00613EF2">
        <w:rPr>
          <w:rFonts w:cs="Garamond"/>
          <w:szCs w:val="22"/>
        </w:rPr>
        <w:t>and the site has remained vacant</w:t>
      </w:r>
      <w:r w:rsidR="00FA3728">
        <w:t xml:space="preserve">. </w:t>
      </w:r>
      <w:r w:rsidR="00967D0A" w:rsidRPr="00967D0A">
        <w:t>The building</w:t>
      </w:r>
      <w:r w:rsidR="00ED0AB1">
        <w:t xml:space="preserve"> is</w:t>
      </w:r>
      <w:r w:rsidR="00967D0A" w:rsidRPr="00967D0A">
        <w:t xml:space="preserve"> surrounded by concrete pavement in the parking and drive areas</w:t>
      </w:r>
      <w:r w:rsidR="00967D0A">
        <w:t xml:space="preserve">. The site includes </w:t>
      </w:r>
      <w:r w:rsidR="00967D0A" w:rsidRPr="00275282">
        <w:t>116 vehicle parking spots and 25 parking spots for trucks.</w:t>
      </w:r>
      <w:r w:rsidR="00967D0A" w:rsidRPr="00967D0A">
        <w:t xml:space="preserve"> </w:t>
      </w:r>
      <w:bookmarkEnd w:id="23"/>
      <w:r w:rsidR="00967D0A" w:rsidRPr="00967D0A">
        <w:t>The southeastern area of the site is vacant and undeveloped. The ground surface cover in this area consists of exposed soil with moderate to extensive native grass and weed growth.</w:t>
      </w:r>
      <w:r w:rsidR="00ED2E07" w:rsidRPr="00275282">
        <w:t xml:space="preserve"> Several mature </w:t>
      </w:r>
      <w:r w:rsidR="00967D0A">
        <w:t xml:space="preserve">ornamental </w:t>
      </w:r>
      <w:r w:rsidR="00ED2E07" w:rsidRPr="00275282">
        <w:t>trees are at the entrance to the northern parking lot</w:t>
      </w:r>
      <w:r w:rsidR="00953A26">
        <w:t>,</w:t>
      </w:r>
      <w:r w:rsidRPr="00275282">
        <w:t xml:space="preserve"> </w:t>
      </w:r>
      <w:r w:rsidR="006738BE">
        <w:t xml:space="preserve">along with </w:t>
      </w:r>
      <w:r w:rsidR="00967D0A">
        <w:t>a few</w:t>
      </w:r>
      <w:r w:rsidR="006738BE">
        <w:t xml:space="preserve"> shrubs</w:t>
      </w:r>
      <w:r w:rsidRPr="00275282">
        <w:t>.</w:t>
      </w:r>
    </w:p>
    <w:p w14:paraId="6183D605" w14:textId="77777777" w:rsidR="00AB41B6" w:rsidRPr="002B2540" w:rsidRDefault="00CF6B9B" w:rsidP="00AB41B6">
      <w:pPr>
        <w:pStyle w:val="BodyText"/>
      </w:pPr>
      <w:r>
        <w:t>The existing building is surrounded by either metal fencing or chain</w:t>
      </w:r>
      <w:r w:rsidR="00953A26">
        <w:t>-</w:t>
      </w:r>
      <w:r>
        <w:t xml:space="preserve">link fences. On the south side of the site, near the southern gate, is evidence of former underground storage tanks. </w:t>
      </w:r>
      <w:r w:rsidRPr="00CF6B9B">
        <w:t>Heating and cooling systems are present at the site</w:t>
      </w:r>
      <w:r>
        <w:t xml:space="preserve"> along with clarifiers</w:t>
      </w:r>
      <w:r w:rsidR="00953A26">
        <w:t>—o</w:t>
      </w:r>
      <w:r>
        <w:t>ne</w:t>
      </w:r>
      <w:r w:rsidR="007101A7">
        <w:t xml:space="preserve"> clarifier</w:t>
      </w:r>
      <w:r>
        <w:t xml:space="preserve"> at the north side of the building where the truck wash </w:t>
      </w:r>
      <w:r w:rsidR="008802D0">
        <w:t>was</w:t>
      </w:r>
      <w:r>
        <w:t xml:space="preserve"> located and another on the east side of the building within the loading bay. No </w:t>
      </w:r>
      <w:r w:rsidRPr="002B2540">
        <w:t>catch basins were observed on the site. Drains on the site appeared to be stormwater drains.</w:t>
      </w:r>
      <w:bookmarkEnd w:id="22"/>
      <w:r w:rsidRPr="002B2540">
        <w:t xml:space="preserve"> </w:t>
      </w:r>
      <w:r w:rsidR="00AB41B6" w:rsidRPr="002B2540">
        <w:t xml:space="preserve">A public sidewalk runs along the entire stretch of the </w:t>
      </w:r>
      <w:r w:rsidR="00275282" w:rsidRPr="002B2540">
        <w:t>western</w:t>
      </w:r>
      <w:r w:rsidR="00AB41B6" w:rsidRPr="002B2540">
        <w:t xml:space="preserve"> site boundary. Current vehicular access to the project site is via driveways off Los </w:t>
      </w:r>
      <w:r w:rsidR="00275282" w:rsidRPr="002B2540">
        <w:t>Angeles Street</w:t>
      </w:r>
      <w:r w:rsidR="00AB41B6" w:rsidRPr="002B2540">
        <w:t xml:space="preserve"> and </w:t>
      </w:r>
      <w:r w:rsidR="00275282" w:rsidRPr="002B2540">
        <w:t>Azusa Canyon Road</w:t>
      </w:r>
      <w:r w:rsidR="00AB41B6" w:rsidRPr="002B2540">
        <w:t>.</w:t>
      </w:r>
    </w:p>
    <w:p w14:paraId="26937AF4" w14:textId="77777777" w:rsidR="00FC3FA3" w:rsidRDefault="002B2540" w:rsidP="00C9306F">
      <w:pPr>
        <w:pStyle w:val="BodyText"/>
      </w:pPr>
      <w:r w:rsidRPr="002B2540">
        <w:t>Based on a review of historical information</w:t>
      </w:r>
      <w:r w:rsidR="006F03A6">
        <w:t>,</w:t>
      </w:r>
      <w:r w:rsidR="006F03A6" w:rsidRPr="002B2540">
        <w:t xml:space="preserve"> </w:t>
      </w:r>
      <w:r w:rsidRPr="002B2540">
        <w:t>the project site appears to have been used as an orchard from at least 1928 until around 1952</w:t>
      </w:r>
      <w:r w:rsidR="006F03A6">
        <w:t>,</w:t>
      </w:r>
      <w:r w:rsidRPr="002B2540">
        <w:t xml:space="preserve"> when the site </w:t>
      </w:r>
      <w:r w:rsidR="00804463">
        <w:t>became</w:t>
      </w:r>
      <w:r w:rsidR="00804463" w:rsidRPr="002B2540">
        <w:t xml:space="preserve"> </w:t>
      </w:r>
      <w:r w:rsidRPr="002B2540">
        <w:t xml:space="preserve">vacant. The current main building was constructed in 1956 and </w:t>
      </w:r>
      <w:r w:rsidR="006F03A6">
        <w:t>was</w:t>
      </w:r>
      <w:r w:rsidRPr="002B2540">
        <w:t xml:space="preserve"> used by PepsiCo as a </w:t>
      </w:r>
      <w:r w:rsidR="007F1464" w:rsidRPr="007F1464">
        <w:t>bottling plant</w:t>
      </w:r>
      <w:r w:rsidR="007F1464">
        <w:t xml:space="preserve"> </w:t>
      </w:r>
      <w:r w:rsidR="000E016F">
        <w:t>up until December 2020</w:t>
      </w:r>
      <w:r w:rsidRPr="002B2540">
        <w:t xml:space="preserve">. Underground storage tanks </w:t>
      </w:r>
      <w:r w:rsidR="008802D0">
        <w:t>were</w:t>
      </w:r>
      <w:r w:rsidRPr="002B2540">
        <w:t xml:space="preserve"> on the southeast area of the site </w:t>
      </w:r>
      <w:r w:rsidR="008802D0">
        <w:t>and</w:t>
      </w:r>
      <w:r w:rsidRPr="002B2540">
        <w:t xml:space="preserve"> were closed under the oversight of the Los Angeles County Fire Department</w:t>
      </w:r>
      <w:bookmarkStart w:id="24" w:name="_Toc433763412"/>
      <w:bookmarkEnd w:id="7"/>
      <w:r w:rsidR="00FC3FA3">
        <w:t>.</w:t>
      </w:r>
    </w:p>
    <w:p w14:paraId="19B66632" w14:textId="31494B3E" w:rsidR="00D10CF6" w:rsidRDefault="00D10CF6" w:rsidP="00FC3FA3">
      <w:pPr>
        <w:pStyle w:val="Heading3"/>
      </w:pPr>
      <w:r w:rsidRPr="00FC3FA3">
        <w:t>Surrounding Land Use</w:t>
      </w:r>
      <w:bookmarkEnd w:id="24"/>
    </w:p>
    <w:p w14:paraId="057B409E" w14:textId="3ED0B006" w:rsidR="0028590E" w:rsidRDefault="00612B15" w:rsidP="00612B15">
      <w:pPr>
        <w:pStyle w:val="BodyText"/>
        <w:rPr>
          <w:rStyle w:val="InsertText"/>
          <w:color w:val="auto"/>
        </w:rPr>
      </w:pPr>
      <w:r w:rsidRPr="002F1791">
        <w:t xml:space="preserve">As shown in Figure 3, </w:t>
      </w:r>
      <w:r w:rsidRPr="002F1791">
        <w:rPr>
          <w:rStyle w:val="BodyTextItalicChar"/>
        </w:rPr>
        <w:t>Aerial Photograph</w:t>
      </w:r>
      <w:r w:rsidRPr="002F1791">
        <w:t>, t</w:t>
      </w:r>
      <w:r w:rsidRPr="002F1791">
        <w:rPr>
          <w:rStyle w:val="InsertText"/>
          <w:color w:val="auto"/>
        </w:rPr>
        <w:t xml:space="preserve">he project site is immediately surrounded by business and industrial uses to the north, east, and south. </w:t>
      </w:r>
      <w:r w:rsidR="00710DE1" w:rsidRPr="002F1791">
        <w:rPr>
          <w:rStyle w:val="InsertText"/>
          <w:color w:val="auto"/>
        </w:rPr>
        <w:t>The Olive Pit min</w:t>
      </w:r>
      <w:r w:rsidR="00DB3292">
        <w:rPr>
          <w:rStyle w:val="InsertText"/>
          <w:color w:val="auto"/>
        </w:rPr>
        <w:t>e site/sand and gravel</w:t>
      </w:r>
      <w:r w:rsidR="00710DE1" w:rsidRPr="002F1791">
        <w:rPr>
          <w:rStyle w:val="InsertText"/>
          <w:color w:val="auto"/>
        </w:rPr>
        <w:t xml:space="preserve"> quarry </w:t>
      </w:r>
      <w:r w:rsidRPr="002F1791">
        <w:rPr>
          <w:rStyle w:val="InsertText"/>
          <w:color w:val="auto"/>
        </w:rPr>
        <w:t xml:space="preserve">and </w:t>
      </w:r>
      <w:r w:rsidR="00804463">
        <w:rPr>
          <w:rStyle w:val="InsertText"/>
          <w:color w:val="auto"/>
        </w:rPr>
        <w:t xml:space="preserve">the </w:t>
      </w:r>
      <w:r w:rsidRPr="002F1791">
        <w:rPr>
          <w:rStyle w:val="InsertText"/>
          <w:color w:val="auto"/>
        </w:rPr>
        <w:t xml:space="preserve">City Public Works yard </w:t>
      </w:r>
      <w:r w:rsidR="00DB3292">
        <w:rPr>
          <w:rStyle w:val="InsertText"/>
          <w:color w:val="auto"/>
        </w:rPr>
        <w:t>are</w:t>
      </w:r>
      <w:r w:rsidRPr="002F1791">
        <w:rPr>
          <w:rStyle w:val="InsertText"/>
          <w:color w:val="auto"/>
        </w:rPr>
        <w:t xml:space="preserve"> west of Azusa Canyon Road. </w:t>
      </w:r>
      <w:r w:rsidR="00ED0AB1" w:rsidRPr="002F1791">
        <w:rPr>
          <w:rStyle w:val="InsertText"/>
          <w:color w:val="auto"/>
        </w:rPr>
        <w:t>R</w:t>
      </w:r>
      <w:r w:rsidRPr="002F1791">
        <w:rPr>
          <w:rStyle w:val="InsertText"/>
          <w:color w:val="auto"/>
        </w:rPr>
        <w:t>esidential area</w:t>
      </w:r>
      <w:r w:rsidR="00ED0AB1" w:rsidRPr="002F1791">
        <w:rPr>
          <w:rStyle w:val="InsertText"/>
          <w:color w:val="auto"/>
        </w:rPr>
        <w:t>s</w:t>
      </w:r>
      <w:r w:rsidRPr="002F1791">
        <w:rPr>
          <w:rStyle w:val="InsertText"/>
          <w:color w:val="auto"/>
        </w:rPr>
        <w:t xml:space="preserve"> </w:t>
      </w:r>
      <w:r w:rsidR="00ED0AB1" w:rsidRPr="002F1791">
        <w:rPr>
          <w:rStyle w:val="InsertText"/>
          <w:color w:val="auto"/>
        </w:rPr>
        <w:t>are</w:t>
      </w:r>
      <w:r w:rsidRPr="002F1791">
        <w:rPr>
          <w:rStyle w:val="InsertText"/>
          <w:color w:val="auto"/>
        </w:rPr>
        <w:t xml:space="preserve"> </w:t>
      </w:r>
      <w:r w:rsidR="00ED0AB1" w:rsidRPr="002F1791">
        <w:rPr>
          <w:rStyle w:val="InsertText"/>
          <w:color w:val="auto"/>
        </w:rPr>
        <w:t xml:space="preserve">within a 1,000-foot radius to the </w:t>
      </w:r>
      <w:r w:rsidRPr="002F1791">
        <w:rPr>
          <w:rStyle w:val="InsertText"/>
          <w:color w:val="auto"/>
        </w:rPr>
        <w:t>northeast</w:t>
      </w:r>
      <w:r w:rsidR="00ED0AB1" w:rsidRPr="002F1791">
        <w:rPr>
          <w:rStyle w:val="InsertText"/>
          <w:color w:val="auto"/>
        </w:rPr>
        <w:t>, southeast</w:t>
      </w:r>
      <w:r w:rsidR="006F03A6" w:rsidRPr="002F1791">
        <w:rPr>
          <w:rStyle w:val="InsertText"/>
          <w:color w:val="auto"/>
        </w:rPr>
        <w:t>,</w:t>
      </w:r>
      <w:r w:rsidR="0028590E" w:rsidRPr="002F1791">
        <w:rPr>
          <w:rStyle w:val="InsertText"/>
          <w:color w:val="auto"/>
        </w:rPr>
        <w:t xml:space="preserve"> </w:t>
      </w:r>
      <w:r w:rsidR="00ED0AB1" w:rsidRPr="002F1791">
        <w:rPr>
          <w:rStyle w:val="InsertText"/>
          <w:color w:val="auto"/>
        </w:rPr>
        <w:t>south</w:t>
      </w:r>
      <w:r w:rsidR="00E8053F" w:rsidRPr="002F1791">
        <w:rPr>
          <w:rStyle w:val="InsertText"/>
          <w:color w:val="auto"/>
        </w:rPr>
        <w:t>, and southwest</w:t>
      </w:r>
      <w:r w:rsidR="00ED0AB1" w:rsidRPr="002F1791">
        <w:rPr>
          <w:rStyle w:val="InsertText"/>
          <w:color w:val="auto"/>
        </w:rPr>
        <w:t xml:space="preserve"> </w:t>
      </w:r>
      <w:r w:rsidRPr="002F1791">
        <w:rPr>
          <w:rStyle w:val="InsertText"/>
          <w:color w:val="auto"/>
        </w:rPr>
        <w:t>of the project site.</w:t>
      </w:r>
      <w:r w:rsidR="00E8053F" w:rsidRPr="002F1791">
        <w:rPr>
          <w:rStyle w:val="InsertText"/>
          <w:color w:val="auto"/>
        </w:rPr>
        <w:t xml:space="preserve"> </w:t>
      </w:r>
      <w:r w:rsidR="0028590E" w:rsidRPr="002F1791">
        <w:t>The</w:t>
      </w:r>
      <w:r w:rsidR="00E8053F" w:rsidRPr="002F1791">
        <w:t xml:space="preserve"> closest</w:t>
      </w:r>
      <w:r w:rsidR="0028590E" w:rsidRPr="002F1791">
        <w:t xml:space="preserve"> sensitive receptor</w:t>
      </w:r>
      <w:r w:rsidR="00E8053F" w:rsidRPr="002F1791">
        <w:t>s</w:t>
      </w:r>
      <w:r w:rsidR="0028590E" w:rsidRPr="002F1791">
        <w:t xml:space="preserve"> </w:t>
      </w:r>
      <w:r w:rsidR="00E8053F" w:rsidRPr="002F1791">
        <w:t>are</w:t>
      </w:r>
      <w:r w:rsidR="0028590E" w:rsidRPr="002F1791">
        <w:t xml:space="preserve"> a single-family residence approximately </w:t>
      </w:r>
      <w:r w:rsidR="00204222" w:rsidRPr="002F1791">
        <w:t>5</w:t>
      </w:r>
      <w:r w:rsidR="00204222">
        <w:t>5</w:t>
      </w:r>
      <w:r w:rsidR="00204222" w:rsidRPr="002F1791">
        <w:t xml:space="preserve">0 </w:t>
      </w:r>
      <w:r w:rsidR="0028590E" w:rsidRPr="002F1791">
        <w:t>feet north</w:t>
      </w:r>
      <w:r w:rsidR="003B488E">
        <w:t>east</w:t>
      </w:r>
      <w:r w:rsidR="0028590E" w:rsidRPr="002F1791">
        <w:t xml:space="preserve"> on East Cypress Street and a mobile home park approximately 700 feet to the southwest.</w:t>
      </w:r>
    </w:p>
    <w:p w14:paraId="646AA691" w14:textId="77777777" w:rsidR="00612B15" w:rsidRPr="00617ACC" w:rsidRDefault="00612B15" w:rsidP="00612B15">
      <w:pPr>
        <w:pStyle w:val="Heading2"/>
      </w:pPr>
      <w:bookmarkStart w:id="25" w:name="_Toc24541277"/>
      <w:bookmarkStart w:id="26" w:name="_Toc90882144"/>
      <w:r w:rsidRPr="00617ACC">
        <w:t xml:space="preserve">Environmental </w:t>
      </w:r>
      <w:r w:rsidRPr="00612B15">
        <w:t>Resources</w:t>
      </w:r>
      <w:bookmarkEnd w:id="25"/>
      <w:bookmarkEnd w:id="26"/>
    </w:p>
    <w:p w14:paraId="6A84F937" w14:textId="77777777" w:rsidR="00E6158F" w:rsidRDefault="00612B15" w:rsidP="00612B15">
      <w:pPr>
        <w:pStyle w:val="BodyText"/>
      </w:pPr>
      <w:r w:rsidRPr="00F407F1">
        <w:t xml:space="preserve">The project site and its immediate surroundings are highly disturbed and/or developed, and there are no biological resources onsite or within the surrounding area. The project site contains no historic buildings, housing, scenic resources, mineral resources, notable trees, or water bodies. Additional information regarding environmental resources on the project site and its surroundings—or the lack of such resources—can be found in Section 3, </w:t>
      </w:r>
      <w:r w:rsidRPr="00F407F1">
        <w:rPr>
          <w:rStyle w:val="BodyTextItalicChar"/>
        </w:rPr>
        <w:t>Environmental Analysis</w:t>
      </w:r>
      <w:r w:rsidRPr="00F407F1">
        <w:t>, of this Initial Study under each respective environmental topic.</w:t>
      </w:r>
      <w:bookmarkStart w:id="27" w:name="_Toc433763413"/>
    </w:p>
    <w:p w14:paraId="0A59AC71" w14:textId="77777777" w:rsidR="000C3688" w:rsidRDefault="00D10CF6" w:rsidP="000C3688">
      <w:pPr>
        <w:pStyle w:val="Heading2"/>
      </w:pPr>
      <w:bookmarkStart w:id="28" w:name="_Toc90882145"/>
      <w:bookmarkEnd w:id="27"/>
      <w:r>
        <w:t>PROJECT DESCRIPTION</w:t>
      </w:r>
      <w:bookmarkEnd w:id="28"/>
    </w:p>
    <w:p w14:paraId="2D392F63" w14:textId="77777777" w:rsidR="00B65A0D" w:rsidRDefault="00B65A0D" w:rsidP="00B65A0D">
      <w:pPr>
        <w:pStyle w:val="BodyText"/>
      </w:pPr>
      <w:r>
        <w:t>Following is a detailed description of the proposed project’s overall site plan and character and the various development features/elements and improvements that would be implemented as a part of the project.</w:t>
      </w:r>
    </w:p>
    <w:p w14:paraId="05DBB59F" w14:textId="77777777" w:rsidR="00B65A0D" w:rsidRDefault="00B65A0D" w:rsidP="00B65A0D">
      <w:pPr>
        <w:pStyle w:val="Heading3"/>
      </w:pPr>
      <w:r>
        <w:t>Site Plan and Character</w:t>
      </w:r>
    </w:p>
    <w:p w14:paraId="58D34145" w14:textId="77777777" w:rsidR="00B65A0D" w:rsidRDefault="00B65A0D" w:rsidP="00B65A0D">
      <w:pPr>
        <w:pStyle w:val="BodyText"/>
      </w:pPr>
      <w:bookmarkStart w:id="29" w:name="_Hlk79234131"/>
      <w:bookmarkStart w:id="30" w:name="_Hlk71536021"/>
      <w:r>
        <w:t>Rexford Industrial Realty (project applicant) proposes to develop the 5.</w:t>
      </w:r>
      <w:r w:rsidR="00F16BA2">
        <w:t>89</w:t>
      </w:r>
      <w:r>
        <w:t>-acre project site with a stand</w:t>
      </w:r>
      <w:r>
        <w:rPr>
          <w:rFonts w:ascii="Cambria Math" w:hAnsi="Cambria Math" w:cs="Cambria Math"/>
        </w:rPr>
        <w:t>‐</w:t>
      </w:r>
      <w:r>
        <w:t>alone concrete tilt</w:t>
      </w:r>
      <w:r>
        <w:rPr>
          <w:rFonts w:ascii="Cambria Math" w:hAnsi="Cambria Math" w:cs="Cambria Math"/>
        </w:rPr>
        <w:t>‐</w:t>
      </w:r>
      <w:r>
        <w:t xml:space="preserve">up warehouse, office, and manufacturing facility at </w:t>
      </w:r>
      <w:bookmarkStart w:id="31" w:name="_Hlk70589845"/>
      <w:r>
        <w:t>4416 Azusa Canyon Road</w:t>
      </w:r>
      <w:bookmarkEnd w:id="31"/>
      <w:r>
        <w:t xml:space="preserve">. The site’s development would involve demolition of the existing building on-site, currently occupied by the Pepsi Bottling Group, which ceased operation on December 5, 2020. </w:t>
      </w:r>
      <w:bookmarkEnd w:id="29"/>
      <w:r>
        <w:t xml:space="preserve">The existing site features and improvements to be demolished and removed are shown in Figure </w:t>
      </w:r>
      <w:r w:rsidR="00EE3F38">
        <w:t>3</w:t>
      </w:r>
      <w:r>
        <w:t xml:space="preserve">, </w:t>
      </w:r>
      <w:r>
        <w:rPr>
          <w:i/>
          <w:iCs/>
        </w:rPr>
        <w:t>Aerial Photograph</w:t>
      </w:r>
      <w:r>
        <w:t>.</w:t>
      </w:r>
    </w:p>
    <w:p w14:paraId="3B7BC9DC" w14:textId="5EB0E91A" w:rsidR="00B65A0D" w:rsidRDefault="00B65A0D" w:rsidP="00B65A0D">
      <w:pPr>
        <w:pStyle w:val="BodyText"/>
      </w:pPr>
      <w:r>
        <w:t xml:space="preserve">After clearing, the project site would be developed with the 4416 Azusa Canyon Road project (proposed project). Future uses/tenants are described as speculative, and the specific warehousing types have not been defined. Similarly, other industrial or potential manufacturing uses have not been specified. Prospective tenants would operate out of a proposed building </w:t>
      </w:r>
      <w:bookmarkStart w:id="32" w:name="_Hlk70596765"/>
      <w:r>
        <w:t>with a footprint of 125,500 square feet</w:t>
      </w:r>
      <w:bookmarkEnd w:id="32"/>
      <w:r>
        <w:t xml:space="preserve">. The total landscaped area on-site would be </w:t>
      </w:r>
      <w:r w:rsidR="00C46417">
        <w:t>27,979</w:t>
      </w:r>
      <w:r>
        <w:t xml:space="preserve"> square feet.</w:t>
      </w:r>
    </w:p>
    <w:bookmarkEnd w:id="30"/>
    <w:p w14:paraId="16FBD5F1" w14:textId="77777777" w:rsidR="00B65A0D" w:rsidRDefault="00B65A0D" w:rsidP="00B65A0D">
      <w:pPr>
        <w:pStyle w:val="BodyText"/>
      </w:pPr>
      <w:r>
        <w:t>Building occupancy would include office, manufacturing, and warehouse uses, as shown in Table 1. The proposed project would also include 18 dock-door positions within a screened and secured truck court area on the southeastern side of the site.</w:t>
      </w:r>
    </w:p>
    <w:tbl>
      <w:tblPr>
        <w:tblW w:w="9360" w:type="dxa"/>
        <w:tblBorders>
          <w:top w:val="single" w:sz="12" w:space="0" w:color="auto"/>
          <w:bottom w:val="single" w:sz="12" w:space="0" w:color="auto"/>
          <w:insideH w:val="single" w:sz="8" w:space="0" w:color="auto"/>
          <w:insideV w:val="single" w:sz="4" w:space="0" w:color="auto"/>
        </w:tblBorders>
        <w:tblLayout w:type="fixed"/>
        <w:tblCellMar>
          <w:top w:w="14" w:type="dxa"/>
          <w:left w:w="115" w:type="dxa"/>
          <w:right w:w="115" w:type="dxa"/>
        </w:tblCellMar>
        <w:tblLook w:val="04A0" w:firstRow="1" w:lastRow="0" w:firstColumn="1" w:lastColumn="0" w:noHBand="0" w:noVBand="1"/>
      </w:tblPr>
      <w:tblGrid>
        <w:gridCol w:w="3330"/>
        <w:gridCol w:w="6030"/>
      </w:tblGrid>
      <w:tr w:rsidR="00B65A0D" w14:paraId="1C94962F" w14:textId="77777777" w:rsidTr="00B65A0D">
        <w:tc>
          <w:tcPr>
            <w:tcW w:w="9360" w:type="dxa"/>
            <w:gridSpan w:val="2"/>
            <w:tcBorders>
              <w:top w:val="nil"/>
              <w:left w:val="nil"/>
              <w:bottom w:val="single" w:sz="12" w:space="0" w:color="auto"/>
              <w:right w:val="nil"/>
            </w:tcBorders>
            <w:hideMark/>
          </w:tcPr>
          <w:p w14:paraId="564B29EF" w14:textId="77777777" w:rsidR="00B65A0D" w:rsidRDefault="00B65A0D" w:rsidP="007101A7">
            <w:pPr>
              <w:pStyle w:val="TblTitles"/>
              <w:keepNext/>
            </w:pPr>
            <w:bookmarkStart w:id="33" w:name="_Toc90882247"/>
            <w:r>
              <w:t xml:space="preserve">Table </w:t>
            </w:r>
            <w:r w:rsidR="006F03A6">
              <w:t>1</w:t>
            </w:r>
            <w:r w:rsidR="006F03A6">
              <w:tab/>
            </w:r>
            <w:r>
              <w:t>Floor Area Distribution for Proposed Use</w:t>
            </w:r>
            <w:bookmarkEnd w:id="33"/>
          </w:p>
        </w:tc>
      </w:tr>
      <w:tr w:rsidR="00B65A0D" w14:paraId="755E1B8F" w14:textId="77777777" w:rsidTr="00B65A0D">
        <w:tc>
          <w:tcPr>
            <w:tcW w:w="3330" w:type="dxa"/>
            <w:tcBorders>
              <w:top w:val="single" w:sz="8" w:space="0" w:color="auto"/>
              <w:left w:val="nil"/>
              <w:bottom w:val="single" w:sz="12" w:space="0" w:color="auto"/>
              <w:right w:val="single" w:sz="6" w:space="0" w:color="auto"/>
            </w:tcBorders>
            <w:hideMark/>
          </w:tcPr>
          <w:p w14:paraId="0B52532F" w14:textId="77777777" w:rsidR="00B65A0D" w:rsidRDefault="00B65A0D">
            <w:pPr>
              <w:pStyle w:val="TblColumnHeads"/>
            </w:pPr>
            <w:r>
              <w:t>Proposed Uses</w:t>
            </w:r>
          </w:p>
        </w:tc>
        <w:tc>
          <w:tcPr>
            <w:tcW w:w="6030" w:type="dxa"/>
            <w:tcBorders>
              <w:top w:val="single" w:sz="6" w:space="0" w:color="auto"/>
              <w:left w:val="single" w:sz="6" w:space="0" w:color="auto"/>
              <w:bottom w:val="single" w:sz="12" w:space="0" w:color="auto"/>
              <w:right w:val="nil"/>
            </w:tcBorders>
            <w:vAlign w:val="bottom"/>
            <w:hideMark/>
          </w:tcPr>
          <w:p w14:paraId="704DD7D6" w14:textId="77777777" w:rsidR="00B65A0D" w:rsidRDefault="00B65A0D">
            <w:pPr>
              <w:pStyle w:val="TblColumnHeads"/>
            </w:pPr>
            <w:r>
              <w:t>Area (Square Feet)</w:t>
            </w:r>
          </w:p>
        </w:tc>
      </w:tr>
      <w:tr w:rsidR="00B65A0D" w14:paraId="08B7C70D" w14:textId="77777777" w:rsidTr="00B65A0D">
        <w:trPr>
          <w:trHeight w:val="33"/>
        </w:trPr>
        <w:tc>
          <w:tcPr>
            <w:tcW w:w="3330" w:type="dxa"/>
            <w:tcBorders>
              <w:top w:val="single" w:sz="6" w:space="0" w:color="auto"/>
              <w:left w:val="nil"/>
              <w:bottom w:val="single" w:sz="6" w:space="0" w:color="auto"/>
              <w:right w:val="single" w:sz="6" w:space="0" w:color="auto"/>
            </w:tcBorders>
            <w:vAlign w:val="center"/>
            <w:hideMark/>
          </w:tcPr>
          <w:p w14:paraId="36542FAA" w14:textId="77777777" w:rsidR="00B65A0D" w:rsidRDefault="00B65A0D">
            <w:pPr>
              <w:pStyle w:val="TblTxt1"/>
              <w:ind w:left="0" w:firstLine="0"/>
            </w:pPr>
            <w:r>
              <w:t>Ground Floor Warehousing</w:t>
            </w:r>
          </w:p>
        </w:tc>
        <w:tc>
          <w:tcPr>
            <w:tcW w:w="6030" w:type="dxa"/>
            <w:tcBorders>
              <w:top w:val="single" w:sz="6" w:space="0" w:color="auto"/>
              <w:left w:val="single" w:sz="6" w:space="0" w:color="auto"/>
              <w:bottom w:val="single" w:sz="6" w:space="0" w:color="auto"/>
              <w:right w:val="nil"/>
            </w:tcBorders>
            <w:vAlign w:val="center"/>
            <w:hideMark/>
          </w:tcPr>
          <w:p w14:paraId="56B56A31" w14:textId="77777777" w:rsidR="00B65A0D" w:rsidRDefault="00B65A0D">
            <w:pPr>
              <w:pStyle w:val="TblTxt1"/>
              <w:tabs>
                <w:tab w:val="decimal" w:pos="3091"/>
              </w:tabs>
              <w:ind w:left="0" w:firstLine="0"/>
            </w:pPr>
            <w:bookmarkStart w:id="34" w:name="_Hlk75698920"/>
            <w:r>
              <w:t>103,670</w:t>
            </w:r>
            <w:bookmarkEnd w:id="34"/>
          </w:p>
        </w:tc>
      </w:tr>
      <w:tr w:rsidR="00B65A0D" w14:paraId="1C7D0252" w14:textId="77777777" w:rsidTr="00B65A0D">
        <w:trPr>
          <w:trHeight w:val="33"/>
        </w:trPr>
        <w:tc>
          <w:tcPr>
            <w:tcW w:w="3330" w:type="dxa"/>
            <w:tcBorders>
              <w:top w:val="single" w:sz="6" w:space="0" w:color="auto"/>
              <w:left w:val="nil"/>
              <w:bottom w:val="single" w:sz="6" w:space="0" w:color="auto"/>
              <w:right w:val="single" w:sz="6" w:space="0" w:color="auto"/>
            </w:tcBorders>
            <w:vAlign w:val="center"/>
            <w:hideMark/>
          </w:tcPr>
          <w:p w14:paraId="0D5BEAC2" w14:textId="77777777" w:rsidR="00B65A0D" w:rsidRDefault="00B65A0D">
            <w:pPr>
              <w:pStyle w:val="TblTxt1"/>
              <w:ind w:left="0" w:firstLine="0"/>
            </w:pPr>
            <w:r>
              <w:t>Ground Floor Manufacturing</w:t>
            </w:r>
          </w:p>
        </w:tc>
        <w:tc>
          <w:tcPr>
            <w:tcW w:w="6030" w:type="dxa"/>
            <w:tcBorders>
              <w:top w:val="single" w:sz="6" w:space="0" w:color="auto"/>
              <w:left w:val="single" w:sz="6" w:space="0" w:color="auto"/>
              <w:bottom w:val="single" w:sz="6" w:space="0" w:color="auto"/>
              <w:right w:val="nil"/>
            </w:tcBorders>
            <w:vAlign w:val="center"/>
            <w:hideMark/>
          </w:tcPr>
          <w:p w14:paraId="1A49CE53" w14:textId="77777777" w:rsidR="00B65A0D" w:rsidRDefault="00B65A0D">
            <w:pPr>
              <w:pStyle w:val="TblTxt1"/>
              <w:tabs>
                <w:tab w:val="decimal" w:pos="3091"/>
              </w:tabs>
              <w:ind w:left="0" w:firstLine="0"/>
            </w:pPr>
            <w:r>
              <w:t>17,000</w:t>
            </w:r>
          </w:p>
        </w:tc>
      </w:tr>
      <w:tr w:rsidR="00B65A0D" w14:paraId="51EB3B44" w14:textId="77777777" w:rsidTr="00B65A0D">
        <w:trPr>
          <w:trHeight w:val="33"/>
        </w:trPr>
        <w:tc>
          <w:tcPr>
            <w:tcW w:w="3330" w:type="dxa"/>
            <w:tcBorders>
              <w:top w:val="single" w:sz="6" w:space="0" w:color="auto"/>
              <w:left w:val="nil"/>
              <w:bottom w:val="single" w:sz="6" w:space="0" w:color="auto"/>
              <w:right w:val="single" w:sz="6" w:space="0" w:color="auto"/>
            </w:tcBorders>
            <w:vAlign w:val="center"/>
            <w:hideMark/>
          </w:tcPr>
          <w:p w14:paraId="02CED82A" w14:textId="77777777" w:rsidR="00B65A0D" w:rsidRDefault="00B65A0D">
            <w:pPr>
              <w:pStyle w:val="TblTxt1"/>
              <w:ind w:left="337" w:hanging="337"/>
            </w:pPr>
            <w:r>
              <w:t>Ground Floor Office</w:t>
            </w:r>
          </w:p>
        </w:tc>
        <w:tc>
          <w:tcPr>
            <w:tcW w:w="6030" w:type="dxa"/>
            <w:tcBorders>
              <w:top w:val="single" w:sz="6" w:space="0" w:color="auto"/>
              <w:left w:val="single" w:sz="6" w:space="0" w:color="auto"/>
              <w:bottom w:val="single" w:sz="6" w:space="0" w:color="auto"/>
              <w:right w:val="nil"/>
            </w:tcBorders>
            <w:vAlign w:val="center"/>
            <w:hideMark/>
          </w:tcPr>
          <w:p w14:paraId="5447649A" w14:textId="77777777" w:rsidR="00B65A0D" w:rsidRDefault="00B65A0D">
            <w:pPr>
              <w:pStyle w:val="TblTxt1"/>
              <w:tabs>
                <w:tab w:val="decimal" w:pos="3091"/>
              </w:tabs>
              <w:ind w:left="0" w:firstLine="0"/>
            </w:pPr>
            <w:r>
              <w:t>4,830</w:t>
            </w:r>
          </w:p>
        </w:tc>
      </w:tr>
      <w:tr w:rsidR="00B65A0D" w14:paraId="7F574751" w14:textId="77777777" w:rsidTr="00B65A0D">
        <w:trPr>
          <w:trHeight w:val="33"/>
        </w:trPr>
        <w:tc>
          <w:tcPr>
            <w:tcW w:w="3330" w:type="dxa"/>
            <w:tcBorders>
              <w:top w:val="single" w:sz="6" w:space="0" w:color="auto"/>
              <w:left w:val="nil"/>
              <w:bottom w:val="single" w:sz="12" w:space="0" w:color="auto"/>
              <w:right w:val="single" w:sz="6" w:space="0" w:color="auto"/>
            </w:tcBorders>
            <w:vAlign w:val="center"/>
            <w:hideMark/>
          </w:tcPr>
          <w:p w14:paraId="484D8FF2" w14:textId="77777777" w:rsidR="00B65A0D" w:rsidRDefault="00B65A0D">
            <w:pPr>
              <w:pStyle w:val="TblTxt1"/>
              <w:ind w:left="337" w:hanging="337"/>
            </w:pPr>
            <w:r>
              <w:t>Mezzanine Office</w:t>
            </w:r>
          </w:p>
        </w:tc>
        <w:tc>
          <w:tcPr>
            <w:tcW w:w="6030" w:type="dxa"/>
            <w:tcBorders>
              <w:top w:val="single" w:sz="6" w:space="0" w:color="auto"/>
              <w:left w:val="single" w:sz="6" w:space="0" w:color="auto"/>
              <w:bottom w:val="single" w:sz="12" w:space="0" w:color="auto"/>
              <w:right w:val="nil"/>
            </w:tcBorders>
            <w:vAlign w:val="center"/>
            <w:hideMark/>
          </w:tcPr>
          <w:p w14:paraId="6298147F" w14:textId="77777777" w:rsidR="00B65A0D" w:rsidRDefault="00B65A0D">
            <w:pPr>
              <w:pStyle w:val="TblTxt1"/>
              <w:tabs>
                <w:tab w:val="decimal" w:pos="3091"/>
              </w:tabs>
              <w:ind w:left="0" w:firstLine="0"/>
            </w:pPr>
            <w:r>
              <w:t>4,330</w:t>
            </w:r>
          </w:p>
        </w:tc>
      </w:tr>
      <w:tr w:rsidR="00B65A0D" w14:paraId="29449396" w14:textId="77777777" w:rsidTr="00B65A0D">
        <w:trPr>
          <w:trHeight w:val="33"/>
        </w:trPr>
        <w:tc>
          <w:tcPr>
            <w:tcW w:w="3330" w:type="dxa"/>
            <w:tcBorders>
              <w:top w:val="single" w:sz="12" w:space="0" w:color="auto"/>
              <w:left w:val="nil"/>
              <w:bottom w:val="single" w:sz="12" w:space="0" w:color="auto"/>
              <w:right w:val="single" w:sz="6" w:space="0" w:color="auto"/>
            </w:tcBorders>
            <w:vAlign w:val="center"/>
            <w:hideMark/>
          </w:tcPr>
          <w:p w14:paraId="5257DFF1" w14:textId="77777777" w:rsidR="00B65A0D" w:rsidRDefault="00B65A0D">
            <w:pPr>
              <w:pStyle w:val="TblTxt1"/>
              <w:ind w:left="600" w:hanging="450"/>
              <w:jc w:val="right"/>
              <w:rPr>
                <w:b/>
                <w:bCs/>
              </w:rPr>
            </w:pPr>
            <w:r>
              <w:rPr>
                <w:b/>
                <w:bCs/>
              </w:rPr>
              <w:t>Total</w:t>
            </w:r>
          </w:p>
        </w:tc>
        <w:tc>
          <w:tcPr>
            <w:tcW w:w="6030" w:type="dxa"/>
            <w:tcBorders>
              <w:top w:val="single" w:sz="12" w:space="0" w:color="auto"/>
              <w:left w:val="single" w:sz="6" w:space="0" w:color="auto"/>
              <w:bottom w:val="single" w:sz="12" w:space="0" w:color="auto"/>
              <w:right w:val="nil"/>
            </w:tcBorders>
            <w:vAlign w:val="center"/>
            <w:hideMark/>
          </w:tcPr>
          <w:p w14:paraId="10370196" w14:textId="77777777" w:rsidR="00B65A0D" w:rsidRDefault="00B65A0D">
            <w:pPr>
              <w:pStyle w:val="TblTxt1"/>
              <w:tabs>
                <w:tab w:val="decimal" w:pos="3091"/>
              </w:tabs>
              <w:ind w:left="0" w:firstLine="0"/>
            </w:pPr>
            <w:bookmarkStart w:id="35" w:name="_Hlk75698861"/>
            <w:r>
              <w:t>129,830</w:t>
            </w:r>
            <w:bookmarkEnd w:id="35"/>
          </w:p>
        </w:tc>
      </w:tr>
      <w:tr w:rsidR="00B65A0D" w14:paraId="67E85304" w14:textId="77777777" w:rsidTr="00C9306F">
        <w:trPr>
          <w:trHeight w:val="235"/>
        </w:trPr>
        <w:tc>
          <w:tcPr>
            <w:tcW w:w="9360" w:type="dxa"/>
            <w:gridSpan w:val="2"/>
            <w:tcBorders>
              <w:top w:val="single" w:sz="12" w:space="0" w:color="auto"/>
              <w:left w:val="nil"/>
              <w:bottom w:val="single" w:sz="12" w:space="0" w:color="auto"/>
              <w:right w:val="nil"/>
            </w:tcBorders>
            <w:vAlign w:val="center"/>
            <w:hideMark/>
          </w:tcPr>
          <w:p w14:paraId="46DEAEE5" w14:textId="77777777" w:rsidR="00B65A0D" w:rsidRDefault="00B65A0D">
            <w:pPr>
              <w:pStyle w:val="TblSourcesNotes"/>
            </w:pPr>
            <w:r>
              <w:t>Source: GAA 2021.</w:t>
            </w:r>
          </w:p>
        </w:tc>
      </w:tr>
    </w:tbl>
    <w:p w14:paraId="56C5B9C3" w14:textId="3EAA8668" w:rsidR="00C9306F" w:rsidRPr="002B2540" w:rsidRDefault="00C9306F" w:rsidP="00C9306F">
      <w:pPr>
        <w:pStyle w:val="BodyText"/>
        <w:rPr>
          <w:color w:val="4F81BD" w:themeColor="accent1"/>
        </w:rPr>
      </w:pPr>
      <w:r>
        <w:t xml:space="preserve"> </w:t>
      </w:r>
      <w:r w:rsidRPr="00617ACC">
        <w:br w:type="page"/>
      </w:r>
    </w:p>
    <w:p w14:paraId="7A744A99" w14:textId="77777777" w:rsidR="00C9306F" w:rsidRPr="00617ACC" w:rsidRDefault="00C9306F" w:rsidP="00C9306F">
      <w:pPr>
        <w:pStyle w:val="FigureTitle"/>
      </w:pPr>
      <w:bookmarkStart w:id="36" w:name="_Toc24541315"/>
      <w:bookmarkStart w:id="37" w:name="_Toc90882218"/>
      <w:r w:rsidRPr="00617ACC">
        <w:t>Figure 3</w:t>
      </w:r>
      <w:r w:rsidRPr="00617ACC">
        <w:tab/>
        <w:t>Aerial Photograph</w:t>
      </w:r>
      <w:bookmarkEnd w:id="36"/>
      <w:bookmarkEnd w:id="37"/>
    </w:p>
    <w:p w14:paraId="5A5ECAD6" w14:textId="77777777" w:rsidR="00C9306F" w:rsidRDefault="00C9306F" w:rsidP="00C9306F">
      <w:pPr>
        <w:pStyle w:val="BodyTextItalic"/>
      </w:pPr>
      <w:r w:rsidRPr="00617ACC">
        <w:br w:type="page"/>
      </w:r>
      <w:bookmarkStart w:id="38" w:name="_Hlk20839209"/>
      <w:r w:rsidRPr="00617ACC">
        <w:t>This page intentionally left blank.</w:t>
      </w:r>
    </w:p>
    <w:p w14:paraId="01986C4E" w14:textId="77777777" w:rsidR="00C9306F" w:rsidRDefault="00C9306F" w:rsidP="00C9306F">
      <w:pPr>
        <w:rPr>
          <w:kern w:val="20"/>
          <w:szCs w:val="20"/>
        </w:rPr>
      </w:pPr>
      <w:r>
        <w:br w:type="page"/>
      </w:r>
    </w:p>
    <w:p w14:paraId="4F7FA9C7" w14:textId="77777777" w:rsidR="00C9306F" w:rsidRPr="00617ACC" w:rsidRDefault="00C9306F" w:rsidP="00C9306F">
      <w:pPr>
        <w:pStyle w:val="FigureTitle"/>
      </w:pPr>
      <w:bookmarkStart w:id="39" w:name="_Toc90882219"/>
      <w:r w:rsidRPr="00617ACC">
        <w:t xml:space="preserve">Figure </w:t>
      </w:r>
      <w:r>
        <w:t>4</w:t>
      </w:r>
      <w:r w:rsidRPr="00617ACC">
        <w:tab/>
      </w:r>
      <w:r>
        <w:t>Site Photographs</w:t>
      </w:r>
      <w:bookmarkEnd w:id="39"/>
    </w:p>
    <w:p w14:paraId="6FA10F08" w14:textId="77777777" w:rsidR="00C9306F" w:rsidRPr="00617ACC" w:rsidRDefault="00C9306F" w:rsidP="00C9306F">
      <w:pPr>
        <w:pStyle w:val="BodyText"/>
        <w:rPr>
          <w:i/>
        </w:rPr>
      </w:pPr>
      <w:r w:rsidRPr="00617ACC">
        <w:br w:type="page"/>
      </w:r>
      <w:r w:rsidRPr="00617ACC">
        <w:rPr>
          <w:i/>
        </w:rPr>
        <w:t>This page intentionally left blank.</w:t>
      </w:r>
    </w:p>
    <w:p w14:paraId="10CAA61D" w14:textId="77777777" w:rsidR="00C9306F" w:rsidRPr="002C1B31" w:rsidRDefault="00C9306F" w:rsidP="00C9306F">
      <w:pPr>
        <w:pStyle w:val="BodyText"/>
      </w:pPr>
    </w:p>
    <w:bookmarkEnd w:id="38"/>
    <w:p w14:paraId="495351EB" w14:textId="77777777" w:rsidR="00C9306F" w:rsidRPr="00C9306F" w:rsidRDefault="00C9306F" w:rsidP="00C9306F">
      <w:pPr>
        <w:pStyle w:val="BodyText"/>
      </w:pPr>
      <w:r w:rsidRPr="00C9306F">
        <w:br w:type="page"/>
      </w:r>
    </w:p>
    <w:p w14:paraId="1C7A84BB" w14:textId="77777777" w:rsidR="00B65A0D" w:rsidRDefault="00B65A0D" w:rsidP="00B65A0D">
      <w:pPr>
        <w:pStyle w:val="BodyText"/>
        <w:spacing w:line="264" w:lineRule="auto"/>
      </w:pPr>
      <w:r>
        <w:t xml:space="preserve">Figure </w:t>
      </w:r>
      <w:r w:rsidR="00D05104">
        <w:t>5</w:t>
      </w:r>
      <w:r>
        <w:t xml:space="preserve">, </w:t>
      </w:r>
      <w:r>
        <w:rPr>
          <w:rStyle w:val="BodyTextItalicChar"/>
        </w:rPr>
        <w:t>Conceptual Site Plan</w:t>
      </w:r>
      <w:r>
        <w:t xml:space="preserve">, illustrates the proposed project’s overall site design. The building </w:t>
      </w:r>
      <w:bookmarkStart w:id="40" w:name="_Hlk70776574"/>
      <w:r>
        <w:t>would occupy the majority of the site, with the truck court area in the southeast portion of the site</w:t>
      </w:r>
      <w:bookmarkEnd w:id="40"/>
      <w:r>
        <w:t>. Vehicle access to the site would be via a driveway off Azusa Canyon Road, a western driveway off Los Angeles Street, and a gated eastern driveway off Los Angeles Street. Truck access would only be from the eastern gated driveway off Los Angeles Street. Architecturally and functionally, the building would be designed and constructed as a single-story, painted concrete tilt-up industrial building (up to 37 feet in height) with a mezzanine and ample interior open-storage space and high ceilings, which is typical for warehouse and distribution facilities. Primary entrance to the building would be from the western end. Designated employee and visitor parking areas would be placed on all sides of the building. The northeast corner of the site would also include parking stalls. Refer to Section 1.</w:t>
      </w:r>
      <w:r w:rsidR="00D05104">
        <w:t>6.</w:t>
      </w:r>
      <w:r>
        <w:t xml:space="preserve">4, </w:t>
      </w:r>
      <w:r>
        <w:rPr>
          <w:rStyle w:val="BodyTextItalicChar"/>
        </w:rPr>
        <w:t>Access, Circulation, and Parking</w:t>
      </w:r>
      <w:r>
        <w:t xml:space="preserve">, for further details regarding the proposed parking areas. </w:t>
      </w:r>
    </w:p>
    <w:p w14:paraId="2342C40A" w14:textId="77777777" w:rsidR="00B65A0D" w:rsidRDefault="00B65A0D" w:rsidP="00B65A0D">
      <w:pPr>
        <w:pStyle w:val="BodyText"/>
        <w:spacing w:line="264" w:lineRule="auto"/>
      </w:pPr>
      <w:bookmarkStart w:id="41" w:name="_Hlk18504337"/>
      <w:r>
        <w:t xml:space="preserve">Other site structures and improvements include enclosures for solid waste and recycling bins in the southwest corner of the truck court area and stormwater infiltration and detention facilities. The solid waste enclosures would </w:t>
      </w:r>
      <w:r w:rsidR="00D05104">
        <w:t>have</w:t>
      </w:r>
      <w:r>
        <w:t xml:space="preserve"> six-foot-high, painted, concrete tilt-up walls; an enclosure roof; and double swing gates. No above- or underground storage tanks are proposed.</w:t>
      </w:r>
    </w:p>
    <w:bookmarkEnd w:id="41"/>
    <w:p w14:paraId="53677FC2" w14:textId="77777777" w:rsidR="00B65A0D" w:rsidRDefault="00B65A0D" w:rsidP="00B65A0D">
      <w:pPr>
        <w:pStyle w:val="BodyText"/>
        <w:spacing w:line="264" w:lineRule="auto"/>
      </w:pPr>
      <w:r>
        <w:t>Other project features and improvements</w:t>
      </w:r>
      <w:r w:rsidR="00D05104" w:rsidRPr="00D05104">
        <w:t xml:space="preserve"> </w:t>
      </w:r>
      <w:r w:rsidR="00D05104">
        <w:t>are discussed in detail below</w:t>
      </w:r>
      <w:r>
        <w:t>—such as architectural and landscape design and improvements; parking, vehicular access</w:t>
      </w:r>
      <w:r w:rsidR="00D05104">
        <w:t>,</w:t>
      </w:r>
      <w:r>
        <w:t xml:space="preserve"> and circulation improvements; infrastructure improvements; and business operations.</w:t>
      </w:r>
    </w:p>
    <w:p w14:paraId="449D244C" w14:textId="77777777" w:rsidR="00B65A0D" w:rsidRDefault="00B65A0D" w:rsidP="00B65A0D">
      <w:pPr>
        <w:pStyle w:val="Heading3"/>
      </w:pPr>
      <w:bookmarkStart w:id="42" w:name="_Hlk16514955"/>
      <w:r>
        <w:t>Architectural Design and Character</w:t>
      </w:r>
    </w:p>
    <w:p w14:paraId="5B8643E3" w14:textId="77777777" w:rsidR="00B65A0D" w:rsidRDefault="00B65A0D" w:rsidP="00B65A0D">
      <w:pPr>
        <w:pStyle w:val="BodyText"/>
      </w:pPr>
      <w:bookmarkStart w:id="43" w:name="_Hlk3980586"/>
      <w:bookmarkStart w:id="44" w:name="_Hlk16257435"/>
      <w:r>
        <w:t xml:space="preserve">The building would be designed as a single-story, tilt-up industrial building (up to 37 feet in height) with a mezzanine and ample interior open-storage space and high ceilings. </w:t>
      </w:r>
      <w:bookmarkStart w:id="45" w:name="_Hlk16522590"/>
      <w:r>
        <w:t xml:space="preserve">Figure </w:t>
      </w:r>
      <w:r w:rsidR="00D05104">
        <w:t>6</w:t>
      </w:r>
      <w:r>
        <w:t xml:space="preserve">, </w:t>
      </w:r>
      <w:r>
        <w:rPr>
          <w:rStyle w:val="BodyTextItalicChar"/>
        </w:rPr>
        <w:t>Conceptual Building Elevations</w:t>
      </w:r>
      <w:r>
        <w:t xml:space="preserve">, and Figures </w:t>
      </w:r>
      <w:r w:rsidR="00D05104">
        <w:t>7</w:t>
      </w:r>
      <w:r>
        <w:t xml:space="preserve">a and </w:t>
      </w:r>
      <w:r w:rsidR="00D05104">
        <w:t>7</w:t>
      </w:r>
      <w:r>
        <w:t xml:space="preserve">b, </w:t>
      </w:r>
      <w:r>
        <w:rPr>
          <w:rStyle w:val="BodyTextItalicChar"/>
        </w:rPr>
        <w:t>Conceptual Building Renderings</w:t>
      </w:r>
      <w:r>
        <w:t>, illustrate the conceptual elevations and architectural design and features of the proposed building.</w:t>
      </w:r>
      <w:bookmarkEnd w:id="45"/>
      <w:r>
        <w:t xml:space="preserve"> As shown in these figures, the proposed building would incorporate a modern architectural style and aesthetic. Building elements and materials include smooth and light-colored troweled stucco; </w:t>
      </w:r>
      <w:bookmarkStart w:id="46" w:name="_Hlk70850567"/>
      <w:r>
        <w:t>metal, glass, brick, and stone</w:t>
      </w:r>
      <w:bookmarkEnd w:id="46"/>
      <w:r>
        <w:t>; light, harmonious colors with accent color for trim; facades with depth of plane; recessed heavy doors; deeply recessed windows with planter boxes; custom ornamentation; arcades and columns for scale balance and rhythm; varied roof lines; and flat roofs behind detailed parapets. Furthermore, the proposed design aims to enhance the street corner at Azusa Canyon Road and Los Angeles Street, develop contemporary interpretation of a traditional concept, and encompass an authentic period style compatible with the city context. Final architectural design of the building is subject to review and approval by the City.</w:t>
      </w:r>
      <w:bookmarkEnd w:id="43"/>
    </w:p>
    <w:p w14:paraId="48E731DB" w14:textId="77777777" w:rsidR="00B65A0D" w:rsidRDefault="00B65A0D" w:rsidP="00B65A0D">
      <w:pPr>
        <w:pStyle w:val="Heading3"/>
      </w:pPr>
      <w:r>
        <w:t>Landscaping, Walls, and Lighting</w:t>
      </w:r>
    </w:p>
    <w:p w14:paraId="687088F4" w14:textId="77777777" w:rsidR="00B65A0D" w:rsidRDefault="00B65A0D" w:rsidP="00B65A0D">
      <w:pPr>
        <w:pStyle w:val="BodyText"/>
      </w:pPr>
      <w:r>
        <w:t xml:space="preserve">As shown in Figure </w:t>
      </w:r>
      <w:r w:rsidR="00D05104">
        <w:t>8</w:t>
      </w:r>
      <w:r>
        <w:t xml:space="preserve">, </w:t>
      </w:r>
      <w:bookmarkStart w:id="47" w:name="_Hlk75682714"/>
      <w:r>
        <w:rPr>
          <w:rStyle w:val="BodyTextItalicChar"/>
        </w:rPr>
        <w:t>Conceptual Landscape Plan</w:t>
      </w:r>
      <w:bookmarkEnd w:id="47"/>
      <w:r>
        <w:t xml:space="preserve">, the proposed project’s landscape plan would feature street trees along Azusa Canyon Road and at the building’s western entrance. Trees, ground cover, and shrubs would line most of the northeast, southeast, and southwest sides of the building. Additional trees, ground cover, and shrubs would be placed at the truck entrance. Screen shrubs would also be provided along the northeastern perimeter of the site. </w:t>
      </w:r>
    </w:p>
    <w:p w14:paraId="4042F625" w14:textId="77777777" w:rsidR="00B65A0D" w:rsidRDefault="00B65A0D" w:rsidP="00B65A0D">
      <w:pPr>
        <w:pStyle w:val="BodyText"/>
        <w:rPr>
          <w:color w:val="4F81BD" w:themeColor="accent1"/>
        </w:rPr>
      </w:pPr>
      <w:r>
        <w:t xml:space="preserve">Approximately 11 percent of the project site would be landscaped. </w:t>
      </w:r>
      <w:r w:rsidR="00D05104">
        <w:t xml:space="preserve">Landscape </w:t>
      </w:r>
      <w:r>
        <w:t>would include a variety of flowering accent trees, palm trees, parking lot shade trees, native trees, shrubs, and groundcover. No landscaping would be</w:t>
      </w:r>
      <w:r w:rsidR="00D05104">
        <w:t xml:space="preserve"> </w:t>
      </w:r>
      <w:r>
        <w:t xml:space="preserve">in the truck court area; however, landscaping would be provided in the employee/visitor parking areas. Project development would include the removal of eight trees on-site. However, the proposed project would provide a greater number of trees (68) than currently exist. The proposed project would be equipped with a low flow irrigation system consisting of a weather-based smart controller and low rotors, bubbler, or drip systems. </w:t>
      </w:r>
    </w:p>
    <w:bookmarkEnd w:id="42"/>
    <w:bookmarkEnd w:id="44"/>
    <w:p w14:paraId="63E9CCCB" w14:textId="77777777" w:rsidR="00B65A0D" w:rsidRDefault="00B65A0D" w:rsidP="00B65A0D">
      <w:pPr>
        <w:pStyle w:val="BodyText"/>
        <w:rPr>
          <w:color w:val="4F81BD" w:themeColor="accent1"/>
        </w:rPr>
      </w:pPr>
      <w:r>
        <w:t xml:space="preserve">Various fences, walls, and gates would be provided along the site perimeter and internal to the site. A rolling gate with a perforated metal screen is proposed at the truck yard entrance off Los Angeles Street. Another similar gate is proposed to restrict access into the area along the northeast boundary of the building. Service gates would be manually operated with a </w:t>
      </w:r>
      <w:r>
        <w:rPr>
          <w:bCs/>
        </w:rPr>
        <w:t xml:space="preserve">Knox </w:t>
      </w:r>
      <w:r w:rsidR="00CA080C">
        <w:rPr>
          <w:bCs/>
        </w:rPr>
        <w:t>box</w:t>
      </w:r>
      <w:r>
        <w:t>. Additionally, a tube</w:t>
      </w:r>
      <w:r w:rsidR="00EE4EAA">
        <w:t>-</w:t>
      </w:r>
      <w:r>
        <w:t xml:space="preserve">steel fence (approximately eight feet in height) is proposed along the northeast, southeast, and southwest site boundaries. </w:t>
      </w:r>
      <w:bookmarkStart w:id="48" w:name="_Hlk70849629"/>
      <w:r>
        <w:t xml:space="preserve">A tilt-up concrete screen wall (with a maximum height of eight feet) is proposed along the southern side of the trash enclosure and on either side of the gate at the truck entrance (see Figure </w:t>
      </w:r>
      <w:r w:rsidR="00EE4EAA">
        <w:t>5</w:t>
      </w:r>
      <w:r>
        <w:t xml:space="preserve">, </w:t>
      </w:r>
      <w:r>
        <w:rPr>
          <w:rStyle w:val="BodyTextItalicChar"/>
        </w:rPr>
        <w:t>Conceptual Site Plan</w:t>
      </w:r>
      <w:r>
        <w:t>).</w:t>
      </w:r>
      <w:bookmarkEnd w:id="48"/>
    </w:p>
    <w:p w14:paraId="1B628268" w14:textId="77777777" w:rsidR="00B65A0D" w:rsidRDefault="00B65A0D" w:rsidP="00B65A0D">
      <w:pPr>
        <w:pStyle w:val="BodyText"/>
      </w:pPr>
      <w:r>
        <w:t>Site lighting would consist of exterior</w:t>
      </w:r>
      <w:r w:rsidR="00EE4EAA">
        <w:t>,</w:t>
      </w:r>
      <w:r>
        <w:t xml:space="preserve"> building-mounted light fixtures; interior lighting; lighting for pedestrian walkways; ground-mounted decorative lighting for landscape and architectural features; lighting for the new parking and loading dock areas; and security lighting. Lighting design would limit uplight and glare, and all street lighting along Azusa Canyon Road </w:t>
      </w:r>
      <w:r w:rsidR="00EE4EAA">
        <w:t xml:space="preserve">would </w:t>
      </w:r>
      <w:r>
        <w:t>be upgraded to LED fixtures.</w:t>
      </w:r>
    </w:p>
    <w:p w14:paraId="2D319085" w14:textId="77777777" w:rsidR="00B65A0D" w:rsidRDefault="00B65A0D" w:rsidP="00B65A0D">
      <w:pPr>
        <w:pStyle w:val="Heading3"/>
        <w:rPr>
          <w:sz w:val="32"/>
        </w:rPr>
      </w:pPr>
      <w:r>
        <w:t>Access, Circulation, and Parking</w:t>
      </w:r>
    </w:p>
    <w:p w14:paraId="618215C2" w14:textId="43096302" w:rsidR="00B65A0D" w:rsidRDefault="00B65A0D" w:rsidP="00B65A0D">
      <w:pPr>
        <w:pStyle w:val="BodyText"/>
      </w:pPr>
      <w:r>
        <w:t xml:space="preserve">The proposed building would have </w:t>
      </w:r>
      <w:r w:rsidR="005739CB">
        <w:t xml:space="preserve">one </w:t>
      </w:r>
      <w:r>
        <w:t xml:space="preserve">main entrance on the west side of the building with stairs and </w:t>
      </w:r>
      <w:r w:rsidR="00EE4EAA">
        <w:t xml:space="preserve">required </w:t>
      </w:r>
      <w:r>
        <w:t xml:space="preserve">handrails. </w:t>
      </w:r>
      <w:r w:rsidR="005739CB">
        <w:t xml:space="preserve">Five </w:t>
      </w:r>
      <w:r>
        <w:t>smaller entrances with stairs and handrails would be on the northeast side of the building</w:t>
      </w:r>
      <w:r w:rsidR="00EE4EAA">
        <w:t>,</w:t>
      </w:r>
      <w:r>
        <w:t xml:space="preserve"> and two </w:t>
      </w:r>
      <w:r w:rsidR="00EE4EAA">
        <w:t xml:space="preserve">would be </w:t>
      </w:r>
      <w:r>
        <w:t xml:space="preserve">on the southeast side to allow access from the parking areas. Three entrances with stairs and handrails would also be in the truck yard in addition to a main entryway and an overhead sectional door. An entrance to the electric room </w:t>
      </w:r>
      <w:r w:rsidR="00EE4EAA">
        <w:t xml:space="preserve">and two more entrances </w:t>
      </w:r>
      <w:r>
        <w:t xml:space="preserve">would be provided on the southwest side of the building. </w:t>
      </w:r>
    </w:p>
    <w:p w14:paraId="56898C57" w14:textId="474459DC" w:rsidR="00B65A0D" w:rsidRDefault="00B65A0D" w:rsidP="00B65A0D">
      <w:pPr>
        <w:pStyle w:val="BodyText"/>
      </w:pPr>
      <w:r>
        <w:t xml:space="preserve">As shown in Figure </w:t>
      </w:r>
      <w:r w:rsidR="00EE4EAA">
        <w:t>5</w:t>
      </w:r>
      <w:r>
        <w:t xml:space="preserve">, </w:t>
      </w:r>
      <w:r>
        <w:rPr>
          <w:rStyle w:val="BodyTextItalicChar"/>
        </w:rPr>
        <w:t>Conceptual Site Plan</w:t>
      </w:r>
      <w:r>
        <w:t xml:space="preserve">, vehicular access for the project site would be provided via three driveways: one off Azusa Canyon Road and two off Los Angeles Street. The driveway off Azusa Canyon Road and the western driveway off Los Angeles Street would provide access for employee/visitor vehicles and lead directly into the on-site parking areas for these users. Both driveways would connect to </w:t>
      </w:r>
      <w:bookmarkStart w:id="49" w:name="_Hlk72417680"/>
      <w:r>
        <w:t>an internal drive aisle</w:t>
      </w:r>
      <w:bookmarkEnd w:id="49"/>
      <w:r>
        <w:t xml:space="preserve">, which would lead to a rolling security gate—the gate would restrict access into the parking areas along the northeast and southeast sides of the building and in the truck court area to employees only. The internal drive aisles would also function as fire access lanes and provide a minimum unobstructed width of 28 feet. Trailer trucks would be prohibited from using these driveways to access the truck yard; however, trailer trucks would use the eastern Los Angeles Street driveway to access the project site. The Los Angeles Street driveway would lead directly into the open yard via a rolling security gate. </w:t>
      </w:r>
      <w:r w:rsidRPr="00BE3122">
        <w:t>The</w:t>
      </w:r>
      <w:r>
        <w:t xml:space="preserve"> driveway off Azusa Canyon Road would be restricted to right</w:t>
      </w:r>
      <w:r w:rsidR="00EE4EAA">
        <w:t>-</w:t>
      </w:r>
      <w:r>
        <w:t>out/left</w:t>
      </w:r>
      <w:r w:rsidR="00EE4EAA">
        <w:t>-</w:t>
      </w:r>
      <w:r>
        <w:t>in only access</w:t>
      </w:r>
      <w:r w:rsidR="00EE4EAA">
        <w:t>,</w:t>
      </w:r>
      <w:r>
        <w:t xml:space="preserve"> </w:t>
      </w:r>
      <w:r w:rsidR="00EE4EAA">
        <w:t>and</w:t>
      </w:r>
      <w:r>
        <w:t xml:space="preserve"> the driveways on Los Angeles Street would be full access.</w:t>
      </w:r>
    </w:p>
    <w:p w14:paraId="75D9CFC7" w14:textId="77777777" w:rsidR="00C9306F" w:rsidRDefault="00C9306F">
      <w:pPr>
        <w:rPr>
          <w:rFonts w:ascii="Arial Narrow" w:hAnsi="Arial Narrow"/>
          <w:b/>
          <w:kern w:val="20"/>
          <w:szCs w:val="20"/>
        </w:rPr>
      </w:pPr>
      <w:bookmarkStart w:id="50" w:name="_Toc24541316"/>
      <w:r>
        <w:br w:type="page"/>
      </w:r>
    </w:p>
    <w:p w14:paraId="4004EDE5" w14:textId="77777777" w:rsidR="00C9306F" w:rsidRDefault="00C9306F" w:rsidP="00C9306F">
      <w:pPr>
        <w:pStyle w:val="FigureTitle"/>
      </w:pPr>
      <w:bookmarkStart w:id="51" w:name="_Toc90882220"/>
      <w:r>
        <w:t>Figure 5</w:t>
      </w:r>
      <w:r>
        <w:tab/>
        <w:t>Conceptual Site Plan</w:t>
      </w:r>
      <w:bookmarkEnd w:id="50"/>
      <w:bookmarkEnd w:id="51"/>
      <w:r>
        <w:t xml:space="preserve"> </w:t>
      </w:r>
    </w:p>
    <w:p w14:paraId="1827338D" w14:textId="77777777" w:rsidR="00C9306F" w:rsidRDefault="00C9306F" w:rsidP="00C9306F">
      <w:pPr>
        <w:rPr>
          <w:kern w:val="20"/>
          <w:szCs w:val="20"/>
        </w:rPr>
      </w:pPr>
      <w:r>
        <w:br w:type="page"/>
      </w:r>
    </w:p>
    <w:p w14:paraId="32F15508" w14:textId="77777777" w:rsidR="00C9306F" w:rsidRDefault="00C9306F" w:rsidP="00C9306F">
      <w:pPr>
        <w:pStyle w:val="BodyTextItalic"/>
      </w:pPr>
      <w:r>
        <w:t>This page intentionally left blank.</w:t>
      </w:r>
    </w:p>
    <w:p w14:paraId="6F57DF35" w14:textId="77777777" w:rsidR="00C9306F" w:rsidRDefault="00C9306F" w:rsidP="00C9306F">
      <w:pPr>
        <w:rPr>
          <w:kern w:val="20"/>
          <w:szCs w:val="20"/>
        </w:rPr>
      </w:pPr>
      <w:r>
        <w:br w:type="page"/>
      </w:r>
    </w:p>
    <w:p w14:paraId="191AE327" w14:textId="77777777" w:rsidR="00C9306F" w:rsidRDefault="00C9306F" w:rsidP="00C9306F">
      <w:pPr>
        <w:pStyle w:val="FigureTitle"/>
      </w:pPr>
      <w:bookmarkStart w:id="52" w:name="_Toc24541317"/>
      <w:bookmarkStart w:id="53" w:name="_Toc90882221"/>
      <w:r>
        <w:t>Figure 6</w:t>
      </w:r>
      <w:r>
        <w:tab/>
      </w:r>
      <w:bookmarkStart w:id="54" w:name="_Hlk70768976"/>
      <w:r>
        <w:t>Conceptual Building Elevations</w:t>
      </w:r>
      <w:bookmarkEnd w:id="52"/>
      <w:bookmarkEnd w:id="54"/>
      <w:bookmarkEnd w:id="53"/>
    </w:p>
    <w:p w14:paraId="3788FC0D" w14:textId="77777777" w:rsidR="00C9306F" w:rsidRDefault="00C9306F" w:rsidP="00C9306F">
      <w:pPr>
        <w:pStyle w:val="BodyText"/>
      </w:pPr>
      <w:r>
        <w:br w:type="page"/>
      </w:r>
    </w:p>
    <w:p w14:paraId="1D3A50FF" w14:textId="77777777" w:rsidR="00C9306F" w:rsidRDefault="00C9306F" w:rsidP="00C9306F">
      <w:pPr>
        <w:pStyle w:val="BodyTextItalic"/>
      </w:pPr>
      <w:r>
        <w:t>This page intentionally left blank.</w:t>
      </w:r>
    </w:p>
    <w:p w14:paraId="61420B0B" w14:textId="77777777" w:rsidR="00C9306F" w:rsidRDefault="00C9306F" w:rsidP="00C9306F">
      <w:pPr>
        <w:pStyle w:val="BodyText"/>
      </w:pPr>
      <w:r>
        <w:br w:type="page"/>
      </w:r>
    </w:p>
    <w:p w14:paraId="3DAE9EFB" w14:textId="77777777" w:rsidR="00C9306F" w:rsidRDefault="00C9306F" w:rsidP="00C9306F">
      <w:pPr>
        <w:pStyle w:val="FigureTitle"/>
      </w:pPr>
      <w:bookmarkStart w:id="55" w:name="_Toc24541318"/>
      <w:bookmarkStart w:id="56" w:name="_Toc90882222"/>
      <w:r>
        <w:t>Figure 7a</w:t>
      </w:r>
      <w:r>
        <w:tab/>
      </w:r>
      <w:bookmarkStart w:id="57" w:name="_Hlk70768892"/>
      <w:r w:rsidRPr="00F111C5">
        <w:t>Conceptual Building Renderings</w:t>
      </w:r>
      <w:bookmarkEnd w:id="55"/>
      <w:bookmarkEnd w:id="56"/>
      <w:r>
        <w:t xml:space="preserve"> </w:t>
      </w:r>
      <w:bookmarkEnd w:id="57"/>
    </w:p>
    <w:p w14:paraId="6F15D1EE" w14:textId="77777777" w:rsidR="00C9306F" w:rsidRDefault="00C9306F" w:rsidP="00C9306F">
      <w:pPr>
        <w:rPr>
          <w:kern w:val="20"/>
          <w:szCs w:val="20"/>
        </w:rPr>
      </w:pPr>
      <w:r>
        <w:br w:type="page"/>
      </w:r>
    </w:p>
    <w:p w14:paraId="332393FE" w14:textId="77777777" w:rsidR="00C9306F" w:rsidRDefault="00C9306F" w:rsidP="00C9306F">
      <w:pPr>
        <w:pStyle w:val="BodyTextItalic"/>
      </w:pPr>
      <w:r>
        <w:t>This page intentionally left blank.</w:t>
      </w:r>
    </w:p>
    <w:p w14:paraId="76F14CEA" w14:textId="77777777" w:rsidR="00C9306F" w:rsidRDefault="00C9306F" w:rsidP="00C9306F">
      <w:pPr>
        <w:rPr>
          <w:rFonts w:ascii="Arial Narrow" w:hAnsi="Arial Narrow"/>
          <w:b/>
          <w:kern w:val="20"/>
          <w:szCs w:val="20"/>
        </w:rPr>
      </w:pPr>
      <w:r>
        <w:br w:type="page"/>
      </w:r>
    </w:p>
    <w:p w14:paraId="22209E74" w14:textId="77777777" w:rsidR="00C9306F" w:rsidRDefault="00C9306F" w:rsidP="00C9306F">
      <w:pPr>
        <w:pStyle w:val="FigureTitle"/>
      </w:pPr>
      <w:bookmarkStart w:id="58" w:name="_Toc90882223"/>
      <w:r>
        <w:t>Figure 7b</w:t>
      </w:r>
      <w:r>
        <w:tab/>
      </w:r>
      <w:r w:rsidRPr="0043105E">
        <w:t>Conceptual Building Renderings</w:t>
      </w:r>
      <w:bookmarkEnd w:id="58"/>
      <w:r>
        <w:t xml:space="preserve"> </w:t>
      </w:r>
    </w:p>
    <w:p w14:paraId="586B7BEA" w14:textId="77777777" w:rsidR="00C9306F" w:rsidRDefault="00C9306F" w:rsidP="00C9306F">
      <w:pPr>
        <w:rPr>
          <w:kern w:val="20"/>
          <w:szCs w:val="20"/>
        </w:rPr>
      </w:pPr>
      <w:r>
        <w:br w:type="page"/>
      </w:r>
    </w:p>
    <w:p w14:paraId="2E7DAD8E" w14:textId="77777777" w:rsidR="00C9306F" w:rsidRDefault="00C9306F" w:rsidP="00C9306F">
      <w:pPr>
        <w:pStyle w:val="BodyTextItalic"/>
      </w:pPr>
      <w:r>
        <w:t>This page intentionally left blank.</w:t>
      </w:r>
    </w:p>
    <w:p w14:paraId="2677E97E" w14:textId="77777777" w:rsidR="00C9306F" w:rsidRDefault="00C9306F" w:rsidP="00C9306F">
      <w:pPr>
        <w:pStyle w:val="BodyText"/>
      </w:pPr>
      <w:r>
        <w:br w:type="page"/>
      </w:r>
    </w:p>
    <w:p w14:paraId="6145567F" w14:textId="77777777" w:rsidR="00C9306F" w:rsidRDefault="00C9306F" w:rsidP="00C9306F">
      <w:pPr>
        <w:pStyle w:val="FigureTitle"/>
      </w:pPr>
      <w:bookmarkStart w:id="59" w:name="_Toc90882224"/>
      <w:r>
        <w:t>Figure 8</w:t>
      </w:r>
      <w:r>
        <w:tab/>
        <w:t>Conceptual Landscape Plan</w:t>
      </w:r>
      <w:bookmarkEnd w:id="59"/>
      <w:r>
        <w:t xml:space="preserve"> </w:t>
      </w:r>
    </w:p>
    <w:p w14:paraId="3C142A2B" w14:textId="77777777" w:rsidR="00C9306F" w:rsidRDefault="00C9306F" w:rsidP="00C9306F">
      <w:pPr>
        <w:rPr>
          <w:i/>
          <w:kern w:val="20"/>
          <w:szCs w:val="20"/>
        </w:rPr>
      </w:pPr>
      <w:r>
        <w:br w:type="page"/>
      </w:r>
    </w:p>
    <w:p w14:paraId="6CA279E7" w14:textId="77777777" w:rsidR="00C9306F" w:rsidRDefault="00C9306F" w:rsidP="00C9306F">
      <w:pPr>
        <w:pStyle w:val="BodyTextItalic"/>
      </w:pPr>
      <w:r>
        <w:t>This page intentionally left blank.</w:t>
      </w:r>
    </w:p>
    <w:p w14:paraId="302B7B4B" w14:textId="77777777" w:rsidR="00C9306F" w:rsidRPr="00C9306F" w:rsidRDefault="00C9306F" w:rsidP="00C9306F">
      <w:pPr>
        <w:rPr>
          <w:kern w:val="20"/>
          <w:szCs w:val="20"/>
        </w:rPr>
      </w:pPr>
      <w:r>
        <w:br w:type="page"/>
      </w:r>
    </w:p>
    <w:p w14:paraId="0F25C723" w14:textId="3F3DDA50" w:rsidR="00B65A0D" w:rsidRDefault="00B65A0D" w:rsidP="00B65A0D">
      <w:pPr>
        <w:pStyle w:val="BodyText"/>
      </w:pPr>
      <w:r>
        <w:t xml:space="preserve">As shown in Figure </w:t>
      </w:r>
      <w:r w:rsidR="00CA36D9">
        <w:t>5</w:t>
      </w:r>
      <w:r>
        <w:t xml:space="preserve">, </w:t>
      </w:r>
      <w:r>
        <w:rPr>
          <w:rStyle w:val="BodyTextItalicChar"/>
        </w:rPr>
        <w:t>Conceptual Site Plan</w:t>
      </w:r>
      <w:r>
        <w:t xml:space="preserve">, pedestrian access to the project site would be provided via a new concrete public sidewalk running parallel to Azusa Canyon Road along the western boundary of the site. The existing public sidewalk abutting the project site </w:t>
      </w:r>
      <w:r w:rsidRPr="007B7DB9">
        <w:t xml:space="preserve">along this road would be demolished and replaced with a new sidewalk including curbs, gutters, and landscaping improvements as needed to facilitate site access along the proposed project’s frontage, consistent with the City’s standards. Since the property currently extends into Azusa Canyon Road, the proposed project would also include a 20-foot-wide street easement dedication along the western boundary of the site. The street easement dedication would be included as a </w:t>
      </w:r>
      <w:r w:rsidR="00B3285B">
        <w:t>C</w:t>
      </w:r>
      <w:r w:rsidRPr="007B7DB9">
        <w:t xml:space="preserve">ondition of </w:t>
      </w:r>
      <w:r w:rsidR="00B3285B">
        <w:t>A</w:t>
      </w:r>
      <w:r w:rsidRPr="007B7DB9">
        <w:t xml:space="preserve">pproval under the City’s Department of Public Works Engineering Division. Additionally, internal walkways </w:t>
      </w:r>
      <w:r w:rsidRPr="00B65A0D">
        <w:t>leading to the building’s main entrance would be provided on-site and would connect to the new public sidewalk.</w:t>
      </w:r>
      <w:r>
        <w:t xml:space="preserve"> Curb, gutter, sidewalk, and landscaping improvements along Los Angeles Street would also be constructed as needed to facilitate site access.</w:t>
      </w:r>
    </w:p>
    <w:p w14:paraId="375549DB" w14:textId="5CB5AFBA" w:rsidR="00B65A0D" w:rsidRDefault="00B65A0D" w:rsidP="00B65A0D">
      <w:pPr>
        <w:pStyle w:val="BodyText"/>
      </w:pPr>
      <w:r>
        <w:t xml:space="preserve">As shown in Figure </w:t>
      </w:r>
      <w:r w:rsidR="00CA36D9">
        <w:t>5</w:t>
      </w:r>
      <w:r>
        <w:t xml:space="preserve">, </w:t>
      </w:r>
      <w:r>
        <w:rPr>
          <w:rStyle w:val="BodyTextItalicChar"/>
        </w:rPr>
        <w:t>Conceptual Site Plan</w:t>
      </w:r>
      <w:r>
        <w:t>, designated employee/visitor parking areas would be at the entrance to the building</w:t>
      </w:r>
      <w:r w:rsidR="00CA36D9">
        <w:t>;</w:t>
      </w:r>
      <w:r>
        <w:t xml:space="preserve"> along the northeast, southeast, and southwest sides of the building</w:t>
      </w:r>
      <w:r w:rsidR="00CA36D9">
        <w:t>;</w:t>
      </w:r>
      <w:r>
        <w:t xml:space="preserve"> in the northeast corner of the site</w:t>
      </w:r>
      <w:r w:rsidR="00CA36D9">
        <w:t>;</w:t>
      </w:r>
      <w:r>
        <w:t xml:space="preserve"> and in the truck yard area. Parking spots </w:t>
      </w:r>
      <w:r w:rsidR="007101A7">
        <w:t xml:space="preserve">at the main entrance to the building </w:t>
      </w:r>
      <w:r>
        <w:t xml:space="preserve">include 16 compact parking stalls and </w:t>
      </w:r>
      <w:r w:rsidR="00530220">
        <w:t xml:space="preserve">7 </w:t>
      </w:r>
      <w:r>
        <w:t xml:space="preserve">handicap-accessible parking spots. This area would also include 6 electrical vehicle charging stations. There are 5 more </w:t>
      </w:r>
      <w:r w:rsidR="00450748">
        <w:t>standard</w:t>
      </w:r>
      <w:r>
        <w:t xml:space="preserve"> parking spots that are adjacent to the truck entrance to the west of the gate. The parking area along the northeast side of the building would provide 28 standard parking spots for employees with an additional 18 parking stalls along the southeast side and in the northeast corner of the site. Three parking spots would line the southwest side of the building to the east of the truck yard, </w:t>
      </w:r>
      <w:r w:rsidR="00CA36D9">
        <w:t xml:space="preserve">and </w:t>
      </w:r>
      <w:r>
        <w:t>42 parking spaces would be in the truck yard. T</w:t>
      </w:r>
      <w:r w:rsidR="00CA36D9">
        <w:t>otal parking stalls on t</w:t>
      </w:r>
      <w:r>
        <w:t xml:space="preserve">he site would </w:t>
      </w:r>
      <w:r w:rsidR="00CA36D9">
        <w:t>be</w:t>
      </w:r>
      <w:r>
        <w:t xml:space="preserve"> 123 stalls. </w:t>
      </w:r>
    </w:p>
    <w:p w14:paraId="5DFF1C9D" w14:textId="77777777" w:rsidR="00B65A0D" w:rsidRDefault="00B65A0D" w:rsidP="00B65A0D">
      <w:pPr>
        <w:pStyle w:val="Heading3"/>
      </w:pPr>
      <w:r>
        <w:t>Operational Characteristics</w:t>
      </w:r>
    </w:p>
    <w:p w14:paraId="1EF9ACDF" w14:textId="26C92B64" w:rsidR="00B65A0D" w:rsidRDefault="00B65A0D" w:rsidP="00B65A0D">
      <w:pPr>
        <w:pStyle w:val="BodyText"/>
        <w:rPr>
          <w:color w:val="4F81BD" w:themeColor="accent1"/>
        </w:rPr>
      </w:pPr>
      <w:bookmarkStart w:id="60" w:name="_Hlk71536494"/>
      <w:r>
        <w:t xml:space="preserve">Based on the proposed construction timeline (see Section 1.7.8, </w:t>
      </w:r>
      <w:r>
        <w:rPr>
          <w:rStyle w:val="BodyTextItalicChar"/>
        </w:rPr>
        <w:t>Project Phasing and Construction</w:t>
      </w:r>
      <w:r>
        <w:t xml:space="preserve">), it is anticipated that the proposed project would be operational in September 2022. </w:t>
      </w:r>
      <w:bookmarkStart w:id="61" w:name="_Hlk21207736"/>
      <w:r>
        <w:t xml:space="preserve">The specific business(es) and/or tenant(s) that would ultimately occupy the proposed building are unknown at this time. However, any prospective user must be either permitted by right or conditionally permitted under the Irwindale Zoning </w:t>
      </w:r>
      <w:r w:rsidR="00945095">
        <w:t>Code</w:t>
      </w:r>
      <w:r>
        <w:t xml:space="preserve">. </w:t>
      </w:r>
      <w:bookmarkStart w:id="62" w:name="_Hlk71536467"/>
      <w:bookmarkEnd w:id="60"/>
      <w:bookmarkEnd w:id="61"/>
      <w:r>
        <w:t xml:space="preserve">For warehousing purposes, no cold storage uses would be allowed to operate on-site. </w:t>
      </w:r>
      <w:bookmarkEnd w:id="62"/>
      <w:r>
        <w:t xml:space="preserve">Additionally, the building is designed such that business operations would be conducted within the enclosed building, with the exception of traffic movement, parking, and the movement of truck trailers in the truck yard. Also, loading and unloading of truck trailers would be restricted to the exterior loading dock area. </w:t>
      </w:r>
    </w:p>
    <w:p w14:paraId="6B69A7D3" w14:textId="77777777" w:rsidR="00B65A0D" w:rsidRDefault="00B65A0D" w:rsidP="00B65A0D">
      <w:pPr>
        <w:pStyle w:val="BodyText"/>
      </w:pPr>
      <w:r>
        <w:t xml:space="preserve">The proposed operating hours of the potential business(es) that may occupy the building is 24 hours per day, seven days a week. Under a conservative scenario and based on employee figures from a report commissioned by the NAIOP Research Foundation (RPA 2010), the proposed project is anticipated to add approximately 72 jobs to the city based on a ratio of one employee per 1,800 square feet of floor area. However, the number of employees will ultimately depend on the business(es) and tenant(s) that operate out of the building. </w:t>
      </w:r>
    </w:p>
    <w:p w14:paraId="4F582810" w14:textId="77777777" w:rsidR="00B65A0D" w:rsidRDefault="00B65A0D" w:rsidP="00B65A0D">
      <w:pPr>
        <w:pStyle w:val="Heading3"/>
      </w:pPr>
      <w:bookmarkStart w:id="63" w:name="_Hlk72416860"/>
      <w:r>
        <w:t>Infrastructure Improvements and Utility and Service Systems</w:t>
      </w:r>
    </w:p>
    <w:p w14:paraId="0405C28F" w14:textId="77777777" w:rsidR="00B65A0D" w:rsidRDefault="00B65A0D" w:rsidP="00B65A0D">
      <w:pPr>
        <w:pStyle w:val="BodyText"/>
      </w:pPr>
      <w:r>
        <w:t xml:space="preserve">Following is a discussion of the infrastructure improvements and utility and service systems needed to accommodate the proposed project. All proposed infrastructure and improvements would require </w:t>
      </w:r>
      <w:r w:rsidR="00DA5954">
        <w:t xml:space="preserve">approval from the </w:t>
      </w:r>
      <w:r>
        <w:t xml:space="preserve">City and, where necessary, </w:t>
      </w:r>
      <w:r w:rsidR="00DA5954">
        <w:t xml:space="preserve">from </w:t>
      </w:r>
      <w:r>
        <w:t>the utility/service provider also.</w:t>
      </w:r>
    </w:p>
    <w:p w14:paraId="6C05AC22" w14:textId="77777777" w:rsidR="00B65A0D" w:rsidRDefault="00B65A0D" w:rsidP="00B65A0D">
      <w:pPr>
        <w:pStyle w:val="Heading4"/>
      </w:pPr>
      <w:r>
        <w:t>Water system</w:t>
      </w:r>
    </w:p>
    <w:p w14:paraId="30A9796E" w14:textId="77777777" w:rsidR="00B65A0D" w:rsidRDefault="00B65A0D" w:rsidP="00B65A0D">
      <w:pPr>
        <w:pStyle w:val="BodyText"/>
        <w:rPr>
          <w:color w:val="4F81BD" w:themeColor="accent1"/>
        </w:rPr>
      </w:pPr>
      <w:bookmarkStart w:id="64" w:name="_Hlk16761862"/>
      <w:r>
        <w:t>Valley County Water District (</w:t>
      </w:r>
      <w:bookmarkStart w:id="65" w:name="_Hlk70603261"/>
      <w:r>
        <w:t>VCWD</w:t>
      </w:r>
      <w:bookmarkEnd w:id="65"/>
      <w:r>
        <w:t xml:space="preserve">) would provide water delivery service to the project site. </w:t>
      </w:r>
      <w:bookmarkEnd w:id="64"/>
      <w:r>
        <w:t>Under existing conditions, water service is provided to the project site via a 12-inch water main beneath Azusa Canyon Road. As a part of the proposed project, new on-site water lines would connect to th</w:t>
      </w:r>
      <w:r w:rsidR="00DA5954">
        <w:t>is</w:t>
      </w:r>
      <w:r>
        <w:t xml:space="preserve"> water main in Azusa Canyon Road. Separate water lines would be provided on-site for potable water and fire water. No off-site water line construction or upsizing would be required to accommodate the proposed project. However, Azusa Canyon Road would require some construction to make the necessary infrastructure connections to the water main. </w:t>
      </w:r>
      <w:bookmarkStart w:id="66" w:name="_Hlk16862507"/>
      <w:r>
        <w:t>The proposed water system improvements would be designed and constructed in accordance with City and VCWD requirements and would require City and VCWD approval</w:t>
      </w:r>
      <w:bookmarkEnd w:id="66"/>
      <w:r>
        <w:t>.</w:t>
      </w:r>
    </w:p>
    <w:p w14:paraId="70A44C25" w14:textId="77777777" w:rsidR="00B65A0D" w:rsidRPr="004C7293" w:rsidRDefault="00B65A0D" w:rsidP="00B65A0D">
      <w:pPr>
        <w:pStyle w:val="BodyText"/>
      </w:pPr>
      <w:r>
        <w:t>Additionally, fire hydrants would be installed at key locations on-site, as required by the Los Angeles County Fire Department to meet hose-pull requirements and provide adequate fire water access. The fire hydrants would connect to the new on-site water lines.</w:t>
      </w:r>
      <w:r w:rsidRPr="004C7293">
        <w:rPr>
          <w:rFonts w:ascii="Arial Narrow" w:hAnsi="Arial Narrow"/>
          <w:bCs/>
          <w:sz w:val="30"/>
        </w:rPr>
        <w:t xml:space="preserve"> </w:t>
      </w:r>
    </w:p>
    <w:p w14:paraId="6A0A29D0" w14:textId="77777777" w:rsidR="00B65A0D" w:rsidRDefault="00B65A0D" w:rsidP="00B65A0D">
      <w:pPr>
        <w:pStyle w:val="Heading4"/>
        <w:rPr>
          <w:sz w:val="30"/>
        </w:rPr>
      </w:pPr>
      <w:r>
        <w:t>Wastewater system</w:t>
      </w:r>
    </w:p>
    <w:p w14:paraId="22F312DD" w14:textId="77777777" w:rsidR="00B65A0D" w:rsidRDefault="00B65A0D" w:rsidP="00B65A0D">
      <w:pPr>
        <w:pStyle w:val="BodyText"/>
      </w:pPr>
      <w:r>
        <w:t>The City of Irwindale would provide wastewater collection and conveyance service to the project site. There is an 8-inch sewer main in Los Angeles Street. As a part of the proposed project, new on-site sewer lines would connect to the existing sewer main in Los Angeles Street. No off-site sewer line construction or upsizing would be required to accommodate the proposed project. However, the public right-of-way of Los Angeles Street would require some construction to make the necessary infrastructure connections to the existing sewer main. The City’s sewer main connects to the Sanitation Districts of Los Angeles County’s (LACSD) sewer trunk main in Azusa Canyon Road. The proposed wastewater system improvements would be designed and constructed in accordance with City and LACSD requirements and would require City and LACSD approval.</w:t>
      </w:r>
    </w:p>
    <w:p w14:paraId="62277D41" w14:textId="77777777" w:rsidR="00B65A0D" w:rsidRDefault="00B65A0D" w:rsidP="00B65A0D">
      <w:pPr>
        <w:pStyle w:val="Heading4"/>
      </w:pPr>
      <w:r>
        <w:t>Drainage System</w:t>
      </w:r>
    </w:p>
    <w:p w14:paraId="1FFCFFB5" w14:textId="0E925853" w:rsidR="00B65A0D" w:rsidRDefault="00B65A0D" w:rsidP="00B65A0D">
      <w:pPr>
        <w:pStyle w:val="BodyText"/>
      </w:pPr>
      <w:r>
        <w:t xml:space="preserve">As shown in Figure </w:t>
      </w:r>
      <w:r w:rsidR="00DA5954">
        <w:t>3</w:t>
      </w:r>
      <w:r>
        <w:t xml:space="preserve">, </w:t>
      </w:r>
      <w:r>
        <w:rPr>
          <w:rStyle w:val="BodyTextItalicChar"/>
        </w:rPr>
        <w:t>Aerial Photograph</w:t>
      </w:r>
      <w:r>
        <w:t xml:space="preserve">, the project site is developed with a 62,713-square-foot concrete building. The site also includes 116 vehicle parking spaces and 25 truck parking spaces. Currently, approximately 86 percent of the project site consists of impervious areas, and the remainder is pervious (NetGen 2021). The project site generally slopes downward to the southwest and displays a mild slope from 1.0 to 2.0 percent; overall, the site is </w:t>
      </w:r>
      <w:r w:rsidR="00DA5954">
        <w:t xml:space="preserve">generally </w:t>
      </w:r>
      <w:r>
        <w:t>flat (Southern California Geotechnical 2020).</w:t>
      </w:r>
    </w:p>
    <w:p w14:paraId="47EA751B" w14:textId="77777777" w:rsidR="00B65A0D" w:rsidRDefault="00B65A0D" w:rsidP="00B65A0D">
      <w:pPr>
        <w:pStyle w:val="BodyText"/>
      </w:pPr>
      <w:r>
        <w:t>Under existing conditions, stormwater generated on-site is handled by surface and subsurface drainage features without any run-on flows from off-site areas. A small part of the property on the north side drains to Big Dalton Wash through overland sheet flow. Stormwater from the rest of the property is collected by two on-site storm drains, with ultimate discharge into the existing 36-inch storm drain under Los Angeles Street.</w:t>
      </w:r>
    </w:p>
    <w:p w14:paraId="089B690D" w14:textId="77777777" w:rsidR="00B65A0D" w:rsidRDefault="00B65A0D" w:rsidP="00B65A0D">
      <w:pPr>
        <w:pStyle w:val="BodyText"/>
      </w:pPr>
      <w:r>
        <w:t xml:space="preserve">Under proposed conditions, stormwater runoff from the project site would be conveyed to seven new on-site storm drain inlets that divert runoff into the on-site storm drain system. All the grated inlets and curb openings would be fitted with Bio-Clean Catch Basin Filters, which can treat flows from a one-year, one-hour storm event, as required by the State Water Resources Control Board’s Trash Policy. Runoff collected by the storm drain system and from sheet flow would eventually discharge into one of two Contech </w:t>
      </w:r>
      <w:r w:rsidR="00662F2B">
        <w:t>“</w:t>
      </w:r>
      <w:r>
        <w:t>CDS</w:t>
      </w:r>
      <w:r w:rsidR="00662F2B">
        <w:t>”</w:t>
      </w:r>
      <w:r>
        <w:t xml:space="preserve"> hydrodynamic separators that screen, separate, and trap trash, debris, sediment, and hydrocarbons. The hydrodynamic separators would then convey runoff to two underground infiltration trench systems for final treatment. Preliminary percolation tests indicated that the site is conducive to infiltration stormwater treatment.</w:t>
      </w:r>
    </w:p>
    <w:p w14:paraId="4D19BBD6" w14:textId="037AB73F" w:rsidR="00B65A0D" w:rsidRDefault="00B65A0D" w:rsidP="00B65A0D">
      <w:pPr>
        <w:pStyle w:val="BodyText"/>
      </w:pPr>
      <w:r>
        <w:t xml:space="preserve">To meet </w:t>
      </w:r>
      <w:r w:rsidR="00662F2B">
        <w:t xml:space="preserve">the </w:t>
      </w:r>
      <w:r>
        <w:t>Los Angeles County requirement that 100-year storm event flow rates after development do</w:t>
      </w:r>
      <w:r w:rsidR="00D002D6">
        <w:t>es</w:t>
      </w:r>
      <w:r>
        <w:t xml:space="preserve"> not exceed the 50-year storm flow rates under existing conditions, t</w:t>
      </w:r>
      <w:bookmarkStart w:id="67" w:name="_Hlk77323003"/>
      <w:r>
        <w:t xml:space="preserve">he proposed project would also include two underground detention chambers. Any stormwater overflow that exceeds the runoff from the 50-year storm under existing conditions would be discharged into the existing 36-inch storm drain under Los Angeles Street. The proposed project eliminates on-site drainage to Big Dalton Wash. </w:t>
      </w:r>
      <w:bookmarkEnd w:id="67"/>
    </w:p>
    <w:p w14:paraId="6F47EFB5" w14:textId="3CAFE0E2" w:rsidR="00B65A0D" w:rsidRDefault="00B65A0D" w:rsidP="00B65A0D">
      <w:pPr>
        <w:pStyle w:val="BodyText"/>
      </w:pPr>
      <w:r>
        <w:t xml:space="preserve">Upon project completion, </w:t>
      </w:r>
      <w:r w:rsidRPr="00A86CBF">
        <w:t xml:space="preserve">approximately </w:t>
      </w:r>
      <w:r w:rsidR="00C46417" w:rsidRPr="00A86CBF">
        <w:t>9</w:t>
      </w:r>
      <w:r w:rsidR="00C46417">
        <w:t xml:space="preserve">0 </w:t>
      </w:r>
      <w:r>
        <w:t>percent of the project site would consist of impervious areas (e.g., buildings, paving), and the remainder would be pervious (e.g., landscaping). The proposed drainage system improvements would be designed and constructed in accordance with City requirements and would require City approval.</w:t>
      </w:r>
    </w:p>
    <w:p w14:paraId="35C3F355" w14:textId="77777777" w:rsidR="00B65A0D" w:rsidRDefault="00B65A0D" w:rsidP="00B65A0D">
      <w:pPr>
        <w:pStyle w:val="Heading4"/>
      </w:pPr>
      <w:r>
        <w:t>Solid Waste System</w:t>
      </w:r>
    </w:p>
    <w:p w14:paraId="395AD208" w14:textId="77777777" w:rsidR="00B65A0D" w:rsidRDefault="00B65A0D" w:rsidP="00B65A0D">
      <w:pPr>
        <w:pStyle w:val="BodyText"/>
      </w:pPr>
      <w:bookmarkStart w:id="68" w:name="_Hlk18928628"/>
      <w:r>
        <w:t xml:space="preserve">Solid waste generated by the proposed project would be collected and hauled away by Athens Services and transported to/disposed of </w:t>
      </w:r>
      <w:r w:rsidR="00662F2B">
        <w:t xml:space="preserve">at </w:t>
      </w:r>
      <w:r>
        <w:t xml:space="preserve">the Azusa Land Reclamation Landfill, El Sobrante Landfill, and Simi Valley Landfill. </w:t>
      </w:r>
      <w:bookmarkStart w:id="69" w:name="_Hlk70695047"/>
      <w:bookmarkStart w:id="70" w:name="_Hlk21387105"/>
      <w:r>
        <w:t xml:space="preserve">Enclosures with an enclosure roof and double swing gates would accommodate trash bins for solid waste and recyclable materials and would be provided in </w:t>
      </w:r>
      <w:r w:rsidR="00662F2B">
        <w:t xml:space="preserve">the </w:t>
      </w:r>
      <w:r>
        <w:t>southwest corner of the truck court area.</w:t>
      </w:r>
      <w:bookmarkEnd w:id="69"/>
    </w:p>
    <w:bookmarkEnd w:id="68"/>
    <w:bookmarkEnd w:id="70"/>
    <w:p w14:paraId="6C3841B0" w14:textId="77777777" w:rsidR="00B65A0D" w:rsidRDefault="00B65A0D" w:rsidP="00B65A0D">
      <w:pPr>
        <w:pStyle w:val="Heading4"/>
      </w:pPr>
      <w:r>
        <w:t>Telecommunication Systems</w:t>
      </w:r>
    </w:p>
    <w:p w14:paraId="453CF366" w14:textId="77777777" w:rsidR="00B65A0D" w:rsidRDefault="00B65A0D" w:rsidP="00B65A0D">
      <w:pPr>
        <w:pStyle w:val="BodyText"/>
        <w:rPr>
          <w:highlight w:val="yellow"/>
        </w:rPr>
      </w:pPr>
      <w:r>
        <w:t xml:space="preserve">Plans for utilities that would serve the proposed project would include electricity (Southern California Edison), natural gas (Southern California Gas Company), and telecommunications (various, including Frontier Communications and Charter Spectrum). All new utility infrastructure would be installed underground or placed in enclosed spaces (e.g., utility closets). </w:t>
      </w:r>
    </w:p>
    <w:bookmarkEnd w:id="63"/>
    <w:p w14:paraId="4E5270A3" w14:textId="77777777" w:rsidR="00B65A0D" w:rsidRDefault="00B65A0D" w:rsidP="002D0B68">
      <w:pPr>
        <w:pStyle w:val="Heading3"/>
      </w:pPr>
      <w:r>
        <w:t>Green Building Standards</w:t>
      </w:r>
    </w:p>
    <w:p w14:paraId="4BB7FC39" w14:textId="77777777" w:rsidR="00B65A0D" w:rsidRDefault="00B65A0D" w:rsidP="00B65A0D">
      <w:pPr>
        <w:pStyle w:val="BodyText"/>
        <w:rPr>
          <w:noProof/>
        </w:rPr>
      </w:pPr>
      <w:r>
        <w:rPr>
          <w:noProof/>
        </w:rPr>
        <w:t xml:space="preserve">Green building is the practice of designing, constructing, and operating buildings to maximize occupant health and productivity, use fewer resources, reduce waste and negative environmental impacts, and decrease life cycle costs. The proposed project would be designed using green building practices, including those of the most current Building Energy Efficiency Standards </w:t>
      </w:r>
      <w:r w:rsidR="00E14454">
        <w:rPr>
          <w:noProof/>
        </w:rPr>
        <w:t xml:space="preserve">(California Code of Regulations, Title 24, Part 6) and California Green Building Standards Code (CALGreen; California Code of Regulations, Title 24, Part 11). </w:t>
      </w:r>
      <w:r>
        <w:rPr>
          <w:noProof/>
        </w:rPr>
        <w:t xml:space="preserve">The Building Energy Efficiency Standards contain energy and water efficiency requirements (and indoor air quality requirements) for newly constructed buildings, additions to existing buildings, and alterations to existing buildings. CALGreen is California’s statewide "green" building code. Its purpose is to improve public health, safety, and general welfare by enhancing the design and construction of buildings using building concepts that have a reduced negative impact or a positive environmental impact and encouraging sustainable construction practices in the following categories: planning and design, energy efficiency, water efficiency and conservation, water conservation and resource efficiency, and environmental quality. </w:t>
      </w:r>
      <w:r>
        <w:t>Some of the green building standards that would be incorporated into the proposed project include:</w:t>
      </w:r>
    </w:p>
    <w:p w14:paraId="6C53FCD5" w14:textId="77777777" w:rsidR="00B65A0D" w:rsidRDefault="00B65A0D" w:rsidP="009D6ECC">
      <w:pPr>
        <w:pStyle w:val="Bullet1last"/>
        <w:numPr>
          <w:ilvl w:val="0"/>
          <w:numId w:val="49"/>
        </w:numPr>
        <w:spacing w:after="120"/>
      </w:pPr>
      <w:r>
        <w:t xml:space="preserve">“Clean Air” parking spaces would be provided on-site for carpools and fuel-efficient vehicles, for a minimum number of spaces proportional to the required vehicle parking per CALGreen. </w:t>
      </w:r>
    </w:p>
    <w:p w14:paraId="6D176752" w14:textId="77777777" w:rsidR="00B65A0D" w:rsidRDefault="00B65A0D" w:rsidP="009D6ECC">
      <w:pPr>
        <w:pStyle w:val="Bullet1last"/>
        <w:numPr>
          <w:ilvl w:val="0"/>
          <w:numId w:val="49"/>
        </w:numPr>
        <w:spacing w:after="120"/>
      </w:pPr>
      <w:r>
        <w:t>Lighting design would limit glare and uplight and comply with local codes and CALGreen.</w:t>
      </w:r>
    </w:p>
    <w:p w14:paraId="35E39D04" w14:textId="77777777" w:rsidR="00B65A0D" w:rsidRDefault="00B65A0D" w:rsidP="009D6ECC">
      <w:pPr>
        <w:pStyle w:val="Bullet1last"/>
        <w:numPr>
          <w:ilvl w:val="0"/>
          <w:numId w:val="49"/>
        </w:numPr>
        <w:spacing w:after="120"/>
      </w:pPr>
      <w:r>
        <w:t>Plumbing fixtures would be 20 percent water conserving.</w:t>
      </w:r>
    </w:p>
    <w:p w14:paraId="780B6F67" w14:textId="77777777" w:rsidR="00B65A0D" w:rsidRDefault="00B65A0D" w:rsidP="009D6ECC">
      <w:pPr>
        <w:pStyle w:val="Bullet1last"/>
        <w:numPr>
          <w:ilvl w:val="0"/>
          <w:numId w:val="49"/>
        </w:numPr>
        <w:spacing w:after="120"/>
      </w:pPr>
      <w:r>
        <w:t>Separate submeters or metering devices would be installed for outdoor potable water use for landscaped areas, and the irrigation system would have weather- or soil-moisture-based automatic controllers.</w:t>
      </w:r>
    </w:p>
    <w:p w14:paraId="69BDB129" w14:textId="77777777" w:rsidR="00B65A0D" w:rsidRDefault="00B65A0D" w:rsidP="009D6ECC">
      <w:pPr>
        <w:pStyle w:val="Bullet1last"/>
        <w:numPr>
          <w:ilvl w:val="0"/>
          <w:numId w:val="49"/>
        </w:numPr>
        <w:spacing w:after="120"/>
      </w:pPr>
      <w:r>
        <w:t>A construction waste management plan would be developed demonstrating a minimum of 65 percent recycling and/or salvaging of nonhazardous waste.</w:t>
      </w:r>
    </w:p>
    <w:p w14:paraId="2D425DB8" w14:textId="77777777" w:rsidR="00B65A0D" w:rsidRDefault="00B65A0D" w:rsidP="009D6ECC">
      <w:pPr>
        <w:pStyle w:val="Bullet1last"/>
        <w:numPr>
          <w:ilvl w:val="0"/>
          <w:numId w:val="49"/>
        </w:numPr>
        <w:spacing w:after="120"/>
      </w:pPr>
      <w:r>
        <w:t xml:space="preserve">100 percent of land-cleared soils and vegetation </w:t>
      </w:r>
      <w:r w:rsidR="00662F2B">
        <w:t xml:space="preserve">would </w:t>
      </w:r>
      <w:r>
        <w:t xml:space="preserve">be reused or recycled. </w:t>
      </w:r>
    </w:p>
    <w:p w14:paraId="66121DEE" w14:textId="77777777" w:rsidR="00B65A0D" w:rsidRDefault="00B65A0D" w:rsidP="009D6ECC">
      <w:pPr>
        <w:pStyle w:val="Bullet1last"/>
        <w:numPr>
          <w:ilvl w:val="0"/>
          <w:numId w:val="49"/>
        </w:numPr>
        <w:spacing w:after="120"/>
      </w:pPr>
      <w:r>
        <w:t>All construction materials would comply with VOC and toxin limits per CALGreen Section 5.504.</w:t>
      </w:r>
    </w:p>
    <w:p w14:paraId="6013153E" w14:textId="77777777" w:rsidR="00B65A0D" w:rsidRDefault="00B65A0D" w:rsidP="009D6ECC">
      <w:pPr>
        <w:pStyle w:val="Bullet1last"/>
        <w:numPr>
          <w:ilvl w:val="0"/>
          <w:numId w:val="49"/>
        </w:numPr>
        <w:spacing w:after="120"/>
      </w:pPr>
      <w:r>
        <w:t xml:space="preserve">Smoking </w:t>
      </w:r>
      <w:r w:rsidR="00662F2B">
        <w:t xml:space="preserve">would </w:t>
      </w:r>
      <w:r>
        <w:t xml:space="preserve">be prohibited within 25 feet of building entries, air intakes, and operable windows. </w:t>
      </w:r>
    </w:p>
    <w:p w14:paraId="5722C6EF" w14:textId="77777777" w:rsidR="00B65A0D" w:rsidRDefault="00B65A0D" w:rsidP="009D6ECC">
      <w:pPr>
        <w:pStyle w:val="Bullet1last"/>
        <w:numPr>
          <w:ilvl w:val="0"/>
          <w:numId w:val="49"/>
        </w:numPr>
      </w:pPr>
      <w:r>
        <w:t xml:space="preserve">In buildings with over 10 tenants, secure, </w:t>
      </w:r>
      <w:bookmarkStart w:id="71" w:name="_Hlk70949925"/>
      <w:r>
        <w:t xml:space="preserve">long-term bicycle enclosures or lockers </w:t>
      </w:r>
      <w:bookmarkEnd w:id="71"/>
      <w:r>
        <w:t xml:space="preserve">would be provided on-site for a minimum of 5 percent of new tenant vehicular parking. </w:t>
      </w:r>
    </w:p>
    <w:p w14:paraId="6C36AFBD" w14:textId="77777777" w:rsidR="00B65A0D" w:rsidRDefault="00B65A0D" w:rsidP="009D6ECC">
      <w:pPr>
        <w:pStyle w:val="Bullet1last"/>
        <w:numPr>
          <w:ilvl w:val="0"/>
          <w:numId w:val="49"/>
        </w:numPr>
      </w:pPr>
      <w:r>
        <w:t xml:space="preserve">Visitor bicycle parking racks would be provided within 200 feet of building entrances for a minimum of </w:t>
      </w:r>
      <w:r w:rsidR="00662F2B">
        <w:t>5 </w:t>
      </w:r>
      <w:r>
        <w:t>percent of new vehicular parking.</w:t>
      </w:r>
    </w:p>
    <w:p w14:paraId="0900DB9A" w14:textId="77777777" w:rsidR="002D0B68" w:rsidRDefault="002D0B68" w:rsidP="002D0B68">
      <w:pPr>
        <w:pStyle w:val="Heading3"/>
        <w:rPr>
          <w:sz w:val="32"/>
        </w:rPr>
      </w:pPr>
      <w:r>
        <w:t>Project Phasing and Construction</w:t>
      </w:r>
    </w:p>
    <w:p w14:paraId="00F552D4" w14:textId="2BC56A54" w:rsidR="00C9306F" w:rsidRDefault="002D0B68" w:rsidP="002D0B68">
      <w:pPr>
        <w:pStyle w:val="BodyText"/>
      </w:pPr>
      <w:r>
        <w:t xml:space="preserve">Upon City approval, project development is anticipated to be completed in four phases: demolition, site preparation, grading/trenching, and building construction/finishing. Overall project development is estimated to take approximately </w:t>
      </w:r>
      <w:r w:rsidR="00662F2B">
        <w:t xml:space="preserve">eight </w:t>
      </w:r>
      <w:r>
        <w:t xml:space="preserve">months, from </w:t>
      </w:r>
      <w:r w:rsidR="00C031D2">
        <w:t>April</w:t>
      </w:r>
      <w:r>
        <w:t xml:space="preserve"> 2022 to </w:t>
      </w:r>
      <w:r w:rsidR="00C031D2">
        <w:t>December</w:t>
      </w:r>
      <w:r>
        <w:t xml:space="preserve"> 2022. Construction activities, start and end dates, and equipment required are shown in Table 2. Construction would occur from 7:00 am to 4:00 pm Monday through Friday in compliance with Section 9.28.110, </w:t>
      </w:r>
      <w:r w:rsidRPr="004C7293">
        <w:t>Construction of Buildings and Projects</w:t>
      </w:r>
      <w:r w:rsidR="00662F2B">
        <w:t xml:space="preserve">: </w:t>
      </w:r>
      <w:r w:rsidRPr="004C7293">
        <w:t>Times Specified</w:t>
      </w:r>
      <w:r w:rsidRPr="00662F2B">
        <w:t>,</w:t>
      </w:r>
      <w:r>
        <w:t xml:space="preserve"> of the City’s municipal code.</w:t>
      </w:r>
      <w:r>
        <w:rPr>
          <w:rStyle w:val="FootnoteReference"/>
        </w:rPr>
        <w:footnoteReference w:id="3"/>
      </w:r>
      <w:r>
        <w:t xml:space="preserve"> </w:t>
      </w:r>
    </w:p>
    <w:p w14:paraId="5E77451D" w14:textId="77777777" w:rsidR="002D0B68" w:rsidRPr="00C9306F" w:rsidRDefault="00C9306F" w:rsidP="00C9306F">
      <w:pPr>
        <w:rPr>
          <w:kern w:val="20"/>
          <w:szCs w:val="20"/>
        </w:rPr>
      </w:pPr>
      <w:r>
        <w:br w:type="page"/>
      </w:r>
    </w:p>
    <w:tbl>
      <w:tblPr>
        <w:tblW w:w="9360" w:type="dxa"/>
        <w:tblBorders>
          <w:top w:val="single" w:sz="12" w:space="0" w:color="auto"/>
          <w:bottom w:val="single" w:sz="12" w:space="0" w:color="auto"/>
          <w:insideH w:val="single" w:sz="8" w:space="0" w:color="auto"/>
          <w:insideV w:val="single" w:sz="4" w:space="0" w:color="auto"/>
        </w:tblBorders>
        <w:tblLayout w:type="fixed"/>
        <w:tblCellMar>
          <w:top w:w="14" w:type="dxa"/>
          <w:left w:w="115" w:type="dxa"/>
          <w:right w:w="115" w:type="dxa"/>
        </w:tblCellMar>
        <w:tblLook w:val="04A0" w:firstRow="1" w:lastRow="0" w:firstColumn="1" w:lastColumn="0" w:noHBand="0" w:noVBand="1"/>
      </w:tblPr>
      <w:tblGrid>
        <w:gridCol w:w="1980"/>
        <w:gridCol w:w="1620"/>
        <w:gridCol w:w="1620"/>
        <w:gridCol w:w="1890"/>
        <w:gridCol w:w="2250"/>
      </w:tblGrid>
      <w:tr w:rsidR="002D0B68" w14:paraId="33314D71" w14:textId="77777777" w:rsidTr="002D0B68">
        <w:tc>
          <w:tcPr>
            <w:tcW w:w="9360" w:type="dxa"/>
            <w:gridSpan w:val="5"/>
            <w:tcBorders>
              <w:top w:val="nil"/>
              <w:left w:val="nil"/>
              <w:bottom w:val="single" w:sz="12" w:space="0" w:color="auto"/>
              <w:right w:val="nil"/>
            </w:tcBorders>
            <w:hideMark/>
          </w:tcPr>
          <w:p w14:paraId="20A348EC" w14:textId="77777777" w:rsidR="002D0B68" w:rsidRDefault="002D0B68">
            <w:pPr>
              <w:pStyle w:val="TblTitles"/>
            </w:pPr>
            <w:bookmarkStart w:id="72" w:name="_Toc90882248"/>
            <w:r>
              <w:t>Table 2</w:t>
            </w:r>
            <w:r w:rsidR="00662F2B">
              <w:tab/>
            </w:r>
            <w:r>
              <w:t>Construction Schedule and Equipment</w:t>
            </w:r>
            <w:bookmarkEnd w:id="72"/>
          </w:p>
        </w:tc>
      </w:tr>
      <w:tr w:rsidR="002D0B68" w14:paraId="3B110818" w14:textId="77777777" w:rsidTr="00B85BC9">
        <w:tc>
          <w:tcPr>
            <w:tcW w:w="1980" w:type="dxa"/>
            <w:tcBorders>
              <w:top w:val="single" w:sz="8" w:space="0" w:color="auto"/>
              <w:left w:val="nil"/>
              <w:bottom w:val="single" w:sz="12" w:space="0" w:color="auto"/>
              <w:right w:val="single" w:sz="6" w:space="0" w:color="auto"/>
            </w:tcBorders>
            <w:vAlign w:val="bottom"/>
            <w:hideMark/>
          </w:tcPr>
          <w:p w14:paraId="0574BB60" w14:textId="77777777" w:rsidR="002D0B68" w:rsidRDefault="002D0B68" w:rsidP="00B85BC9">
            <w:pPr>
              <w:pStyle w:val="TblColumnHeads"/>
            </w:pPr>
            <w:r>
              <w:t>Construction Activities</w:t>
            </w:r>
          </w:p>
        </w:tc>
        <w:tc>
          <w:tcPr>
            <w:tcW w:w="1620" w:type="dxa"/>
            <w:tcBorders>
              <w:top w:val="single" w:sz="8" w:space="0" w:color="auto"/>
              <w:left w:val="single" w:sz="4" w:space="0" w:color="auto"/>
              <w:bottom w:val="single" w:sz="12" w:space="0" w:color="auto"/>
              <w:right w:val="single" w:sz="6" w:space="0" w:color="auto"/>
            </w:tcBorders>
            <w:vAlign w:val="bottom"/>
            <w:hideMark/>
          </w:tcPr>
          <w:p w14:paraId="6A4504C0" w14:textId="77777777" w:rsidR="002D0B68" w:rsidRDefault="002D0B68" w:rsidP="00B85BC9">
            <w:pPr>
              <w:pStyle w:val="TblColumnHeads"/>
            </w:pPr>
            <w:r>
              <w:t>Phase Type</w:t>
            </w:r>
          </w:p>
        </w:tc>
        <w:tc>
          <w:tcPr>
            <w:tcW w:w="1620" w:type="dxa"/>
            <w:tcBorders>
              <w:top w:val="single" w:sz="8" w:space="0" w:color="auto"/>
              <w:left w:val="single" w:sz="4" w:space="0" w:color="auto"/>
              <w:bottom w:val="single" w:sz="12" w:space="0" w:color="auto"/>
              <w:right w:val="single" w:sz="6" w:space="0" w:color="auto"/>
            </w:tcBorders>
            <w:vAlign w:val="bottom"/>
            <w:hideMark/>
          </w:tcPr>
          <w:p w14:paraId="74D42066" w14:textId="77777777" w:rsidR="002D0B68" w:rsidRDefault="002D0B68" w:rsidP="00B85BC9">
            <w:pPr>
              <w:pStyle w:val="TblColumnHeads"/>
            </w:pPr>
            <w:r>
              <w:t>Start Date</w:t>
            </w:r>
          </w:p>
        </w:tc>
        <w:tc>
          <w:tcPr>
            <w:tcW w:w="1890" w:type="dxa"/>
            <w:tcBorders>
              <w:top w:val="single" w:sz="8" w:space="0" w:color="auto"/>
              <w:left w:val="single" w:sz="4" w:space="0" w:color="auto"/>
              <w:bottom w:val="single" w:sz="12" w:space="0" w:color="auto"/>
              <w:right w:val="single" w:sz="4" w:space="0" w:color="auto"/>
            </w:tcBorders>
            <w:vAlign w:val="bottom"/>
            <w:hideMark/>
          </w:tcPr>
          <w:p w14:paraId="08EBE36B" w14:textId="77777777" w:rsidR="002D0B68" w:rsidRDefault="002D0B68" w:rsidP="00B85BC9">
            <w:pPr>
              <w:pStyle w:val="TblColumnHeads"/>
            </w:pPr>
            <w:r>
              <w:t>End Date</w:t>
            </w:r>
          </w:p>
        </w:tc>
        <w:tc>
          <w:tcPr>
            <w:tcW w:w="2250" w:type="dxa"/>
            <w:tcBorders>
              <w:top w:val="single" w:sz="6" w:space="0" w:color="auto"/>
              <w:left w:val="single" w:sz="6" w:space="0" w:color="auto"/>
              <w:bottom w:val="single" w:sz="12" w:space="0" w:color="auto"/>
              <w:right w:val="nil"/>
            </w:tcBorders>
            <w:vAlign w:val="bottom"/>
            <w:hideMark/>
          </w:tcPr>
          <w:p w14:paraId="5C8024CF" w14:textId="77777777" w:rsidR="002D0B68" w:rsidRDefault="002D0B68" w:rsidP="00B85BC9">
            <w:pPr>
              <w:pStyle w:val="TblColumnHeads"/>
            </w:pPr>
            <w:r>
              <w:t>Equipment Required</w:t>
            </w:r>
          </w:p>
        </w:tc>
      </w:tr>
      <w:tr w:rsidR="002D0B68" w14:paraId="7089029E" w14:textId="77777777" w:rsidTr="00B85BC9">
        <w:trPr>
          <w:trHeight w:val="33"/>
        </w:trPr>
        <w:tc>
          <w:tcPr>
            <w:tcW w:w="1980" w:type="dxa"/>
            <w:tcBorders>
              <w:top w:val="single" w:sz="6" w:space="0" w:color="auto"/>
              <w:left w:val="nil"/>
              <w:bottom w:val="single" w:sz="6" w:space="0" w:color="auto"/>
              <w:right w:val="single" w:sz="6" w:space="0" w:color="auto"/>
            </w:tcBorders>
            <w:vAlign w:val="center"/>
            <w:hideMark/>
          </w:tcPr>
          <w:p w14:paraId="177053F8" w14:textId="77777777" w:rsidR="002D0B68" w:rsidRDefault="002D0B68">
            <w:pPr>
              <w:pStyle w:val="TblTxt1"/>
              <w:ind w:left="0" w:firstLine="0"/>
            </w:pPr>
            <w:r>
              <w:t>Building Demolition</w:t>
            </w:r>
          </w:p>
        </w:tc>
        <w:tc>
          <w:tcPr>
            <w:tcW w:w="1620" w:type="dxa"/>
            <w:tcBorders>
              <w:top w:val="single" w:sz="6" w:space="0" w:color="auto"/>
              <w:left w:val="single" w:sz="4" w:space="0" w:color="auto"/>
              <w:bottom w:val="single" w:sz="6" w:space="0" w:color="auto"/>
              <w:right w:val="single" w:sz="6" w:space="0" w:color="auto"/>
            </w:tcBorders>
            <w:vAlign w:val="center"/>
            <w:hideMark/>
          </w:tcPr>
          <w:p w14:paraId="4B51FD00" w14:textId="77777777" w:rsidR="002D0B68" w:rsidRDefault="002D0B68">
            <w:pPr>
              <w:pStyle w:val="TblTxt1"/>
              <w:ind w:left="0" w:firstLine="0"/>
              <w:jc w:val="center"/>
            </w:pPr>
            <w:r>
              <w:t>Demolition</w:t>
            </w:r>
          </w:p>
        </w:tc>
        <w:tc>
          <w:tcPr>
            <w:tcW w:w="1620" w:type="dxa"/>
            <w:tcBorders>
              <w:top w:val="single" w:sz="6" w:space="0" w:color="auto"/>
              <w:left w:val="single" w:sz="4" w:space="0" w:color="auto"/>
              <w:bottom w:val="single" w:sz="6" w:space="0" w:color="auto"/>
              <w:right w:val="single" w:sz="6" w:space="0" w:color="auto"/>
            </w:tcBorders>
            <w:vAlign w:val="center"/>
            <w:hideMark/>
          </w:tcPr>
          <w:p w14:paraId="2363D3C6" w14:textId="38502BB7" w:rsidR="002D0B68" w:rsidRDefault="00C031D2">
            <w:pPr>
              <w:pStyle w:val="TblTxt1"/>
              <w:ind w:left="0" w:firstLine="0"/>
              <w:jc w:val="center"/>
            </w:pPr>
            <w:r>
              <w:t>4</w:t>
            </w:r>
            <w:r w:rsidR="002D0B68">
              <w:t>/1/2022</w:t>
            </w:r>
          </w:p>
        </w:tc>
        <w:tc>
          <w:tcPr>
            <w:tcW w:w="1890" w:type="dxa"/>
            <w:tcBorders>
              <w:top w:val="single" w:sz="6" w:space="0" w:color="auto"/>
              <w:left w:val="single" w:sz="4" w:space="0" w:color="auto"/>
              <w:bottom w:val="single" w:sz="6" w:space="0" w:color="auto"/>
              <w:right w:val="single" w:sz="4" w:space="0" w:color="auto"/>
            </w:tcBorders>
            <w:vAlign w:val="center"/>
            <w:hideMark/>
          </w:tcPr>
          <w:p w14:paraId="47C0268D" w14:textId="6C5CA8A7" w:rsidR="002D0B68" w:rsidRDefault="00C031D2">
            <w:pPr>
              <w:pStyle w:val="TblTxt1"/>
              <w:ind w:left="0" w:firstLine="0"/>
              <w:jc w:val="center"/>
            </w:pPr>
            <w:r>
              <w:t>5</w:t>
            </w:r>
            <w:r w:rsidR="002D0B68">
              <w:t>/16/2022</w:t>
            </w:r>
          </w:p>
        </w:tc>
        <w:tc>
          <w:tcPr>
            <w:tcW w:w="2250" w:type="dxa"/>
            <w:tcBorders>
              <w:top w:val="single" w:sz="6" w:space="0" w:color="auto"/>
              <w:left w:val="single" w:sz="6" w:space="0" w:color="auto"/>
              <w:bottom w:val="single" w:sz="6" w:space="0" w:color="auto"/>
              <w:right w:val="nil"/>
            </w:tcBorders>
            <w:vAlign w:val="center"/>
            <w:hideMark/>
          </w:tcPr>
          <w:p w14:paraId="3193BDF9" w14:textId="77777777" w:rsidR="002D0B68" w:rsidRDefault="002D0B68">
            <w:pPr>
              <w:pStyle w:val="TblTxt1"/>
              <w:ind w:left="0" w:firstLine="0"/>
            </w:pPr>
            <w:r>
              <w:t xml:space="preserve">One Excavator </w:t>
            </w:r>
          </w:p>
          <w:p w14:paraId="0BEBCFA1" w14:textId="77777777" w:rsidR="002D0B68" w:rsidRDefault="002D0B68">
            <w:pPr>
              <w:pStyle w:val="TblTxt1"/>
              <w:ind w:left="0" w:firstLine="0"/>
            </w:pPr>
            <w:r>
              <w:t>One Skidsteer</w:t>
            </w:r>
          </w:p>
        </w:tc>
      </w:tr>
      <w:tr w:rsidR="002D0B68" w14:paraId="6746CB20" w14:textId="77777777" w:rsidTr="00B85BC9">
        <w:trPr>
          <w:trHeight w:val="33"/>
        </w:trPr>
        <w:tc>
          <w:tcPr>
            <w:tcW w:w="1980" w:type="dxa"/>
            <w:tcBorders>
              <w:top w:val="single" w:sz="6" w:space="0" w:color="auto"/>
              <w:left w:val="nil"/>
              <w:bottom w:val="single" w:sz="6" w:space="0" w:color="auto"/>
              <w:right w:val="single" w:sz="6" w:space="0" w:color="auto"/>
            </w:tcBorders>
            <w:vAlign w:val="center"/>
            <w:hideMark/>
          </w:tcPr>
          <w:p w14:paraId="53364AE7" w14:textId="77777777" w:rsidR="002D0B68" w:rsidRDefault="002D0B68">
            <w:pPr>
              <w:pStyle w:val="TblTxt1"/>
              <w:ind w:left="0" w:firstLine="0"/>
            </w:pPr>
            <w:r>
              <w:t>Asphalt Demolition</w:t>
            </w:r>
          </w:p>
        </w:tc>
        <w:tc>
          <w:tcPr>
            <w:tcW w:w="1620" w:type="dxa"/>
            <w:tcBorders>
              <w:top w:val="single" w:sz="6" w:space="0" w:color="auto"/>
              <w:left w:val="single" w:sz="4" w:space="0" w:color="auto"/>
              <w:bottom w:val="single" w:sz="6" w:space="0" w:color="auto"/>
              <w:right w:val="single" w:sz="6" w:space="0" w:color="auto"/>
            </w:tcBorders>
            <w:vAlign w:val="center"/>
            <w:hideMark/>
          </w:tcPr>
          <w:p w14:paraId="64E46226" w14:textId="77777777" w:rsidR="002D0B68" w:rsidRDefault="002D0B68">
            <w:pPr>
              <w:pStyle w:val="TblTxt1"/>
              <w:ind w:left="0" w:firstLine="0"/>
              <w:jc w:val="center"/>
            </w:pPr>
            <w:r>
              <w:t>Demolition</w:t>
            </w:r>
          </w:p>
        </w:tc>
        <w:tc>
          <w:tcPr>
            <w:tcW w:w="1620" w:type="dxa"/>
            <w:tcBorders>
              <w:top w:val="single" w:sz="6" w:space="0" w:color="auto"/>
              <w:left w:val="single" w:sz="4" w:space="0" w:color="auto"/>
              <w:bottom w:val="single" w:sz="6" w:space="0" w:color="auto"/>
              <w:right w:val="single" w:sz="6" w:space="0" w:color="auto"/>
            </w:tcBorders>
            <w:vAlign w:val="center"/>
            <w:hideMark/>
          </w:tcPr>
          <w:p w14:paraId="28962AAA" w14:textId="6E407A12" w:rsidR="002D0B68" w:rsidRDefault="00C031D2">
            <w:pPr>
              <w:pStyle w:val="TblTxt1"/>
              <w:ind w:left="0" w:firstLine="0"/>
              <w:jc w:val="center"/>
            </w:pPr>
            <w:r>
              <w:t>4</w:t>
            </w:r>
            <w:r w:rsidR="002D0B68">
              <w:t>/18/2022</w:t>
            </w:r>
          </w:p>
        </w:tc>
        <w:tc>
          <w:tcPr>
            <w:tcW w:w="1890" w:type="dxa"/>
            <w:tcBorders>
              <w:top w:val="single" w:sz="6" w:space="0" w:color="auto"/>
              <w:left w:val="single" w:sz="4" w:space="0" w:color="auto"/>
              <w:bottom w:val="single" w:sz="6" w:space="0" w:color="auto"/>
              <w:right w:val="single" w:sz="4" w:space="0" w:color="auto"/>
            </w:tcBorders>
            <w:vAlign w:val="center"/>
            <w:hideMark/>
          </w:tcPr>
          <w:p w14:paraId="23EF93F3" w14:textId="73FAEA5A" w:rsidR="002D0B68" w:rsidRDefault="00C031D2">
            <w:pPr>
              <w:pStyle w:val="TblTxt1"/>
              <w:ind w:left="0" w:firstLine="0"/>
              <w:jc w:val="center"/>
            </w:pPr>
            <w:r>
              <w:t>5</w:t>
            </w:r>
            <w:r w:rsidR="002D0B68">
              <w:t>/2/2022</w:t>
            </w:r>
          </w:p>
        </w:tc>
        <w:tc>
          <w:tcPr>
            <w:tcW w:w="2250" w:type="dxa"/>
            <w:tcBorders>
              <w:top w:val="single" w:sz="6" w:space="0" w:color="auto"/>
              <w:left w:val="single" w:sz="6" w:space="0" w:color="auto"/>
              <w:bottom w:val="single" w:sz="6" w:space="0" w:color="auto"/>
              <w:right w:val="nil"/>
            </w:tcBorders>
            <w:vAlign w:val="center"/>
            <w:hideMark/>
          </w:tcPr>
          <w:p w14:paraId="390BA31A" w14:textId="77777777" w:rsidR="002D0B68" w:rsidRDefault="002D0B68">
            <w:pPr>
              <w:pStyle w:val="TblTxt1"/>
              <w:ind w:left="0" w:firstLine="0"/>
            </w:pPr>
            <w:r>
              <w:t xml:space="preserve">One Excavator </w:t>
            </w:r>
          </w:p>
          <w:p w14:paraId="0E7CDD69" w14:textId="77777777" w:rsidR="002D0B68" w:rsidRDefault="002D0B68">
            <w:pPr>
              <w:pStyle w:val="TblTxt1"/>
              <w:ind w:left="0" w:firstLine="0"/>
            </w:pPr>
            <w:r>
              <w:t>One Skidsteer</w:t>
            </w:r>
          </w:p>
        </w:tc>
      </w:tr>
      <w:tr w:rsidR="002D0B68" w14:paraId="175CA5ED" w14:textId="77777777" w:rsidTr="00B85BC9">
        <w:trPr>
          <w:trHeight w:val="33"/>
        </w:trPr>
        <w:tc>
          <w:tcPr>
            <w:tcW w:w="1980" w:type="dxa"/>
            <w:tcBorders>
              <w:top w:val="single" w:sz="6" w:space="0" w:color="auto"/>
              <w:left w:val="nil"/>
              <w:bottom w:val="single" w:sz="6" w:space="0" w:color="auto"/>
              <w:right w:val="single" w:sz="6" w:space="0" w:color="auto"/>
            </w:tcBorders>
            <w:vAlign w:val="center"/>
            <w:hideMark/>
          </w:tcPr>
          <w:p w14:paraId="21EB7D7E" w14:textId="77777777" w:rsidR="002D0B68" w:rsidRDefault="002D0B68">
            <w:pPr>
              <w:pStyle w:val="TblTxt1"/>
              <w:ind w:left="337" w:hanging="337"/>
            </w:pPr>
            <w:r>
              <w:t>Site Preparation</w:t>
            </w:r>
          </w:p>
        </w:tc>
        <w:tc>
          <w:tcPr>
            <w:tcW w:w="1620" w:type="dxa"/>
            <w:tcBorders>
              <w:top w:val="single" w:sz="6" w:space="0" w:color="auto"/>
              <w:left w:val="single" w:sz="4" w:space="0" w:color="auto"/>
              <w:bottom w:val="single" w:sz="6" w:space="0" w:color="auto"/>
              <w:right w:val="single" w:sz="6" w:space="0" w:color="auto"/>
            </w:tcBorders>
            <w:vAlign w:val="center"/>
            <w:hideMark/>
          </w:tcPr>
          <w:p w14:paraId="623A0FB5" w14:textId="77777777" w:rsidR="002D0B68" w:rsidRDefault="002D0B68">
            <w:pPr>
              <w:pStyle w:val="TblTxt1"/>
              <w:ind w:left="0" w:firstLine="0"/>
              <w:jc w:val="center"/>
            </w:pPr>
            <w:r>
              <w:t>Site Preparation</w:t>
            </w:r>
          </w:p>
        </w:tc>
        <w:tc>
          <w:tcPr>
            <w:tcW w:w="1620" w:type="dxa"/>
            <w:tcBorders>
              <w:top w:val="single" w:sz="6" w:space="0" w:color="auto"/>
              <w:left w:val="single" w:sz="4" w:space="0" w:color="auto"/>
              <w:bottom w:val="single" w:sz="6" w:space="0" w:color="auto"/>
              <w:right w:val="single" w:sz="6" w:space="0" w:color="auto"/>
            </w:tcBorders>
            <w:vAlign w:val="center"/>
            <w:hideMark/>
          </w:tcPr>
          <w:p w14:paraId="687970C9" w14:textId="4678B532" w:rsidR="002D0B68" w:rsidRDefault="00C031D2">
            <w:pPr>
              <w:pStyle w:val="TblTxt1"/>
              <w:ind w:left="0" w:firstLine="0"/>
              <w:jc w:val="center"/>
            </w:pPr>
            <w:r>
              <w:t>5</w:t>
            </w:r>
            <w:r w:rsidR="002D0B68">
              <w:t>/18/2022</w:t>
            </w:r>
          </w:p>
        </w:tc>
        <w:tc>
          <w:tcPr>
            <w:tcW w:w="1890" w:type="dxa"/>
            <w:tcBorders>
              <w:top w:val="single" w:sz="6" w:space="0" w:color="auto"/>
              <w:left w:val="single" w:sz="4" w:space="0" w:color="auto"/>
              <w:bottom w:val="single" w:sz="6" w:space="0" w:color="auto"/>
              <w:right w:val="single" w:sz="4" w:space="0" w:color="auto"/>
            </w:tcBorders>
            <w:vAlign w:val="center"/>
            <w:hideMark/>
          </w:tcPr>
          <w:p w14:paraId="15E8CDA7" w14:textId="74FC009E" w:rsidR="002D0B68" w:rsidRDefault="00C031D2">
            <w:pPr>
              <w:pStyle w:val="TblTxt1"/>
              <w:ind w:left="0" w:firstLine="0"/>
              <w:jc w:val="center"/>
            </w:pPr>
            <w:r>
              <w:t>5</w:t>
            </w:r>
            <w:r w:rsidR="002D0B68">
              <w:t>/25/2022</w:t>
            </w:r>
          </w:p>
        </w:tc>
        <w:tc>
          <w:tcPr>
            <w:tcW w:w="2250" w:type="dxa"/>
            <w:tcBorders>
              <w:top w:val="single" w:sz="6" w:space="0" w:color="auto"/>
              <w:left w:val="single" w:sz="6" w:space="0" w:color="auto"/>
              <w:bottom w:val="single" w:sz="6" w:space="0" w:color="auto"/>
              <w:right w:val="nil"/>
            </w:tcBorders>
            <w:vAlign w:val="center"/>
            <w:hideMark/>
          </w:tcPr>
          <w:p w14:paraId="1F263219" w14:textId="77777777" w:rsidR="002D0B68" w:rsidRDefault="002D0B68">
            <w:pPr>
              <w:pStyle w:val="TblTxt1"/>
              <w:ind w:left="0" w:firstLine="0"/>
            </w:pPr>
            <w:r>
              <w:t>One Dozer Truck</w:t>
            </w:r>
          </w:p>
        </w:tc>
      </w:tr>
      <w:tr w:rsidR="002D0B68" w14:paraId="1F962F7E" w14:textId="77777777" w:rsidTr="00B85BC9">
        <w:trPr>
          <w:trHeight w:val="33"/>
        </w:trPr>
        <w:tc>
          <w:tcPr>
            <w:tcW w:w="1980" w:type="dxa"/>
            <w:tcBorders>
              <w:top w:val="single" w:sz="6" w:space="0" w:color="auto"/>
              <w:left w:val="nil"/>
              <w:bottom w:val="single" w:sz="6" w:space="0" w:color="auto"/>
              <w:right w:val="single" w:sz="6" w:space="0" w:color="auto"/>
            </w:tcBorders>
            <w:vAlign w:val="center"/>
            <w:hideMark/>
          </w:tcPr>
          <w:p w14:paraId="58563B74" w14:textId="77777777" w:rsidR="002D0B68" w:rsidRDefault="002D0B68">
            <w:pPr>
              <w:pStyle w:val="TblTxt1"/>
              <w:ind w:left="337" w:hanging="337"/>
            </w:pPr>
            <w:r>
              <w:t>Building Construction</w:t>
            </w:r>
          </w:p>
        </w:tc>
        <w:tc>
          <w:tcPr>
            <w:tcW w:w="1620" w:type="dxa"/>
            <w:tcBorders>
              <w:top w:val="single" w:sz="6" w:space="0" w:color="auto"/>
              <w:left w:val="single" w:sz="4" w:space="0" w:color="auto"/>
              <w:bottom w:val="single" w:sz="6" w:space="0" w:color="auto"/>
              <w:right w:val="single" w:sz="6" w:space="0" w:color="auto"/>
            </w:tcBorders>
            <w:vAlign w:val="center"/>
            <w:hideMark/>
          </w:tcPr>
          <w:p w14:paraId="7F33C07B" w14:textId="77777777" w:rsidR="002D0B68" w:rsidRDefault="002D0B68">
            <w:pPr>
              <w:pStyle w:val="TblTxt1"/>
              <w:ind w:left="0" w:firstLine="0"/>
              <w:jc w:val="center"/>
            </w:pPr>
            <w:r>
              <w:t>Building Construction</w:t>
            </w:r>
          </w:p>
        </w:tc>
        <w:tc>
          <w:tcPr>
            <w:tcW w:w="1620" w:type="dxa"/>
            <w:tcBorders>
              <w:top w:val="single" w:sz="6" w:space="0" w:color="auto"/>
              <w:left w:val="single" w:sz="4" w:space="0" w:color="auto"/>
              <w:bottom w:val="single" w:sz="6" w:space="0" w:color="auto"/>
              <w:right w:val="single" w:sz="6" w:space="0" w:color="auto"/>
            </w:tcBorders>
            <w:vAlign w:val="center"/>
            <w:hideMark/>
          </w:tcPr>
          <w:p w14:paraId="7F6C2BBC" w14:textId="4D239429" w:rsidR="002D0B68" w:rsidRDefault="00C031D2">
            <w:pPr>
              <w:pStyle w:val="TblTxt1"/>
              <w:ind w:left="0" w:firstLine="0"/>
              <w:jc w:val="center"/>
            </w:pPr>
            <w:r>
              <w:t>5</w:t>
            </w:r>
            <w:r w:rsidR="002D0B68">
              <w:t>/19/2022</w:t>
            </w:r>
          </w:p>
        </w:tc>
        <w:tc>
          <w:tcPr>
            <w:tcW w:w="1890" w:type="dxa"/>
            <w:tcBorders>
              <w:top w:val="single" w:sz="6" w:space="0" w:color="auto"/>
              <w:left w:val="single" w:sz="4" w:space="0" w:color="auto"/>
              <w:bottom w:val="single" w:sz="6" w:space="0" w:color="auto"/>
              <w:right w:val="single" w:sz="4" w:space="0" w:color="auto"/>
            </w:tcBorders>
            <w:vAlign w:val="center"/>
            <w:hideMark/>
          </w:tcPr>
          <w:p w14:paraId="73D6D1A4" w14:textId="131E20AD" w:rsidR="002D0B68" w:rsidRDefault="00C031D2">
            <w:pPr>
              <w:pStyle w:val="TblTxt1"/>
              <w:ind w:left="0" w:firstLine="0"/>
              <w:jc w:val="center"/>
            </w:pPr>
            <w:r>
              <w:t>11</w:t>
            </w:r>
            <w:r w:rsidR="002D0B68">
              <w:t>/20/2022</w:t>
            </w:r>
          </w:p>
        </w:tc>
        <w:tc>
          <w:tcPr>
            <w:tcW w:w="2250" w:type="dxa"/>
            <w:tcBorders>
              <w:top w:val="single" w:sz="6" w:space="0" w:color="auto"/>
              <w:left w:val="single" w:sz="6" w:space="0" w:color="auto"/>
              <w:bottom w:val="single" w:sz="6" w:space="0" w:color="auto"/>
              <w:right w:val="nil"/>
            </w:tcBorders>
            <w:vAlign w:val="center"/>
            <w:hideMark/>
          </w:tcPr>
          <w:p w14:paraId="133574A5" w14:textId="77777777" w:rsidR="002D0B68" w:rsidRDefault="002D0B68">
            <w:pPr>
              <w:pStyle w:val="TblTxt1"/>
              <w:ind w:left="0" w:firstLine="0"/>
            </w:pPr>
            <w:r>
              <w:t>Three Forklifts</w:t>
            </w:r>
          </w:p>
          <w:p w14:paraId="04C89F5C" w14:textId="77777777" w:rsidR="002D0B68" w:rsidRDefault="002D0B68">
            <w:pPr>
              <w:pStyle w:val="TblTxt1"/>
              <w:ind w:left="0" w:firstLine="0"/>
            </w:pPr>
            <w:r>
              <w:t>Three Boomlifts</w:t>
            </w:r>
          </w:p>
        </w:tc>
      </w:tr>
      <w:tr w:rsidR="002D0B68" w14:paraId="04C62BDF" w14:textId="77777777" w:rsidTr="00B85BC9">
        <w:trPr>
          <w:trHeight w:val="33"/>
        </w:trPr>
        <w:tc>
          <w:tcPr>
            <w:tcW w:w="1980" w:type="dxa"/>
            <w:tcBorders>
              <w:top w:val="single" w:sz="6" w:space="0" w:color="auto"/>
              <w:left w:val="nil"/>
              <w:bottom w:val="single" w:sz="6" w:space="0" w:color="auto"/>
              <w:right w:val="single" w:sz="6" w:space="0" w:color="auto"/>
            </w:tcBorders>
            <w:vAlign w:val="center"/>
            <w:hideMark/>
          </w:tcPr>
          <w:p w14:paraId="5FA8A88C" w14:textId="77777777" w:rsidR="002D0B68" w:rsidRDefault="002D0B68">
            <w:pPr>
              <w:pStyle w:val="TblTxt1"/>
              <w:ind w:left="337" w:hanging="337"/>
            </w:pPr>
            <w:r>
              <w:t>Rough Grading</w:t>
            </w:r>
          </w:p>
        </w:tc>
        <w:tc>
          <w:tcPr>
            <w:tcW w:w="1620" w:type="dxa"/>
            <w:tcBorders>
              <w:top w:val="single" w:sz="6" w:space="0" w:color="auto"/>
              <w:left w:val="single" w:sz="4" w:space="0" w:color="auto"/>
              <w:bottom w:val="single" w:sz="6" w:space="0" w:color="auto"/>
              <w:right w:val="single" w:sz="6" w:space="0" w:color="auto"/>
            </w:tcBorders>
            <w:vAlign w:val="center"/>
            <w:hideMark/>
          </w:tcPr>
          <w:p w14:paraId="6456F067" w14:textId="77777777" w:rsidR="002D0B68" w:rsidRDefault="002D0B68">
            <w:pPr>
              <w:pStyle w:val="TblTxt1"/>
              <w:ind w:left="0" w:firstLine="0"/>
              <w:jc w:val="center"/>
            </w:pPr>
            <w:r>
              <w:t>Grading</w:t>
            </w:r>
          </w:p>
        </w:tc>
        <w:tc>
          <w:tcPr>
            <w:tcW w:w="1620" w:type="dxa"/>
            <w:tcBorders>
              <w:top w:val="single" w:sz="6" w:space="0" w:color="auto"/>
              <w:left w:val="single" w:sz="4" w:space="0" w:color="auto"/>
              <w:bottom w:val="single" w:sz="6" w:space="0" w:color="auto"/>
              <w:right w:val="single" w:sz="6" w:space="0" w:color="auto"/>
            </w:tcBorders>
            <w:vAlign w:val="center"/>
            <w:hideMark/>
          </w:tcPr>
          <w:p w14:paraId="76518EAF" w14:textId="5298F3CD" w:rsidR="002D0B68" w:rsidRDefault="00C031D2">
            <w:pPr>
              <w:pStyle w:val="TblTxt1"/>
              <w:ind w:left="0" w:firstLine="0"/>
              <w:jc w:val="center"/>
            </w:pPr>
            <w:r>
              <w:t>5</w:t>
            </w:r>
            <w:r w:rsidR="002D0B68">
              <w:t>/22/2022</w:t>
            </w:r>
          </w:p>
        </w:tc>
        <w:tc>
          <w:tcPr>
            <w:tcW w:w="1890" w:type="dxa"/>
            <w:tcBorders>
              <w:top w:val="single" w:sz="6" w:space="0" w:color="auto"/>
              <w:left w:val="single" w:sz="4" w:space="0" w:color="auto"/>
              <w:bottom w:val="single" w:sz="6" w:space="0" w:color="auto"/>
              <w:right w:val="single" w:sz="4" w:space="0" w:color="auto"/>
            </w:tcBorders>
            <w:vAlign w:val="center"/>
            <w:hideMark/>
          </w:tcPr>
          <w:p w14:paraId="31DBC5AA" w14:textId="03A0C90A" w:rsidR="002D0B68" w:rsidRDefault="00C031D2">
            <w:pPr>
              <w:pStyle w:val="TblTxt1"/>
              <w:ind w:left="0" w:firstLine="0"/>
              <w:jc w:val="center"/>
            </w:pPr>
            <w:r>
              <w:t>6</w:t>
            </w:r>
            <w:r w:rsidR="002D0B68">
              <w:t>/21/2022</w:t>
            </w:r>
          </w:p>
        </w:tc>
        <w:tc>
          <w:tcPr>
            <w:tcW w:w="2250" w:type="dxa"/>
            <w:tcBorders>
              <w:top w:val="single" w:sz="6" w:space="0" w:color="auto"/>
              <w:left w:val="single" w:sz="6" w:space="0" w:color="auto"/>
              <w:bottom w:val="single" w:sz="6" w:space="0" w:color="auto"/>
              <w:right w:val="nil"/>
            </w:tcBorders>
            <w:vAlign w:val="center"/>
            <w:hideMark/>
          </w:tcPr>
          <w:p w14:paraId="573AC86C" w14:textId="77777777" w:rsidR="002D0B68" w:rsidRDefault="002D0B68">
            <w:pPr>
              <w:pStyle w:val="TblTxt1"/>
              <w:ind w:left="0" w:firstLine="0"/>
            </w:pPr>
            <w:r>
              <w:t>Four Motor Scrapers</w:t>
            </w:r>
          </w:p>
          <w:p w14:paraId="0527C3E2" w14:textId="77777777" w:rsidR="002D0B68" w:rsidRDefault="002D0B68">
            <w:pPr>
              <w:pStyle w:val="TblTxt1"/>
              <w:ind w:left="0" w:firstLine="0"/>
            </w:pPr>
            <w:r>
              <w:t>One Motor Grader</w:t>
            </w:r>
          </w:p>
          <w:p w14:paraId="6192771D" w14:textId="77777777" w:rsidR="002D0B68" w:rsidRDefault="002D0B68">
            <w:pPr>
              <w:pStyle w:val="TblTxt1"/>
              <w:ind w:left="0" w:firstLine="0"/>
            </w:pPr>
            <w:r>
              <w:t>One Skip Loader Tractor</w:t>
            </w:r>
          </w:p>
          <w:p w14:paraId="4AF06E59" w14:textId="77777777" w:rsidR="002D0B68" w:rsidRDefault="002D0B68">
            <w:pPr>
              <w:pStyle w:val="TblTxt1"/>
              <w:ind w:left="0" w:firstLine="0"/>
            </w:pPr>
            <w:r>
              <w:t>One Water Tank</w:t>
            </w:r>
          </w:p>
        </w:tc>
      </w:tr>
      <w:tr w:rsidR="002D0B68" w14:paraId="11358E49" w14:textId="77777777" w:rsidTr="00B85BC9">
        <w:trPr>
          <w:trHeight w:val="33"/>
        </w:trPr>
        <w:tc>
          <w:tcPr>
            <w:tcW w:w="1980" w:type="dxa"/>
            <w:tcBorders>
              <w:top w:val="single" w:sz="6" w:space="0" w:color="auto"/>
              <w:left w:val="nil"/>
              <w:bottom w:val="single" w:sz="6" w:space="0" w:color="auto"/>
              <w:right w:val="single" w:sz="6" w:space="0" w:color="auto"/>
            </w:tcBorders>
            <w:vAlign w:val="center"/>
            <w:hideMark/>
          </w:tcPr>
          <w:p w14:paraId="418DADD4" w14:textId="77777777" w:rsidR="002D0B68" w:rsidRDefault="002D0B68">
            <w:pPr>
              <w:pStyle w:val="TblTxt1"/>
              <w:ind w:left="337" w:hanging="337"/>
            </w:pPr>
            <w:r>
              <w:t>Utility Trenching</w:t>
            </w:r>
          </w:p>
        </w:tc>
        <w:tc>
          <w:tcPr>
            <w:tcW w:w="1620" w:type="dxa"/>
            <w:tcBorders>
              <w:top w:val="single" w:sz="6" w:space="0" w:color="auto"/>
              <w:left w:val="single" w:sz="4" w:space="0" w:color="auto"/>
              <w:bottom w:val="single" w:sz="6" w:space="0" w:color="auto"/>
              <w:right w:val="single" w:sz="6" w:space="0" w:color="auto"/>
            </w:tcBorders>
            <w:vAlign w:val="center"/>
            <w:hideMark/>
          </w:tcPr>
          <w:p w14:paraId="7352711C" w14:textId="77777777" w:rsidR="002D0B68" w:rsidRDefault="002D0B68">
            <w:pPr>
              <w:pStyle w:val="TblTxt1"/>
              <w:ind w:left="0" w:firstLine="0"/>
              <w:jc w:val="center"/>
            </w:pPr>
            <w:r>
              <w:t>Trenching</w:t>
            </w:r>
          </w:p>
        </w:tc>
        <w:tc>
          <w:tcPr>
            <w:tcW w:w="1620" w:type="dxa"/>
            <w:tcBorders>
              <w:top w:val="single" w:sz="6" w:space="0" w:color="auto"/>
              <w:left w:val="single" w:sz="4" w:space="0" w:color="auto"/>
              <w:bottom w:val="single" w:sz="6" w:space="0" w:color="auto"/>
              <w:right w:val="single" w:sz="6" w:space="0" w:color="auto"/>
            </w:tcBorders>
            <w:vAlign w:val="center"/>
            <w:hideMark/>
          </w:tcPr>
          <w:p w14:paraId="3CCA29DF" w14:textId="11B021DA" w:rsidR="002D0B68" w:rsidRDefault="00C031D2">
            <w:pPr>
              <w:pStyle w:val="TblTxt1"/>
              <w:ind w:left="0" w:firstLine="0"/>
              <w:jc w:val="center"/>
            </w:pPr>
            <w:r>
              <w:t>6</w:t>
            </w:r>
            <w:r w:rsidR="002D0B68">
              <w:t>/18/2022</w:t>
            </w:r>
          </w:p>
        </w:tc>
        <w:tc>
          <w:tcPr>
            <w:tcW w:w="1890" w:type="dxa"/>
            <w:tcBorders>
              <w:top w:val="single" w:sz="6" w:space="0" w:color="auto"/>
              <w:left w:val="single" w:sz="4" w:space="0" w:color="auto"/>
              <w:bottom w:val="single" w:sz="6" w:space="0" w:color="auto"/>
              <w:right w:val="single" w:sz="4" w:space="0" w:color="auto"/>
            </w:tcBorders>
            <w:vAlign w:val="center"/>
            <w:hideMark/>
          </w:tcPr>
          <w:p w14:paraId="32B51CAA" w14:textId="43842CE7" w:rsidR="002D0B68" w:rsidRDefault="00C031D2">
            <w:pPr>
              <w:pStyle w:val="TblTxt1"/>
              <w:ind w:left="0" w:firstLine="0"/>
              <w:jc w:val="center"/>
            </w:pPr>
            <w:r>
              <w:t>7</w:t>
            </w:r>
            <w:r w:rsidR="002D0B68">
              <w:t>/17/2022</w:t>
            </w:r>
          </w:p>
        </w:tc>
        <w:tc>
          <w:tcPr>
            <w:tcW w:w="2250" w:type="dxa"/>
            <w:tcBorders>
              <w:top w:val="single" w:sz="6" w:space="0" w:color="auto"/>
              <w:left w:val="single" w:sz="6" w:space="0" w:color="auto"/>
              <w:bottom w:val="single" w:sz="6" w:space="0" w:color="auto"/>
              <w:right w:val="nil"/>
            </w:tcBorders>
            <w:vAlign w:val="center"/>
            <w:hideMark/>
          </w:tcPr>
          <w:p w14:paraId="691978A0" w14:textId="77777777" w:rsidR="002D0B68" w:rsidRDefault="002D0B68">
            <w:pPr>
              <w:pStyle w:val="TblTxt1"/>
              <w:ind w:left="0" w:firstLine="0"/>
            </w:pPr>
            <w:r>
              <w:t>Two Loader Backhoes</w:t>
            </w:r>
          </w:p>
        </w:tc>
      </w:tr>
      <w:tr w:rsidR="002D0B68" w14:paraId="1AC740DB" w14:textId="77777777" w:rsidTr="00B85BC9">
        <w:trPr>
          <w:trHeight w:val="33"/>
        </w:trPr>
        <w:tc>
          <w:tcPr>
            <w:tcW w:w="1980" w:type="dxa"/>
            <w:tcBorders>
              <w:top w:val="single" w:sz="6" w:space="0" w:color="auto"/>
              <w:left w:val="nil"/>
              <w:bottom w:val="single" w:sz="6" w:space="0" w:color="auto"/>
              <w:right w:val="single" w:sz="6" w:space="0" w:color="auto"/>
            </w:tcBorders>
            <w:vAlign w:val="center"/>
            <w:hideMark/>
          </w:tcPr>
          <w:p w14:paraId="4EA0392C" w14:textId="77777777" w:rsidR="002D0B68" w:rsidRDefault="002D0B68">
            <w:pPr>
              <w:pStyle w:val="TblTxt1"/>
              <w:ind w:left="337" w:hanging="337"/>
            </w:pPr>
            <w:r>
              <w:t>Fine Grading</w:t>
            </w:r>
          </w:p>
        </w:tc>
        <w:tc>
          <w:tcPr>
            <w:tcW w:w="1620" w:type="dxa"/>
            <w:tcBorders>
              <w:top w:val="single" w:sz="6" w:space="0" w:color="auto"/>
              <w:left w:val="single" w:sz="4" w:space="0" w:color="auto"/>
              <w:bottom w:val="single" w:sz="6" w:space="0" w:color="auto"/>
              <w:right w:val="single" w:sz="6" w:space="0" w:color="auto"/>
            </w:tcBorders>
            <w:vAlign w:val="center"/>
            <w:hideMark/>
          </w:tcPr>
          <w:p w14:paraId="73BE1EBA" w14:textId="77777777" w:rsidR="002D0B68" w:rsidRDefault="002D0B68">
            <w:pPr>
              <w:pStyle w:val="TblTxt1"/>
              <w:ind w:left="0" w:firstLine="0"/>
              <w:jc w:val="center"/>
            </w:pPr>
            <w:r>
              <w:t>Grading</w:t>
            </w:r>
          </w:p>
        </w:tc>
        <w:tc>
          <w:tcPr>
            <w:tcW w:w="1620" w:type="dxa"/>
            <w:tcBorders>
              <w:top w:val="single" w:sz="6" w:space="0" w:color="auto"/>
              <w:left w:val="single" w:sz="4" w:space="0" w:color="auto"/>
              <w:bottom w:val="single" w:sz="6" w:space="0" w:color="auto"/>
              <w:right w:val="single" w:sz="6" w:space="0" w:color="auto"/>
            </w:tcBorders>
            <w:vAlign w:val="center"/>
            <w:hideMark/>
          </w:tcPr>
          <w:p w14:paraId="5FADCC4A" w14:textId="735FFF1E" w:rsidR="002D0B68" w:rsidRDefault="00C031D2">
            <w:pPr>
              <w:pStyle w:val="TblTxt1"/>
              <w:ind w:left="0" w:firstLine="0"/>
              <w:jc w:val="center"/>
            </w:pPr>
            <w:r>
              <w:t>9</w:t>
            </w:r>
            <w:r w:rsidR="002D0B68">
              <w:t>/2/2022</w:t>
            </w:r>
          </w:p>
        </w:tc>
        <w:tc>
          <w:tcPr>
            <w:tcW w:w="1890" w:type="dxa"/>
            <w:tcBorders>
              <w:top w:val="single" w:sz="6" w:space="0" w:color="auto"/>
              <w:left w:val="single" w:sz="4" w:space="0" w:color="auto"/>
              <w:bottom w:val="single" w:sz="6" w:space="0" w:color="auto"/>
              <w:right w:val="single" w:sz="4" w:space="0" w:color="auto"/>
            </w:tcBorders>
            <w:vAlign w:val="center"/>
            <w:hideMark/>
          </w:tcPr>
          <w:p w14:paraId="29832380" w14:textId="3FE53166" w:rsidR="002D0B68" w:rsidRDefault="00C031D2">
            <w:pPr>
              <w:pStyle w:val="TblTxt1"/>
              <w:ind w:left="0" w:firstLine="0"/>
              <w:jc w:val="center"/>
            </w:pPr>
            <w:r>
              <w:t>9</w:t>
            </w:r>
            <w:r w:rsidR="002D0B68">
              <w:t>/19/2022</w:t>
            </w:r>
          </w:p>
        </w:tc>
        <w:tc>
          <w:tcPr>
            <w:tcW w:w="2250" w:type="dxa"/>
            <w:tcBorders>
              <w:top w:val="single" w:sz="6" w:space="0" w:color="auto"/>
              <w:left w:val="single" w:sz="6" w:space="0" w:color="auto"/>
              <w:bottom w:val="single" w:sz="6" w:space="0" w:color="auto"/>
              <w:right w:val="nil"/>
            </w:tcBorders>
            <w:vAlign w:val="center"/>
            <w:hideMark/>
          </w:tcPr>
          <w:p w14:paraId="26F5BF91" w14:textId="77777777" w:rsidR="002D0B68" w:rsidRDefault="002D0B68">
            <w:pPr>
              <w:pStyle w:val="TblTxt1"/>
              <w:ind w:left="0" w:firstLine="0"/>
            </w:pPr>
            <w:r>
              <w:t>One Skip Loader Tractor</w:t>
            </w:r>
          </w:p>
          <w:p w14:paraId="3CC2DDE4" w14:textId="77777777" w:rsidR="002D0B68" w:rsidRDefault="002D0B68">
            <w:pPr>
              <w:pStyle w:val="TblTxt1"/>
              <w:ind w:left="0" w:firstLine="0"/>
            </w:pPr>
            <w:r>
              <w:t>One Vibratory Roller</w:t>
            </w:r>
          </w:p>
        </w:tc>
      </w:tr>
      <w:tr w:rsidR="002D0B68" w14:paraId="1F5F3389" w14:textId="77777777" w:rsidTr="00B85BC9">
        <w:trPr>
          <w:trHeight w:val="33"/>
        </w:trPr>
        <w:tc>
          <w:tcPr>
            <w:tcW w:w="1980" w:type="dxa"/>
            <w:tcBorders>
              <w:top w:val="single" w:sz="6" w:space="0" w:color="auto"/>
              <w:left w:val="nil"/>
              <w:bottom w:val="single" w:sz="6" w:space="0" w:color="auto"/>
              <w:right w:val="single" w:sz="6" w:space="0" w:color="auto"/>
            </w:tcBorders>
            <w:vAlign w:val="center"/>
            <w:hideMark/>
          </w:tcPr>
          <w:p w14:paraId="690FE0E8" w14:textId="77777777" w:rsidR="002D0B68" w:rsidRDefault="002D0B68">
            <w:pPr>
              <w:pStyle w:val="TblTxt1"/>
              <w:ind w:left="337" w:hanging="337"/>
            </w:pPr>
            <w:r>
              <w:t>Architectural Coating</w:t>
            </w:r>
          </w:p>
        </w:tc>
        <w:tc>
          <w:tcPr>
            <w:tcW w:w="1620" w:type="dxa"/>
            <w:tcBorders>
              <w:top w:val="single" w:sz="6" w:space="0" w:color="auto"/>
              <w:left w:val="single" w:sz="4" w:space="0" w:color="auto"/>
              <w:bottom w:val="single" w:sz="6" w:space="0" w:color="auto"/>
              <w:right w:val="single" w:sz="6" w:space="0" w:color="auto"/>
            </w:tcBorders>
            <w:vAlign w:val="center"/>
            <w:hideMark/>
          </w:tcPr>
          <w:p w14:paraId="21340BD6" w14:textId="77777777" w:rsidR="002D0B68" w:rsidRDefault="002D0B68">
            <w:pPr>
              <w:pStyle w:val="TblTxt1"/>
              <w:ind w:left="0" w:firstLine="0"/>
              <w:jc w:val="center"/>
            </w:pPr>
            <w:r>
              <w:t>Building Construction</w:t>
            </w:r>
          </w:p>
        </w:tc>
        <w:tc>
          <w:tcPr>
            <w:tcW w:w="1620" w:type="dxa"/>
            <w:tcBorders>
              <w:top w:val="single" w:sz="6" w:space="0" w:color="auto"/>
              <w:left w:val="single" w:sz="4" w:space="0" w:color="auto"/>
              <w:bottom w:val="single" w:sz="6" w:space="0" w:color="auto"/>
              <w:right w:val="single" w:sz="6" w:space="0" w:color="auto"/>
            </w:tcBorders>
            <w:vAlign w:val="center"/>
            <w:hideMark/>
          </w:tcPr>
          <w:p w14:paraId="64B6C544" w14:textId="0D77B9B1" w:rsidR="002D0B68" w:rsidRDefault="00C031D2">
            <w:pPr>
              <w:pStyle w:val="TblTxt1"/>
              <w:ind w:left="0" w:firstLine="0"/>
              <w:jc w:val="center"/>
            </w:pPr>
            <w:r>
              <w:t>9</w:t>
            </w:r>
            <w:r w:rsidR="002D0B68">
              <w:t>/20/2022</w:t>
            </w:r>
          </w:p>
        </w:tc>
        <w:tc>
          <w:tcPr>
            <w:tcW w:w="1890" w:type="dxa"/>
            <w:tcBorders>
              <w:top w:val="single" w:sz="6" w:space="0" w:color="auto"/>
              <w:left w:val="single" w:sz="4" w:space="0" w:color="auto"/>
              <w:bottom w:val="single" w:sz="6" w:space="0" w:color="auto"/>
              <w:right w:val="single" w:sz="4" w:space="0" w:color="auto"/>
            </w:tcBorders>
            <w:vAlign w:val="center"/>
            <w:hideMark/>
          </w:tcPr>
          <w:p w14:paraId="52BAA834" w14:textId="74984271" w:rsidR="002D0B68" w:rsidRDefault="00C031D2">
            <w:pPr>
              <w:pStyle w:val="TblTxt1"/>
              <w:ind w:left="0" w:firstLine="0"/>
              <w:jc w:val="center"/>
            </w:pPr>
            <w:r>
              <w:t>10</w:t>
            </w:r>
            <w:r w:rsidR="002D0B68">
              <w:t>/18/2022</w:t>
            </w:r>
          </w:p>
        </w:tc>
        <w:tc>
          <w:tcPr>
            <w:tcW w:w="2250" w:type="dxa"/>
            <w:tcBorders>
              <w:top w:val="single" w:sz="6" w:space="0" w:color="auto"/>
              <w:left w:val="single" w:sz="6" w:space="0" w:color="auto"/>
              <w:bottom w:val="single" w:sz="6" w:space="0" w:color="auto"/>
              <w:right w:val="nil"/>
            </w:tcBorders>
            <w:vAlign w:val="center"/>
            <w:hideMark/>
          </w:tcPr>
          <w:p w14:paraId="5DD3BF4F" w14:textId="77777777" w:rsidR="002D0B68" w:rsidRDefault="002D0B68">
            <w:pPr>
              <w:pStyle w:val="TblTxt1"/>
              <w:ind w:left="0" w:firstLine="0"/>
            </w:pPr>
            <w:r>
              <w:t>Three Boomlifts</w:t>
            </w:r>
          </w:p>
        </w:tc>
      </w:tr>
      <w:tr w:rsidR="002D0B68" w14:paraId="664A92AC" w14:textId="77777777" w:rsidTr="00B85BC9">
        <w:trPr>
          <w:trHeight w:val="33"/>
        </w:trPr>
        <w:tc>
          <w:tcPr>
            <w:tcW w:w="1980" w:type="dxa"/>
            <w:tcBorders>
              <w:top w:val="single" w:sz="6" w:space="0" w:color="auto"/>
              <w:left w:val="nil"/>
              <w:bottom w:val="single" w:sz="12" w:space="0" w:color="auto"/>
              <w:right w:val="single" w:sz="6" w:space="0" w:color="auto"/>
            </w:tcBorders>
            <w:vAlign w:val="center"/>
            <w:hideMark/>
          </w:tcPr>
          <w:p w14:paraId="2248CF96" w14:textId="77777777" w:rsidR="002D0B68" w:rsidRDefault="002D0B68">
            <w:pPr>
              <w:pStyle w:val="TblTxt1"/>
              <w:ind w:left="337" w:hanging="337"/>
            </w:pPr>
            <w:r>
              <w:t>Finishing/Landscaping</w:t>
            </w:r>
          </w:p>
        </w:tc>
        <w:tc>
          <w:tcPr>
            <w:tcW w:w="1620" w:type="dxa"/>
            <w:tcBorders>
              <w:top w:val="single" w:sz="6" w:space="0" w:color="auto"/>
              <w:left w:val="single" w:sz="4" w:space="0" w:color="auto"/>
              <w:bottom w:val="single" w:sz="12" w:space="0" w:color="auto"/>
              <w:right w:val="single" w:sz="6" w:space="0" w:color="auto"/>
            </w:tcBorders>
            <w:vAlign w:val="center"/>
            <w:hideMark/>
          </w:tcPr>
          <w:p w14:paraId="5E506589" w14:textId="77777777" w:rsidR="002D0B68" w:rsidRDefault="002D0B68">
            <w:pPr>
              <w:pStyle w:val="TblTxt1"/>
              <w:ind w:left="0" w:firstLine="0"/>
              <w:jc w:val="center"/>
            </w:pPr>
            <w:r>
              <w:t>Finishing</w:t>
            </w:r>
          </w:p>
        </w:tc>
        <w:tc>
          <w:tcPr>
            <w:tcW w:w="1620" w:type="dxa"/>
            <w:tcBorders>
              <w:top w:val="single" w:sz="6" w:space="0" w:color="auto"/>
              <w:left w:val="single" w:sz="4" w:space="0" w:color="auto"/>
              <w:bottom w:val="single" w:sz="12" w:space="0" w:color="auto"/>
              <w:right w:val="single" w:sz="6" w:space="0" w:color="auto"/>
            </w:tcBorders>
            <w:vAlign w:val="center"/>
            <w:hideMark/>
          </w:tcPr>
          <w:p w14:paraId="4D5433E0" w14:textId="430C4A5D" w:rsidR="002D0B68" w:rsidRDefault="00C031D2">
            <w:pPr>
              <w:pStyle w:val="TblTxt1"/>
              <w:ind w:left="0" w:firstLine="0"/>
              <w:jc w:val="center"/>
            </w:pPr>
            <w:r>
              <w:t>10</w:t>
            </w:r>
            <w:r w:rsidR="002D0B68">
              <w:t>/19/2022</w:t>
            </w:r>
          </w:p>
        </w:tc>
        <w:tc>
          <w:tcPr>
            <w:tcW w:w="1890" w:type="dxa"/>
            <w:tcBorders>
              <w:top w:val="single" w:sz="6" w:space="0" w:color="auto"/>
              <w:left w:val="single" w:sz="4" w:space="0" w:color="auto"/>
              <w:bottom w:val="single" w:sz="12" w:space="0" w:color="auto"/>
              <w:right w:val="single" w:sz="4" w:space="0" w:color="auto"/>
            </w:tcBorders>
            <w:vAlign w:val="center"/>
            <w:hideMark/>
          </w:tcPr>
          <w:p w14:paraId="325702ED" w14:textId="59268001" w:rsidR="002D0B68" w:rsidRDefault="002D0B68">
            <w:pPr>
              <w:pStyle w:val="TblTxt1"/>
              <w:ind w:left="0" w:firstLine="0"/>
              <w:jc w:val="center"/>
            </w:pPr>
            <w:r>
              <w:t>1</w:t>
            </w:r>
            <w:r w:rsidR="00C031D2">
              <w:t>2</w:t>
            </w:r>
            <w:r>
              <w:t>/6/2022</w:t>
            </w:r>
          </w:p>
        </w:tc>
        <w:tc>
          <w:tcPr>
            <w:tcW w:w="2250" w:type="dxa"/>
            <w:tcBorders>
              <w:top w:val="single" w:sz="6" w:space="0" w:color="auto"/>
              <w:left w:val="single" w:sz="6" w:space="0" w:color="auto"/>
              <w:bottom w:val="single" w:sz="12" w:space="0" w:color="auto"/>
              <w:right w:val="nil"/>
            </w:tcBorders>
            <w:vAlign w:val="center"/>
            <w:hideMark/>
          </w:tcPr>
          <w:p w14:paraId="4F17FCD0" w14:textId="77777777" w:rsidR="002D0B68" w:rsidRDefault="002D0B68">
            <w:pPr>
              <w:pStyle w:val="TblTxt1"/>
              <w:ind w:left="0" w:firstLine="0"/>
            </w:pPr>
            <w:r>
              <w:t>One Skip Loader Tractors</w:t>
            </w:r>
          </w:p>
        </w:tc>
      </w:tr>
    </w:tbl>
    <w:p w14:paraId="55E9CBE4" w14:textId="77777777" w:rsidR="002D0B68" w:rsidRDefault="002D0B68" w:rsidP="002D0B68">
      <w:pPr>
        <w:pStyle w:val="BodyText"/>
      </w:pPr>
    </w:p>
    <w:p w14:paraId="053FC9E4" w14:textId="77777777" w:rsidR="002D0B68" w:rsidRDefault="002D0B68" w:rsidP="002D0B68">
      <w:pPr>
        <w:pStyle w:val="BodyText"/>
      </w:pPr>
      <w:r>
        <w:t xml:space="preserve">Demolition of the existing </w:t>
      </w:r>
      <w:r w:rsidR="00AC6999">
        <w:t>structures on site</w:t>
      </w:r>
      <w:r>
        <w:t xml:space="preserve"> would generate 323 tons of building debris </w:t>
      </w:r>
      <w:r w:rsidR="00B54534">
        <w:t>and would require approximately 34 trip ends</w:t>
      </w:r>
      <w:r w:rsidR="00B54534">
        <w:rPr>
          <w:rStyle w:val="FootnoteReference"/>
        </w:rPr>
        <w:footnoteReference w:id="4"/>
      </w:r>
      <w:r w:rsidR="00B54534">
        <w:t xml:space="preserve"> </w:t>
      </w:r>
      <w:r>
        <w:t>to be hauled off</w:t>
      </w:r>
      <w:r w:rsidR="003C3D9B">
        <w:t>-</w:t>
      </w:r>
      <w:r>
        <w:t xml:space="preserve">site. Approximately 242 tons of building debris would be recycled. Additionally, 1,130 tons of asphalt </w:t>
      </w:r>
      <w:r w:rsidR="003C3D9B">
        <w:t>would</w:t>
      </w:r>
      <w:r>
        <w:t xml:space="preserve"> be demolished</w:t>
      </w:r>
      <w:r w:rsidR="003C3D9B">
        <w:t>, and</w:t>
      </w:r>
      <w:r>
        <w:t xml:space="preserve"> all of </w:t>
      </w:r>
      <w:r w:rsidR="003C3D9B">
        <w:t>it</w:t>
      </w:r>
      <w:r>
        <w:t xml:space="preserve"> </w:t>
      </w:r>
      <w:r w:rsidR="003C3D9B">
        <w:t>would</w:t>
      </w:r>
      <w:r>
        <w:t xml:space="preserve"> be hauled off</w:t>
      </w:r>
      <w:r w:rsidR="003C3D9B">
        <w:t>-</w:t>
      </w:r>
      <w:r>
        <w:t>site and recycled.</w:t>
      </w:r>
      <w:r w:rsidR="00B54534">
        <w:t xml:space="preserve"> Export of the demolished asphalt would require approximately 114 trip ends. </w:t>
      </w:r>
    </w:p>
    <w:p w14:paraId="7B30DE0E" w14:textId="77777777" w:rsidR="002D0B68" w:rsidRDefault="002D0B68" w:rsidP="002D0B68">
      <w:pPr>
        <w:pStyle w:val="BodyText"/>
      </w:pPr>
      <w:r>
        <w:t xml:space="preserve">It is anticipated that up to </w:t>
      </w:r>
      <w:bookmarkStart w:id="73" w:name="_Hlk71012858"/>
      <w:r>
        <w:t>14,933 cubic yards of soil would need to be imported during the grading phase to balance the site.</w:t>
      </w:r>
      <w:bookmarkEnd w:id="73"/>
      <w:r w:rsidR="00B54534">
        <w:t xml:space="preserve"> </w:t>
      </w:r>
      <w:r>
        <w:t>Soil import is anticipated to require approximately 2,987 total trip ends</w:t>
      </w:r>
      <w:r w:rsidR="003C3D9B">
        <w:t>.</w:t>
      </w:r>
      <w:r>
        <w:t xml:space="preserve"> Although the sites from which soil would be imported is unknown, it is anticipated that they would be less than 25 miles from the project site. All construction staging activities would occur within the confines of the project site. Based on the proposed construction timeline, it is anticipated that the proposed project would be operational in October 2022.</w:t>
      </w:r>
    </w:p>
    <w:p w14:paraId="1CC3C210" w14:textId="77777777" w:rsidR="002D0B68" w:rsidRDefault="002D0B68" w:rsidP="002D0B68">
      <w:pPr>
        <w:pStyle w:val="Heading3"/>
        <w:rPr>
          <w:sz w:val="32"/>
        </w:rPr>
      </w:pPr>
      <w:bookmarkStart w:id="74" w:name="_Toc24541276"/>
      <w:bookmarkStart w:id="75" w:name="_Toc24541279"/>
      <w:r>
        <w:t>General Plan and Zoning Designations</w:t>
      </w:r>
      <w:bookmarkEnd w:id="74"/>
    </w:p>
    <w:p w14:paraId="1CF8A6C6" w14:textId="6CD6B0BF" w:rsidR="002D0B68" w:rsidRDefault="002D0B68" w:rsidP="002D0B68">
      <w:pPr>
        <w:pStyle w:val="BodyText"/>
      </w:pPr>
      <w:bookmarkStart w:id="76" w:name="_Hlk15568547"/>
      <w:r>
        <w:t xml:space="preserve">The prevailing planning and regulatory plans that govern development and use of the project site are the Irwindale General Plan, Irwindale Zoning </w:t>
      </w:r>
      <w:r w:rsidR="00530220">
        <w:t xml:space="preserve">Code </w:t>
      </w:r>
      <w:r>
        <w:t xml:space="preserve">(Title 17 [Zoning]), and Irwindale Commercial </w:t>
      </w:r>
      <w:r w:rsidR="003C3D9B">
        <w:t xml:space="preserve">and </w:t>
      </w:r>
      <w:r>
        <w:t>Industrial Design Guidelines.</w:t>
      </w:r>
      <w:bookmarkStart w:id="77" w:name="_Hlk18075776"/>
      <w:r>
        <w:t xml:space="preserve"> The general plan land use designation of the project site is Industrial/Business Park, and the site is zoned </w:t>
      </w:r>
      <w:bookmarkStart w:id="78" w:name="_Hlk70865069"/>
      <w:r>
        <w:t xml:space="preserve">Light Manufacturing (M-1). </w:t>
      </w:r>
      <w:bookmarkEnd w:id="77"/>
      <w:bookmarkEnd w:id="78"/>
      <w:r w:rsidR="001E7CA0">
        <w:t xml:space="preserve">Land devoted to </w:t>
      </w:r>
      <w:r w:rsidR="00DD5F3D">
        <w:t>Industrial/Business Parks may range in size from 10 acres up to 100 acres,</w:t>
      </w:r>
      <w:r w:rsidR="001E7CA0">
        <w:t xml:space="preserve"> </w:t>
      </w:r>
      <w:r w:rsidR="00DD5F3D">
        <w:t>subdivided into smaller lots and developed with</w:t>
      </w:r>
      <w:r w:rsidR="001E7CA0">
        <w:t xml:space="preserve"> </w:t>
      </w:r>
      <w:r w:rsidR="00DD5F3D">
        <w:t>industrial buildings of varying sizes</w:t>
      </w:r>
      <w:r w:rsidR="001E7CA0">
        <w:t xml:space="preserve">. </w:t>
      </w:r>
      <w:r w:rsidR="00DD5F3D">
        <w:t>This type of</w:t>
      </w:r>
      <w:r w:rsidR="001E7CA0">
        <w:t xml:space="preserve"> </w:t>
      </w:r>
      <w:r w:rsidR="00DD5F3D">
        <w:t>development typically include</w:t>
      </w:r>
      <w:r w:rsidR="001E7CA0">
        <w:t>s</w:t>
      </w:r>
      <w:r w:rsidR="00DD5F3D">
        <w:t xml:space="preserve"> office, manufacturing, and</w:t>
      </w:r>
      <w:r w:rsidR="001E7CA0">
        <w:t xml:space="preserve"> </w:t>
      </w:r>
      <w:r w:rsidR="00DD5F3D">
        <w:t>warehousing</w:t>
      </w:r>
      <w:r w:rsidR="00344E4A" w:rsidRPr="00344E4A">
        <w:t xml:space="preserve"> </w:t>
      </w:r>
      <w:r w:rsidR="00344E4A">
        <w:t xml:space="preserve">and is usually well landscaped, provides abundant parking, and has a uniform architectural design theme. </w:t>
      </w:r>
      <w:r w:rsidR="00DD5F3D">
        <w:t>The M-1 zone is</w:t>
      </w:r>
      <w:r w:rsidR="001E7CA0">
        <w:t xml:space="preserve"> </w:t>
      </w:r>
      <w:r w:rsidR="00DD5F3D">
        <w:t xml:space="preserve">a buffering zone applied to those areas located adjacent to neighboring cities and some of </w:t>
      </w:r>
      <w:r w:rsidR="001E7CA0">
        <w:t>Irwindale</w:t>
      </w:r>
      <w:r w:rsidR="001D145F">
        <w:t>’</w:t>
      </w:r>
      <w:r w:rsidR="00DD5F3D">
        <w:t>s residential neighborhoods.</w:t>
      </w:r>
      <w:r w:rsidR="001E7CA0">
        <w:t xml:space="preserve"> </w:t>
      </w:r>
      <w:r w:rsidR="00BD6E1D">
        <w:t xml:space="preserve">Heavy industrial uses such as </w:t>
      </w:r>
      <w:r w:rsidR="00344E4A">
        <w:t xml:space="preserve">mining, </w:t>
      </w:r>
      <w:r w:rsidR="00344E4A" w:rsidRPr="00344E4A">
        <w:t xml:space="preserve">petroleum refining, metal fabrication plants, mills, </w:t>
      </w:r>
      <w:r w:rsidR="00344E4A">
        <w:t xml:space="preserve">concrete and asphalt batch plants, </w:t>
      </w:r>
      <w:r w:rsidR="00167493">
        <w:t xml:space="preserve">and </w:t>
      </w:r>
      <w:r w:rsidR="00344E4A">
        <w:t xml:space="preserve">manufacturing of </w:t>
      </w:r>
      <w:r w:rsidR="00BD6E1D">
        <w:t>masonry products and preformed</w:t>
      </w:r>
      <w:r w:rsidR="00344E4A">
        <w:t xml:space="preserve"> </w:t>
      </w:r>
      <w:r w:rsidR="00BD6E1D">
        <w:t xml:space="preserve">concrete products </w:t>
      </w:r>
      <w:r w:rsidR="00344E4A">
        <w:t xml:space="preserve">are not allowed in the M-1 zone. </w:t>
      </w:r>
      <w:r w:rsidR="007014BA">
        <w:t xml:space="preserve">The proposed land uses are consistent with the general plan designation and zoning for the site. </w:t>
      </w:r>
      <w:r>
        <w:t>According to the Commercial and Industrial Design Guidelines, the City has established general design characteristics and a broad framework for the physical form and use of industrial buildings. The primary emphasis is the interrelationships of buildings and public spaces as they relate to building design, streetscape, focus, and pedestrian vitality.</w:t>
      </w:r>
      <w:bookmarkEnd w:id="76"/>
    </w:p>
    <w:p w14:paraId="0A22ADEF" w14:textId="77777777" w:rsidR="002D0B68" w:rsidRDefault="002D0B68" w:rsidP="002D0B68">
      <w:pPr>
        <w:pStyle w:val="Heading3"/>
      </w:pPr>
      <w:r>
        <w:t>Required Actions and Approvals</w:t>
      </w:r>
      <w:bookmarkEnd w:id="75"/>
    </w:p>
    <w:p w14:paraId="6F775F8C" w14:textId="77777777" w:rsidR="002D0B68" w:rsidRDefault="002D0B68" w:rsidP="002D0B68">
      <w:pPr>
        <w:pStyle w:val="BodyText"/>
      </w:pPr>
      <w:r>
        <w:t xml:space="preserve">This Initial Study is intended to serve as the primary environmental document for all future actions and approvals associated with the proposed project, including all discretionary and nondiscretionary/ministerial actions and approvals requested or required to implement the proposed project. </w:t>
      </w:r>
    </w:p>
    <w:p w14:paraId="519960C4" w14:textId="77777777" w:rsidR="002D0B68" w:rsidRDefault="002D0B68" w:rsidP="002D0B68">
      <w:pPr>
        <w:pStyle w:val="Heading3"/>
      </w:pPr>
      <w:bookmarkStart w:id="79" w:name="_Hlk16863952"/>
      <w:r>
        <w:t>Discretionary Actions and Approvals</w:t>
      </w:r>
    </w:p>
    <w:bookmarkEnd w:id="79"/>
    <w:p w14:paraId="0422100E" w14:textId="77777777" w:rsidR="002D0B68" w:rsidRDefault="002D0B68" w:rsidP="002D0B68">
      <w:pPr>
        <w:pStyle w:val="BodyText"/>
      </w:pPr>
      <w:r>
        <w:t xml:space="preserve">A discretionary action is an action taken by a government agency that calls for an exercise of judgment in deciding whether to approve a project. Following is a discussion of the discretionary actions and approvals required by government agencies with oversight of the proposed project. </w:t>
      </w:r>
    </w:p>
    <w:p w14:paraId="29CE9C30" w14:textId="77777777" w:rsidR="002D0B68" w:rsidRDefault="002D0B68" w:rsidP="002D0B68">
      <w:pPr>
        <w:pStyle w:val="Heading4"/>
      </w:pPr>
      <w:bookmarkStart w:id="80" w:name="_Hlk70001048"/>
      <w:r>
        <w:t>Lead Agency</w:t>
      </w:r>
    </w:p>
    <w:bookmarkEnd w:id="80"/>
    <w:p w14:paraId="764AB2A1" w14:textId="77777777" w:rsidR="002D0B68" w:rsidRDefault="002D0B68" w:rsidP="002D0B68">
      <w:pPr>
        <w:pStyle w:val="BodyText"/>
      </w:pPr>
      <w:r>
        <w:t>The City of Irwindale is the lead agency under CEQA and has the principal approval authority over the proposed project. Following is a list and discussion of the various discretionary actions and approvals required for project implementation.</w:t>
      </w:r>
    </w:p>
    <w:p w14:paraId="2AB3B87C" w14:textId="77777777" w:rsidR="002D0B68" w:rsidRDefault="002D0B68" w:rsidP="009D6ECC">
      <w:pPr>
        <w:pStyle w:val="Bullet1last"/>
        <w:numPr>
          <w:ilvl w:val="0"/>
          <w:numId w:val="49"/>
        </w:numPr>
      </w:pPr>
      <w:r>
        <w:t>Adoption of a Mitigated Negative Declaration and Mitigation Monitoring and Reporting Program</w:t>
      </w:r>
    </w:p>
    <w:p w14:paraId="4BB93966" w14:textId="77777777" w:rsidR="002D0B68" w:rsidRDefault="002D0B68" w:rsidP="009D6ECC">
      <w:pPr>
        <w:pStyle w:val="Bullet1last"/>
        <w:numPr>
          <w:ilvl w:val="0"/>
          <w:numId w:val="49"/>
        </w:numPr>
      </w:pPr>
      <w:r>
        <w:t xml:space="preserve">Site Plan </w:t>
      </w:r>
      <w:r w:rsidR="001D145F">
        <w:t xml:space="preserve">and Design </w:t>
      </w:r>
      <w:r>
        <w:t>Review</w:t>
      </w:r>
      <w:bookmarkStart w:id="81" w:name="_Hlk73190869"/>
      <w:r w:rsidR="001D145F">
        <w:t xml:space="preserve"> (DA)</w:t>
      </w:r>
    </w:p>
    <w:p w14:paraId="1BDBDB6B" w14:textId="77777777" w:rsidR="002D0B68" w:rsidRDefault="002D0B68" w:rsidP="002D0B68">
      <w:pPr>
        <w:pStyle w:val="BodyText"/>
      </w:pPr>
      <w:r>
        <w:t>Further, City review of the proposed project would result in the production of a comprehensive set of draft Conditions of Approval that will be available for public review prior to consideration of the proposed project for approval by the City. If approved, the proposed project would be required to comply with all imposed Conditions of Approval.</w:t>
      </w:r>
    </w:p>
    <w:bookmarkEnd w:id="81"/>
    <w:p w14:paraId="5C7D57C9" w14:textId="77777777" w:rsidR="002D0B68" w:rsidRDefault="002D0B68" w:rsidP="009D6ECC">
      <w:pPr>
        <w:pStyle w:val="Heading5"/>
        <w:numPr>
          <w:ilvl w:val="4"/>
          <w:numId w:val="48"/>
        </w:numPr>
      </w:pPr>
      <w:r>
        <w:t xml:space="preserve">Mitigated Negative Declaration and Mitigation Monitoring and Reporting Program </w:t>
      </w:r>
    </w:p>
    <w:p w14:paraId="4F9D9189" w14:textId="77777777" w:rsidR="002D0B68" w:rsidRDefault="00E67657" w:rsidP="002D0B68">
      <w:pPr>
        <w:pStyle w:val="BodyText"/>
      </w:pPr>
      <w:r>
        <w:t>T</w:t>
      </w:r>
      <w:r w:rsidR="002D0B68">
        <w:t>his Initial Study has been prepared to support the adoption of a</w:t>
      </w:r>
      <w:r w:rsidR="003C3D9B">
        <w:t>n</w:t>
      </w:r>
      <w:r w:rsidR="002D0B68">
        <w:t xml:space="preserve"> MND. The MND and accompanying Initial Study are appropriate for providing the necessary environmental documentation and clearance for the proposed project and related subsequent activities. </w:t>
      </w:r>
    </w:p>
    <w:p w14:paraId="6AE5149A" w14:textId="77777777" w:rsidR="002D0B68" w:rsidRDefault="00E67657" w:rsidP="002D0B68">
      <w:pPr>
        <w:pStyle w:val="BodyText"/>
      </w:pPr>
      <w:r>
        <w:t>A</w:t>
      </w:r>
      <w:r w:rsidR="003A1A70">
        <w:t xml:space="preserve"> </w:t>
      </w:r>
      <w:r w:rsidR="002D0B68">
        <w:t>Mitigation Monitoring and Reporting Program</w:t>
      </w:r>
      <w:r w:rsidR="003A1A70">
        <w:t xml:space="preserve"> (MMRP)</w:t>
      </w:r>
      <w:r w:rsidR="002D0B68">
        <w:t xml:space="preserve"> </w:t>
      </w:r>
      <w:r w:rsidR="003A1A70">
        <w:t xml:space="preserve">that details the required </w:t>
      </w:r>
      <w:r w:rsidR="002D0B68">
        <w:t xml:space="preserve">mitigation measures to ensure that </w:t>
      </w:r>
      <w:r w:rsidR="003A1A70">
        <w:t xml:space="preserve">project-related environmental </w:t>
      </w:r>
      <w:r w:rsidR="002D0B68">
        <w:t>effects are reduced to less-than-significant levels</w:t>
      </w:r>
      <w:r w:rsidR="003A1A70">
        <w:t xml:space="preserve"> has been prepared</w:t>
      </w:r>
      <w:r w:rsidR="002D0B68">
        <w:t xml:space="preserve">. </w:t>
      </w:r>
      <w:r w:rsidR="003A1A70">
        <w:t>As required by CEQA, t</w:t>
      </w:r>
      <w:r w:rsidR="002D0B68">
        <w:t>he</w:t>
      </w:r>
      <w:r w:rsidR="003A1A70">
        <w:t xml:space="preserve"> MMRP</w:t>
      </w:r>
      <w:r w:rsidR="007014BA">
        <w:t xml:space="preserve"> </w:t>
      </w:r>
      <w:r w:rsidR="003A1A70">
        <w:t xml:space="preserve">specifies </w:t>
      </w:r>
      <w:r w:rsidR="002D0B68">
        <w:t>the required timing for implement</w:t>
      </w:r>
      <w:r w:rsidR="003A1A70">
        <w:t>ing</w:t>
      </w:r>
      <w:r w:rsidR="007014BA">
        <w:t xml:space="preserve"> </w:t>
      </w:r>
      <w:r w:rsidR="002D0B68">
        <w:t xml:space="preserve">each mitigation measure and </w:t>
      </w:r>
      <w:r w:rsidR="003A1A70">
        <w:t>the</w:t>
      </w:r>
      <w:r w:rsidR="006B5DB2">
        <w:t xml:space="preserve"> </w:t>
      </w:r>
      <w:r w:rsidR="002D0B68">
        <w:t>responsible</w:t>
      </w:r>
      <w:r w:rsidR="003A1A70">
        <w:t xml:space="preserve"> parties </w:t>
      </w:r>
      <w:r w:rsidR="002D0B68">
        <w:t>for implementing and monitoring each mitigation measure.</w:t>
      </w:r>
    </w:p>
    <w:p w14:paraId="71543DFF" w14:textId="77777777" w:rsidR="002D0B68" w:rsidRDefault="002D0B68" w:rsidP="009D6ECC">
      <w:pPr>
        <w:pStyle w:val="Heading5"/>
        <w:numPr>
          <w:ilvl w:val="4"/>
          <w:numId w:val="48"/>
        </w:numPr>
      </w:pPr>
      <w:r>
        <w:t xml:space="preserve">Site Plan </w:t>
      </w:r>
      <w:r w:rsidR="009102E6">
        <w:t xml:space="preserve">and Design </w:t>
      </w:r>
      <w:r>
        <w:t>Review</w:t>
      </w:r>
    </w:p>
    <w:p w14:paraId="47DB48C3" w14:textId="674B0299" w:rsidR="002D0B68" w:rsidRDefault="002D0B68" w:rsidP="002D0B68">
      <w:pPr>
        <w:pStyle w:val="BodyText"/>
      </w:pPr>
      <w:r>
        <w:t xml:space="preserve">The project site is zoned </w:t>
      </w:r>
      <w:r w:rsidR="009102E6">
        <w:t>M-1 (</w:t>
      </w:r>
      <w:r>
        <w:t>Light Manufacturing</w:t>
      </w:r>
      <w:r w:rsidR="009102E6">
        <w:t>)</w:t>
      </w:r>
      <w:r>
        <w:t xml:space="preserve"> and designated Industrial/Business Park by the City’s General Plan. Project development is governed by the Irwindale Commercial </w:t>
      </w:r>
      <w:r w:rsidR="003C3D9B">
        <w:t xml:space="preserve">and </w:t>
      </w:r>
      <w:r>
        <w:t xml:space="preserve">Industrial Design Guidelines. A </w:t>
      </w:r>
      <w:r w:rsidR="009102E6">
        <w:t>S</w:t>
      </w:r>
      <w:r>
        <w:t xml:space="preserve">ite </w:t>
      </w:r>
      <w:r w:rsidR="009102E6">
        <w:t>P</w:t>
      </w:r>
      <w:r>
        <w:t xml:space="preserve">lan and </w:t>
      </w:r>
      <w:r w:rsidR="009102E6">
        <w:t>D</w:t>
      </w:r>
      <w:r>
        <w:t xml:space="preserve">esign </w:t>
      </w:r>
      <w:r w:rsidR="009102E6">
        <w:t>R</w:t>
      </w:r>
      <w:r>
        <w:t xml:space="preserve">eview </w:t>
      </w:r>
      <w:r w:rsidR="009102E6">
        <w:t xml:space="preserve">(DA) </w:t>
      </w:r>
      <w:r>
        <w:t xml:space="preserve">permit would need to be issued for the proposed project to address site configuration, design, location, and impact of the proposed use. The permit would also ensure compliance of the proposed project with the </w:t>
      </w:r>
      <w:r w:rsidR="003C3D9B">
        <w:t xml:space="preserve">City’s </w:t>
      </w:r>
      <w:r w:rsidR="004B0B40">
        <w:t>Z</w:t>
      </w:r>
      <w:r w:rsidR="003C3D9B">
        <w:t xml:space="preserve">oning </w:t>
      </w:r>
      <w:r w:rsidR="004B0B40">
        <w:t>C</w:t>
      </w:r>
      <w:r w:rsidR="003C3D9B">
        <w:t>ode</w:t>
      </w:r>
      <w:r>
        <w:t xml:space="preserve"> standards and the Commercial and Industrial Design Guidelines.</w:t>
      </w:r>
    </w:p>
    <w:p w14:paraId="428334AF" w14:textId="77777777" w:rsidR="002D0B68" w:rsidRDefault="002D0B68" w:rsidP="002D0B68">
      <w:pPr>
        <w:pStyle w:val="Heading4"/>
      </w:pPr>
      <w:bookmarkStart w:id="82" w:name="_Toc433763417"/>
      <w:r>
        <w:t>Responsible and Trustee Agencies</w:t>
      </w:r>
    </w:p>
    <w:bookmarkEnd w:id="82"/>
    <w:p w14:paraId="3E89013B" w14:textId="77777777" w:rsidR="003A1A70" w:rsidRPr="004C7293" w:rsidRDefault="002D0B68" w:rsidP="002D0B68">
      <w:pPr>
        <w:pStyle w:val="BodyText"/>
        <w:spacing w:after="300"/>
        <w:rPr>
          <w:rStyle w:val="InsertText"/>
          <w:color w:val="auto"/>
        </w:rPr>
      </w:pPr>
      <w:r>
        <w:t xml:space="preserve">A responsible agency is a public agency that proposes to carry out or approve a project for which a lead agency is preparing or has prepared an environmental document. For the purposes of CEQA, the term "responsible agency" includes all public agencies other than the lead agency that have discretionary approval power over the project. The term trustee agency means a state agency having jurisdiction by law over natural resources </w:t>
      </w:r>
      <w:r w:rsidR="003C3D9B">
        <w:t>that</w:t>
      </w:r>
      <w:r>
        <w:t xml:space="preserve"> are held in trust for the people of California</w:t>
      </w:r>
      <w:r w:rsidR="003C3D9B" w:rsidRPr="003C3D9B">
        <w:t xml:space="preserve"> </w:t>
      </w:r>
      <w:r w:rsidR="003C3D9B">
        <w:t>and could be affected by a project</w:t>
      </w:r>
      <w:r w:rsidRPr="00F111C5">
        <w:t xml:space="preserve">. </w:t>
      </w:r>
      <w:r w:rsidR="003A1A70">
        <w:t xml:space="preserve">As shown in Table </w:t>
      </w:r>
      <w:r w:rsidR="007014BA">
        <w:t>3</w:t>
      </w:r>
      <w:r w:rsidR="003A1A70">
        <w:t xml:space="preserve">, there is only one agency identified as a responsible agency for this project. </w:t>
      </w:r>
    </w:p>
    <w:tbl>
      <w:tblPr>
        <w:tblW w:w="9360" w:type="dxa"/>
        <w:tblLayout w:type="fixed"/>
        <w:tblCellMar>
          <w:top w:w="14" w:type="dxa"/>
          <w:left w:w="115" w:type="dxa"/>
          <w:right w:w="115" w:type="dxa"/>
        </w:tblCellMar>
        <w:tblLook w:val="04A0" w:firstRow="1" w:lastRow="0" w:firstColumn="1" w:lastColumn="0" w:noHBand="0" w:noVBand="1"/>
      </w:tblPr>
      <w:tblGrid>
        <w:gridCol w:w="9360"/>
      </w:tblGrid>
      <w:tr w:rsidR="006B5DB2" w14:paraId="262640C7" w14:textId="77777777" w:rsidTr="00883261">
        <w:tc>
          <w:tcPr>
            <w:tcW w:w="9360" w:type="dxa"/>
            <w:hideMark/>
          </w:tcPr>
          <w:p w14:paraId="2900FE3D" w14:textId="77777777" w:rsidR="006B5DB2" w:rsidRDefault="006B5DB2" w:rsidP="00FD0109">
            <w:pPr>
              <w:pStyle w:val="TblTitles"/>
              <w:keepNext/>
            </w:pPr>
            <w:bookmarkStart w:id="83" w:name="_Toc90882249"/>
            <w:r>
              <w:t>Table 3</w:t>
            </w:r>
            <w:r>
              <w:tab/>
              <w:t>Responsible Agencies</w:t>
            </w:r>
            <w:bookmarkEnd w:id="83"/>
          </w:p>
        </w:tc>
      </w:tr>
    </w:tbl>
    <w:tbl>
      <w:tblPr>
        <w:tblStyle w:val="TableGrid"/>
        <w:tblW w:w="0" w:type="auto"/>
        <w:jc w:val="center"/>
        <w:tblLayout w:type="fixed"/>
        <w:tblCellMar>
          <w:top w:w="14" w:type="dxa"/>
          <w:left w:w="115" w:type="dxa"/>
          <w:bottom w:w="14" w:type="dxa"/>
          <w:right w:w="115" w:type="dxa"/>
        </w:tblCellMar>
        <w:tblLook w:val="00A0" w:firstRow="1" w:lastRow="0" w:firstColumn="1" w:lastColumn="0" w:noHBand="0" w:noVBand="0"/>
      </w:tblPr>
      <w:tblGrid>
        <w:gridCol w:w="3573"/>
        <w:gridCol w:w="5784"/>
      </w:tblGrid>
      <w:tr w:rsidR="002D0B68" w14:paraId="783B16E1" w14:textId="77777777" w:rsidTr="00883261">
        <w:trPr>
          <w:jc w:val="center"/>
        </w:trPr>
        <w:tc>
          <w:tcPr>
            <w:tcW w:w="3573" w:type="dxa"/>
            <w:tcBorders>
              <w:top w:val="single" w:sz="12" w:space="0" w:color="auto"/>
              <w:left w:val="nil"/>
              <w:bottom w:val="single" w:sz="12" w:space="0" w:color="auto"/>
              <w:right w:val="single" w:sz="4" w:space="0" w:color="auto"/>
            </w:tcBorders>
            <w:shd w:val="clear" w:color="auto" w:fill="auto"/>
            <w:vAlign w:val="bottom"/>
            <w:hideMark/>
          </w:tcPr>
          <w:p w14:paraId="248FEB3C" w14:textId="77777777" w:rsidR="002D0B68" w:rsidRDefault="002D0B68">
            <w:pPr>
              <w:pStyle w:val="TblColumnHeads"/>
            </w:pPr>
            <w:r>
              <w:t>Responsible Agencies</w:t>
            </w:r>
          </w:p>
        </w:tc>
        <w:tc>
          <w:tcPr>
            <w:tcW w:w="5784" w:type="dxa"/>
            <w:tcBorders>
              <w:top w:val="single" w:sz="12" w:space="0" w:color="auto"/>
              <w:left w:val="single" w:sz="4" w:space="0" w:color="auto"/>
              <w:bottom w:val="single" w:sz="12" w:space="0" w:color="auto"/>
              <w:right w:val="nil"/>
            </w:tcBorders>
            <w:shd w:val="clear" w:color="auto" w:fill="auto"/>
            <w:vAlign w:val="bottom"/>
            <w:hideMark/>
          </w:tcPr>
          <w:p w14:paraId="40402793" w14:textId="77777777" w:rsidR="002D0B68" w:rsidRDefault="002D0B68">
            <w:pPr>
              <w:pStyle w:val="TblColumnHeads"/>
            </w:pPr>
            <w:r>
              <w:t>Action</w:t>
            </w:r>
          </w:p>
        </w:tc>
      </w:tr>
      <w:tr w:rsidR="002D0B68" w14:paraId="2453659B" w14:textId="77777777" w:rsidTr="002D0B68">
        <w:trPr>
          <w:jc w:val="center"/>
        </w:trPr>
        <w:tc>
          <w:tcPr>
            <w:tcW w:w="3573" w:type="dxa"/>
            <w:tcBorders>
              <w:top w:val="single" w:sz="12" w:space="0" w:color="auto"/>
              <w:left w:val="nil"/>
              <w:bottom w:val="single" w:sz="12" w:space="0" w:color="auto"/>
              <w:right w:val="single" w:sz="4" w:space="0" w:color="auto"/>
            </w:tcBorders>
            <w:tcMar>
              <w:top w:w="29" w:type="dxa"/>
              <w:left w:w="115" w:type="dxa"/>
              <w:bottom w:w="0" w:type="dxa"/>
              <w:right w:w="115" w:type="dxa"/>
            </w:tcMar>
            <w:vAlign w:val="center"/>
            <w:hideMark/>
          </w:tcPr>
          <w:p w14:paraId="0DE9A5D6" w14:textId="77777777" w:rsidR="002D0B68" w:rsidRDefault="002D0B68">
            <w:pPr>
              <w:pStyle w:val="TblTxt"/>
            </w:pPr>
            <w:r>
              <w:t>Los Angeles Regional Water Quality Control Board</w:t>
            </w:r>
          </w:p>
        </w:tc>
        <w:tc>
          <w:tcPr>
            <w:tcW w:w="5784" w:type="dxa"/>
            <w:tcBorders>
              <w:top w:val="single" w:sz="12" w:space="0" w:color="auto"/>
              <w:left w:val="single" w:sz="4" w:space="0" w:color="auto"/>
              <w:bottom w:val="single" w:sz="12" w:space="0" w:color="auto"/>
              <w:right w:val="nil"/>
            </w:tcBorders>
            <w:tcMar>
              <w:top w:w="29" w:type="dxa"/>
              <w:left w:w="115" w:type="dxa"/>
              <w:bottom w:w="0" w:type="dxa"/>
              <w:right w:w="115" w:type="dxa"/>
            </w:tcMar>
            <w:vAlign w:val="center"/>
            <w:hideMark/>
          </w:tcPr>
          <w:p w14:paraId="578BAC07" w14:textId="77777777" w:rsidR="002D0B68" w:rsidRDefault="002D0B68" w:rsidP="009D6ECC">
            <w:pPr>
              <w:pStyle w:val="TblTxtMitigation"/>
              <w:numPr>
                <w:ilvl w:val="0"/>
                <w:numId w:val="51"/>
              </w:numPr>
            </w:pPr>
            <w:r>
              <w:t>Issuance of Construction General Permit Coverage</w:t>
            </w:r>
          </w:p>
        </w:tc>
      </w:tr>
    </w:tbl>
    <w:p w14:paraId="2E6DB5B7" w14:textId="77777777" w:rsidR="002D0B68" w:rsidRDefault="002D0B68" w:rsidP="002D0B68">
      <w:pPr>
        <w:pStyle w:val="BodyText"/>
      </w:pPr>
    </w:p>
    <w:p w14:paraId="41E0EF1E" w14:textId="77777777" w:rsidR="002D0B68" w:rsidRDefault="002D0B68" w:rsidP="002D0B68">
      <w:pPr>
        <w:pStyle w:val="Heading3"/>
      </w:pPr>
      <w:bookmarkStart w:id="84" w:name="_Toc489273998"/>
      <w:bookmarkStart w:id="85" w:name="_Toc527450828"/>
      <w:bookmarkStart w:id="86" w:name="_Toc24541280"/>
      <w:r>
        <w:t>Incorporation by Reference</w:t>
      </w:r>
      <w:bookmarkEnd w:id="84"/>
      <w:bookmarkEnd w:id="85"/>
      <w:bookmarkEnd w:id="86"/>
    </w:p>
    <w:p w14:paraId="6D42303B" w14:textId="77777777" w:rsidR="002D0B68" w:rsidRDefault="002D0B68" w:rsidP="002D0B68">
      <w:pPr>
        <w:pStyle w:val="BodyText"/>
      </w:pPr>
      <w:r>
        <w:t>The information in this Initial Study is based, in part, on the following documents that include the project site or provide information addressing the general project area or use</w:t>
      </w:r>
      <w:r w:rsidR="003C3D9B">
        <w:t>.</w:t>
      </w:r>
    </w:p>
    <w:p w14:paraId="1F413B93" w14:textId="77777777" w:rsidR="002D0B68" w:rsidRDefault="002D0B68" w:rsidP="009D6ECC">
      <w:pPr>
        <w:pStyle w:val="BodyText"/>
        <w:numPr>
          <w:ilvl w:val="0"/>
          <w:numId w:val="50"/>
        </w:numPr>
      </w:pPr>
      <w:r>
        <w:rPr>
          <w:b/>
        </w:rPr>
        <w:t>City of Irwindale General Plan.</w:t>
      </w:r>
      <w:r>
        <w:t xml:space="preserve"> The Irwindale General Plan gives long-range guidance and direction for decisions affecting the future character of Irwindale. It </w:t>
      </w:r>
      <w:r w:rsidR="00103A2E">
        <w:t xml:space="preserve">is </w:t>
      </w:r>
      <w:r>
        <w:t>the blueprint and official statement of the community’s physical development as well as its economic, social, and environmental goals. The Irwindale General Plan was used throughout this Initial Study as the fundamental planning document governing development on the project site.</w:t>
      </w:r>
    </w:p>
    <w:p w14:paraId="24973EDC" w14:textId="4AE6A88C" w:rsidR="002D0B68" w:rsidRDefault="002D0B68" w:rsidP="009D6ECC">
      <w:pPr>
        <w:pStyle w:val="BodyText"/>
        <w:numPr>
          <w:ilvl w:val="0"/>
          <w:numId w:val="50"/>
        </w:numPr>
      </w:pPr>
      <w:r>
        <w:rPr>
          <w:b/>
        </w:rPr>
        <w:t xml:space="preserve">City of Irwindale Zoning </w:t>
      </w:r>
      <w:r w:rsidR="00530220">
        <w:rPr>
          <w:b/>
        </w:rPr>
        <w:t>Code</w:t>
      </w:r>
      <w:r>
        <w:rPr>
          <w:b/>
        </w:rPr>
        <w:t>.</w:t>
      </w:r>
      <w:r>
        <w:t xml:space="preserve"> The Irwindale Zoning </w:t>
      </w:r>
      <w:bookmarkStart w:id="87" w:name="_Hlk70597916"/>
      <w:r w:rsidR="00530220">
        <w:t xml:space="preserve">Code </w:t>
      </w:r>
      <w:r>
        <w:t>(</w:t>
      </w:r>
      <w:bookmarkStart w:id="88" w:name="_Hlk70851248"/>
      <w:r>
        <w:t xml:space="preserve">Title 17 </w:t>
      </w:r>
      <w:bookmarkEnd w:id="87"/>
      <w:r>
        <w:t xml:space="preserve">of the Irwindale Code of Ordinances), </w:t>
      </w:r>
      <w:bookmarkEnd w:id="88"/>
      <w:r>
        <w:t xml:space="preserve">which is the regulating tool that the City uses to implement the Irwindale General Plan, establishes the basic regulations under which land in the City is developed and used. This includes regulations and controls for the design and improvement of development sites, allowable uses, building setback and height requirements, and other development standards. The </w:t>
      </w:r>
      <w:r w:rsidR="00103A2E">
        <w:t xml:space="preserve">zoning code’s </w:t>
      </w:r>
      <w:r>
        <w:t>basic intent is to promote and protect the public health, safety, convenience, and welfare of present and future citizens of Irwindale. The Irwindale Zoning Ordinance was used throughout this Initial Study as a fundamental regulatory document governing development on the project site.</w:t>
      </w:r>
    </w:p>
    <w:p w14:paraId="59534A33" w14:textId="4A75F008" w:rsidR="002D0B68" w:rsidRPr="002D0B68" w:rsidRDefault="002D0B68" w:rsidP="009D6ECC">
      <w:pPr>
        <w:pStyle w:val="Bullet1last"/>
        <w:numPr>
          <w:ilvl w:val="0"/>
          <w:numId w:val="49"/>
        </w:numPr>
      </w:pPr>
      <w:bookmarkStart w:id="89" w:name="_Hlk70597932"/>
      <w:r>
        <w:rPr>
          <w:b/>
        </w:rPr>
        <w:t xml:space="preserve">Irwindale </w:t>
      </w:r>
      <w:bookmarkStart w:id="90" w:name="_Hlk70777277"/>
      <w:r>
        <w:rPr>
          <w:b/>
        </w:rPr>
        <w:t xml:space="preserve">Commercial </w:t>
      </w:r>
      <w:r w:rsidR="00103A2E">
        <w:rPr>
          <w:b/>
        </w:rPr>
        <w:t xml:space="preserve">and </w:t>
      </w:r>
      <w:r>
        <w:rPr>
          <w:b/>
        </w:rPr>
        <w:t>Industrial Design Guidelines</w:t>
      </w:r>
      <w:bookmarkEnd w:id="89"/>
      <w:bookmarkEnd w:id="90"/>
      <w:r>
        <w:rPr>
          <w:b/>
        </w:rPr>
        <w:t>.</w:t>
      </w:r>
      <w:r>
        <w:t xml:space="preserve"> The City’s Commercial and Industrial Design Guidelines ensure the successful integration of both new and remodeled commercial and industrial projects</w:t>
      </w:r>
      <w:r w:rsidR="00103A2E">
        <w:t xml:space="preserve"> to create</w:t>
      </w:r>
      <w:r>
        <w:t xml:space="preserve"> a more aesthetically and functionally cohesive community.</w:t>
      </w:r>
      <w:r>
        <w:rPr>
          <w:bCs/>
        </w:rPr>
        <w:t xml:space="preserve"> </w:t>
      </w:r>
      <w:bookmarkStart w:id="91" w:name="_Hlk70947789"/>
      <w:r>
        <w:t>These guidelines form the basis and criteria for the evaluation of plans and specifications submitted to the City. Developers are required to follow all provisions of these guidelines as applicable to their specific project</w:t>
      </w:r>
      <w:r w:rsidR="00103A2E">
        <w:t>s</w:t>
      </w:r>
      <w:r>
        <w:t xml:space="preserve">. All development plans, landscape plans, and graphic designs </w:t>
      </w:r>
      <w:r w:rsidR="00103A2E">
        <w:t xml:space="preserve">must </w:t>
      </w:r>
      <w:r>
        <w:t xml:space="preserve">comply with these guidelines. </w:t>
      </w:r>
      <w:bookmarkEnd w:id="91"/>
      <w:r>
        <w:t xml:space="preserve">The Irwindale Commercial </w:t>
      </w:r>
      <w:r w:rsidR="00103A2E">
        <w:t xml:space="preserve">and </w:t>
      </w:r>
      <w:r>
        <w:t>Industrial Design Guidelines w</w:t>
      </w:r>
      <w:r w:rsidR="004B0B40">
        <w:t>ere</w:t>
      </w:r>
      <w:r>
        <w:t xml:space="preserve"> used throughout this Initial Study as a fundamental regulatory document governing development on the project site.</w:t>
      </w:r>
    </w:p>
    <w:p w14:paraId="6B525CEB" w14:textId="77777777" w:rsidR="00555D0A" w:rsidRDefault="00555D0A" w:rsidP="00555D0A">
      <w:pPr>
        <w:pStyle w:val="Heading2"/>
      </w:pPr>
      <w:bookmarkStart w:id="92" w:name="_Toc90882146"/>
      <w:r>
        <w:t>Baseline Conditions</w:t>
      </w:r>
      <w:bookmarkEnd w:id="92"/>
    </w:p>
    <w:p w14:paraId="51C38DC5" w14:textId="77777777" w:rsidR="00555D0A" w:rsidRPr="000C3688" w:rsidRDefault="00536386" w:rsidP="00555D0A">
      <w:pPr>
        <w:pStyle w:val="BodyText"/>
      </w:pPr>
      <w:r>
        <w:t>The most recent operating conditions of the Pepsi Bottling Group facility have been used throughout this IS/MND as the “baseline conditions” to compare the impacts of the proposed project</w:t>
      </w:r>
      <w:r w:rsidR="00B85BC9">
        <w:t xml:space="preserve">. </w:t>
      </w:r>
      <w:r w:rsidR="00555D0A" w:rsidRPr="000C3688">
        <w:t xml:space="preserve">The </w:t>
      </w:r>
      <w:r>
        <w:t xml:space="preserve">bottling facility </w:t>
      </w:r>
      <w:r w:rsidR="00555D0A" w:rsidRPr="000C3688">
        <w:t xml:space="preserve">started operations in </w:t>
      </w:r>
      <w:r w:rsidR="002B2540">
        <w:t>1956</w:t>
      </w:r>
      <w:r w:rsidR="00555D0A" w:rsidRPr="000C3688">
        <w:t xml:space="preserve"> and ceased operations in December 2020</w:t>
      </w:r>
      <w:r w:rsidR="00B85BC9">
        <w:t xml:space="preserve">. </w:t>
      </w:r>
      <w:r>
        <w:t>The site has not been active since cessation of the bottling operations</w:t>
      </w:r>
      <w:r w:rsidR="00B85BC9">
        <w:t xml:space="preserve">. </w:t>
      </w:r>
      <w:r>
        <w:t>As described with the legal precedent below, t</w:t>
      </w:r>
      <w:r w:rsidR="00555D0A" w:rsidRPr="000C3688">
        <w:t>h</w:t>
      </w:r>
      <w:r>
        <w:t>e long-term operations of the Pepsi Bottling plant were determined to be most representative for baseline conditions for environmental review</w:t>
      </w:r>
      <w:r w:rsidR="00B85BC9">
        <w:t xml:space="preserve">. </w:t>
      </w:r>
      <w:r>
        <w:t>The IS/MND, therefore, analyzes the net impact of the proposed 441</w:t>
      </w:r>
      <w:r w:rsidR="006B5DB2">
        <w:t>6</w:t>
      </w:r>
      <w:r>
        <w:t xml:space="preserve"> Azusa Canyon Road project in comparison to the Pepsi Bottling plant operations. </w:t>
      </w:r>
    </w:p>
    <w:p w14:paraId="562295B5" w14:textId="77777777" w:rsidR="00555D0A" w:rsidRDefault="00555D0A" w:rsidP="00D10CF6">
      <w:pPr>
        <w:pStyle w:val="BodyText"/>
      </w:pPr>
      <w:r w:rsidRPr="000C3688">
        <w:t>CEQA requires that when evaluating the potential impacts of a project, the analysis must examine impacts against the physical environmental conditions existing at the time the environmental analysis commences, or what is referred to as the environmental baseline. “This environmental setting will normally constitute the baseline physical conditions by which a lead agency determines whether an impact is significant” (</w:t>
      </w:r>
      <w:r w:rsidRPr="00AB41B6">
        <w:t xml:space="preserve">CEQA Guidelines Section </w:t>
      </w:r>
      <w:r w:rsidRPr="000C3688">
        <w:t xml:space="preserve">15125(a)). However, in </w:t>
      </w:r>
      <w:r w:rsidRPr="000C3688">
        <w:rPr>
          <w:i/>
          <w:iCs/>
        </w:rPr>
        <w:t>North County Advocates v. City of Carlsbad</w:t>
      </w:r>
      <w:r w:rsidR="00103A2E">
        <w:t>,</w:t>
      </w:r>
      <w:r w:rsidRPr="000C3688">
        <w:t xml:space="preserve"> 241 Cal.App.4th 94</w:t>
      </w:r>
      <w:r w:rsidR="00103A2E">
        <w:t>,</w:t>
      </w:r>
      <w:r w:rsidRPr="000C3688">
        <w:t xml:space="preserve"> the court found that lead agencies are not compelled to select a frozen-in-time “snapshot” of the most recent conditions when substantial evidence of factors such as longstanding historical use, legal entitlement, and reasonable projections make the use of another baseline a reasonably accurate representation of real conditions at the project site</w:t>
      </w:r>
      <w:r w:rsidR="004E02BD">
        <w:t xml:space="preserve">. The alternate baseline cannot be based </w:t>
      </w:r>
      <w:r w:rsidR="002B2540">
        <w:t xml:space="preserve">on </w:t>
      </w:r>
      <w:r w:rsidR="002B2540" w:rsidRPr="000C3688">
        <w:t>merely</w:t>
      </w:r>
      <w:r w:rsidRPr="000C3688">
        <w:t xml:space="preserve"> hypothetical </w:t>
      </w:r>
      <w:r w:rsidR="004E02BD">
        <w:t>conditions</w:t>
      </w:r>
      <w:r w:rsidRPr="000C3688">
        <w:t xml:space="preserve">. The court decision held that the EIR prepared for the Carlsbad Shopping Mall Renovation, which involved the renovation of a vacant department store, could include the store’s historical operational information in establishing the environmental baseline for the project’s traffic impact analysis under CEQA. In preparing the EIR’s traffic analysis for the project, the </w:t>
      </w:r>
      <w:r w:rsidR="00103A2E" w:rsidRPr="000C3688">
        <w:t>c</w:t>
      </w:r>
      <w:r w:rsidRPr="000C3688">
        <w:t xml:space="preserve">ity applied an existing conditions environmental baseline that was premised on a fully occupied Robinsons-May building, even though the space had been vacant since 2006. The </w:t>
      </w:r>
      <w:r w:rsidR="00103A2E" w:rsidRPr="000C3688">
        <w:t>court of appeal</w:t>
      </w:r>
      <w:r w:rsidRPr="000C3688">
        <w:t xml:space="preserve"> affirmed the trial court’s ruling, finding that substantial evidence supported the </w:t>
      </w:r>
      <w:r w:rsidR="00103A2E" w:rsidRPr="000C3688">
        <w:t>c</w:t>
      </w:r>
      <w:r w:rsidRPr="000C3688">
        <w:t>ity’s existing environmental conditions baseline because it was based on recent historical use and was consistent. Therefore, historical operational levels can be used to establish the existing environmental conditions baseline</w:t>
      </w:r>
      <w:r>
        <w:t xml:space="preserve"> when </w:t>
      </w:r>
      <w:r w:rsidRPr="000C3688">
        <w:t>they are supported with substantial evidence, such as actual entitlements for those historic</w:t>
      </w:r>
      <w:r w:rsidR="00103A2E">
        <w:t>al</w:t>
      </w:r>
      <w:r w:rsidRPr="000C3688">
        <w:t xml:space="preserve"> levels, and demonstration that the use at those levels had previously occurred (Manatt 2015).</w:t>
      </w:r>
    </w:p>
    <w:p w14:paraId="07D6241D" w14:textId="77777777" w:rsidR="00D10CF6" w:rsidRDefault="00D10CF6" w:rsidP="00D10CF6">
      <w:pPr>
        <w:pStyle w:val="BodyTextItalic"/>
      </w:pPr>
    </w:p>
    <w:p w14:paraId="3D341A77" w14:textId="77777777" w:rsidR="00D10CF6" w:rsidRPr="008F26F8" w:rsidRDefault="00D10CF6" w:rsidP="00D10CF6">
      <w:pPr>
        <w:pStyle w:val="BodyText"/>
        <w:sectPr w:rsidR="00D10CF6" w:rsidRPr="008F26F8" w:rsidSect="00360CA8">
          <w:headerReference w:type="even" r:id="rId17"/>
          <w:headerReference w:type="default" r:id="rId18"/>
          <w:footerReference w:type="even" r:id="rId19"/>
          <w:headerReference w:type="first" r:id="rId20"/>
          <w:footerReference w:type="first" r:id="rId21"/>
          <w:pgSz w:w="12240" w:h="15840" w:code="1"/>
          <w:pgMar w:top="2376" w:right="1440" w:bottom="1440" w:left="1440" w:header="720" w:footer="720" w:gutter="0"/>
          <w:pgNumType w:start="1"/>
          <w:cols w:space="720"/>
          <w:noEndnote/>
          <w:titlePg/>
          <w:docGrid w:linePitch="299"/>
        </w:sectPr>
      </w:pPr>
    </w:p>
    <w:p w14:paraId="12E82E56" w14:textId="77777777" w:rsidR="00D10CF6" w:rsidRDefault="00D10CF6" w:rsidP="00D10CF6">
      <w:pPr>
        <w:pStyle w:val="Heading1"/>
      </w:pPr>
      <w:bookmarkStart w:id="93" w:name="_Hlt493474304"/>
      <w:bookmarkStart w:id="94" w:name="_Toc433763418"/>
      <w:bookmarkStart w:id="95" w:name="_Toc90882147"/>
      <w:bookmarkEnd w:id="93"/>
      <w:r>
        <w:t>Environmental Checklist</w:t>
      </w:r>
      <w:bookmarkEnd w:id="94"/>
      <w:bookmarkEnd w:id="95"/>
    </w:p>
    <w:p w14:paraId="70464A51" w14:textId="77777777" w:rsidR="00D10CF6" w:rsidRPr="008256C6" w:rsidRDefault="00292EF1" w:rsidP="00D10CF6">
      <w:pPr>
        <w:pStyle w:val="Heading2"/>
      </w:pPr>
      <w:bookmarkStart w:id="96" w:name="_Toc90882148"/>
      <w:r>
        <w:t>Project Information</w:t>
      </w:r>
      <w:bookmarkEnd w:id="96"/>
    </w:p>
    <w:p w14:paraId="539E04A7" w14:textId="77777777" w:rsidR="00D10CF6" w:rsidRDefault="00D10CF6" w:rsidP="002D2CE7">
      <w:pPr>
        <w:pStyle w:val="BodyText3"/>
      </w:pPr>
      <w:r w:rsidRPr="00655D6B">
        <w:rPr>
          <w:rStyle w:val="BodyTextBoldChar"/>
        </w:rPr>
        <w:t>Project Title:</w:t>
      </w:r>
      <w:r>
        <w:t xml:space="preserve"> </w:t>
      </w:r>
      <w:r w:rsidR="00681702">
        <w:t xml:space="preserve">4416 </w:t>
      </w:r>
      <w:r w:rsidR="00F03D97" w:rsidRPr="00F03D97">
        <w:rPr>
          <w:rStyle w:val="InsertText"/>
          <w:color w:val="auto"/>
        </w:rPr>
        <w:t xml:space="preserve">Azusa </w:t>
      </w:r>
      <w:r w:rsidR="00F03D97" w:rsidRPr="001822BB">
        <w:rPr>
          <w:rStyle w:val="InsertText"/>
          <w:color w:val="auto"/>
        </w:rPr>
        <w:t>Canyon Road</w:t>
      </w:r>
    </w:p>
    <w:p w14:paraId="702564FD" w14:textId="77777777" w:rsidR="00D10CF6" w:rsidRDefault="00D10CF6" w:rsidP="00D10CF6">
      <w:pPr>
        <w:pStyle w:val="BodyTextIndent3"/>
      </w:pPr>
    </w:p>
    <w:p w14:paraId="65A03472" w14:textId="77777777" w:rsidR="00D10CF6" w:rsidRPr="004D5966" w:rsidRDefault="00D10CF6" w:rsidP="001B6B2E">
      <w:pPr>
        <w:pStyle w:val="BodyText3"/>
        <w:rPr>
          <w:b/>
          <w:bCs/>
        </w:rPr>
      </w:pPr>
      <w:r w:rsidRPr="004D5966">
        <w:rPr>
          <w:b/>
          <w:bCs/>
        </w:rPr>
        <w:t>Lead Agency Name and Address:</w:t>
      </w:r>
    </w:p>
    <w:p w14:paraId="4E08E10A" w14:textId="77777777" w:rsidR="00D10CF6" w:rsidRPr="00F03D97" w:rsidRDefault="00F03D97" w:rsidP="00D10CF6">
      <w:pPr>
        <w:pStyle w:val="BodyTextIndent3"/>
        <w:spacing w:after="0"/>
        <w:rPr>
          <w:rStyle w:val="InsertText"/>
          <w:color w:val="auto"/>
        </w:rPr>
      </w:pPr>
      <w:r w:rsidRPr="00F03D97">
        <w:rPr>
          <w:rStyle w:val="InsertText"/>
          <w:color w:val="auto"/>
        </w:rPr>
        <w:t>City of Irwindale</w:t>
      </w:r>
    </w:p>
    <w:p w14:paraId="45AE1E7D" w14:textId="77777777" w:rsidR="00D10CF6" w:rsidRPr="00F03D97" w:rsidRDefault="00F03D97" w:rsidP="00D10CF6">
      <w:pPr>
        <w:pStyle w:val="BodyTextIndent3"/>
        <w:spacing w:after="0"/>
        <w:rPr>
          <w:rStyle w:val="InsertText"/>
          <w:color w:val="auto"/>
        </w:rPr>
      </w:pPr>
      <w:r w:rsidRPr="00F03D97">
        <w:rPr>
          <w:rStyle w:val="InsertText"/>
          <w:color w:val="auto"/>
        </w:rPr>
        <w:t>Planning Department</w:t>
      </w:r>
    </w:p>
    <w:p w14:paraId="43D483CB" w14:textId="77777777" w:rsidR="00F03D97" w:rsidRPr="00F03D97" w:rsidRDefault="00F03D97" w:rsidP="00F03D97">
      <w:pPr>
        <w:pStyle w:val="BodyTextIndent3"/>
        <w:spacing w:after="0"/>
        <w:rPr>
          <w:rStyle w:val="InsertText"/>
          <w:color w:val="auto"/>
        </w:rPr>
      </w:pPr>
      <w:r w:rsidRPr="00F03D97">
        <w:rPr>
          <w:rStyle w:val="InsertText"/>
          <w:color w:val="auto"/>
        </w:rPr>
        <w:t>5050 Irwindale Avenue</w:t>
      </w:r>
    </w:p>
    <w:p w14:paraId="4AD0C92E" w14:textId="77777777" w:rsidR="00F03D97" w:rsidRPr="00F03D97" w:rsidRDefault="00F03D97" w:rsidP="00F03D97">
      <w:pPr>
        <w:pStyle w:val="BodyTextIndent3"/>
        <w:spacing w:after="0"/>
        <w:rPr>
          <w:rStyle w:val="InsertText"/>
          <w:color w:val="auto"/>
        </w:rPr>
      </w:pPr>
      <w:r w:rsidRPr="00F03D97">
        <w:rPr>
          <w:rStyle w:val="InsertText"/>
          <w:color w:val="auto"/>
        </w:rPr>
        <w:t>Irwindale, California 91706</w:t>
      </w:r>
    </w:p>
    <w:p w14:paraId="46C2B9A9" w14:textId="77777777" w:rsidR="00D10CF6" w:rsidRDefault="00D10CF6" w:rsidP="00D10CF6">
      <w:pPr>
        <w:pStyle w:val="BodyTextIndent3"/>
      </w:pPr>
    </w:p>
    <w:p w14:paraId="37595AF7" w14:textId="77777777" w:rsidR="00D10CF6" w:rsidRPr="004D5966" w:rsidRDefault="00D10CF6" w:rsidP="001B6B2E">
      <w:pPr>
        <w:pStyle w:val="BodyText3"/>
        <w:rPr>
          <w:b/>
          <w:bCs/>
        </w:rPr>
      </w:pPr>
      <w:r w:rsidRPr="004D5966">
        <w:rPr>
          <w:b/>
          <w:bCs/>
        </w:rPr>
        <w:t>Contact Person and Phone Number:</w:t>
      </w:r>
    </w:p>
    <w:p w14:paraId="7A039603" w14:textId="77777777" w:rsidR="00F03D97" w:rsidRPr="00F03D97" w:rsidRDefault="00F03D97" w:rsidP="00F03D97">
      <w:pPr>
        <w:pStyle w:val="BodyTextIndent3"/>
        <w:spacing w:after="0"/>
        <w:rPr>
          <w:rStyle w:val="InsertText"/>
          <w:color w:val="auto"/>
        </w:rPr>
      </w:pPr>
      <w:r w:rsidRPr="00F03D97">
        <w:rPr>
          <w:rStyle w:val="InsertText"/>
          <w:color w:val="auto"/>
        </w:rPr>
        <w:t>Brandi Jones, Senior Planner</w:t>
      </w:r>
    </w:p>
    <w:p w14:paraId="769EDA96" w14:textId="77777777" w:rsidR="00D10CF6" w:rsidRPr="00F03D97" w:rsidRDefault="00F03D97" w:rsidP="00F03D97">
      <w:pPr>
        <w:pStyle w:val="BodyTextIndent3"/>
        <w:spacing w:after="0"/>
        <w:rPr>
          <w:rStyle w:val="InsertText"/>
          <w:color w:val="auto"/>
        </w:rPr>
      </w:pPr>
      <w:r w:rsidRPr="00F03D97">
        <w:rPr>
          <w:rStyle w:val="InsertText"/>
          <w:color w:val="auto"/>
        </w:rPr>
        <w:t>626.430.2260</w:t>
      </w:r>
    </w:p>
    <w:p w14:paraId="4734A31B" w14:textId="77777777" w:rsidR="00D10CF6" w:rsidRDefault="00D10CF6" w:rsidP="00D10CF6">
      <w:pPr>
        <w:pStyle w:val="BodyTextIndent3"/>
      </w:pPr>
    </w:p>
    <w:p w14:paraId="28E18105" w14:textId="77777777" w:rsidR="000D6BB5" w:rsidRPr="000D6BB5" w:rsidRDefault="00D10CF6" w:rsidP="00E76985">
      <w:pPr>
        <w:pStyle w:val="BodyText3"/>
        <w:jc w:val="both"/>
        <w:rPr>
          <w:rStyle w:val="BodyTextBoldChar"/>
          <w:b w:val="0"/>
          <w:kern w:val="0"/>
        </w:rPr>
      </w:pPr>
      <w:r w:rsidRPr="00655D6B">
        <w:rPr>
          <w:rStyle w:val="BodyTextBoldChar"/>
        </w:rPr>
        <w:t>Project Location:</w:t>
      </w:r>
    </w:p>
    <w:p w14:paraId="49620AF7" w14:textId="6E1F6DBD" w:rsidR="00D10CF6" w:rsidRDefault="00F03D97" w:rsidP="000D6BB5">
      <w:pPr>
        <w:pStyle w:val="BodyTextIndent3"/>
        <w:jc w:val="both"/>
      </w:pPr>
      <w:r w:rsidRPr="00F03D97">
        <w:rPr>
          <w:rStyle w:val="InsertText"/>
          <w:color w:val="auto"/>
        </w:rPr>
        <w:t>The project site is at the northeastern corner of the Azusa Canyon Road/Los Angeles Street intersection—it is bound</w:t>
      </w:r>
      <w:r w:rsidR="00103A2E">
        <w:rPr>
          <w:rStyle w:val="InsertText"/>
          <w:color w:val="auto"/>
        </w:rPr>
        <w:t>ed</w:t>
      </w:r>
      <w:r w:rsidRPr="00F03D97">
        <w:rPr>
          <w:rStyle w:val="InsertText"/>
          <w:color w:val="auto"/>
        </w:rPr>
        <w:t xml:space="preserve"> by Big Dalton </w:t>
      </w:r>
      <w:r w:rsidR="00554B63">
        <w:rPr>
          <w:rStyle w:val="InsertText"/>
          <w:color w:val="auto"/>
        </w:rPr>
        <w:t>W</w:t>
      </w:r>
      <w:r w:rsidRPr="00F03D97">
        <w:rPr>
          <w:rStyle w:val="InsertText"/>
          <w:color w:val="auto"/>
        </w:rPr>
        <w:t>ash to the north</w:t>
      </w:r>
      <w:r w:rsidR="00103A2E">
        <w:rPr>
          <w:rStyle w:val="InsertText"/>
          <w:color w:val="auto"/>
        </w:rPr>
        <w:t>,</w:t>
      </w:r>
      <w:r w:rsidR="00103A2E" w:rsidRPr="00F03D97">
        <w:rPr>
          <w:rStyle w:val="InsertText"/>
          <w:color w:val="auto"/>
        </w:rPr>
        <w:t xml:space="preserve"> </w:t>
      </w:r>
      <w:r w:rsidRPr="00F03D97">
        <w:rPr>
          <w:rStyle w:val="InsertText"/>
          <w:color w:val="auto"/>
        </w:rPr>
        <w:t xml:space="preserve">Los Angeles County Metro (LA Metro) railroad </w:t>
      </w:r>
      <w:r w:rsidR="009D6ECC">
        <w:rPr>
          <w:rStyle w:val="InsertText"/>
          <w:color w:val="auto"/>
        </w:rPr>
        <w:t>and</w:t>
      </w:r>
      <w:r w:rsidR="00103A2E" w:rsidRPr="00F03D97">
        <w:rPr>
          <w:rStyle w:val="InsertText"/>
          <w:color w:val="auto"/>
        </w:rPr>
        <w:t xml:space="preserve"> </w:t>
      </w:r>
      <w:r w:rsidRPr="00F03D97">
        <w:rPr>
          <w:rStyle w:val="InsertText"/>
          <w:color w:val="auto"/>
        </w:rPr>
        <w:t xml:space="preserve">Los Angeles Street to the </w:t>
      </w:r>
      <w:r w:rsidR="009D6ECC">
        <w:rPr>
          <w:rStyle w:val="InsertText"/>
          <w:color w:val="auto"/>
        </w:rPr>
        <w:t>south</w:t>
      </w:r>
      <w:r w:rsidR="00103A2E">
        <w:rPr>
          <w:rStyle w:val="InsertText"/>
          <w:color w:val="auto"/>
        </w:rPr>
        <w:t>,</w:t>
      </w:r>
      <w:r w:rsidR="00103A2E" w:rsidRPr="00F03D97">
        <w:rPr>
          <w:rStyle w:val="InsertText"/>
          <w:color w:val="auto"/>
        </w:rPr>
        <w:t xml:space="preserve"> </w:t>
      </w:r>
      <w:r w:rsidR="009D6ECC">
        <w:rPr>
          <w:rStyle w:val="InsertText"/>
          <w:color w:val="auto"/>
        </w:rPr>
        <w:t xml:space="preserve">a railroad spur to the east, </w:t>
      </w:r>
      <w:r w:rsidRPr="00F03D97">
        <w:rPr>
          <w:rStyle w:val="InsertText"/>
          <w:color w:val="auto"/>
        </w:rPr>
        <w:t xml:space="preserve">and Azusa Canyon Road </w:t>
      </w:r>
      <w:r w:rsidR="00B10EA6">
        <w:rPr>
          <w:rStyle w:val="InsertText"/>
          <w:color w:val="auto"/>
        </w:rPr>
        <w:t xml:space="preserve">and the </w:t>
      </w:r>
      <w:r w:rsidR="009102E6" w:rsidRPr="002F1791">
        <w:rPr>
          <w:rStyle w:val="InsertText"/>
          <w:color w:val="auto"/>
        </w:rPr>
        <w:t>Olive Pit min</w:t>
      </w:r>
      <w:r w:rsidR="009102E6">
        <w:rPr>
          <w:rStyle w:val="InsertText"/>
          <w:color w:val="auto"/>
        </w:rPr>
        <w:t>e site/sand and gravel</w:t>
      </w:r>
      <w:r w:rsidR="009102E6" w:rsidRPr="002F1791">
        <w:rPr>
          <w:rStyle w:val="InsertText"/>
          <w:color w:val="auto"/>
        </w:rPr>
        <w:t xml:space="preserve"> quarry </w:t>
      </w:r>
      <w:r w:rsidRPr="00F03D97">
        <w:rPr>
          <w:rStyle w:val="InsertText"/>
          <w:color w:val="auto"/>
        </w:rPr>
        <w:t>to the west.</w:t>
      </w:r>
    </w:p>
    <w:p w14:paraId="514B7C7F" w14:textId="77777777" w:rsidR="00D10CF6" w:rsidRDefault="00D10CF6" w:rsidP="00D10CF6">
      <w:pPr>
        <w:pStyle w:val="BodyTextIndent3"/>
      </w:pPr>
    </w:p>
    <w:p w14:paraId="57F3FB03" w14:textId="77777777" w:rsidR="00D10CF6" w:rsidRPr="0050351F" w:rsidRDefault="00D10CF6" w:rsidP="001B6B2E">
      <w:pPr>
        <w:pStyle w:val="BodyText3"/>
        <w:rPr>
          <w:b/>
        </w:rPr>
      </w:pPr>
      <w:r w:rsidRPr="0050351F">
        <w:rPr>
          <w:b/>
        </w:rPr>
        <w:t>Project Sponsor’s Name and Address:</w:t>
      </w:r>
    </w:p>
    <w:p w14:paraId="45F18AFD" w14:textId="77777777" w:rsidR="00F03D97" w:rsidRPr="00E15612" w:rsidRDefault="00F03D97" w:rsidP="00E15612">
      <w:pPr>
        <w:pStyle w:val="BodyTextIndent3"/>
        <w:spacing w:after="0"/>
        <w:rPr>
          <w:rStyle w:val="InsertText"/>
          <w:color w:val="auto"/>
        </w:rPr>
      </w:pPr>
      <w:r w:rsidRPr="00E15612">
        <w:rPr>
          <w:rStyle w:val="InsertText"/>
          <w:color w:val="auto"/>
        </w:rPr>
        <w:t xml:space="preserve">Rexford Industrial Realty </w:t>
      </w:r>
    </w:p>
    <w:p w14:paraId="5E6DF123" w14:textId="77777777" w:rsidR="00F03D97" w:rsidRPr="00E15612" w:rsidRDefault="00E15612" w:rsidP="00F03D97">
      <w:pPr>
        <w:pStyle w:val="BodyTextIndent3"/>
        <w:spacing w:after="0"/>
        <w:rPr>
          <w:rStyle w:val="InsertText"/>
          <w:color w:val="auto"/>
        </w:rPr>
      </w:pPr>
      <w:r w:rsidRPr="00E15612">
        <w:rPr>
          <w:rStyle w:val="InsertText"/>
          <w:color w:val="auto"/>
        </w:rPr>
        <w:t>11620 Wilshire Boulevard, 10th Floor</w:t>
      </w:r>
    </w:p>
    <w:p w14:paraId="3AC8B4C4" w14:textId="77777777" w:rsidR="00D10CF6" w:rsidRPr="00E15612" w:rsidRDefault="00E15612" w:rsidP="00E15612">
      <w:pPr>
        <w:pStyle w:val="BodyTextIndent3"/>
        <w:spacing w:after="0"/>
        <w:rPr>
          <w:rStyle w:val="InsertText"/>
          <w:color w:val="auto"/>
        </w:rPr>
      </w:pPr>
      <w:r w:rsidRPr="00E15612">
        <w:rPr>
          <w:rStyle w:val="InsertText"/>
          <w:color w:val="auto"/>
        </w:rPr>
        <w:t xml:space="preserve">Los Angeles, California 90025 </w:t>
      </w:r>
    </w:p>
    <w:p w14:paraId="40CB9001" w14:textId="77777777" w:rsidR="00D10CF6" w:rsidRPr="00E15612" w:rsidRDefault="00D10CF6" w:rsidP="00D10CF6">
      <w:pPr>
        <w:pStyle w:val="BodyTextIndent3"/>
      </w:pPr>
    </w:p>
    <w:p w14:paraId="5C60572B" w14:textId="77777777" w:rsidR="00D10CF6" w:rsidRPr="00E15612" w:rsidRDefault="00D10CF6" w:rsidP="00D10CF6">
      <w:pPr>
        <w:pStyle w:val="BodyText3"/>
      </w:pPr>
      <w:r w:rsidRPr="00E15612">
        <w:rPr>
          <w:rStyle w:val="BodyTextBoldChar"/>
        </w:rPr>
        <w:t>General Plan Designation:</w:t>
      </w:r>
      <w:r w:rsidRPr="00E15612">
        <w:t xml:space="preserve"> </w:t>
      </w:r>
      <w:r w:rsidR="00E15612" w:rsidRPr="00E15612">
        <w:rPr>
          <w:rStyle w:val="InsertText"/>
          <w:color w:val="auto"/>
        </w:rPr>
        <w:t>Industrial/Business Park</w:t>
      </w:r>
    </w:p>
    <w:p w14:paraId="76FD0088" w14:textId="77777777" w:rsidR="00D10CF6" w:rsidRPr="00E15612" w:rsidRDefault="00D10CF6" w:rsidP="00D10CF6">
      <w:pPr>
        <w:pStyle w:val="BodyTextIndent3"/>
      </w:pPr>
    </w:p>
    <w:p w14:paraId="630A6188" w14:textId="77777777" w:rsidR="00D10CF6" w:rsidRPr="00E15612" w:rsidRDefault="00D10CF6" w:rsidP="00D10CF6">
      <w:pPr>
        <w:pStyle w:val="BodyText3"/>
      </w:pPr>
      <w:r w:rsidRPr="00E15612">
        <w:rPr>
          <w:rStyle w:val="BodyTextBoldChar"/>
        </w:rPr>
        <w:t>Zoning:</w:t>
      </w:r>
      <w:r w:rsidRPr="00E15612">
        <w:t xml:space="preserve"> </w:t>
      </w:r>
      <w:r w:rsidR="00AF384C">
        <w:t>Light</w:t>
      </w:r>
      <w:r w:rsidR="00AF384C" w:rsidRPr="001C0F0B">
        <w:t xml:space="preserve"> Manufacturing (M-</w:t>
      </w:r>
      <w:r w:rsidR="00AF384C">
        <w:t>1</w:t>
      </w:r>
      <w:r w:rsidR="00AF384C" w:rsidRPr="001C0F0B">
        <w:t>)</w:t>
      </w:r>
    </w:p>
    <w:p w14:paraId="204C8FA0" w14:textId="77777777" w:rsidR="00D10CF6" w:rsidRDefault="00D10CF6" w:rsidP="00D10CF6">
      <w:pPr>
        <w:pStyle w:val="BodyTextIndent3"/>
      </w:pPr>
    </w:p>
    <w:p w14:paraId="342EB236" w14:textId="77777777" w:rsidR="00D10CF6" w:rsidRDefault="00D10CF6" w:rsidP="00D10CF6">
      <w:pPr>
        <w:pStyle w:val="BodyText3"/>
      </w:pPr>
      <w:r w:rsidRPr="00655D6B">
        <w:rPr>
          <w:rStyle w:val="BodyTextBoldChar"/>
        </w:rPr>
        <w:t>Description of Project</w:t>
      </w:r>
      <w:r w:rsidR="00C31B7D">
        <w:rPr>
          <w:rStyle w:val="BodyTextBoldChar"/>
        </w:rPr>
        <w:t>:</w:t>
      </w:r>
      <w:r>
        <w:t xml:space="preserve"> </w:t>
      </w:r>
    </w:p>
    <w:p w14:paraId="7E778739" w14:textId="77777777" w:rsidR="00D10CF6" w:rsidRPr="00330532" w:rsidRDefault="00330532" w:rsidP="00E76985">
      <w:pPr>
        <w:pStyle w:val="BodyTextIndent3"/>
        <w:jc w:val="both"/>
        <w:rPr>
          <w:rStyle w:val="InsertText"/>
          <w:color w:val="auto"/>
          <w:szCs w:val="24"/>
        </w:rPr>
      </w:pPr>
      <w:r w:rsidRPr="00330532">
        <w:rPr>
          <w:rStyle w:val="InsertText"/>
          <w:color w:val="auto"/>
        </w:rPr>
        <w:t>Rexford Industrial Realty (project applicant) proposes to develop the 5.</w:t>
      </w:r>
      <w:r w:rsidR="00F16BA2">
        <w:rPr>
          <w:rStyle w:val="InsertText"/>
          <w:color w:val="auto"/>
        </w:rPr>
        <w:t>89</w:t>
      </w:r>
      <w:r w:rsidRPr="00330532">
        <w:rPr>
          <w:rStyle w:val="InsertText"/>
          <w:color w:val="auto"/>
        </w:rPr>
        <w:t>-acre</w:t>
      </w:r>
      <w:r w:rsidR="00626BC9">
        <w:rPr>
          <w:rStyle w:val="InsertText"/>
          <w:color w:val="auto"/>
        </w:rPr>
        <w:t xml:space="preserve"> (gross)</w:t>
      </w:r>
      <w:r w:rsidRPr="00330532">
        <w:rPr>
          <w:rStyle w:val="InsertText"/>
          <w:color w:val="auto"/>
        </w:rPr>
        <w:t xml:space="preserve"> project site with a stand</w:t>
      </w:r>
      <w:r w:rsidRPr="00330532">
        <w:rPr>
          <w:rStyle w:val="InsertText"/>
          <w:rFonts w:ascii="Cambria Math" w:hAnsi="Cambria Math" w:cs="Cambria Math"/>
          <w:color w:val="auto"/>
        </w:rPr>
        <w:t>‐</w:t>
      </w:r>
      <w:r w:rsidRPr="00330532">
        <w:rPr>
          <w:rStyle w:val="InsertText"/>
          <w:color w:val="auto"/>
        </w:rPr>
        <w:t>alone concrete tilt</w:t>
      </w:r>
      <w:r w:rsidRPr="00330532">
        <w:rPr>
          <w:rStyle w:val="InsertText"/>
          <w:rFonts w:ascii="Cambria Math" w:hAnsi="Cambria Math" w:cs="Cambria Math"/>
          <w:color w:val="auto"/>
        </w:rPr>
        <w:t>‐</w:t>
      </w:r>
      <w:r w:rsidRPr="00330532">
        <w:rPr>
          <w:rStyle w:val="InsertText"/>
          <w:color w:val="auto"/>
        </w:rPr>
        <w:t>up warehouse, office, and manufacturing facility at 4416 Azusa Canyon Road. The warehouse and manufacturing businesses (prospective tenants are unknown at this time) would operate out of a proposed building that would encompass a total of 129,</w:t>
      </w:r>
      <w:r w:rsidR="003F79A9">
        <w:rPr>
          <w:rStyle w:val="InsertText"/>
          <w:color w:val="auto"/>
        </w:rPr>
        <w:t>8</w:t>
      </w:r>
      <w:r w:rsidR="00896D27">
        <w:rPr>
          <w:rStyle w:val="InsertText"/>
          <w:color w:val="auto"/>
        </w:rPr>
        <w:t>3</w:t>
      </w:r>
      <w:r w:rsidR="003F79A9">
        <w:rPr>
          <w:rStyle w:val="InsertText"/>
          <w:color w:val="auto"/>
        </w:rPr>
        <w:t>0</w:t>
      </w:r>
      <w:r w:rsidRPr="00330532">
        <w:rPr>
          <w:rStyle w:val="InsertText"/>
          <w:color w:val="auto"/>
        </w:rPr>
        <w:t xml:space="preserve"> square feet, </w:t>
      </w:r>
      <w:r w:rsidR="009D6ECC">
        <w:rPr>
          <w:rStyle w:val="InsertText"/>
          <w:color w:val="auto"/>
        </w:rPr>
        <w:t>with</w:t>
      </w:r>
      <w:r w:rsidR="009D6ECC" w:rsidRPr="00330532">
        <w:rPr>
          <w:rStyle w:val="InsertText"/>
          <w:color w:val="auto"/>
        </w:rPr>
        <w:t xml:space="preserve"> </w:t>
      </w:r>
      <w:r w:rsidRPr="00330532">
        <w:rPr>
          <w:rStyle w:val="InsertText"/>
          <w:color w:val="auto"/>
        </w:rPr>
        <w:t>17,</w:t>
      </w:r>
      <w:r w:rsidR="00896D27">
        <w:rPr>
          <w:rStyle w:val="InsertText"/>
          <w:color w:val="auto"/>
        </w:rPr>
        <w:t>0</w:t>
      </w:r>
      <w:r w:rsidRPr="00330532">
        <w:rPr>
          <w:rStyle w:val="InsertText"/>
          <w:color w:val="auto"/>
        </w:rPr>
        <w:t xml:space="preserve">00 square feet of manufacturing space, </w:t>
      </w:r>
      <w:r w:rsidR="00896D27" w:rsidRPr="00896D27">
        <w:rPr>
          <w:rStyle w:val="InsertText"/>
          <w:color w:val="auto"/>
        </w:rPr>
        <w:t>103,670</w:t>
      </w:r>
      <w:r w:rsidR="00896D27">
        <w:rPr>
          <w:rStyle w:val="InsertText"/>
          <w:color w:val="auto"/>
        </w:rPr>
        <w:t xml:space="preserve"> </w:t>
      </w:r>
      <w:r w:rsidRPr="00330532">
        <w:rPr>
          <w:rStyle w:val="InsertText"/>
          <w:color w:val="auto"/>
        </w:rPr>
        <w:t>square feet of warehous</w:t>
      </w:r>
      <w:r w:rsidR="004E02BD">
        <w:rPr>
          <w:rStyle w:val="InsertText"/>
          <w:color w:val="auto"/>
        </w:rPr>
        <w:t>ing</w:t>
      </w:r>
      <w:r w:rsidRPr="00330532">
        <w:rPr>
          <w:rStyle w:val="InsertText"/>
          <w:color w:val="auto"/>
        </w:rPr>
        <w:t xml:space="preserve"> space, and </w:t>
      </w:r>
      <w:r w:rsidR="00896D27" w:rsidRPr="00896D27">
        <w:rPr>
          <w:rStyle w:val="InsertText"/>
          <w:color w:val="auto"/>
        </w:rPr>
        <w:t xml:space="preserve">9,160 </w:t>
      </w:r>
      <w:r w:rsidRPr="00330532">
        <w:rPr>
          <w:rStyle w:val="InsertText"/>
          <w:color w:val="auto"/>
        </w:rPr>
        <w:t xml:space="preserve">square feet of ancillary office space to support the industrial and warehousing tenant(s). The proposed project would also </w:t>
      </w:r>
      <w:r w:rsidRPr="00240B41">
        <w:rPr>
          <w:rStyle w:val="InsertText"/>
          <w:color w:val="auto"/>
        </w:rPr>
        <w:t>include 1</w:t>
      </w:r>
      <w:r w:rsidR="003F79A9" w:rsidRPr="00240B41">
        <w:rPr>
          <w:rStyle w:val="InsertText"/>
          <w:color w:val="auto"/>
        </w:rPr>
        <w:t>8</w:t>
      </w:r>
      <w:r w:rsidRPr="00240B41">
        <w:rPr>
          <w:rStyle w:val="InsertText"/>
          <w:color w:val="auto"/>
        </w:rPr>
        <w:t xml:space="preserve"> dock door</w:t>
      </w:r>
      <w:r w:rsidRPr="00330532">
        <w:rPr>
          <w:rStyle w:val="InsertText"/>
          <w:color w:val="auto"/>
        </w:rPr>
        <w:t xml:space="preserve"> positions within a secured truck court area on the southeastern side of the site. Other project components include vehicular and pedestrian access and circulation improvements</w:t>
      </w:r>
      <w:r w:rsidR="009D6ECC">
        <w:rPr>
          <w:rStyle w:val="InsertText"/>
          <w:color w:val="auto"/>
        </w:rPr>
        <w:t>,</w:t>
      </w:r>
      <w:r w:rsidRPr="00330532">
        <w:rPr>
          <w:rStyle w:val="InsertText"/>
          <w:color w:val="auto"/>
        </w:rPr>
        <w:t xml:space="preserve"> asphalt parking areas</w:t>
      </w:r>
      <w:r w:rsidR="009D6ECC">
        <w:rPr>
          <w:rStyle w:val="InsertText"/>
          <w:color w:val="auto"/>
        </w:rPr>
        <w:t>,</w:t>
      </w:r>
      <w:r w:rsidRPr="00330532">
        <w:rPr>
          <w:rStyle w:val="InsertText"/>
          <w:color w:val="auto"/>
        </w:rPr>
        <w:t xml:space="preserve"> utility and infrastructure improvements</w:t>
      </w:r>
      <w:r w:rsidR="009D6ECC">
        <w:rPr>
          <w:rStyle w:val="InsertText"/>
          <w:color w:val="auto"/>
        </w:rPr>
        <w:t>,</w:t>
      </w:r>
      <w:r w:rsidRPr="00330532">
        <w:rPr>
          <w:rStyle w:val="InsertText"/>
          <w:color w:val="auto"/>
        </w:rPr>
        <w:t xml:space="preserve"> and various hardscape and landscape improvements.</w:t>
      </w:r>
    </w:p>
    <w:p w14:paraId="668A4E42" w14:textId="77777777" w:rsidR="00D10CF6" w:rsidRDefault="00D10CF6" w:rsidP="00D10CF6">
      <w:pPr>
        <w:pStyle w:val="BodyText3"/>
      </w:pPr>
      <w:r w:rsidRPr="00655D6B">
        <w:rPr>
          <w:rStyle w:val="BodyTextBoldChar"/>
        </w:rPr>
        <w:t>Surrounding Land Uses and Setting</w:t>
      </w:r>
      <w:r w:rsidR="00C31B7D">
        <w:rPr>
          <w:rStyle w:val="BodyTextBoldChar"/>
        </w:rPr>
        <w:t>:</w:t>
      </w:r>
      <w:r>
        <w:t xml:space="preserve"> </w:t>
      </w:r>
    </w:p>
    <w:p w14:paraId="62E91623" w14:textId="3265DCA2" w:rsidR="00D10CF6" w:rsidRPr="00B23653" w:rsidRDefault="00E15612" w:rsidP="00E76985">
      <w:pPr>
        <w:pStyle w:val="BodyTextIndent3"/>
        <w:spacing w:after="0"/>
        <w:jc w:val="both"/>
        <w:rPr>
          <w:rStyle w:val="InsertText"/>
          <w:color w:val="auto"/>
          <w:szCs w:val="24"/>
        </w:rPr>
      </w:pPr>
      <w:r w:rsidRPr="00B23653">
        <w:rPr>
          <w:rStyle w:val="InsertText"/>
          <w:color w:val="auto"/>
        </w:rPr>
        <w:t xml:space="preserve">The project site is immediately surrounded by business and industrial uses to the north, east, and south. </w:t>
      </w:r>
      <w:r w:rsidR="00710DE1" w:rsidRPr="00710DE1">
        <w:rPr>
          <w:rStyle w:val="InsertText"/>
          <w:color w:val="auto"/>
        </w:rPr>
        <w:t xml:space="preserve">The </w:t>
      </w:r>
      <w:r w:rsidR="00626BC9" w:rsidRPr="002F1791">
        <w:rPr>
          <w:rStyle w:val="InsertText"/>
          <w:color w:val="auto"/>
        </w:rPr>
        <w:t>Olive Pit min</w:t>
      </w:r>
      <w:r w:rsidR="00626BC9">
        <w:rPr>
          <w:rStyle w:val="InsertText"/>
          <w:color w:val="auto"/>
        </w:rPr>
        <w:t>e site/sand and gravel</w:t>
      </w:r>
      <w:r w:rsidR="00626BC9" w:rsidRPr="002F1791">
        <w:rPr>
          <w:rStyle w:val="InsertText"/>
          <w:color w:val="auto"/>
        </w:rPr>
        <w:t xml:space="preserve"> quarry </w:t>
      </w:r>
      <w:r w:rsidRPr="00B23653">
        <w:rPr>
          <w:rStyle w:val="InsertText"/>
          <w:color w:val="auto"/>
        </w:rPr>
        <w:t xml:space="preserve">and City Public Works yard </w:t>
      </w:r>
      <w:r w:rsidR="009D6ECC">
        <w:rPr>
          <w:rStyle w:val="InsertText"/>
          <w:color w:val="auto"/>
        </w:rPr>
        <w:t>are</w:t>
      </w:r>
      <w:r w:rsidR="009D6ECC" w:rsidRPr="00B23653">
        <w:rPr>
          <w:rStyle w:val="InsertText"/>
          <w:color w:val="auto"/>
        </w:rPr>
        <w:t xml:space="preserve"> </w:t>
      </w:r>
      <w:r w:rsidRPr="00B23653">
        <w:rPr>
          <w:rStyle w:val="InsertText"/>
          <w:color w:val="auto"/>
        </w:rPr>
        <w:t xml:space="preserve">west of Azusa Canyon Road. </w:t>
      </w:r>
      <w:r w:rsidR="00E8053F" w:rsidRPr="00E8053F">
        <w:rPr>
          <w:rStyle w:val="InsertText"/>
          <w:color w:val="auto"/>
        </w:rPr>
        <w:t xml:space="preserve">Residential areas are within a 1,000-foot radius to the northeast, southeast, south, and southwest of the project site. The closest sensitive receptors are a single-family residence approximately </w:t>
      </w:r>
      <w:r w:rsidR="00204222" w:rsidRPr="00E8053F">
        <w:rPr>
          <w:rStyle w:val="InsertText"/>
          <w:color w:val="auto"/>
        </w:rPr>
        <w:t>5</w:t>
      </w:r>
      <w:r w:rsidR="00204222">
        <w:rPr>
          <w:rStyle w:val="InsertText"/>
          <w:color w:val="auto"/>
        </w:rPr>
        <w:t>5</w:t>
      </w:r>
      <w:r w:rsidR="00204222" w:rsidRPr="00E8053F">
        <w:rPr>
          <w:rStyle w:val="InsertText"/>
          <w:color w:val="auto"/>
        </w:rPr>
        <w:t xml:space="preserve">0 </w:t>
      </w:r>
      <w:r w:rsidR="00E8053F" w:rsidRPr="00E8053F">
        <w:rPr>
          <w:rStyle w:val="InsertText"/>
          <w:color w:val="auto"/>
        </w:rPr>
        <w:t>feet north on East Cypress Street and a mobile home park approximately 700 feet to the southwest</w:t>
      </w:r>
      <w:r w:rsidRPr="00B23653">
        <w:rPr>
          <w:rStyle w:val="InsertText"/>
          <w:color w:val="auto"/>
        </w:rPr>
        <w:t>.</w:t>
      </w:r>
    </w:p>
    <w:p w14:paraId="23032697" w14:textId="77777777" w:rsidR="00D10CF6" w:rsidRDefault="00D10CF6" w:rsidP="00D10CF6">
      <w:pPr>
        <w:pStyle w:val="BodyTextIndent3"/>
      </w:pPr>
    </w:p>
    <w:p w14:paraId="4AEC3B95" w14:textId="77777777" w:rsidR="00D10CF6" w:rsidRDefault="00D10CF6" w:rsidP="000D6BB5">
      <w:pPr>
        <w:pStyle w:val="BodyText3"/>
        <w:tabs>
          <w:tab w:val="clear" w:pos="360"/>
          <w:tab w:val="num" w:pos="810"/>
        </w:tabs>
        <w:spacing w:after="80"/>
      </w:pPr>
      <w:r w:rsidRPr="00655D6B">
        <w:rPr>
          <w:rStyle w:val="BodyTextBoldChar"/>
        </w:rPr>
        <w:t>Other Public Agencies Whose Approval Is Required</w:t>
      </w:r>
      <w:r w:rsidR="00292EF1">
        <w:rPr>
          <w:rStyle w:val="BodyTextBoldChar"/>
        </w:rPr>
        <w:t xml:space="preserve"> (e.g., permits, financing approval, or participating agreement</w:t>
      </w:r>
      <w:r w:rsidR="00E70740">
        <w:rPr>
          <w:rStyle w:val="BodyTextBoldChar"/>
        </w:rPr>
        <w:t>)</w:t>
      </w:r>
      <w:r w:rsidR="00C31B7D">
        <w:rPr>
          <w:rStyle w:val="BodyTextBoldChar"/>
        </w:rPr>
        <w:t>:</w:t>
      </w:r>
      <w:r>
        <w:t xml:space="preserve"> </w:t>
      </w:r>
    </w:p>
    <w:p w14:paraId="63B69CF7" w14:textId="77777777" w:rsidR="00D10CF6" w:rsidRPr="00E15612" w:rsidRDefault="00E15612" w:rsidP="000D6BB5">
      <w:pPr>
        <w:pStyle w:val="Bullet1last"/>
        <w:ind w:left="720"/>
        <w:rPr>
          <w:rStyle w:val="InsertText"/>
          <w:color w:val="auto"/>
        </w:rPr>
      </w:pPr>
      <w:r w:rsidRPr="00E15612">
        <w:rPr>
          <w:rStyle w:val="InsertText"/>
          <w:color w:val="auto"/>
        </w:rPr>
        <w:t xml:space="preserve">Los Angeles Regional Water Quality Control Board (construction stormwater runoff permit) </w:t>
      </w:r>
    </w:p>
    <w:p w14:paraId="6FB0A7C3" w14:textId="77777777" w:rsidR="00E15612" w:rsidRPr="000C304C" w:rsidRDefault="00E15612" w:rsidP="00E15612">
      <w:pPr>
        <w:pStyle w:val="BodyTextIndent3"/>
        <w:spacing w:after="0"/>
        <w:rPr>
          <w:rStyle w:val="InsertText"/>
        </w:rPr>
      </w:pPr>
    </w:p>
    <w:p w14:paraId="6720E397" w14:textId="77777777" w:rsidR="006619E9" w:rsidRPr="006619E9" w:rsidRDefault="002C77E7" w:rsidP="006619E9">
      <w:pPr>
        <w:pStyle w:val="BodyText3"/>
        <w:rPr>
          <w:b/>
        </w:rPr>
      </w:pPr>
      <w:bookmarkStart w:id="97" w:name="_Toc433763420"/>
      <w:r w:rsidRPr="006619E9">
        <w:rPr>
          <w:b/>
        </w:rPr>
        <w:t xml:space="preserve">Have California Native American tribes traditionally and culturally affiliated with the project area requested consultation pursuant to Public Resources Code section 21080.3.1? If so, </w:t>
      </w:r>
      <w:r w:rsidR="0047703F">
        <w:rPr>
          <w:b/>
        </w:rPr>
        <w:t>is there a plan for consultation that includes, for example, the determination of significance of impacts to tribal cultural resources, procedures regarding confidentiality, etc.</w:t>
      </w:r>
      <w:r w:rsidRPr="006619E9">
        <w:rPr>
          <w:b/>
        </w:rPr>
        <w:t>?</w:t>
      </w:r>
    </w:p>
    <w:p w14:paraId="73C80C84" w14:textId="77777777" w:rsidR="003F79A9" w:rsidRDefault="003F79A9" w:rsidP="006619E9">
      <w:pPr>
        <w:pStyle w:val="Quotes"/>
        <w:rPr>
          <w:sz w:val="22"/>
          <w:szCs w:val="22"/>
        </w:rPr>
      </w:pPr>
    </w:p>
    <w:p w14:paraId="5C951D09" w14:textId="77777777" w:rsidR="002C77E7" w:rsidRPr="003F79A9" w:rsidRDefault="002C77E7" w:rsidP="006619E9">
      <w:pPr>
        <w:pStyle w:val="Quotes"/>
        <w:rPr>
          <w:sz w:val="22"/>
          <w:szCs w:val="22"/>
        </w:rPr>
      </w:pPr>
      <w:r w:rsidRPr="003F79A9">
        <w:rPr>
          <w:sz w:val="22"/>
          <w:szCs w:val="22"/>
        </w:rPr>
        <w:t>Note: Conducting consultation early in the CEQA process allows tribal governments, lead agencies, and project proponents to discuss the level of environmental review, identify and address potential adverse impacts to tribal cultural resources, and reduce the potential for delay and conflict in the environmental review process. (See Public Resources Code section 2108</w:t>
      </w:r>
      <w:r w:rsidR="0047703F" w:rsidRPr="003F79A9">
        <w:rPr>
          <w:sz w:val="22"/>
          <w:szCs w:val="22"/>
        </w:rPr>
        <w:t>0</w:t>
      </w:r>
      <w:r w:rsidRPr="003F79A9">
        <w:rPr>
          <w:sz w:val="22"/>
          <w:szCs w:val="22"/>
        </w:rPr>
        <w:t>.3.2.) Information may also be available from the California Native American Heritage Commission’s Sacred Lands File per Public Resources Code section 5097.94 and the California Historical Resources Information System administered by the California Office of Historic Preservation. Please also note that Public Resources Code section 21082.3(c) contains provisions specific to confidentiality.</w:t>
      </w:r>
    </w:p>
    <w:p w14:paraId="5F87D07D" w14:textId="77777777" w:rsidR="003F79A9" w:rsidRDefault="003F79A9" w:rsidP="00517A23">
      <w:pPr>
        <w:pStyle w:val="BodyTextIndent3"/>
        <w:ind w:left="0"/>
        <w:rPr>
          <w:rStyle w:val="InsertText"/>
          <w:color w:val="auto"/>
        </w:rPr>
      </w:pPr>
    </w:p>
    <w:p w14:paraId="78562CAA" w14:textId="77777777" w:rsidR="00E15612" w:rsidRPr="00E15612" w:rsidRDefault="00E15612" w:rsidP="002C77E7">
      <w:pPr>
        <w:pStyle w:val="BodyTextIndent3"/>
        <w:rPr>
          <w:rStyle w:val="InsertText"/>
          <w:color w:val="auto"/>
        </w:rPr>
      </w:pPr>
      <w:r w:rsidRPr="00E15612">
        <w:rPr>
          <w:rStyle w:val="InsertText"/>
          <w:color w:val="auto"/>
        </w:rPr>
        <w:t xml:space="preserve">The following California Native American tribes are on the City of </w:t>
      </w:r>
      <w:r w:rsidR="004E02BD">
        <w:rPr>
          <w:rStyle w:val="InsertText"/>
          <w:color w:val="auto"/>
        </w:rPr>
        <w:t>Irwindale’</w:t>
      </w:r>
      <w:r w:rsidR="004E02BD" w:rsidRPr="00E15612">
        <w:rPr>
          <w:rStyle w:val="InsertText"/>
          <w:color w:val="auto"/>
        </w:rPr>
        <w:t>s</w:t>
      </w:r>
      <w:r w:rsidRPr="00E15612">
        <w:rPr>
          <w:rStyle w:val="InsertText"/>
          <w:color w:val="auto"/>
        </w:rPr>
        <w:t xml:space="preserve"> notification list pursuant to AB 52:</w:t>
      </w:r>
    </w:p>
    <w:p w14:paraId="1CFC6D1F" w14:textId="77777777" w:rsidR="00E15612" w:rsidRPr="00E15612" w:rsidRDefault="00E15612" w:rsidP="00E15612">
      <w:pPr>
        <w:pStyle w:val="Bullet1last"/>
        <w:ind w:firstLine="0"/>
        <w:rPr>
          <w:rStyle w:val="InsertText"/>
          <w:color w:val="auto"/>
        </w:rPr>
      </w:pPr>
      <w:r w:rsidRPr="00E15612">
        <w:rPr>
          <w:rStyle w:val="InsertText"/>
          <w:color w:val="auto"/>
        </w:rPr>
        <w:t>Gabrieleno Band of Mission Indians–Kizh Nation</w:t>
      </w:r>
    </w:p>
    <w:p w14:paraId="1AF2FF61" w14:textId="77777777" w:rsidR="00E15612" w:rsidRPr="00E15612" w:rsidRDefault="00E15612" w:rsidP="00E15612">
      <w:pPr>
        <w:pStyle w:val="Bullet1last"/>
        <w:ind w:firstLine="0"/>
        <w:rPr>
          <w:rStyle w:val="InsertText"/>
          <w:color w:val="auto"/>
        </w:rPr>
      </w:pPr>
      <w:r w:rsidRPr="00E15612">
        <w:rPr>
          <w:rStyle w:val="InsertText"/>
          <w:color w:val="auto"/>
        </w:rPr>
        <w:t>Gabrieleno/Tongva San Gabriel Band of Mission Indians</w:t>
      </w:r>
    </w:p>
    <w:p w14:paraId="773BD9CB" w14:textId="77777777" w:rsidR="00E15612" w:rsidRPr="00E15612" w:rsidRDefault="00E15612" w:rsidP="00E15612">
      <w:pPr>
        <w:pStyle w:val="Bullet1last"/>
        <w:ind w:firstLine="0"/>
        <w:rPr>
          <w:rStyle w:val="InsertText"/>
          <w:color w:val="auto"/>
        </w:rPr>
      </w:pPr>
      <w:r w:rsidRPr="00E15612">
        <w:rPr>
          <w:rStyle w:val="InsertText"/>
          <w:color w:val="auto"/>
        </w:rPr>
        <w:t>Gabrielino/Tongva Nation</w:t>
      </w:r>
    </w:p>
    <w:p w14:paraId="4E1F2B5E" w14:textId="08CDFB9C" w:rsidR="00E15612" w:rsidRPr="00E15612" w:rsidRDefault="00E15612" w:rsidP="00E15612">
      <w:pPr>
        <w:pStyle w:val="Bullet1last"/>
        <w:ind w:firstLine="0"/>
        <w:rPr>
          <w:rStyle w:val="InsertText"/>
          <w:color w:val="auto"/>
        </w:rPr>
      </w:pPr>
      <w:r w:rsidRPr="00E15612">
        <w:rPr>
          <w:rStyle w:val="InsertText"/>
          <w:color w:val="auto"/>
        </w:rPr>
        <w:t>Gabrielino</w:t>
      </w:r>
      <w:r w:rsidR="00626BC9">
        <w:rPr>
          <w:rStyle w:val="InsertText"/>
          <w:color w:val="auto"/>
        </w:rPr>
        <w:t>/</w:t>
      </w:r>
      <w:r w:rsidRPr="00E15612">
        <w:rPr>
          <w:rStyle w:val="InsertText"/>
          <w:color w:val="auto"/>
        </w:rPr>
        <w:t>Tongva Indians of California Tribal Council</w:t>
      </w:r>
    </w:p>
    <w:p w14:paraId="1CCFA146" w14:textId="77777777" w:rsidR="00E15612" w:rsidRDefault="00E15612" w:rsidP="00E15612">
      <w:pPr>
        <w:pStyle w:val="Bullet1last"/>
        <w:ind w:firstLine="0"/>
        <w:rPr>
          <w:rStyle w:val="InsertText"/>
          <w:color w:val="auto"/>
        </w:rPr>
      </w:pPr>
      <w:r w:rsidRPr="00E15612">
        <w:rPr>
          <w:rStyle w:val="InsertText"/>
          <w:color w:val="auto"/>
        </w:rPr>
        <w:t>Gabrielino-Tongva Tribe</w:t>
      </w:r>
    </w:p>
    <w:p w14:paraId="646AB206" w14:textId="77777777" w:rsidR="00E15612" w:rsidRPr="00E15612" w:rsidRDefault="00E15612" w:rsidP="00E15612">
      <w:pPr>
        <w:pStyle w:val="Bullet1last"/>
        <w:ind w:firstLine="0"/>
        <w:rPr>
          <w:rStyle w:val="InsertText"/>
          <w:color w:val="auto"/>
        </w:rPr>
      </w:pPr>
      <w:r w:rsidRPr="00E15612">
        <w:rPr>
          <w:rStyle w:val="InsertText"/>
          <w:color w:val="auto"/>
        </w:rPr>
        <w:t>Santa Rosa Band of Cahuilla</w:t>
      </w:r>
      <w:r>
        <w:rPr>
          <w:rStyle w:val="InsertText"/>
          <w:color w:val="auto"/>
        </w:rPr>
        <w:t xml:space="preserve"> Indians</w:t>
      </w:r>
    </w:p>
    <w:p w14:paraId="6C3C87D6" w14:textId="77777777" w:rsidR="00E15612" w:rsidRPr="00E15612" w:rsidRDefault="00E15612" w:rsidP="00E15612">
      <w:pPr>
        <w:pStyle w:val="Bullet1last"/>
        <w:ind w:firstLine="0"/>
        <w:rPr>
          <w:rStyle w:val="InsertText"/>
          <w:color w:val="auto"/>
        </w:rPr>
      </w:pPr>
      <w:r w:rsidRPr="00E15612">
        <w:rPr>
          <w:rStyle w:val="InsertText"/>
          <w:color w:val="auto"/>
        </w:rPr>
        <w:t>Soboba Band of Luiseno</w:t>
      </w:r>
      <w:r>
        <w:rPr>
          <w:rStyle w:val="InsertText"/>
          <w:color w:val="auto"/>
        </w:rPr>
        <w:t xml:space="preserve"> Indians</w:t>
      </w:r>
    </w:p>
    <w:p w14:paraId="69342004" w14:textId="77777777" w:rsidR="00376BD8" w:rsidRDefault="00E15612" w:rsidP="00351868">
      <w:pPr>
        <w:pStyle w:val="BodyText"/>
        <w:rPr>
          <w:rStyle w:val="InsertText"/>
          <w:color w:val="auto"/>
          <w:szCs w:val="24"/>
        </w:rPr>
      </w:pPr>
      <w:r w:rsidRPr="00E15612">
        <w:rPr>
          <w:rStyle w:val="InsertText"/>
          <w:color w:val="auto"/>
        </w:rPr>
        <w:t xml:space="preserve">The City notified these </w:t>
      </w:r>
      <w:r w:rsidRPr="00330532">
        <w:rPr>
          <w:rStyle w:val="InsertText"/>
          <w:color w:val="auto"/>
        </w:rPr>
        <w:t xml:space="preserve">tribes on </w:t>
      </w:r>
      <w:r w:rsidR="00330532" w:rsidRPr="00330532">
        <w:rPr>
          <w:rStyle w:val="InsertText"/>
          <w:color w:val="auto"/>
        </w:rPr>
        <w:t>May 10, 2021</w:t>
      </w:r>
      <w:r w:rsidR="009D6ECC">
        <w:rPr>
          <w:rStyle w:val="InsertText"/>
          <w:color w:val="auto"/>
        </w:rPr>
        <w:t>,</w:t>
      </w:r>
      <w:r w:rsidR="00376BD8">
        <w:rPr>
          <w:rStyle w:val="InsertText"/>
          <w:color w:val="auto"/>
        </w:rPr>
        <w:t xml:space="preserve"> and received three responses. The</w:t>
      </w:r>
      <w:r w:rsidR="00376BD8" w:rsidRPr="00376BD8">
        <w:rPr>
          <w:rStyle w:val="InsertText"/>
          <w:color w:val="auto"/>
        </w:rPr>
        <w:t xml:space="preserve"> Gabrielino</w:t>
      </w:r>
      <w:r w:rsidR="00376BD8">
        <w:rPr>
          <w:rStyle w:val="InsertText"/>
          <w:color w:val="auto"/>
        </w:rPr>
        <w:t>/</w:t>
      </w:r>
      <w:r w:rsidR="00376BD8" w:rsidRPr="00376BD8">
        <w:rPr>
          <w:rStyle w:val="InsertText"/>
          <w:color w:val="auto"/>
        </w:rPr>
        <w:t xml:space="preserve">Tongva Indians of California Tribal Council </w:t>
      </w:r>
      <w:r w:rsidR="00376BD8">
        <w:rPr>
          <w:rStyle w:val="InsertText"/>
          <w:color w:val="auto"/>
        </w:rPr>
        <w:t xml:space="preserve">requested that the tribe </w:t>
      </w:r>
      <w:r w:rsidR="00376BD8" w:rsidRPr="00376BD8">
        <w:rPr>
          <w:rStyle w:val="InsertText"/>
          <w:color w:val="auto"/>
        </w:rPr>
        <w:t xml:space="preserve">be notified if prehistoric materials </w:t>
      </w:r>
      <w:r w:rsidR="00376BD8">
        <w:rPr>
          <w:rStyle w:val="InsertText"/>
          <w:color w:val="auto"/>
        </w:rPr>
        <w:t xml:space="preserve">or burial remains </w:t>
      </w:r>
      <w:r w:rsidR="00376BD8" w:rsidRPr="00376BD8">
        <w:rPr>
          <w:rStyle w:val="InsertText"/>
          <w:color w:val="auto"/>
        </w:rPr>
        <w:t xml:space="preserve">are found </w:t>
      </w:r>
      <w:r w:rsidR="00376BD8">
        <w:rPr>
          <w:rStyle w:val="InsertText"/>
          <w:color w:val="auto"/>
        </w:rPr>
        <w:t xml:space="preserve">during construction. </w:t>
      </w:r>
      <w:r w:rsidR="00376BD8" w:rsidRPr="00376BD8">
        <w:rPr>
          <w:rStyle w:val="InsertText"/>
          <w:color w:val="auto"/>
        </w:rPr>
        <w:t>If burial remains are found</w:t>
      </w:r>
      <w:r w:rsidR="009D6ECC">
        <w:rPr>
          <w:rStyle w:val="InsertText"/>
          <w:color w:val="auto"/>
        </w:rPr>
        <w:t>,</w:t>
      </w:r>
      <w:r w:rsidR="00376BD8" w:rsidRPr="00376BD8">
        <w:rPr>
          <w:rStyle w:val="InsertText"/>
          <w:color w:val="auto"/>
        </w:rPr>
        <w:t xml:space="preserve"> the </w:t>
      </w:r>
      <w:r w:rsidR="009D6ECC" w:rsidRPr="00376BD8">
        <w:rPr>
          <w:rStyle w:val="InsertText"/>
          <w:color w:val="auto"/>
        </w:rPr>
        <w:t>t</w:t>
      </w:r>
      <w:r w:rsidR="00376BD8" w:rsidRPr="00376BD8">
        <w:rPr>
          <w:rStyle w:val="InsertText"/>
          <w:color w:val="auto"/>
        </w:rPr>
        <w:t>ribe wants to engage in formal consultation.</w:t>
      </w:r>
      <w:r w:rsidR="00376BD8" w:rsidRPr="00376BD8">
        <w:t xml:space="preserve"> </w:t>
      </w:r>
      <w:r w:rsidR="00376BD8">
        <w:rPr>
          <w:rStyle w:val="InsertText"/>
          <w:color w:val="auto"/>
        </w:rPr>
        <w:t>The</w:t>
      </w:r>
      <w:r w:rsidR="00376BD8" w:rsidRPr="00376BD8">
        <w:rPr>
          <w:rStyle w:val="InsertText"/>
          <w:color w:val="auto"/>
        </w:rPr>
        <w:t xml:space="preserve"> Gabrieleno Band of Mission Indians–Kizh Nation </w:t>
      </w:r>
      <w:r w:rsidR="00351868">
        <w:rPr>
          <w:rStyle w:val="InsertText"/>
          <w:color w:val="auto"/>
        </w:rPr>
        <w:t xml:space="preserve">provided </w:t>
      </w:r>
      <w:r w:rsidR="00351868" w:rsidRPr="00351868">
        <w:rPr>
          <w:rStyle w:val="InsertText"/>
          <w:color w:val="auto"/>
        </w:rPr>
        <w:t xml:space="preserve">tribal archive </w:t>
      </w:r>
      <w:r w:rsidR="00351868">
        <w:rPr>
          <w:rStyle w:val="InsertText"/>
          <w:color w:val="auto"/>
        </w:rPr>
        <w:t xml:space="preserve">information identifying </w:t>
      </w:r>
      <w:r w:rsidR="00351868" w:rsidRPr="00351868">
        <w:rPr>
          <w:rStyle w:val="InsertText"/>
          <w:color w:val="auto"/>
        </w:rPr>
        <w:t xml:space="preserve">the high cultural sensitivity of the project </w:t>
      </w:r>
      <w:r w:rsidR="00351868">
        <w:rPr>
          <w:rStyle w:val="InsertText"/>
          <w:color w:val="auto"/>
        </w:rPr>
        <w:t>site. To</w:t>
      </w:r>
      <w:r w:rsidR="00351868" w:rsidRPr="00351868">
        <w:rPr>
          <w:rStyle w:val="InsertText"/>
          <w:color w:val="auto"/>
        </w:rPr>
        <w:t xml:space="preserve"> avoid impacting or destroying </w:t>
      </w:r>
      <w:r w:rsidR="00351868">
        <w:rPr>
          <w:rStyle w:val="InsertText"/>
          <w:color w:val="auto"/>
        </w:rPr>
        <w:t>t</w:t>
      </w:r>
      <w:r w:rsidR="00351868" w:rsidRPr="00351868">
        <w:rPr>
          <w:rStyle w:val="InsertText"/>
          <w:color w:val="auto"/>
        </w:rPr>
        <w:t xml:space="preserve">ribal </w:t>
      </w:r>
      <w:r w:rsidR="00351868">
        <w:rPr>
          <w:rStyle w:val="InsertText"/>
          <w:color w:val="auto"/>
        </w:rPr>
        <w:t>c</w:t>
      </w:r>
      <w:r w:rsidR="00351868" w:rsidRPr="00351868">
        <w:rPr>
          <w:rStyle w:val="InsertText"/>
          <w:color w:val="auto"/>
        </w:rPr>
        <w:t xml:space="preserve">ultural </w:t>
      </w:r>
      <w:r w:rsidR="00351868">
        <w:rPr>
          <w:rStyle w:val="InsertText"/>
          <w:color w:val="auto"/>
        </w:rPr>
        <w:t>r</w:t>
      </w:r>
      <w:r w:rsidR="00351868" w:rsidRPr="00351868">
        <w:rPr>
          <w:rStyle w:val="InsertText"/>
          <w:color w:val="auto"/>
        </w:rPr>
        <w:t xml:space="preserve">esources that may be inadvertently unearthed during the project's ground disturbing activities </w:t>
      </w:r>
      <w:r w:rsidR="00351868">
        <w:rPr>
          <w:rStyle w:val="InsertText"/>
          <w:color w:val="auto"/>
        </w:rPr>
        <w:t>the tribe</w:t>
      </w:r>
      <w:r w:rsidR="00351868" w:rsidRPr="00351868">
        <w:rPr>
          <w:rStyle w:val="InsertText"/>
          <w:color w:val="auto"/>
        </w:rPr>
        <w:t xml:space="preserve"> provided the </w:t>
      </w:r>
      <w:r w:rsidR="00351868">
        <w:rPr>
          <w:rStyle w:val="InsertText"/>
          <w:color w:val="auto"/>
        </w:rPr>
        <w:t>City</w:t>
      </w:r>
      <w:r w:rsidR="00351868" w:rsidRPr="00351868">
        <w:rPr>
          <w:rStyle w:val="InsertText"/>
          <w:color w:val="auto"/>
        </w:rPr>
        <w:t xml:space="preserve"> </w:t>
      </w:r>
      <w:r w:rsidR="00351868">
        <w:rPr>
          <w:rStyle w:val="InsertText"/>
          <w:color w:val="auto"/>
        </w:rPr>
        <w:t xml:space="preserve">with </w:t>
      </w:r>
      <w:r w:rsidR="00351868" w:rsidRPr="00351868">
        <w:rPr>
          <w:rStyle w:val="InsertText"/>
          <w:color w:val="auto"/>
        </w:rPr>
        <w:t>measures to mitigate or avoid a significant effect on tribal cultural resource</w:t>
      </w:r>
      <w:r w:rsidR="00351868">
        <w:rPr>
          <w:rStyle w:val="InsertText"/>
          <w:color w:val="auto"/>
        </w:rPr>
        <w:t>s.</w:t>
      </w:r>
      <w:r w:rsidR="00376BD8">
        <w:rPr>
          <w:rStyle w:val="InsertText"/>
          <w:color w:val="auto"/>
        </w:rPr>
        <w:t xml:space="preserve"> The </w:t>
      </w:r>
      <w:r w:rsidR="00376BD8" w:rsidRPr="00376BD8">
        <w:rPr>
          <w:rStyle w:val="InsertText"/>
          <w:color w:val="auto"/>
        </w:rPr>
        <w:t xml:space="preserve">Santa Rosa Band of Cahuilla Indians </w:t>
      </w:r>
      <w:r w:rsidR="00376BD8">
        <w:rPr>
          <w:rStyle w:val="InsertText"/>
          <w:color w:val="auto"/>
        </w:rPr>
        <w:t>responded</w:t>
      </w:r>
      <w:r w:rsidR="00376BD8" w:rsidRPr="00376BD8">
        <w:rPr>
          <w:rStyle w:val="InsertText"/>
          <w:color w:val="auto"/>
        </w:rPr>
        <w:t xml:space="preserve"> that the </w:t>
      </w:r>
      <w:r w:rsidR="009D6ECC" w:rsidRPr="00376BD8">
        <w:rPr>
          <w:rStyle w:val="InsertText"/>
          <w:color w:val="auto"/>
        </w:rPr>
        <w:t>t</w:t>
      </w:r>
      <w:r w:rsidR="00376BD8" w:rsidRPr="00376BD8">
        <w:rPr>
          <w:rStyle w:val="InsertText"/>
          <w:color w:val="auto"/>
        </w:rPr>
        <w:t>ribe did not have any comments.</w:t>
      </w:r>
    </w:p>
    <w:p w14:paraId="0FBD1C49" w14:textId="77777777" w:rsidR="00D10CF6" w:rsidRDefault="00D10CF6" w:rsidP="00D10CF6">
      <w:pPr>
        <w:pStyle w:val="Heading2"/>
      </w:pPr>
      <w:r>
        <w:br w:type="page"/>
      </w:r>
      <w:bookmarkStart w:id="98" w:name="_Toc90882149"/>
      <w:r>
        <w:t>ENVIRONMENTAL FACTORS POTENTIALLY AFFECTED</w:t>
      </w:r>
      <w:bookmarkEnd w:id="97"/>
      <w:bookmarkEnd w:id="98"/>
    </w:p>
    <w:p w14:paraId="64F2E666" w14:textId="77777777" w:rsidR="00D10CF6" w:rsidRPr="006C5BAC" w:rsidRDefault="00D10CF6" w:rsidP="00D10CF6">
      <w:pPr>
        <w:pStyle w:val="BodyText"/>
      </w:pPr>
      <w:r w:rsidRPr="006C5BAC">
        <w:t xml:space="preserve">The environmental factors checked below would be potentially affected by this project, involving at least one impact that is a </w:t>
      </w:r>
      <w:r>
        <w:t>“</w:t>
      </w:r>
      <w:r w:rsidRPr="006C5BAC">
        <w:t>Potentially Significant Impact,</w:t>
      </w:r>
      <w:r>
        <w:t>”</w:t>
      </w:r>
      <w:r w:rsidRPr="006C5BAC">
        <w:t xml:space="preserve"> as indicated by the checklist on the following pages. </w:t>
      </w:r>
    </w:p>
    <w:tbl>
      <w:tblPr>
        <w:tblW w:w="9589" w:type="dxa"/>
        <w:jc w:val="right"/>
        <w:tblLayout w:type="fixed"/>
        <w:tblLook w:val="0000" w:firstRow="0" w:lastRow="0" w:firstColumn="0" w:lastColumn="0" w:noHBand="0" w:noVBand="0"/>
      </w:tblPr>
      <w:tblGrid>
        <w:gridCol w:w="360"/>
        <w:gridCol w:w="2751"/>
        <w:gridCol w:w="360"/>
        <w:gridCol w:w="3026"/>
        <w:gridCol w:w="360"/>
        <w:gridCol w:w="2732"/>
      </w:tblGrid>
      <w:tr w:rsidR="00D10CF6" w14:paraId="11D9E656" w14:textId="77777777" w:rsidTr="001906AF">
        <w:trPr>
          <w:jc w:val="right"/>
        </w:trPr>
        <w:tc>
          <w:tcPr>
            <w:tcW w:w="360" w:type="dxa"/>
            <w:vAlign w:val="bottom"/>
          </w:tcPr>
          <w:p w14:paraId="557DB4A4" w14:textId="77777777" w:rsidR="00D10CF6" w:rsidRDefault="00D10CF6" w:rsidP="00756DE2">
            <w:pPr>
              <w:pStyle w:val="EnvChecklistBoxes"/>
            </w:pPr>
            <w:r>
              <w:fldChar w:fldCharType="begin">
                <w:ffData>
                  <w:name w:val="Check2"/>
                  <w:enabled/>
                  <w:calcOnExit w:val="0"/>
                  <w:checkBox>
                    <w:sizeAuto/>
                    <w:default w:val="0"/>
                  </w:checkBox>
                </w:ffData>
              </w:fldChar>
            </w:r>
            <w:r>
              <w:instrText xml:space="preserve"> FORMCHECKBOX </w:instrText>
            </w:r>
            <w:r w:rsidR="005E5903">
              <w:fldChar w:fldCharType="separate"/>
            </w:r>
            <w:r>
              <w:fldChar w:fldCharType="end"/>
            </w:r>
          </w:p>
        </w:tc>
        <w:tc>
          <w:tcPr>
            <w:tcW w:w="2751" w:type="dxa"/>
            <w:vAlign w:val="bottom"/>
          </w:tcPr>
          <w:p w14:paraId="5287CC65" w14:textId="77777777" w:rsidR="00D10CF6" w:rsidRDefault="00D10CF6" w:rsidP="00756DE2">
            <w:pPr>
              <w:pStyle w:val="TblTxt"/>
            </w:pPr>
            <w:r>
              <w:t>Aesthetics</w:t>
            </w:r>
          </w:p>
        </w:tc>
        <w:tc>
          <w:tcPr>
            <w:tcW w:w="360" w:type="dxa"/>
            <w:vAlign w:val="bottom"/>
          </w:tcPr>
          <w:p w14:paraId="3EB93035" w14:textId="77777777" w:rsidR="00D10CF6" w:rsidRDefault="00D10CF6" w:rsidP="00756DE2">
            <w:pPr>
              <w:pStyle w:val="EnvChecklistBoxes"/>
            </w:pPr>
            <w:r>
              <w:fldChar w:fldCharType="begin">
                <w:ffData>
                  <w:name w:val="Check8"/>
                  <w:enabled/>
                  <w:calcOnExit w:val="0"/>
                  <w:checkBox>
                    <w:sizeAuto/>
                    <w:default w:val="0"/>
                  </w:checkBox>
                </w:ffData>
              </w:fldChar>
            </w:r>
            <w:r>
              <w:instrText xml:space="preserve"> FORMCHECKBOX </w:instrText>
            </w:r>
            <w:r w:rsidR="005E5903">
              <w:fldChar w:fldCharType="separate"/>
            </w:r>
            <w:r>
              <w:fldChar w:fldCharType="end"/>
            </w:r>
          </w:p>
        </w:tc>
        <w:tc>
          <w:tcPr>
            <w:tcW w:w="3026" w:type="dxa"/>
            <w:vAlign w:val="bottom"/>
          </w:tcPr>
          <w:p w14:paraId="617B4236" w14:textId="77777777" w:rsidR="00D10CF6" w:rsidRDefault="00D10CF6" w:rsidP="00C31B7D">
            <w:pPr>
              <w:pStyle w:val="TblTxt"/>
            </w:pPr>
            <w:r>
              <w:t>Agricultur</w:t>
            </w:r>
            <w:r w:rsidR="00C31B7D">
              <w:t>e</w:t>
            </w:r>
            <w:r w:rsidR="00967240">
              <w:t xml:space="preserve"> / </w:t>
            </w:r>
            <w:r>
              <w:t>Forest</w:t>
            </w:r>
            <w:r w:rsidR="00C31B7D">
              <w:t>ry</w:t>
            </w:r>
            <w:r>
              <w:t xml:space="preserve"> Resources</w:t>
            </w:r>
          </w:p>
        </w:tc>
        <w:tc>
          <w:tcPr>
            <w:tcW w:w="360" w:type="dxa"/>
            <w:vAlign w:val="bottom"/>
          </w:tcPr>
          <w:p w14:paraId="50A7ED1B" w14:textId="77777777" w:rsidR="00D10CF6" w:rsidRDefault="00D10CF6" w:rsidP="00756DE2">
            <w:pPr>
              <w:pStyle w:val="EnvChecklistBoxes"/>
            </w:pPr>
            <w:r>
              <w:fldChar w:fldCharType="begin">
                <w:ffData>
                  <w:name w:val="Check14"/>
                  <w:enabled/>
                  <w:calcOnExit w:val="0"/>
                  <w:checkBox>
                    <w:sizeAuto/>
                    <w:default w:val="0"/>
                  </w:checkBox>
                </w:ffData>
              </w:fldChar>
            </w:r>
            <w:r>
              <w:instrText xml:space="preserve"> FORMCHECKBOX </w:instrText>
            </w:r>
            <w:r w:rsidR="005E5903">
              <w:fldChar w:fldCharType="separate"/>
            </w:r>
            <w:r>
              <w:fldChar w:fldCharType="end"/>
            </w:r>
          </w:p>
        </w:tc>
        <w:tc>
          <w:tcPr>
            <w:tcW w:w="2732" w:type="dxa"/>
            <w:vAlign w:val="bottom"/>
          </w:tcPr>
          <w:p w14:paraId="553FF654" w14:textId="77777777" w:rsidR="00D10CF6" w:rsidRDefault="00D10CF6" w:rsidP="00756DE2">
            <w:pPr>
              <w:pStyle w:val="TblTxt"/>
            </w:pPr>
            <w:r>
              <w:t>Air Quality</w:t>
            </w:r>
          </w:p>
        </w:tc>
      </w:tr>
      <w:tr w:rsidR="00D10CF6" w14:paraId="22352EA3" w14:textId="77777777" w:rsidTr="001906AF">
        <w:trPr>
          <w:jc w:val="right"/>
        </w:trPr>
        <w:tc>
          <w:tcPr>
            <w:tcW w:w="360" w:type="dxa"/>
            <w:vAlign w:val="bottom"/>
          </w:tcPr>
          <w:p w14:paraId="6F662158" w14:textId="77777777" w:rsidR="00D10CF6" w:rsidRDefault="00D10CF6" w:rsidP="00756DE2">
            <w:pPr>
              <w:pStyle w:val="EnvChecklistBoxes"/>
            </w:pPr>
            <w:r>
              <w:fldChar w:fldCharType="begin">
                <w:ffData>
                  <w:name w:val="Check3"/>
                  <w:enabled/>
                  <w:calcOnExit w:val="0"/>
                  <w:checkBox>
                    <w:sizeAuto/>
                    <w:default w:val="0"/>
                  </w:checkBox>
                </w:ffData>
              </w:fldChar>
            </w:r>
            <w:r>
              <w:instrText xml:space="preserve"> FORMCHECKBOX </w:instrText>
            </w:r>
            <w:r w:rsidR="005E5903">
              <w:fldChar w:fldCharType="separate"/>
            </w:r>
            <w:r>
              <w:fldChar w:fldCharType="end"/>
            </w:r>
          </w:p>
        </w:tc>
        <w:tc>
          <w:tcPr>
            <w:tcW w:w="2751" w:type="dxa"/>
            <w:vAlign w:val="bottom"/>
          </w:tcPr>
          <w:p w14:paraId="3C1A1E56" w14:textId="77777777" w:rsidR="00D10CF6" w:rsidRDefault="00D10CF6" w:rsidP="00756DE2">
            <w:pPr>
              <w:pStyle w:val="TblTxt"/>
            </w:pPr>
            <w:r>
              <w:t>Biological Resources</w:t>
            </w:r>
          </w:p>
        </w:tc>
        <w:tc>
          <w:tcPr>
            <w:tcW w:w="360" w:type="dxa"/>
            <w:vAlign w:val="bottom"/>
          </w:tcPr>
          <w:p w14:paraId="510A9C56" w14:textId="77777777" w:rsidR="00D10CF6" w:rsidRDefault="004C7293" w:rsidP="00756DE2">
            <w:pPr>
              <w:pStyle w:val="EnvChecklistBoxes"/>
            </w:pPr>
            <w:r>
              <w:fldChar w:fldCharType="begin">
                <w:ffData>
                  <w:name w:val="Check8"/>
                  <w:enabled/>
                  <w:calcOnExit w:val="0"/>
                  <w:checkBox>
                    <w:sizeAuto/>
                    <w:default w:val="0"/>
                  </w:checkBox>
                </w:ffData>
              </w:fldChar>
            </w:r>
            <w:r>
              <w:instrText xml:space="preserve"> FORMCHECKBOX </w:instrText>
            </w:r>
            <w:r w:rsidR="005E5903">
              <w:fldChar w:fldCharType="separate"/>
            </w:r>
            <w:r>
              <w:fldChar w:fldCharType="end"/>
            </w:r>
          </w:p>
        </w:tc>
        <w:tc>
          <w:tcPr>
            <w:tcW w:w="3026" w:type="dxa"/>
            <w:vAlign w:val="bottom"/>
          </w:tcPr>
          <w:p w14:paraId="1F1C79F1" w14:textId="77777777" w:rsidR="00D10CF6" w:rsidRDefault="00D10CF6" w:rsidP="00756DE2">
            <w:pPr>
              <w:pStyle w:val="TblTxt"/>
            </w:pPr>
            <w:r>
              <w:t>Cultural Resources</w:t>
            </w:r>
          </w:p>
        </w:tc>
        <w:tc>
          <w:tcPr>
            <w:tcW w:w="360" w:type="dxa"/>
            <w:vAlign w:val="bottom"/>
          </w:tcPr>
          <w:p w14:paraId="227EDF34" w14:textId="77777777" w:rsidR="00D10CF6" w:rsidRDefault="00D10CF6" w:rsidP="00756DE2">
            <w:pPr>
              <w:pStyle w:val="EnvChecklistBoxes"/>
            </w:pPr>
            <w:r>
              <w:fldChar w:fldCharType="begin">
                <w:ffData>
                  <w:name w:val="Check15"/>
                  <w:enabled/>
                  <w:calcOnExit w:val="0"/>
                  <w:checkBox>
                    <w:sizeAuto/>
                    <w:default w:val="0"/>
                  </w:checkBox>
                </w:ffData>
              </w:fldChar>
            </w:r>
            <w:r>
              <w:instrText xml:space="preserve"> FORMCHECKBOX </w:instrText>
            </w:r>
            <w:r w:rsidR="005E5903">
              <w:fldChar w:fldCharType="separate"/>
            </w:r>
            <w:r>
              <w:fldChar w:fldCharType="end"/>
            </w:r>
          </w:p>
        </w:tc>
        <w:tc>
          <w:tcPr>
            <w:tcW w:w="2732" w:type="dxa"/>
            <w:vAlign w:val="bottom"/>
          </w:tcPr>
          <w:p w14:paraId="7845A0C2" w14:textId="77777777" w:rsidR="00D10CF6" w:rsidRDefault="00292EF1" w:rsidP="00756DE2">
            <w:pPr>
              <w:pStyle w:val="TblTxt"/>
            </w:pPr>
            <w:r>
              <w:t>Energy</w:t>
            </w:r>
          </w:p>
        </w:tc>
      </w:tr>
      <w:tr w:rsidR="00BB507A" w14:paraId="71039E43" w14:textId="77777777" w:rsidTr="001906AF">
        <w:trPr>
          <w:jc w:val="right"/>
        </w:trPr>
        <w:tc>
          <w:tcPr>
            <w:tcW w:w="360" w:type="dxa"/>
            <w:vAlign w:val="bottom"/>
          </w:tcPr>
          <w:p w14:paraId="6D4AD5F0" w14:textId="77777777" w:rsidR="00BB507A" w:rsidRDefault="004C7293" w:rsidP="00BB507A">
            <w:pPr>
              <w:pStyle w:val="EnvChecklistBoxes"/>
            </w:pPr>
            <w:r>
              <w:fldChar w:fldCharType="begin">
                <w:ffData>
                  <w:name w:val="Check8"/>
                  <w:enabled/>
                  <w:calcOnExit w:val="0"/>
                  <w:checkBox>
                    <w:sizeAuto/>
                    <w:default w:val="0"/>
                  </w:checkBox>
                </w:ffData>
              </w:fldChar>
            </w:r>
            <w:r>
              <w:instrText xml:space="preserve"> FORMCHECKBOX </w:instrText>
            </w:r>
            <w:r w:rsidR="005E5903">
              <w:fldChar w:fldCharType="separate"/>
            </w:r>
            <w:r>
              <w:fldChar w:fldCharType="end"/>
            </w:r>
          </w:p>
        </w:tc>
        <w:tc>
          <w:tcPr>
            <w:tcW w:w="2751" w:type="dxa"/>
            <w:vAlign w:val="bottom"/>
          </w:tcPr>
          <w:p w14:paraId="6AFE5743" w14:textId="77777777" w:rsidR="00BB507A" w:rsidRDefault="00BB507A" w:rsidP="00BB507A">
            <w:pPr>
              <w:pStyle w:val="TblTxt"/>
            </w:pPr>
            <w:r>
              <w:t>Geology/Soils</w:t>
            </w:r>
          </w:p>
        </w:tc>
        <w:tc>
          <w:tcPr>
            <w:tcW w:w="360" w:type="dxa"/>
            <w:vAlign w:val="bottom"/>
          </w:tcPr>
          <w:p w14:paraId="3A66A7F1" w14:textId="77777777" w:rsidR="00BB507A" w:rsidRDefault="00BB507A" w:rsidP="00BB507A">
            <w:pPr>
              <w:pStyle w:val="EnvChecklistBoxes"/>
            </w:pPr>
            <w:r>
              <w:fldChar w:fldCharType="begin">
                <w:ffData>
                  <w:name w:val="Check4"/>
                  <w:enabled/>
                  <w:calcOnExit w:val="0"/>
                  <w:checkBox>
                    <w:sizeAuto/>
                    <w:default w:val="0"/>
                  </w:checkBox>
                </w:ffData>
              </w:fldChar>
            </w:r>
            <w:r>
              <w:instrText xml:space="preserve"> FORMCHECKBOX </w:instrText>
            </w:r>
            <w:r w:rsidR="005E5903">
              <w:fldChar w:fldCharType="separate"/>
            </w:r>
            <w:r>
              <w:fldChar w:fldCharType="end"/>
            </w:r>
          </w:p>
        </w:tc>
        <w:tc>
          <w:tcPr>
            <w:tcW w:w="3026" w:type="dxa"/>
            <w:vAlign w:val="bottom"/>
          </w:tcPr>
          <w:p w14:paraId="0F45931C" w14:textId="77777777" w:rsidR="00BB507A" w:rsidRDefault="00BB507A" w:rsidP="00BB507A">
            <w:pPr>
              <w:pStyle w:val="TblTxt"/>
            </w:pPr>
            <w:r>
              <w:t xml:space="preserve">Greenhouse Gas Emissions  </w:t>
            </w:r>
          </w:p>
        </w:tc>
        <w:tc>
          <w:tcPr>
            <w:tcW w:w="360" w:type="dxa"/>
            <w:vAlign w:val="bottom"/>
          </w:tcPr>
          <w:p w14:paraId="7B294261" w14:textId="77777777" w:rsidR="00BB507A" w:rsidRDefault="004C7293" w:rsidP="00BB507A">
            <w:pPr>
              <w:pStyle w:val="EnvChecklistBoxes"/>
            </w:pPr>
            <w:r>
              <w:fldChar w:fldCharType="begin">
                <w:ffData>
                  <w:name w:val="Check8"/>
                  <w:enabled/>
                  <w:calcOnExit w:val="0"/>
                  <w:checkBox>
                    <w:sizeAuto/>
                    <w:default w:val="0"/>
                  </w:checkBox>
                </w:ffData>
              </w:fldChar>
            </w:r>
            <w:r>
              <w:instrText xml:space="preserve"> FORMCHECKBOX </w:instrText>
            </w:r>
            <w:r w:rsidR="005E5903">
              <w:fldChar w:fldCharType="separate"/>
            </w:r>
            <w:r>
              <w:fldChar w:fldCharType="end"/>
            </w:r>
          </w:p>
        </w:tc>
        <w:tc>
          <w:tcPr>
            <w:tcW w:w="2732" w:type="dxa"/>
            <w:vAlign w:val="bottom"/>
          </w:tcPr>
          <w:p w14:paraId="78E47FB1" w14:textId="77777777" w:rsidR="00BB507A" w:rsidRDefault="00BB507A" w:rsidP="00BB507A">
            <w:pPr>
              <w:pStyle w:val="TblTxt"/>
            </w:pPr>
            <w:r>
              <w:t xml:space="preserve">Hazards and Hazardous Materials </w:t>
            </w:r>
          </w:p>
        </w:tc>
      </w:tr>
      <w:tr w:rsidR="00292EF1" w14:paraId="725D5452" w14:textId="77777777" w:rsidTr="00967240">
        <w:trPr>
          <w:jc w:val="right"/>
        </w:trPr>
        <w:tc>
          <w:tcPr>
            <w:tcW w:w="360" w:type="dxa"/>
            <w:vAlign w:val="bottom"/>
          </w:tcPr>
          <w:p w14:paraId="32DB5F03" w14:textId="77777777" w:rsidR="00292EF1" w:rsidRDefault="00292EF1" w:rsidP="00967240">
            <w:pPr>
              <w:pStyle w:val="EnvChecklistBoxes"/>
            </w:pPr>
            <w:r>
              <w:fldChar w:fldCharType="begin">
                <w:ffData>
                  <w:name w:val="Check11"/>
                  <w:enabled/>
                  <w:calcOnExit w:val="0"/>
                  <w:checkBox>
                    <w:sizeAuto/>
                    <w:default w:val="0"/>
                  </w:checkBox>
                </w:ffData>
              </w:fldChar>
            </w:r>
            <w:r>
              <w:instrText xml:space="preserve"> FORMCHECKBOX </w:instrText>
            </w:r>
            <w:r w:rsidR="005E5903">
              <w:fldChar w:fldCharType="separate"/>
            </w:r>
            <w:r>
              <w:fldChar w:fldCharType="end"/>
            </w:r>
          </w:p>
        </w:tc>
        <w:tc>
          <w:tcPr>
            <w:tcW w:w="2751" w:type="dxa"/>
            <w:vAlign w:val="bottom"/>
          </w:tcPr>
          <w:p w14:paraId="24D8B482" w14:textId="77777777" w:rsidR="00292EF1" w:rsidRDefault="00292EF1" w:rsidP="00967240">
            <w:pPr>
              <w:pStyle w:val="TblTxt"/>
            </w:pPr>
            <w:r>
              <w:t>Hydrology/Water Quality</w:t>
            </w:r>
          </w:p>
        </w:tc>
        <w:tc>
          <w:tcPr>
            <w:tcW w:w="360" w:type="dxa"/>
            <w:vAlign w:val="bottom"/>
          </w:tcPr>
          <w:p w14:paraId="28919E78" w14:textId="77777777" w:rsidR="00292EF1" w:rsidRDefault="00292EF1" w:rsidP="00967240">
            <w:pPr>
              <w:pStyle w:val="EnvChecklistBoxes"/>
            </w:pPr>
            <w:r>
              <w:fldChar w:fldCharType="begin">
                <w:ffData>
                  <w:name w:val="Check11"/>
                  <w:enabled/>
                  <w:calcOnExit w:val="0"/>
                  <w:checkBox>
                    <w:sizeAuto/>
                    <w:default w:val="0"/>
                  </w:checkBox>
                </w:ffData>
              </w:fldChar>
            </w:r>
            <w:r>
              <w:instrText xml:space="preserve"> FORMCHECKBOX </w:instrText>
            </w:r>
            <w:r w:rsidR="005E5903">
              <w:fldChar w:fldCharType="separate"/>
            </w:r>
            <w:r>
              <w:fldChar w:fldCharType="end"/>
            </w:r>
          </w:p>
        </w:tc>
        <w:tc>
          <w:tcPr>
            <w:tcW w:w="3026" w:type="dxa"/>
            <w:vAlign w:val="bottom"/>
          </w:tcPr>
          <w:p w14:paraId="757920C1" w14:textId="77777777" w:rsidR="00292EF1" w:rsidRDefault="00292EF1" w:rsidP="00967240">
            <w:pPr>
              <w:pStyle w:val="TblTxt"/>
            </w:pPr>
            <w:r>
              <w:t>Land Use / Planning</w:t>
            </w:r>
          </w:p>
        </w:tc>
        <w:tc>
          <w:tcPr>
            <w:tcW w:w="360" w:type="dxa"/>
            <w:vAlign w:val="bottom"/>
          </w:tcPr>
          <w:p w14:paraId="42EA9109" w14:textId="77777777" w:rsidR="00292EF1" w:rsidRDefault="00292EF1" w:rsidP="00967240">
            <w:pPr>
              <w:pStyle w:val="EnvChecklistBoxes"/>
            </w:pPr>
            <w:r>
              <w:fldChar w:fldCharType="begin">
                <w:ffData>
                  <w:name w:val="Check5"/>
                  <w:enabled/>
                  <w:calcOnExit w:val="0"/>
                  <w:checkBox>
                    <w:sizeAuto/>
                    <w:default w:val="0"/>
                  </w:checkBox>
                </w:ffData>
              </w:fldChar>
            </w:r>
            <w:r>
              <w:instrText xml:space="preserve"> FORMCHECKBOX </w:instrText>
            </w:r>
            <w:r w:rsidR="005E5903">
              <w:fldChar w:fldCharType="separate"/>
            </w:r>
            <w:r>
              <w:fldChar w:fldCharType="end"/>
            </w:r>
          </w:p>
        </w:tc>
        <w:tc>
          <w:tcPr>
            <w:tcW w:w="2732" w:type="dxa"/>
            <w:vAlign w:val="bottom"/>
          </w:tcPr>
          <w:p w14:paraId="3BCAE91A" w14:textId="77777777" w:rsidR="00292EF1" w:rsidRDefault="00292EF1" w:rsidP="00967240">
            <w:pPr>
              <w:pStyle w:val="TblTxt"/>
            </w:pPr>
            <w:r>
              <w:t>Mineral Resources</w:t>
            </w:r>
          </w:p>
        </w:tc>
      </w:tr>
      <w:tr w:rsidR="00D10CF6" w14:paraId="28CCB3C1" w14:textId="77777777" w:rsidTr="001906AF">
        <w:trPr>
          <w:jc w:val="right"/>
        </w:trPr>
        <w:tc>
          <w:tcPr>
            <w:tcW w:w="360" w:type="dxa"/>
            <w:vAlign w:val="bottom"/>
          </w:tcPr>
          <w:p w14:paraId="0178D1BE" w14:textId="77777777" w:rsidR="00D10CF6" w:rsidRDefault="00D10CF6" w:rsidP="00756DE2">
            <w:pPr>
              <w:pStyle w:val="EnvChecklistBoxes"/>
            </w:pPr>
            <w:r>
              <w:fldChar w:fldCharType="begin">
                <w:ffData>
                  <w:name w:val="Check11"/>
                  <w:enabled/>
                  <w:calcOnExit w:val="0"/>
                  <w:checkBox>
                    <w:sizeAuto/>
                    <w:default w:val="0"/>
                  </w:checkBox>
                </w:ffData>
              </w:fldChar>
            </w:r>
            <w:r>
              <w:instrText xml:space="preserve"> FORMCHECKBOX </w:instrText>
            </w:r>
            <w:r w:rsidR="005E5903">
              <w:fldChar w:fldCharType="separate"/>
            </w:r>
            <w:r>
              <w:fldChar w:fldCharType="end"/>
            </w:r>
          </w:p>
        </w:tc>
        <w:tc>
          <w:tcPr>
            <w:tcW w:w="2751" w:type="dxa"/>
            <w:vAlign w:val="bottom"/>
          </w:tcPr>
          <w:p w14:paraId="1313148F" w14:textId="77777777" w:rsidR="00D10CF6" w:rsidRDefault="00292EF1" w:rsidP="00756DE2">
            <w:pPr>
              <w:pStyle w:val="TblTxt"/>
            </w:pPr>
            <w:r>
              <w:t>Noise</w:t>
            </w:r>
          </w:p>
        </w:tc>
        <w:tc>
          <w:tcPr>
            <w:tcW w:w="360" w:type="dxa"/>
            <w:vAlign w:val="bottom"/>
          </w:tcPr>
          <w:p w14:paraId="5E085DB5" w14:textId="77777777" w:rsidR="00D10CF6" w:rsidRDefault="00D10CF6" w:rsidP="00756DE2">
            <w:pPr>
              <w:pStyle w:val="EnvChecklistBoxes"/>
            </w:pPr>
            <w:r>
              <w:fldChar w:fldCharType="begin">
                <w:ffData>
                  <w:name w:val="Check11"/>
                  <w:enabled/>
                  <w:calcOnExit w:val="0"/>
                  <w:checkBox>
                    <w:sizeAuto/>
                    <w:default w:val="0"/>
                  </w:checkBox>
                </w:ffData>
              </w:fldChar>
            </w:r>
            <w:r>
              <w:instrText xml:space="preserve"> FORMCHECKBOX </w:instrText>
            </w:r>
            <w:r w:rsidR="005E5903">
              <w:fldChar w:fldCharType="separate"/>
            </w:r>
            <w:r>
              <w:fldChar w:fldCharType="end"/>
            </w:r>
          </w:p>
        </w:tc>
        <w:tc>
          <w:tcPr>
            <w:tcW w:w="3026" w:type="dxa"/>
            <w:vAlign w:val="bottom"/>
          </w:tcPr>
          <w:p w14:paraId="01FFD118" w14:textId="77777777" w:rsidR="00D10CF6" w:rsidRDefault="00292EF1" w:rsidP="00756DE2">
            <w:pPr>
              <w:pStyle w:val="TblTxt"/>
            </w:pPr>
            <w:r>
              <w:t>Population / Housing</w:t>
            </w:r>
          </w:p>
        </w:tc>
        <w:tc>
          <w:tcPr>
            <w:tcW w:w="360" w:type="dxa"/>
            <w:vAlign w:val="bottom"/>
          </w:tcPr>
          <w:p w14:paraId="4E0549E7" w14:textId="77777777" w:rsidR="00D10CF6" w:rsidRDefault="00D10CF6" w:rsidP="00756DE2">
            <w:pPr>
              <w:pStyle w:val="EnvChecklistBoxes"/>
            </w:pPr>
            <w:r>
              <w:fldChar w:fldCharType="begin">
                <w:ffData>
                  <w:name w:val="Check5"/>
                  <w:enabled/>
                  <w:calcOnExit w:val="0"/>
                  <w:checkBox>
                    <w:sizeAuto/>
                    <w:default w:val="0"/>
                  </w:checkBox>
                </w:ffData>
              </w:fldChar>
            </w:r>
            <w:r>
              <w:instrText xml:space="preserve"> FORMCHECKBOX </w:instrText>
            </w:r>
            <w:r w:rsidR="005E5903">
              <w:fldChar w:fldCharType="separate"/>
            </w:r>
            <w:r>
              <w:fldChar w:fldCharType="end"/>
            </w:r>
          </w:p>
        </w:tc>
        <w:tc>
          <w:tcPr>
            <w:tcW w:w="2732" w:type="dxa"/>
            <w:vAlign w:val="bottom"/>
          </w:tcPr>
          <w:p w14:paraId="3BF10800" w14:textId="77777777" w:rsidR="00D10CF6" w:rsidRDefault="00292EF1" w:rsidP="00756DE2">
            <w:pPr>
              <w:pStyle w:val="TblTxt"/>
            </w:pPr>
            <w:r>
              <w:t>Public Services</w:t>
            </w:r>
          </w:p>
        </w:tc>
      </w:tr>
      <w:tr w:rsidR="00D10CF6" w14:paraId="1D8A6F80" w14:textId="77777777" w:rsidTr="001906AF">
        <w:trPr>
          <w:jc w:val="right"/>
        </w:trPr>
        <w:tc>
          <w:tcPr>
            <w:tcW w:w="360" w:type="dxa"/>
            <w:vAlign w:val="bottom"/>
          </w:tcPr>
          <w:p w14:paraId="5018BF17" w14:textId="77777777" w:rsidR="00D10CF6" w:rsidRDefault="00D10CF6" w:rsidP="00756DE2">
            <w:pPr>
              <w:pStyle w:val="EnvChecklistBoxes"/>
            </w:pPr>
            <w:r>
              <w:fldChar w:fldCharType="begin">
                <w:ffData>
                  <w:name w:val="Check11"/>
                  <w:enabled/>
                  <w:calcOnExit w:val="0"/>
                  <w:checkBox>
                    <w:sizeAuto/>
                    <w:default w:val="0"/>
                  </w:checkBox>
                </w:ffData>
              </w:fldChar>
            </w:r>
            <w:r>
              <w:instrText xml:space="preserve"> FORMCHECKBOX </w:instrText>
            </w:r>
            <w:r w:rsidR="005E5903">
              <w:fldChar w:fldCharType="separate"/>
            </w:r>
            <w:r>
              <w:fldChar w:fldCharType="end"/>
            </w:r>
          </w:p>
        </w:tc>
        <w:tc>
          <w:tcPr>
            <w:tcW w:w="2751" w:type="dxa"/>
            <w:vAlign w:val="bottom"/>
          </w:tcPr>
          <w:p w14:paraId="6067B63C" w14:textId="77777777" w:rsidR="00D10CF6" w:rsidRDefault="00967240" w:rsidP="00756DE2">
            <w:pPr>
              <w:pStyle w:val="TblTxt"/>
            </w:pPr>
            <w:r>
              <w:t>Recreation</w:t>
            </w:r>
          </w:p>
        </w:tc>
        <w:tc>
          <w:tcPr>
            <w:tcW w:w="360" w:type="dxa"/>
            <w:vAlign w:val="bottom"/>
          </w:tcPr>
          <w:p w14:paraId="05C716AF" w14:textId="77777777" w:rsidR="00D10CF6" w:rsidRDefault="00D10CF6" w:rsidP="00756DE2">
            <w:pPr>
              <w:pStyle w:val="EnvChecklistBoxes"/>
            </w:pPr>
            <w:r>
              <w:fldChar w:fldCharType="begin">
                <w:ffData>
                  <w:name w:val="Check17"/>
                  <w:enabled/>
                  <w:calcOnExit w:val="0"/>
                  <w:checkBox>
                    <w:sizeAuto/>
                    <w:default w:val="0"/>
                  </w:checkBox>
                </w:ffData>
              </w:fldChar>
            </w:r>
            <w:r>
              <w:instrText xml:space="preserve"> FORMCHECKBOX </w:instrText>
            </w:r>
            <w:r w:rsidR="005E5903">
              <w:fldChar w:fldCharType="separate"/>
            </w:r>
            <w:r>
              <w:fldChar w:fldCharType="end"/>
            </w:r>
          </w:p>
        </w:tc>
        <w:tc>
          <w:tcPr>
            <w:tcW w:w="3026" w:type="dxa"/>
            <w:vAlign w:val="bottom"/>
          </w:tcPr>
          <w:p w14:paraId="41BDE6DB" w14:textId="77777777" w:rsidR="00D10CF6" w:rsidRDefault="00967240" w:rsidP="00756DE2">
            <w:pPr>
              <w:pStyle w:val="TblTxt"/>
            </w:pPr>
            <w:r>
              <w:t>Transportation</w:t>
            </w:r>
          </w:p>
        </w:tc>
        <w:tc>
          <w:tcPr>
            <w:tcW w:w="360" w:type="dxa"/>
            <w:vAlign w:val="bottom"/>
          </w:tcPr>
          <w:p w14:paraId="2D4E2AA3" w14:textId="77777777" w:rsidR="00D10CF6" w:rsidRDefault="00D10CF6" w:rsidP="00756DE2">
            <w:pPr>
              <w:pStyle w:val="EnvChecklistBoxes"/>
            </w:pPr>
            <w:r>
              <w:fldChar w:fldCharType="begin">
                <w:ffData>
                  <w:name w:val="Check6"/>
                  <w:enabled/>
                  <w:calcOnExit w:val="0"/>
                  <w:checkBox>
                    <w:sizeAuto/>
                    <w:default w:val="0"/>
                  </w:checkBox>
                </w:ffData>
              </w:fldChar>
            </w:r>
            <w:r>
              <w:instrText xml:space="preserve"> FORMCHECKBOX </w:instrText>
            </w:r>
            <w:r w:rsidR="005E5903">
              <w:fldChar w:fldCharType="separate"/>
            </w:r>
            <w:r>
              <w:fldChar w:fldCharType="end"/>
            </w:r>
          </w:p>
        </w:tc>
        <w:tc>
          <w:tcPr>
            <w:tcW w:w="2732" w:type="dxa"/>
            <w:vAlign w:val="bottom"/>
          </w:tcPr>
          <w:p w14:paraId="2AC68935" w14:textId="77777777" w:rsidR="00D10CF6" w:rsidRDefault="00967240" w:rsidP="00756DE2">
            <w:pPr>
              <w:pStyle w:val="TblTxt"/>
            </w:pPr>
            <w:r>
              <w:t>Tribal Cultural Resources</w:t>
            </w:r>
          </w:p>
        </w:tc>
      </w:tr>
      <w:tr w:rsidR="001906AF" w14:paraId="52B54BEB" w14:textId="77777777" w:rsidTr="001906AF">
        <w:trPr>
          <w:jc w:val="right"/>
        </w:trPr>
        <w:tc>
          <w:tcPr>
            <w:tcW w:w="360" w:type="dxa"/>
            <w:vAlign w:val="bottom"/>
          </w:tcPr>
          <w:p w14:paraId="62E452A5" w14:textId="77777777" w:rsidR="001906AF" w:rsidRDefault="001906AF" w:rsidP="00756DE2">
            <w:pPr>
              <w:pStyle w:val="EnvChecklistBoxes"/>
            </w:pPr>
            <w:r>
              <w:fldChar w:fldCharType="begin">
                <w:ffData>
                  <w:name w:val="Check12"/>
                  <w:enabled/>
                  <w:calcOnExit w:val="0"/>
                  <w:checkBox>
                    <w:sizeAuto/>
                    <w:default w:val="0"/>
                  </w:checkBox>
                </w:ffData>
              </w:fldChar>
            </w:r>
            <w:r>
              <w:instrText xml:space="preserve"> FORMCHECKBOX </w:instrText>
            </w:r>
            <w:r w:rsidR="005E5903">
              <w:fldChar w:fldCharType="separate"/>
            </w:r>
            <w:r>
              <w:fldChar w:fldCharType="end"/>
            </w:r>
          </w:p>
        </w:tc>
        <w:tc>
          <w:tcPr>
            <w:tcW w:w="2751" w:type="dxa"/>
            <w:vAlign w:val="bottom"/>
          </w:tcPr>
          <w:p w14:paraId="6C437947" w14:textId="77777777" w:rsidR="001906AF" w:rsidRDefault="00967240" w:rsidP="00756DE2">
            <w:pPr>
              <w:pStyle w:val="TblTxt"/>
            </w:pPr>
            <w:r>
              <w:t>Utilities / Service Systems</w:t>
            </w:r>
          </w:p>
        </w:tc>
        <w:tc>
          <w:tcPr>
            <w:tcW w:w="360" w:type="dxa"/>
            <w:vAlign w:val="bottom"/>
          </w:tcPr>
          <w:p w14:paraId="739083DD" w14:textId="77777777" w:rsidR="001906AF" w:rsidRDefault="001906AF" w:rsidP="00967240">
            <w:pPr>
              <w:pStyle w:val="EnvChecklistBoxes"/>
            </w:pPr>
            <w:r>
              <w:fldChar w:fldCharType="begin">
                <w:ffData>
                  <w:name w:val="Check18"/>
                  <w:enabled/>
                  <w:calcOnExit w:val="0"/>
                  <w:checkBox>
                    <w:sizeAuto/>
                    <w:default w:val="0"/>
                  </w:checkBox>
                </w:ffData>
              </w:fldChar>
            </w:r>
            <w:r>
              <w:instrText xml:space="preserve"> FORMCHECKBOX </w:instrText>
            </w:r>
            <w:r w:rsidR="005E5903">
              <w:fldChar w:fldCharType="separate"/>
            </w:r>
            <w:r>
              <w:fldChar w:fldCharType="end"/>
            </w:r>
          </w:p>
        </w:tc>
        <w:tc>
          <w:tcPr>
            <w:tcW w:w="3026" w:type="dxa"/>
            <w:vAlign w:val="bottom"/>
          </w:tcPr>
          <w:p w14:paraId="0A1FA4DB" w14:textId="77777777" w:rsidR="001906AF" w:rsidRDefault="00967240" w:rsidP="00967240">
            <w:pPr>
              <w:pStyle w:val="TblTxt"/>
            </w:pPr>
            <w:r>
              <w:t>Wildfire</w:t>
            </w:r>
          </w:p>
        </w:tc>
        <w:tc>
          <w:tcPr>
            <w:tcW w:w="360" w:type="dxa"/>
            <w:vAlign w:val="bottom"/>
          </w:tcPr>
          <w:p w14:paraId="7B042ADD" w14:textId="77777777" w:rsidR="001906AF" w:rsidRDefault="001906AF" w:rsidP="00967240">
            <w:pPr>
              <w:pStyle w:val="EnvChecklistBoxes"/>
            </w:pPr>
            <w:r>
              <w:fldChar w:fldCharType="begin">
                <w:ffData>
                  <w:name w:val="Check18"/>
                  <w:enabled/>
                  <w:calcOnExit w:val="0"/>
                  <w:checkBox>
                    <w:sizeAuto/>
                    <w:default w:val="0"/>
                  </w:checkBox>
                </w:ffData>
              </w:fldChar>
            </w:r>
            <w:r>
              <w:instrText xml:space="preserve"> FORMCHECKBOX </w:instrText>
            </w:r>
            <w:r w:rsidR="005E5903">
              <w:fldChar w:fldCharType="separate"/>
            </w:r>
            <w:r>
              <w:fldChar w:fldCharType="end"/>
            </w:r>
          </w:p>
        </w:tc>
        <w:tc>
          <w:tcPr>
            <w:tcW w:w="2732" w:type="dxa"/>
            <w:vAlign w:val="bottom"/>
          </w:tcPr>
          <w:p w14:paraId="69ED6129" w14:textId="77777777" w:rsidR="001906AF" w:rsidRDefault="00967240" w:rsidP="00967240">
            <w:pPr>
              <w:pStyle w:val="TblTxt"/>
            </w:pPr>
            <w:r>
              <w:t>Mandatory Findings of Significance</w:t>
            </w:r>
          </w:p>
        </w:tc>
      </w:tr>
    </w:tbl>
    <w:p w14:paraId="102E510A" w14:textId="77777777" w:rsidR="00D10CF6" w:rsidRPr="008256C6" w:rsidRDefault="00D10CF6" w:rsidP="00756DE2"/>
    <w:p w14:paraId="5BE797DD" w14:textId="77777777" w:rsidR="00D10CF6" w:rsidRPr="00774DA7" w:rsidRDefault="00D10CF6" w:rsidP="00D10CF6">
      <w:pPr>
        <w:pStyle w:val="Heading2"/>
      </w:pPr>
      <w:bookmarkStart w:id="99" w:name="_Toc90882150"/>
      <w:r>
        <w:t xml:space="preserve">DETERMINATION </w:t>
      </w:r>
      <w:r w:rsidRPr="00774DA7">
        <w:t>(To Be Completed by the Lead Agency)</w:t>
      </w:r>
      <w:bookmarkEnd w:id="99"/>
    </w:p>
    <w:p w14:paraId="5EB9F211" w14:textId="77777777" w:rsidR="00D10CF6" w:rsidRDefault="00D10CF6" w:rsidP="00D10CF6">
      <w:pPr>
        <w:pStyle w:val="BodyText"/>
      </w:pPr>
      <w:r>
        <w:t>On the basis of this initial evaluation:</w:t>
      </w:r>
    </w:p>
    <w:p w14:paraId="1E886EE3" w14:textId="77777777" w:rsidR="00D10CF6" w:rsidRDefault="00D10CF6" w:rsidP="00024F85">
      <w:pPr>
        <w:spacing w:after="160"/>
        <w:jc w:val="both"/>
      </w:pPr>
      <w:r>
        <w:fldChar w:fldCharType="begin">
          <w:ffData>
            <w:name w:val="Check1"/>
            <w:enabled/>
            <w:calcOnExit w:val="0"/>
            <w:checkBox>
              <w:size w:val="32"/>
              <w:default w:val="0"/>
            </w:checkBox>
          </w:ffData>
        </w:fldChar>
      </w:r>
      <w:r>
        <w:instrText xml:space="preserve"> FORMCHECKBOX </w:instrText>
      </w:r>
      <w:r w:rsidR="005E5903">
        <w:fldChar w:fldCharType="separate"/>
      </w:r>
      <w:r>
        <w:fldChar w:fldCharType="end"/>
      </w:r>
      <w:r>
        <w:tab/>
        <w:t xml:space="preserve">I </w:t>
      </w:r>
      <w:r w:rsidR="00024F85">
        <w:t>find that the proposed project COULD NOT have a significant effect on the environment, and a NEGATIVE DECLARATION will be prepared</w:t>
      </w:r>
      <w:r>
        <w:t>.</w:t>
      </w:r>
    </w:p>
    <w:p w14:paraId="7312C5D7" w14:textId="77777777" w:rsidR="00D10CF6" w:rsidRDefault="00B23653" w:rsidP="00024F85">
      <w:pPr>
        <w:spacing w:after="160"/>
        <w:jc w:val="both"/>
      </w:pPr>
      <w:r w:rsidRPr="00617ACC">
        <w:fldChar w:fldCharType="begin">
          <w:ffData>
            <w:name w:val=""/>
            <w:enabled/>
            <w:calcOnExit w:val="0"/>
            <w:checkBox>
              <w:size w:val="32"/>
              <w:default w:val="1"/>
            </w:checkBox>
          </w:ffData>
        </w:fldChar>
      </w:r>
      <w:r w:rsidRPr="00617ACC">
        <w:instrText xml:space="preserve"> FORMCHECKBOX </w:instrText>
      </w:r>
      <w:r w:rsidR="005E5903">
        <w:fldChar w:fldCharType="separate"/>
      </w:r>
      <w:r w:rsidRPr="00617ACC">
        <w:fldChar w:fldCharType="end"/>
      </w:r>
      <w:r w:rsidR="00D10CF6">
        <w:tab/>
        <w:t xml:space="preserve">I </w:t>
      </w:r>
      <w:r w:rsidR="00024F85">
        <w:t>find that although the proposed project could have a significant effect on the environment, there will not be a significant effect in this case because revisions in the project have been made by or agreed to by the project proponent. A MITIGATED NEGATIVE DECLARATION will be prepared</w:t>
      </w:r>
      <w:r w:rsidR="00D10CF6">
        <w:t>.</w:t>
      </w:r>
    </w:p>
    <w:p w14:paraId="323CBEF8" w14:textId="77777777" w:rsidR="00D10CF6" w:rsidRDefault="00D10CF6" w:rsidP="00024F85">
      <w:pPr>
        <w:spacing w:after="160"/>
        <w:jc w:val="both"/>
      </w:pPr>
      <w:r>
        <w:fldChar w:fldCharType="begin">
          <w:ffData>
            <w:name w:val=""/>
            <w:enabled/>
            <w:calcOnExit w:val="0"/>
            <w:checkBox>
              <w:size w:val="32"/>
              <w:default w:val="0"/>
            </w:checkBox>
          </w:ffData>
        </w:fldChar>
      </w:r>
      <w:r>
        <w:instrText xml:space="preserve"> FORMCHECKBOX </w:instrText>
      </w:r>
      <w:r w:rsidR="005E5903">
        <w:fldChar w:fldCharType="separate"/>
      </w:r>
      <w:r>
        <w:fldChar w:fldCharType="end"/>
      </w:r>
      <w:r>
        <w:tab/>
        <w:t xml:space="preserve">I </w:t>
      </w:r>
      <w:r w:rsidR="00024F85">
        <w:t>find that the proposed project MAY have a significant effect on the environment, and an ENVIRONMENTAL IMPACT REPORT is required</w:t>
      </w:r>
      <w:r>
        <w:t>.</w:t>
      </w:r>
    </w:p>
    <w:p w14:paraId="5F76FF4B" w14:textId="77777777" w:rsidR="00D10CF6" w:rsidRDefault="00D10CF6" w:rsidP="00024F85">
      <w:pPr>
        <w:spacing w:after="160"/>
        <w:jc w:val="both"/>
      </w:pPr>
      <w:r>
        <w:fldChar w:fldCharType="begin">
          <w:ffData>
            <w:name w:val=""/>
            <w:enabled/>
            <w:calcOnExit w:val="0"/>
            <w:checkBox>
              <w:size w:val="32"/>
              <w:default w:val="0"/>
            </w:checkBox>
          </w:ffData>
        </w:fldChar>
      </w:r>
      <w:r>
        <w:instrText xml:space="preserve"> FORMCHECKBOX </w:instrText>
      </w:r>
      <w:r w:rsidR="005E5903">
        <w:fldChar w:fldCharType="separate"/>
      </w:r>
      <w:r>
        <w:fldChar w:fldCharType="end"/>
      </w:r>
      <w:r>
        <w:tab/>
        <w:t xml:space="preserve">I </w:t>
      </w:r>
      <w:r w:rsidR="00024F85">
        <w:t>find that the proposed project MAY have a "potentially significant impact" or "potentially significant unless mitigated" impact on the environment, but at least one effect 1) has been adequately analyzed in an earlier document pursuant to applicable legal standards, and 2) has been addressed by mitigation measures based on the earlier analysis as described on attached sheets. An ENVIRONMENTAL IMPACT REPORT is required, but it must analyze only the effects that remain to be addressed</w:t>
      </w:r>
      <w:r>
        <w:t>.</w:t>
      </w:r>
    </w:p>
    <w:p w14:paraId="732CB9DC" w14:textId="77777777" w:rsidR="00D10CF6" w:rsidRDefault="00D10CF6" w:rsidP="00024F85">
      <w:pPr>
        <w:spacing w:after="200"/>
        <w:jc w:val="both"/>
      </w:pPr>
      <w:r>
        <w:fldChar w:fldCharType="begin">
          <w:ffData>
            <w:name w:val=""/>
            <w:enabled/>
            <w:calcOnExit w:val="0"/>
            <w:checkBox>
              <w:size w:val="32"/>
              <w:default w:val="0"/>
            </w:checkBox>
          </w:ffData>
        </w:fldChar>
      </w:r>
      <w:r>
        <w:instrText xml:space="preserve"> FORMCHECKBOX </w:instrText>
      </w:r>
      <w:r w:rsidR="005E5903">
        <w:fldChar w:fldCharType="separate"/>
      </w:r>
      <w:r>
        <w:fldChar w:fldCharType="end"/>
      </w:r>
      <w:r>
        <w:tab/>
        <w:t xml:space="preserve">I </w:t>
      </w:r>
      <w:r w:rsidR="00024F85">
        <w:t xml:space="preserve">find that although the proposed project could have a significant effect on the environment, because all potentially significant effects (a) have been analyzed adequately in an earlier EIR or NEGATIVE DECLARATION pursuant to applicable standards, and (b) have been avoided or mitigated </w:t>
      </w:r>
      <w:r>
        <w:t xml:space="preserve">pursuant </w:t>
      </w:r>
      <w:r w:rsidR="00024F85">
        <w:t>to that earlier EIR or NEGATIVE DECLARATION, including revisions or mitigation measures that are imposed upon the proposed project, nothing further is required</w:t>
      </w:r>
      <w:r>
        <w:t>.</w:t>
      </w:r>
    </w:p>
    <w:tbl>
      <w:tblPr>
        <w:tblW w:w="0" w:type="auto"/>
        <w:tblInd w:w="108" w:type="dxa"/>
        <w:tblLook w:val="01E0" w:firstRow="1" w:lastRow="1" w:firstColumn="1" w:lastColumn="1" w:noHBand="0" w:noVBand="0"/>
      </w:tblPr>
      <w:tblGrid>
        <w:gridCol w:w="5077"/>
        <w:gridCol w:w="437"/>
        <w:gridCol w:w="3738"/>
      </w:tblGrid>
      <w:tr w:rsidR="00D10CF6" w:rsidRPr="00EA0804" w14:paraId="5EDAF871" w14:textId="77777777" w:rsidTr="00756DE2">
        <w:trPr>
          <w:trHeight w:val="414"/>
        </w:trPr>
        <w:tc>
          <w:tcPr>
            <w:tcW w:w="5157" w:type="dxa"/>
            <w:tcBorders>
              <w:bottom w:val="single" w:sz="4" w:space="0" w:color="auto"/>
            </w:tcBorders>
            <w:shd w:val="clear" w:color="auto" w:fill="auto"/>
          </w:tcPr>
          <w:p w14:paraId="15E3100E" w14:textId="77777777" w:rsidR="00D10CF6" w:rsidRPr="00CD7549" w:rsidRDefault="00D10CF6" w:rsidP="00756DE2">
            <w:pPr>
              <w:rPr>
                <w:rFonts w:eastAsia="Batang"/>
              </w:rPr>
            </w:pPr>
          </w:p>
        </w:tc>
        <w:tc>
          <w:tcPr>
            <w:tcW w:w="441" w:type="dxa"/>
            <w:shd w:val="clear" w:color="auto" w:fill="auto"/>
          </w:tcPr>
          <w:p w14:paraId="42EBA88D" w14:textId="77777777" w:rsidR="00D10CF6" w:rsidRPr="00CD7549" w:rsidRDefault="00D10CF6" w:rsidP="00756DE2">
            <w:pPr>
              <w:rPr>
                <w:rFonts w:eastAsia="Batang"/>
              </w:rPr>
            </w:pPr>
          </w:p>
        </w:tc>
        <w:tc>
          <w:tcPr>
            <w:tcW w:w="3798" w:type="dxa"/>
            <w:tcBorders>
              <w:bottom w:val="single" w:sz="4" w:space="0" w:color="auto"/>
            </w:tcBorders>
            <w:shd w:val="clear" w:color="auto" w:fill="auto"/>
          </w:tcPr>
          <w:p w14:paraId="65ADFD4A" w14:textId="77777777" w:rsidR="00D10CF6" w:rsidRPr="00CD7549" w:rsidRDefault="00D10CF6" w:rsidP="00756DE2">
            <w:pPr>
              <w:rPr>
                <w:rFonts w:eastAsia="Batang"/>
                <w:i/>
                <w:iCs/>
              </w:rPr>
            </w:pPr>
          </w:p>
        </w:tc>
      </w:tr>
      <w:tr w:rsidR="00D10CF6" w:rsidRPr="00EA0804" w14:paraId="27D26B06" w14:textId="77777777" w:rsidTr="00756DE2">
        <w:tc>
          <w:tcPr>
            <w:tcW w:w="5157" w:type="dxa"/>
            <w:tcBorders>
              <w:top w:val="single" w:sz="4" w:space="0" w:color="auto"/>
            </w:tcBorders>
            <w:shd w:val="clear" w:color="auto" w:fill="auto"/>
          </w:tcPr>
          <w:p w14:paraId="1179EADC" w14:textId="77777777" w:rsidR="00D10CF6" w:rsidRPr="00655D6B" w:rsidRDefault="00D10CF6" w:rsidP="00655D6B">
            <w:pPr>
              <w:pStyle w:val="BodyTextItalic"/>
              <w:rPr>
                <w:rFonts w:eastAsia="Batang"/>
              </w:rPr>
            </w:pPr>
            <w:r w:rsidRPr="00655D6B">
              <w:rPr>
                <w:rFonts w:eastAsia="Batang"/>
              </w:rPr>
              <w:t>Signature</w:t>
            </w:r>
          </w:p>
        </w:tc>
        <w:tc>
          <w:tcPr>
            <w:tcW w:w="441" w:type="dxa"/>
            <w:shd w:val="clear" w:color="auto" w:fill="auto"/>
          </w:tcPr>
          <w:p w14:paraId="0D33AB4E" w14:textId="77777777" w:rsidR="00D10CF6" w:rsidRPr="00CD7549" w:rsidRDefault="00D10CF6" w:rsidP="00756DE2">
            <w:pPr>
              <w:rPr>
                <w:rFonts w:eastAsia="Batang"/>
              </w:rPr>
            </w:pPr>
          </w:p>
        </w:tc>
        <w:tc>
          <w:tcPr>
            <w:tcW w:w="3798" w:type="dxa"/>
            <w:tcBorders>
              <w:top w:val="single" w:sz="4" w:space="0" w:color="auto"/>
            </w:tcBorders>
            <w:shd w:val="clear" w:color="auto" w:fill="auto"/>
          </w:tcPr>
          <w:p w14:paraId="123F775A" w14:textId="77777777" w:rsidR="00D10CF6" w:rsidRPr="00655D6B" w:rsidRDefault="00D10CF6" w:rsidP="00655D6B">
            <w:pPr>
              <w:pStyle w:val="BodyTextItalic"/>
              <w:rPr>
                <w:rFonts w:eastAsia="Batang"/>
              </w:rPr>
            </w:pPr>
            <w:r w:rsidRPr="00655D6B">
              <w:rPr>
                <w:rFonts w:eastAsia="Batang"/>
              </w:rPr>
              <w:t>Date</w:t>
            </w:r>
          </w:p>
        </w:tc>
      </w:tr>
      <w:tr w:rsidR="00D10CF6" w:rsidRPr="00EA0804" w14:paraId="5A7AD2E1" w14:textId="77777777" w:rsidTr="002C4501">
        <w:trPr>
          <w:trHeight w:val="20"/>
        </w:trPr>
        <w:tc>
          <w:tcPr>
            <w:tcW w:w="5157" w:type="dxa"/>
            <w:shd w:val="clear" w:color="auto" w:fill="auto"/>
          </w:tcPr>
          <w:p w14:paraId="4E6088EA" w14:textId="77777777" w:rsidR="00D10CF6" w:rsidRPr="00CD7549" w:rsidRDefault="00D10CF6" w:rsidP="00756DE2">
            <w:pPr>
              <w:rPr>
                <w:rFonts w:eastAsia="Batang"/>
              </w:rPr>
            </w:pPr>
          </w:p>
        </w:tc>
        <w:tc>
          <w:tcPr>
            <w:tcW w:w="441" w:type="dxa"/>
            <w:shd w:val="clear" w:color="auto" w:fill="auto"/>
          </w:tcPr>
          <w:p w14:paraId="68715AA3" w14:textId="77777777" w:rsidR="00D10CF6" w:rsidRPr="00CD7549" w:rsidRDefault="00D10CF6" w:rsidP="00756DE2">
            <w:pPr>
              <w:rPr>
                <w:rFonts w:eastAsia="Batang"/>
              </w:rPr>
            </w:pPr>
          </w:p>
        </w:tc>
        <w:tc>
          <w:tcPr>
            <w:tcW w:w="3798" w:type="dxa"/>
            <w:shd w:val="clear" w:color="auto" w:fill="auto"/>
          </w:tcPr>
          <w:p w14:paraId="5FAF130D" w14:textId="77777777" w:rsidR="00D10CF6" w:rsidRPr="00CD7549" w:rsidRDefault="00D10CF6" w:rsidP="00756DE2">
            <w:pPr>
              <w:rPr>
                <w:rFonts w:eastAsia="Batang"/>
                <w:i/>
                <w:iCs/>
              </w:rPr>
            </w:pPr>
          </w:p>
        </w:tc>
      </w:tr>
      <w:tr w:rsidR="00D10CF6" w:rsidRPr="00EA0804" w14:paraId="695F7F80" w14:textId="77777777" w:rsidTr="00756DE2">
        <w:tc>
          <w:tcPr>
            <w:tcW w:w="5157" w:type="dxa"/>
            <w:tcBorders>
              <w:bottom w:val="single" w:sz="4" w:space="0" w:color="auto"/>
            </w:tcBorders>
            <w:shd w:val="clear" w:color="auto" w:fill="auto"/>
          </w:tcPr>
          <w:p w14:paraId="34F8F6ED" w14:textId="77777777" w:rsidR="00D10CF6" w:rsidRPr="00CD7549" w:rsidRDefault="00D10CF6" w:rsidP="00756DE2">
            <w:pPr>
              <w:rPr>
                <w:rFonts w:eastAsia="Batang"/>
              </w:rPr>
            </w:pPr>
          </w:p>
        </w:tc>
        <w:tc>
          <w:tcPr>
            <w:tcW w:w="441" w:type="dxa"/>
            <w:shd w:val="clear" w:color="auto" w:fill="auto"/>
          </w:tcPr>
          <w:p w14:paraId="4E25BF3C" w14:textId="77777777" w:rsidR="00D10CF6" w:rsidRPr="00CD7549" w:rsidRDefault="00D10CF6" w:rsidP="00756DE2">
            <w:pPr>
              <w:rPr>
                <w:rFonts w:eastAsia="Batang"/>
              </w:rPr>
            </w:pPr>
          </w:p>
        </w:tc>
        <w:tc>
          <w:tcPr>
            <w:tcW w:w="3798" w:type="dxa"/>
            <w:tcBorders>
              <w:bottom w:val="single" w:sz="4" w:space="0" w:color="auto"/>
            </w:tcBorders>
            <w:shd w:val="clear" w:color="auto" w:fill="auto"/>
          </w:tcPr>
          <w:p w14:paraId="1926322C" w14:textId="77777777" w:rsidR="00D10CF6" w:rsidRPr="00CD7549" w:rsidRDefault="00D10CF6" w:rsidP="00756DE2">
            <w:pPr>
              <w:rPr>
                <w:rFonts w:eastAsia="Batang"/>
                <w:iCs/>
              </w:rPr>
            </w:pPr>
          </w:p>
        </w:tc>
      </w:tr>
      <w:tr w:rsidR="00D10CF6" w:rsidRPr="00EA0804" w14:paraId="0176697C" w14:textId="77777777" w:rsidTr="001906AF">
        <w:trPr>
          <w:trHeight w:hRule="exact" w:val="360"/>
        </w:trPr>
        <w:tc>
          <w:tcPr>
            <w:tcW w:w="5157" w:type="dxa"/>
            <w:tcBorders>
              <w:top w:val="single" w:sz="4" w:space="0" w:color="auto"/>
            </w:tcBorders>
            <w:shd w:val="clear" w:color="auto" w:fill="auto"/>
          </w:tcPr>
          <w:p w14:paraId="0FAB3036" w14:textId="77777777" w:rsidR="00D10CF6" w:rsidRPr="00655D6B" w:rsidRDefault="00D10CF6" w:rsidP="001906AF">
            <w:pPr>
              <w:pStyle w:val="BodyTextItalic"/>
              <w:spacing w:after="0" w:line="240" w:lineRule="auto"/>
              <w:rPr>
                <w:rFonts w:eastAsia="Batang"/>
              </w:rPr>
            </w:pPr>
          </w:p>
        </w:tc>
        <w:tc>
          <w:tcPr>
            <w:tcW w:w="441" w:type="dxa"/>
            <w:shd w:val="clear" w:color="auto" w:fill="auto"/>
          </w:tcPr>
          <w:p w14:paraId="356551DF" w14:textId="77777777" w:rsidR="00D10CF6" w:rsidRPr="00CD7549" w:rsidRDefault="00D10CF6" w:rsidP="00756DE2">
            <w:pPr>
              <w:rPr>
                <w:rFonts w:eastAsia="Batang"/>
                <w:iCs/>
              </w:rPr>
            </w:pPr>
          </w:p>
        </w:tc>
        <w:tc>
          <w:tcPr>
            <w:tcW w:w="3798" w:type="dxa"/>
            <w:tcBorders>
              <w:top w:val="single" w:sz="4" w:space="0" w:color="auto"/>
            </w:tcBorders>
            <w:shd w:val="clear" w:color="auto" w:fill="auto"/>
          </w:tcPr>
          <w:p w14:paraId="0B02B214" w14:textId="77777777" w:rsidR="00D10CF6" w:rsidRPr="00655D6B" w:rsidRDefault="00D10CF6" w:rsidP="00655D6B">
            <w:pPr>
              <w:pStyle w:val="BodyTextItalic"/>
              <w:rPr>
                <w:rFonts w:eastAsia="Batang"/>
              </w:rPr>
            </w:pPr>
          </w:p>
        </w:tc>
      </w:tr>
    </w:tbl>
    <w:p w14:paraId="36B960B6" w14:textId="77777777" w:rsidR="00D10CF6" w:rsidRDefault="00D10CF6" w:rsidP="00D10CF6">
      <w:pPr>
        <w:pStyle w:val="Heading2"/>
        <w:pageBreakBefore/>
      </w:pPr>
      <w:bookmarkStart w:id="100" w:name="_Toc433763421"/>
      <w:bookmarkStart w:id="101" w:name="_Toc90882151"/>
      <w:r>
        <w:t>EVALUATION OF ENVIRONMENTAL IMPACTS</w:t>
      </w:r>
      <w:bookmarkEnd w:id="100"/>
      <w:bookmarkEnd w:id="101"/>
    </w:p>
    <w:p w14:paraId="00BFF579" w14:textId="77777777" w:rsidR="00D10CF6" w:rsidRDefault="00D10CF6" w:rsidP="001468C5">
      <w:pPr>
        <w:pStyle w:val="List2"/>
        <w:tabs>
          <w:tab w:val="left" w:pos="360"/>
        </w:tabs>
        <w:spacing w:after="200" w:line="276" w:lineRule="auto"/>
        <w:ind w:left="360"/>
      </w:pPr>
      <w:r>
        <w:t>A brief explanation is required for all answers except “No Impact” answers that are adequately supported by the information sources a lead agency cites in the parentheses following each question. A “No Impact” answer is adequately supported if the referenced information sources show that the impact simply does not apply to projects like the one involved (e.g., the project falls outside a fault rupture zone). A “No Impact” answer should be explained where it is based on project-specific factors, as well as general standards (e.g., the project would not expose sensitive receptors to pollutants, based on a project-specific screening analysis).</w:t>
      </w:r>
    </w:p>
    <w:p w14:paraId="5F38C93E" w14:textId="77777777" w:rsidR="00D10CF6" w:rsidRDefault="00D10CF6" w:rsidP="001468C5">
      <w:pPr>
        <w:pStyle w:val="List2"/>
        <w:tabs>
          <w:tab w:val="left" w:pos="360"/>
        </w:tabs>
        <w:spacing w:after="200" w:line="276" w:lineRule="auto"/>
        <w:ind w:left="360"/>
      </w:pPr>
      <w:r>
        <w:t>All answers must take account of the whole action involved, including off-site as well as on-site, cumulative as well as project-level, indirect as well as direct, and construction as well as operational impacts.</w:t>
      </w:r>
    </w:p>
    <w:p w14:paraId="208D48C3" w14:textId="77777777" w:rsidR="00D10CF6" w:rsidRDefault="00D10CF6" w:rsidP="001468C5">
      <w:pPr>
        <w:pStyle w:val="List2"/>
        <w:tabs>
          <w:tab w:val="left" w:pos="360"/>
        </w:tabs>
        <w:spacing w:after="200" w:line="276" w:lineRule="auto"/>
        <w:ind w:left="360"/>
      </w:pPr>
      <w:r>
        <w:t>Once the lead agency has determined that a particular physical impact may occur, then the checklist answers must indicate whether the impact is potentially significant, less than significant with mitigation, or less than significant. “Potentially Significant Impact” is appropriate if there is substantial evidence that an effect may be significant. If there are one or more “Potentially Significant Impact” entries when the determination is made, an EIR is required.</w:t>
      </w:r>
    </w:p>
    <w:p w14:paraId="672D1BBB" w14:textId="77777777" w:rsidR="00D10CF6" w:rsidRDefault="002C4501" w:rsidP="001468C5">
      <w:pPr>
        <w:pStyle w:val="List2"/>
        <w:tabs>
          <w:tab w:val="left" w:pos="360"/>
        </w:tabs>
        <w:spacing w:after="200" w:line="276" w:lineRule="auto"/>
        <w:ind w:left="360"/>
      </w:pPr>
      <w:r>
        <w:t xml:space="preserve">“Negative Declaration: </w:t>
      </w:r>
      <w:r w:rsidR="00D10CF6">
        <w:t>Less Than Significant With Mitigation Incorporated” applies where the incorporation of mitigation measures has reduced an effect from “Potentially Significant Impact” to a “Less Than Significant Impact.” The lead agency must describe the mitigation measures, and briefly explain how they reduce the effect to a less than significant level.</w:t>
      </w:r>
    </w:p>
    <w:p w14:paraId="488DCC4B" w14:textId="77777777" w:rsidR="00D10CF6" w:rsidRDefault="00D10CF6" w:rsidP="001468C5">
      <w:pPr>
        <w:pStyle w:val="List2"/>
        <w:tabs>
          <w:tab w:val="left" w:pos="360"/>
        </w:tabs>
        <w:spacing w:after="200" w:line="276" w:lineRule="auto"/>
        <w:ind w:left="360"/>
      </w:pPr>
      <w:r>
        <w:t xml:space="preserve">Earlier analyses may be used where, pursuant to the tiering, program EIR, or other CEQA process, an effect has been adequately analyzed in an earlier EIR or negative declaration. </w:t>
      </w:r>
      <w:r w:rsidR="00D25C64" w:rsidRPr="00A977BB">
        <w:t>Section </w:t>
      </w:r>
      <w:r w:rsidRPr="00A977BB">
        <w:t>15063(c)(3)(D).</w:t>
      </w:r>
      <w:r>
        <w:t xml:space="preserve"> In this case, a brief discussion should identify the following:</w:t>
      </w:r>
    </w:p>
    <w:p w14:paraId="02E340A7" w14:textId="77777777" w:rsidR="00D10CF6" w:rsidRDefault="00D10CF6" w:rsidP="001468C5">
      <w:pPr>
        <w:pStyle w:val="List5"/>
        <w:tabs>
          <w:tab w:val="clear" w:pos="1080"/>
          <w:tab w:val="num" w:pos="720"/>
        </w:tabs>
        <w:spacing w:after="200" w:line="276" w:lineRule="auto"/>
        <w:ind w:left="720"/>
      </w:pPr>
      <w:r w:rsidRPr="00655D6B">
        <w:rPr>
          <w:rStyle w:val="BodyTextBoldChar"/>
        </w:rPr>
        <w:t xml:space="preserve">Earlier Analyses Used. </w:t>
      </w:r>
      <w:r>
        <w:t>Identify and state where they are available for review.</w:t>
      </w:r>
    </w:p>
    <w:p w14:paraId="6333ED41" w14:textId="77777777" w:rsidR="00D10CF6" w:rsidRDefault="00D10CF6" w:rsidP="001468C5">
      <w:pPr>
        <w:pStyle w:val="List5"/>
        <w:tabs>
          <w:tab w:val="clear" w:pos="1080"/>
          <w:tab w:val="num" w:pos="720"/>
        </w:tabs>
        <w:spacing w:after="200" w:line="276" w:lineRule="auto"/>
        <w:ind w:left="720"/>
      </w:pPr>
      <w:r>
        <w:t>I</w:t>
      </w:r>
      <w:r w:rsidRPr="00655D6B">
        <w:rPr>
          <w:rStyle w:val="BodyTextBoldChar"/>
        </w:rPr>
        <w:t xml:space="preserve">mpacts Adequately Addressed. </w:t>
      </w:r>
      <w:r>
        <w:t>Identify which effects from the above checklist were within the scope of and adequately analyzed in an earlier document pursuant to applicable legal standards, and state whether such effects were addressed by mitigation measures based on the earlier analysis.</w:t>
      </w:r>
    </w:p>
    <w:p w14:paraId="5A21C55C" w14:textId="77777777" w:rsidR="00D10CF6" w:rsidRDefault="00D10CF6" w:rsidP="001468C5">
      <w:pPr>
        <w:pStyle w:val="List5"/>
        <w:tabs>
          <w:tab w:val="clear" w:pos="1080"/>
          <w:tab w:val="num" w:pos="720"/>
        </w:tabs>
        <w:spacing w:after="200" w:line="276" w:lineRule="auto"/>
        <w:ind w:left="720"/>
      </w:pPr>
      <w:r w:rsidRPr="00655D6B">
        <w:rPr>
          <w:rStyle w:val="BodyTextBoldChar"/>
        </w:rPr>
        <w:t xml:space="preserve">Mitigation Measures. </w:t>
      </w:r>
      <w:r>
        <w:t>For effects that are “Less than Significant with Mitigation Measures Incorporated,” describe the mitigation measures which were incorporated or refined from the earlier document and the extent to which they address site-specific conditions for the project.</w:t>
      </w:r>
    </w:p>
    <w:p w14:paraId="5C9D36BB" w14:textId="77777777" w:rsidR="00D10CF6" w:rsidRDefault="00D10CF6" w:rsidP="001468C5">
      <w:pPr>
        <w:pStyle w:val="List2"/>
        <w:tabs>
          <w:tab w:val="left" w:pos="360"/>
        </w:tabs>
        <w:spacing w:after="200" w:line="276" w:lineRule="auto"/>
        <w:ind w:left="360"/>
      </w:pPr>
      <w:r>
        <w:t>Lead agencies are encouraged to incorporate into the checklist references to information sources for potential impacts (e.g., general plans, zoning ordinances). Reference to a previously prepared or outside document should, where appropriate, include a reference to the page or pages where the statement is substantiated</w:t>
      </w:r>
      <w:r w:rsidR="00AC356F">
        <w:t>.</w:t>
      </w:r>
    </w:p>
    <w:p w14:paraId="16499BBF" w14:textId="77777777" w:rsidR="00D10CF6" w:rsidRDefault="00D10CF6" w:rsidP="001468C5">
      <w:pPr>
        <w:pStyle w:val="List2"/>
        <w:tabs>
          <w:tab w:val="left" w:pos="360"/>
        </w:tabs>
        <w:spacing w:after="200" w:line="276" w:lineRule="auto"/>
        <w:ind w:left="360"/>
      </w:pPr>
      <w:r>
        <w:t>Supporting Information Sources</w:t>
      </w:r>
      <w:r w:rsidR="00B85BC9">
        <w:t xml:space="preserve">: </w:t>
      </w:r>
      <w:r>
        <w:t>A source list should be attached, and other sources used or individuals contacted should be cited in the discussion.</w:t>
      </w:r>
    </w:p>
    <w:p w14:paraId="20E8B2E0" w14:textId="77777777" w:rsidR="00D10CF6" w:rsidRDefault="00D10CF6" w:rsidP="001468C5">
      <w:pPr>
        <w:pStyle w:val="List2"/>
        <w:tabs>
          <w:tab w:val="num" w:pos="360"/>
        </w:tabs>
        <w:spacing w:after="200" w:line="276" w:lineRule="auto"/>
        <w:ind w:left="360"/>
      </w:pPr>
      <w:r>
        <w:t>This is only a suggested form, and lead agencies are free to use different formats; however, lead agencies should normally address the questions from this checklist that are relevant to a project’s environmental effects in whatever format is selected.</w:t>
      </w:r>
    </w:p>
    <w:p w14:paraId="1A22EF9A" w14:textId="77777777" w:rsidR="00D10CF6" w:rsidRDefault="00D10CF6" w:rsidP="001468C5">
      <w:pPr>
        <w:pStyle w:val="List2"/>
        <w:tabs>
          <w:tab w:val="num" w:pos="360"/>
        </w:tabs>
        <w:spacing w:after="200" w:line="276" w:lineRule="auto"/>
        <w:ind w:left="360"/>
      </w:pPr>
      <w:r>
        <w:t>The explanation of each issue should identify:</w:t>
      </w:r>
    </w:p>
    <w:p w14:paraId="494EB193" w14:textId="77777777" w:rsidR="00D10CF6" w:rsidRDefault="00D10CF6" w:rsidP="009D6ECC">
      <w:pPr>
        <w:pStyle w:val="List5"/>
        <w:numPr>
          <w:ilvl w:val="0"/>
          <w:numId w:val="15"/>
        </w:numPr>
        <w:tabs>
          <w:tab w:val="clear" w:pos="1080"/>
          <w:tab w:val="num" w:pos="720"/>
        </w:tabs>
        <w:spacing w:after="0"/>
        <w:ind w:left="720"/>
      </w:pPr>
      <w:r>
        <w:t xml:space="preserve">the significance criteria or threshold, if any, used to evaluate each question; and </w:t>
      </w:r>
    </w:p>
    <w:p w14:paraId="6AFF2AF1" w14:textId="77777777" w:rsidR="00D10CF6" w:rsidRDefault="00D10CF6" w:rsidP="001468C5">
      <w:pPr>
        <w:pStyle w:val="List5"/>
        <w:tabs>
          <w:tab w:val="clear" w:pos="1080"/>
          <w:tab w:val="num" w:pos="720"/>
        </w:tabs>
        <w:spacing w:after="600"/>
        <w:ind w:left="720"/>
      </w:pPr>
      <w:r>
        <w:t>the mitigation measure identified, if any, to reduce the</w:t>
      </w:r>
      <w:r w:rsidR="00AC356F">
        <w:t xml:space="preserve"> impact to less than significance</w:t>
      </w:r>
      <w:r w:rsidR="001468C5">
        <w:t>.</w:t>
      </w:r>
    </w:p>
    <w:tbl>
      <w:tblPr>
        <w:tblW w:w="93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66"/>
        <w:gridCol w:w="1170"/>
        <w:gridCol w:w="1170"/>
        <w:gridCol w:w="1170"/>
        <w:gridCol w:w="1155"/>
      </w:tblGrid>
      <w:tr w:rsidR="0043261D" w:rsidRPr="00EE636A" w14:paraId="24C46807" w14:textId="77777777" w:rsidTr="00AE6F44">
        <w:trPr>
          <w:cantSplit/>
          <w:tblHeader/>
          <w:jc w:val="center"/>
        </w:trPr>
        <w:tc>
          <w:tcPr>
            <w:tcW w:w="4666" w:type="dxa"/>
            <w:tcBorders>
              <w:top w:val="single" w:sz="12" w:space="0" w:color="auto"/>
              <w:left w:val="nil"/>
              <w:bottom w:val="single" w:sz="12" w:space="0" w:color="auto"/>
              <w:right w:val="single" w:sz="6" w:space="0" w:color="auto"/>
            </w:tcBorders>
            <w:vAlign w:val="bottom"/>
          </w:tcPr>
          <w:p w14:paraId="5A1F57E2" w14:textId="77777777" w:rsidR="0043261D" w:rsidRPr="00DC1377" w:rsidRDefault="0043261D" w:rsidP="00AE6F44">
            <w:pPr>
              <w:pStyle w:val="TblColumnHeads"/>
            </w:pPr>
            <w:r w:rsidRPr="00DC1377">
              <w:br w:type="page"/>
            </w:r>
            <w:r w:rsidRPr="00DC1377">
              <w:br w:type="page"/>
              <w:t>Issues</w:t>
            </w:r>
          </w:p>
        </w:tc>
        <w:tc>
          <w:tcPr>
            <w:tcW w:w="1170" w:type="dxa"/>
            <w:tcBorders>
              <w:top w:val="single" w:sz="12" w:space="0" w:color="auto"/>
              <w:left w:val="single" w:sz="6" w:space="0" w:color="auto"/>
              <w:bottom w:val="single" w:sz="12" w:space="0" w:color="auto"/>
              <w:right w:val="single" w:sz="6" w:space="0" w:color="auto"/>
            </w:tcBorders>
            <w:tcMar>
              <w:left w:w="58" w:type="dxa"/>
              <w:right w:w="58" w:type="dxa"/>
            </w:tcMar>
            <w:vAlign w:val="bottom"/>
          </w:tcPr>
          <w:p w14:paraId="7F7B6E83" w14:textId="77777777" w:rsidR="0043261D" w:rsidRPr="00DC1377" w:rsidRDefault="0043261D" w:rsidP="00AE6F44">
            <w:pPr>
              <w:pStyle w:val="TblColumnHeads"/>
            </w:pPr>
            <w:r w:rsidRPr="00DC1377">
              <w:t>Potentially Significant Impact</w:t>
            </w:r>
          </w:p>
        </w:tc>
        <w:tc>
          <w:tcPr>
            <w:tcW w:w="1170" w:type="dxa"/>
            <w:tcBorders>
              <w:top w:val="single" w:sz="12" w:space="0" w:color="auto"/>
              <w:left w:val="single" w:sz="6" w:space="0" w:color="auto"/>
              <w:bottom w:val="single" w:sz="12" w:space="0" w:color="auto"/>
              <w:right w:val="single" w:sz="6" w:space="0" w:color="auto"/>
            </w:tcBorders>
            <w:tcMar>
              <w:left w:w="58" w:type="dxa"/>
              <w:right w:w="58" w:type="dxa"/>
            </w:tcMar>
            <w:vAlign w:val="bottom"/>
          </w:tcPr>
          <w:p w14:paraId="3D4B89A2" w14:textId="77777777" w:rsidR="0043261D" w:rsidRPr="00DC1377" w:rsidRDefault="0043261D" w:rsidP="00AE6F44">
            <w:pPr>
              <w:pStyle w:val="TblColumnHeads"/>
            </w:pPr>
            <w:r w:rsidRPr="00DC1377">
              <w:t xml:space="preserve">Less Than Significant </w:t>
            </w:r>
            <w:r w:rsidRPr="00DC1377">
              <w:br/>
              <w:t>With</w:t>
            </w:r>
            <w:r w:rsidRPr="00DC1377">
              <w:br/>
              <w:t>Mitigation Incorporated</w:t>
            </w:r>
          </w:p>
        </w:tc>
        <w:tc>
          <w:tcPr>
            <w:tcW w:w="1170" w:type="dxa"/>
            <w:tcBorders>
              <w:top w:val="single" w:sz="12" w:space="0" w:color="auto"/>
              <w:left w:val="single" w:sz="6" w:space="0" w:color="auto"/>
              <w:bottom w:val="single" w:sz="12" w:space="0" w:color="auto"/>
              <w:right w:val="single" w:sz="6" w:space="0" w:color="auto"/>
            </w:tcBorders>
            <w:tcMar>
              <w:left w:w="58" w:type="dxa"/>
              <w:right w:w="58" w:type="dxa"/>
            </w:tcMar>
            <w:vAlign w:val="bottom"/>
          </w:tcPr>
          <w:p w14:paraId="15EBD103" w14:textId="77777777" w:rsidR="0043261D" w:rsidRPr="00DC1377" w:rsidRDefault="0043261D" w:rsidP="00AE6F44">
            <w:pPr>
              <w:pStyle w:val="TblColumnHeads"/>
            </w:pPr>
            <w:r w:rsidRPr="00DC1377">
              <w:t>Less Than Significant Impact</w:t>
            </w:r>
          </w:p>
        </w:tc>
        <w:tc>
          <w:tcPr>
            <w:tcW w:w="1155" w:type="dxa"/>
            <w:tcBorders>
              <w:top w:val="single" w:sz="12" w:space="0" w:color="auto"/>
              <w:left w:val="single" w:sz="6" w:space="0" w:color="auto"/>
              <w:bottom w:val="single" w:sz="12" w:space="0" w:color="auto"/>
              <w:right w:val="nil"/>
            </w:tcBorders>
            <w:tcMar>
              <w:left w:w="58" w:type="dxa"/>
              <w:right w:w="58" w:type="dxa"/>
            </w:tcMar>
            <w:vAlign w:val="bottom"/>
          </w:tcPr>
          <w:p w14:paraId="12BE2CAB" w14:textId="77777777" w:rsidR="0043261D" w:rsidRPr="00B74932" w:rsidRDefault="0043261D" w:rsidP="00AE6F44">
            <w:pPr>
              <w:pStyle w:val="TblColumnHeads"/>
              <w:rPr>
                <w:sz w:val="20"/>
              </w:rPr>
            </w:pPr>
            <w:r w:rsidRPr="00DC1377">
              <w:t>No</w:t>
            </w:r>
            <w:r>
              <w:br/>
            </w:r>
            <w:r w:rsidRPr="00DC1377">
              <w:t>Impact</w:t>
            </w:r>
          </w:p>
        </w:tc>
      </w:tr>
      <w:tr w:rsidR="0043261D" w14:paraId="708CD95B" w14:textId="77777777" w:rsidTr="00AE6F44">
        <w:trPr>
          <w:cantSplit/>
          <w:jc w:val="center"/>
        </w:trPr>
        <w:tc>
          <w:tcPr>
            <w:tcW w:w="9331" w:type="dxa"/>
            <w:gridSpan w:val="5"/>
            <w:tcBorders>
              <w:top w:val="single" w:sz="12" w:space="0" w:color="auto"/>
              <w:left w:val="nil"/>
              <w:right w:val="nil"/>
            </w:tcBorders>
            <w:shd w:val="clear" w:color="auto" w:fill="E0E0E0"/>
          </w:tcPr>
          <w:p w14:paraId="1DD78819" w14:textId="77777777" w:rsidR="0043261D" w:rsidRPr="00B74932" w:rsidRDefault="0043261D" w:rsidP="00AE6F44">
            <w:pPr>
              <w:pStyle w:val="ChecklistSubhead"/>
            </w:pPr>
            <w:r w:rsidRPr="00B74932">
              <w:t>I. AESTHETICS.</w:t>
            </w:r>
            <w:r w:rsidRPr="00AC35CC">
              <w:t xml:space="preserve"> </w:t>
            </w:r>
            <w:r w:rsidRPr="009839E0">
              <w:rPr>
                <w:rStyle w:val="ChecklistSubText"/>
                <w:b/>
              </w:rPr>
              <w:t>Except as provided in Public Resources Code Section 21099,</w:t>
            </w:r>
            <w:r>
              <w:rPr>
                <w:rStyle w:val="ChecklistSubText"/>
                <w:b/>
              </w:rPr>
              <w:t xml:space="preserve"> </w:t>
            </w:r>
            <w:r w:rsidRPr="00B74932">
              <w:rPr>
                <w:rStyle w:val="ChecklistSubText"/>
                <w:b/>
              </w:rPr>
              <w:t>would the project:</w:t>
            </w:r>
          </w:p>
        </w:tc>
      </w:tr>
      <w:tr w:rsidR="0043261D" w14:paraId="77693C79" w14:textId="77777777" w:rsidTr="00AE6F44">
        <w:trPr>
          <w:cantSplit/>
          <w:jc w:val="center"/>
        </w:trPr>
        <w:tc>
          <w:tcPr>
            <w:tcW w:w="4666" w:type="dxa"/>
            <w:tcBorders>
              <w:top w:val="single" w:sz="6" w:space="0" w:color="auto"/>
              <w:left w:val="nil"/>
              <w:right w:val="single" w:sz="6" w:space="0" w:color="auto"/>
            </w:tcBorders>
          </w:tcPr>
          <w:p w14:paraId="667B73B0" w14:textId="77777777" w:rsidR="0043261D" w:rsidRDefault="0043261D" w:rsidP="00AE6F44">
            <w:pPr>
              <w:pStyle w:val="TblTxt1"/>
            </w:pPr>
            <w:r>
              <w:t>a)</w:t>
            </w:r>
            <w:r>
              <w:tab/>
              <w:t>Have a substantial adverse effect on a scenic vista?</w:t>
            </w:r>
          </w:p>
        </w:tc>
        <w:tc>
          <w:tcPr>
            <w:tcW w:w="1170" w:type="dxa"/>
            <w:tcBorders>
              <w:top w:val="single" w:sz="6" w:space="0" w:color="auto"/>
              <w:left w:val="single" w:sz="6" w:space="0" w:color="auto"/>
              <w:right w:val="single" w:sz="6" w:space="0" w:color="auto"/>
            </w:tcBorders>
            <w:vAlign w:val="center"/>
          </w:tcPr>
          <w:p w14:paraId="29121C0D" w14:textId="77777777" w:rsidR="0043261D" w:rsidRPr="00F339B2" w:rsidRDefault="0043261D" w:rsidP="00AE6F44">
            <w:pPr>
              <w:pStyle w:val="ChecklistXs"/>
            </w:pPr>
          </w:p>
        </w:tc>
        <w:tc>
          <w:tcPr>
            <w:tcW w:w="1170" w:type="dxa"/>
            <w:tcBorders>
              <w:top w:val="single" w:sz="6" w:space="0" w:color="auto"/>
              <w:left w:val="single" w:sz="6" w:space="0" w:color="auto"/>
              <w:right w:val="single" w:sz="6" w:space="0" w:color="auto"/>
            </w:tcBorders>
            <w:vAlign w:val="center"/>
          </w:tcPr>
          <w:p w14:paraId="36CAF4E4" w14:textId="77777777" w:rsidR="0043261D" w:rsidRPr="00F339B2" w:rsidRDefault="0043261D" w:rsidP="00AE6F44">
            <w:pPr>
              <w:pStyle w:val="ChecklistXs"/>
            </w:pPr>
          </w:p>
        </w:tc>
        <w:tc>
          <w:tcPr>
            <w:tcW w:w="1170" w:type="dxa"/>
            <w:tcBorders>
              <w:top w:val="single" w:sz="6" w:space="0" w:color="auto"/>
              <w:left w:val="single" w:sz="6" w:space="0" w:color="auto"/>
              <w:right w:val="single" w:sz="6" w:space="0" w:color="auto"/>
            </w:tcBorders>
            <w:vAlign w:val="center"/>
          </w:tcPr>
          <w:p w14:paraId="2321A453" w14:textId="77777777" w:rsidR="0043261D" w:rsidRPr="00F339B2" w:rsidRDefault="0043261D" w:rsidP="00AE6F44">
            <w:pPr>
              <w:pStyle w:val="ChecklistXs"/>
            </w:pPr>
          </w:p>
        </w:tc>
        <w:tc>
          <w:tcPr>
            <w:tcW w:w="1155" w:type="dxa"/>
            <w:tcBorders>
              <w:top w:val="single" w:sz="6" w:space="0" w:color="auto"/>
              <w:left w:val="single" w:sz="6" w:space="0" w:color="auto"/>
              <w:right w:val="nil"/>
            </w:tcBorders>
            <w:vAlign w:val="center"/>
          </w:tcPr>
          <w:p w14:paraId="5CA9C14B" w14:textId="77777777" w:rsidR="0043261D" w:rsidRPr="00F339B2" w:rsidRDefault="00786B43" w:rsidP="00AE6F44">
            <w:pPr>
              <w:pStyle w:val="ChecklistXs"/>
            </w:pPr>
            <w:r>
              <w:t>X</w:t>
            </w:r>
          </w:p>
        </w:tc>
      </w:tr>
      <w:tr w:rsidR="0043261D" w14:paraId="4D2EBE6E" w14:textId="77777777" w:rsidTr="00AE6F44">
        <w:trPr>
          <w:cantSplit/>
          <w:jc w:val="center"/>
        </w:trPr>
        <w:tc>
          <w:tcPr>
            <w:tcW w:w="4666" w:type="dxa"/>
            <w:tcBorders>
              <w:top w:val="single" w:sz="6" w:space="0" w:color="auto"/>
              <w:left w:val="nil"/>
              <w:right w:val="single" w:sz="6" w:space="0" w:color="auto"/>
            </w:tcBorders>
          </w:tcPr>
          <w:p w14:paraId="1B41F32F" w14:textId="77777777" w:rsidR="0043261D" w:rsidRDefault="0043261D" w:rsidP="00AE6F44">
            <w:pPr>
              <w:pStyle w:val="TblTxt1"/>
            </w:pPr>
            <w:r>
              <w:t>b)</w:t>
            </w:r>
            <w:r>
              <w:tab/>
              <w:t>Substantially damage scenic resources, including, but not limited to, trees, rock outcroppings, and historic buildings within a state scenic highway?</w:t>
            </w:r>
          </w:p>
        </w:tc>
        <w:tc>
          <w:tcPr>
            <w:tcW w:w="1170" w:type="dxa"/>
            <w:tcBorders>
              <w:top w:val="single" w:sz="6" w:space="0" w:color="auto"/>
              <w:left w:val="single" w:sz="6" w:space="0" w:color="auto"/>
              <w:right w:val="single" w:sz="6" w:space="0" w:color="auto"/>
            </w:tcBorders>
            <w:vAlign w:val="center"/>
          </w:tcPr>
          <w:p w14:paraId="4C1B040D" w14:textId="77777777" w:rsidR="0043261D" w:rsidRPr="00F339B2" w:rsidRDefault="0043261D" w:rsidP="00AE6F44">
            <w:pPr>
              <w:pStyle w:val="ChecklistXs"/>
            </w:pPr>
          </w:p>
        </w:tc>
        <w:tc>
          <w:tcPr>
            <w:tcW w:w="1170" w:type="dxa"/>
            <w:tcBorders>
              <w:top w:val="single" w:sz="6" w:space="0" w:color="auto"/>
              <w:left w:val="single" w:sz="6" w:space="0" w:color="auto"/>
              <w:right w:val="single" w:sz="6" w:space="0" w:color="auto"/>
            </w:tcBorders>
            <w:vAlign w:val="center"/>
          </w:tcPr>
          <w:p w14:paraId="4377467B" w14:textId="77777777" w:rsidR="0043261D" w:rsidRPr="00F339B2" w:rsidRDefault="0043261D" w:rsidP="00AE6F44">
            <w:pPr>
              <w:pStyle w:val="ChecklistXs"/>
            </w:pPr>
          </w:p>
        </w:tc>
        <w:tc>
          <w:tcPr>
            <w:tcW w:w="1170" w:type="dxa"/>
            <w:tcBorders>
              <w:top w:val="single" w:sz="6" w:space="0" w:color="auto"/>
              <w:left w:val="single" w:sz="6" w:space="0" w:color="auto"/>
              <w:right w:val="single" w:sz="6" w:space="0" w:color="auto"/>
            </w:tcBorders>
            <w:vAlign w:val="center"/>
          </w:tcPr>
          <w:p w14:paraId="51D7BBC4" w14:textId="77777777" w:rsidR="0043261D" w:rsidRPr="00F339B2" w:rsidRDefault="0043261D" w:rsidP="00AE6F44">
            <w:pPr>
              <w:pStyle w:val="ChecklistXs"/>
            </w:pPr>
          </w:p>
        </w:tc>
        <w:tc>
          <w:tcPr>
            <w:tcW w:w="1155" w:type="dxa"/>
            <w:tcBorders>
              <w:top w:val="single" w:sz="6" w:space="0" w:color="auto"/>
              <w:left w:val="single" w:sz="6" w:space="0" w:color="auto"/>
              <w:right w:val="nil"/>
            </w:tcBorders>
            <w:vAlign w:val="center"/>
          </w:tcPr>
          <w:p w14:paraId="5C4B3B4C" w14:textId="77777777" w:rsidR="0043261D" w:rsidRPr="00F339B2" w:rsidRDefault="00786B43" w:rsidP="00AE6F44">
            <w:pPr>
              <w:pStyle w:val="ChecklistXs"/>
            </w:pPr>
            <w:r>
              <w:t>X</w:t>
            </w:r>
          </w:p>
        </w:tc>
      </w:tr>
      <w:tr w:rsidR="0043261D" w14:paraId="40B5546B" w14:textId="77777777" w:rsidTr="00AE6F44">
        <w:trPr>
          <w:cantSplit/>
          <w:jc w:val="center"/>
        </w:trPr>
        <w:tc>
          <w:tcPr>
            <w:tcW w:w="4666" w:type="dxa"/>
            <w:tcBorders>
              <w:top w:val="single" w:sz="6" w:space="0" w:color="auto"/>
              <w:left w:val="nil"/>
              <w:right w:val="single" w:sz="6" w:space="0" w:color="auto"/>
            </w:tcBorders>
          </w:tcPr>
          <w:p w14:paraId="154C6A6A" w14:textId="77777777" w:rsidR="0043261D" w:rsidRDefault="0043261D" w:rsidP="00AE6F44">
            <w:pPr>
              <w:pStyle w:val="TblTxt1"/>
            </w:pPr>
            <w:r>
              <w:t>c)</w:t>
            </w:r>
            <w:r>
              <w:tab/>
              <w:t xml:space="preserve">In nonurbanized areas, substantially degrade the existing visual character or quality of public views of the site and its surroundings? </w:t>
            </w:r>
            <w:r w:rsidRPr="00276E3A">
              <w:t>(Public views are those that are experienced from publicly accessible vantage point). If the project is in an urbanized area, would the project conflict with applicable zoning and other regulations governing scenic quality?</w:t>
            </w:r>
          </w:p>
        </w:tc>
        <w:tc>
          <w:tcPr>
            <w:tcW w:w="1170" w:type="dxa"/>
            <w:tcBorders>
              <w:top w:val="single" w:sz="6" w:space="0" w:color="auto"/>
              <w:left w:val="single" w:sz="6" w:space="0" w:color="auto"/>
              <w:right w:val="single" w:sz="6" w:space="0" w:color="auto"/>
            </w:tcBorders>
            <w:vAlign w:val="center"/>
          </w:tcPr>
          <w:p w14:paraId="2F9B1FED" w14:textId="77777777" w:rsidR="0043261D" w:rsidRPr="00F339B2" w:rsidRDefault="0043261D" w:rsidP="00AE6F44">
            <w:pPr>
              <w:pStyle w:val="ChecklistXs"/>
            </w:pPr>
          </w:p>
        </w:tc>
        <w:tc>
          <w:tcPr>
            <w:tcW w:w="1170" w:type="dxa"/>
            <w:tcBorders>
              <w:top w:val="single" w:sz="6" w:space="0" w:color="auto"/>
              <w:left w:val="single" w:sz="6" w:space="0" w:color="auto"/>
              <w:right w:val="single" w:sz="6" w:space="0" w:color="auto"/>
            </w:tcBorders>
            <w:vAlign w:val="center"/>
          </w:tcPr>
          <w:p w14:paraId="6D24A282" w14:textId="77777777" w:rsidR="0043261D" w:rsidRPr="00F339B2" w:rsidRDefault="0043261D" w:rsidP="00AE6F44">
            <w:pPr>
              <w:pStyle w:val="ChecklistXs"/>
            </w:pPr>
          </w:p>
        </w:tc>
        <w:tc>
          <w:tcPr>
            <w:tcW w:w="1170" w:type="dxa"/>
            <w:tcBorders>
              <w:top w:val="single" w:sz="6" w:space="0" w:color="auto"/>
              <w:left w:val="single" w:sz="6" w:space="0" w:color="auto"/>
              <w:right w:val="single" w:sz="6" w:space="0" w:color="auto"/>
            </w:tcBorders>
            <w:vAlign w:val="center"/>
          </w:tcPr>
          <w:p w14:paraId="317B4625" w14:textId="77777777" w:rsidR="0043261D" w:rsidRPr="00F339B2" w:rsidRDefault="00786B43" w:rsidP="00AE6F44">
            <w:pPr>
              <w:pStyle w:val="ChecklistXs"/>
            </w:pPr>
            <w:r>
              <w:t>X</w:t>
            </w:r>
          </w:p>
        </w:tc>
        <w:tc>
          <w:tcPr>
            <w:tcW w:w="1155" w:type="dxa"/>
            <w:tcBorders>
              <w:top w:val="single" w:sz="6" w:space="0" w:color="auto"/>
              <w:left w:val="single" w:sz="6" w:space="0" w:color="auto"/>
              <w:right w:val="nil"/>
            </w:tcBorders>
            <w:vAlign w:val="center"/>
          </w:tcPr>
          <w:p w14:paraId="613EC917" w14:textId="77777777" w:rsidR="0043261D" w:rsidRPr="00F339B2" w:rsidRDefault="0043261D" w:rsidP="00AE6F44">
            <w:pPr>
              <w:pStyle w:val="ChecklistXs"/>
            </w:pPr>
          </w:p>
        </w:tc>
      </w:tr>
      <w:tr w:rsidR="0043261D" w14:paraId="02F6DCD9" w14:textId="77777777" w:rsidTr="00AE6F44">
        <w:trPr>
          <w:cantSplit/>
          <w:jc w:val="center"/>
        </w:trPr>
        <w:tc>
          <w:tcPr>
            <w:tcW w:w="4666" w:type="dxa"/>
            <w:tcBorders>
              <w:top w:val="single" w:sz="6" w:space="0" w:color="auto"/>
              <w:left w:val="nil"/>
              <w:bottom w:val="single" w:sz="12" w:space="0" w:color="auto"/>
              <w:right w:val="single" w:sz="6" w:space="0" w:color="auto"/>
            </w:tcBorders>
          </w:tcPr>
          <w:p w14:paraId="07745747" w14:textId="77777777" w:rsidR="0043261D" w:rsidRPr="007E52F7" w:rsidRDefault="0043261D" w:rsidP="00AE6F44">
            <w:pPr>
              <w:pStyle w:val="TblTxt1"/>
            </w:pPr>
            <w:r w:rsidRPr="007E52F7">
              <w:t>d)</w:t>
            </w:r>
            <w:r w:rsidRPr="007E52F7">
              <w:tab/>
              <w:t>Create a new source of substantial light or glare which would adversely affect day or nighttime views in the area?</w:t>
            </w:r>
          </w:p>
        </w:tc>
        <w:tc>
          <w:tcPr>
            <w:tcW w:w="1170" w:type="dxa"/>
            <w:tcBorders>
              <w:top w:val="single" w:sz="6" w:space="0" w:color="auto"/>
              <w:left w:val="single" w:sz="6" w:space="0" w:color="auto"/>
              <w:bottom w:val="single" w:sz="12" w:space="0" w:color="auto"/>
              <w:right w:val="single" w:sz="6" w:space="0" w:color="auto"/>
            </w:tcBorders>
            <w:vAlign w:val="center"/>
          </w:tcPr>
          <w:p w14:paraId="1545006F" w14:textId="77777777" w:rsidR="0043261D" w:rsidRPr="00F339B2" w:rsidRDefault="0043261D" w:rsidP="00AE6F44">
            <w:pPr>
              <w:pStyle w:val="ChecklistXs"/>
            </w:pPr>
          </w:p>
        </w:tc>
        <w:tc>
          <w:tcPr>
            <w:tcW w:w="1170" w:type="dxa"/>
            <w:tcBorders>
              <w:top w:val="single" w:sz="6" w:space="0" w:color="auto"/>
              <w:left w:val="single" w:sz="6" w:space="0" w:color="auto"/>
              <w:bottom w:val="single" w:sz="12" w:space="0" w:color="auto"/>
              <w:right w:val="single" w:sz="6" w:space="0" w:color="auto"/>
            </w:tcBorders>
            <w:vAlign w:val="center"/>
          </w:tcPr>
          <w:p w14:paraId="132E5A4C" w14:textId="77777777" w:rsidR="0043261D" w:rsidRPr="00F339B2" w:rsidRDefault="0043261D" w:rsidP="00AE6F44">
            <w:pPr>
              <w:pStyle w:val="ChecklistXs"/>
            </w:pPr>
          </w:p>
        </w:tc>
        <w:tc>
          <w:tcPr>
            <w:tcW w:w="1170" w:type="dxa"/>
            <w:tcBorders>
              <w:top w:val="single" w:sz="6" w:space="0" w:color="auto"/>
              <w:left w:val="single" w:sz="6" w:space="0" w:color="auto"/>
              <w:bottom w:val="single" w:sz="12" w:space="0" w:color="auto"/>
              <w:right w:val="single" w:sz="6" w:space="0" w:color="auto"/>
            </w:tcBorders>
            <w:vAlign w:val="center"/>
          </w:tcPr>
          <w:p w14:paraId="744AE362" w14:textId="77777777" w:rsidR="0043261D" w:rsidRPr="00F339B2" w:rsidRDefault="00786B43" w:rsidP="00AE6F44">
            <w:pPr>
              <w:pStyle w:val="ChecklistXs"/>
            </w:pPr>
            <w:r>
              <w:t>X</w:t>
            </w:r>
          </w:p>
        </w:tc>
        <w:tc>
          <w:tcPr>
            <w:tcW w:w="1155" w:type="dxa"/>
            <w:tcBorders>
              <w:top w:val="single" w:sz="6" w:space="0" w:color="auto"/>
              <w:left w:val="single" w:sz="6" w:space="0" w:color="auto"/>
              <w:bottom w:val="single" w:sz="12" w:space="0" w:color="auto"/>
              <w:right w:val="nil"/>
            </w:tcBorders>
            <w:vAlign w:val="center"/>
          </w:tcPr>
          <w:p w14:paraId="78021544" w14:textId="77777777" w:rsidR="0043261D" w:rsidRPr="00F339B2" w:rsidRDefault="0043261D" w:rsidP="00AE6F44">
            <w:pPr>
              <w:pStyle w:val="ChecklistXs"/>
            </w:pPr>
          </w:p>
        </w:tc>
      </w:tr>
      <w:tr w:rsidR="0043261D" w:rsidRPr="00A7449B" w14:paraId="6ADAE7F0" w14:textId="77777777" w:rsidTr="00AE6F44">
        <w:trPr>
          <w:cantSplit/>
          <w:jc w:val="center"/>
        </w:trPr>
        <w:tc>
          <w:tcPr>
            <w:tcW w:w="9331" w:type="dxa"/>
            <w:gridSpan w:val="5"/>
            <w:tcBorders>
              <w:top w:val="single" w:sz="12" w:space="0" w:color="auto"/>
              <w:left w:val="nil"/>
              <w:right w:val="nil"/>
            </w:tcBorders>
            <w:shd w:val="clear" w:color="auto" w:fill="E0E0E0"/>
          </w:tcPr>
          <w:p w14:paraId="53833025" w14:textId="77777777" w:rsidR="0043261D" w:rsidRPr="00B74932" w:rsidRDefault="0043261D" w:rsidP="00AE6F44">
            <w:pPr>
              <w:pStyle w:val="ChecklistSubhead"/>
              <w:rPr>
                <w:b w:val="0"/>
              </w:rPr>
            </w:pPr>
            <w:r w:rsidRPr="00B74932">
              <w:t xml:space="preserve">II. AGRICULTURE AND FORESTRY RESOURCES. </w:t>
            </w:r>
            <w:r w:rsidRPr="00C31B7D">
              <w:rPr>
                <w:sz w:val="18"/>
                <w:szCs w:val="18"/>
              </w:rPr>
              <w:t>I</w:t>
            </w:r>
            <w:r w:rsidRPr="00B74932">
              <w:rPr>
                <w:rStyle w:val="ChecklistSubText"/>
                <w:b/>
              </w:rPr>
              <w:t>n determining whether impacts to agricultural resources are significant environmental effects, lead agencies may refer to the California Agricultural Land Evaluation and Site Assessment Model (1997) prepared by the California Dept. of Conservation as an optional model to use in assessing impacts on agriculture and farmland. In determining whether impacts to forest resources, including timberland, are significant environmental effects, lead agencies may refer to information compiled by the California Department of Forestry and Fire Protection regarding the state’s inventory of forest land, including the Forest and Range Assessment Project and the Forest Legacy Assessment project; and forest carbon measurement methodology provided in Forest Protocols adopted by the California Air Resources Board. Would the project:</w:t>
            </w:r>
          </w:p>
        </w:tc>
      </w:tr>
      <w:tr w:rsidR="0043261D" w14:paraId="3143896C" w14:textId="77777777" w:rsidTr="00AE6F44">
        <w:trPr>
          <w:cantSplit/>
          <w:jc w:val="center"/>
        </w:trPr>
        <w:tc>
          <w:tcPr>
            <w:tcW w:w="4666" w:type="dxa"/>
            <w:tcBorders>
              <w:top w:val="single" w:sz="6" w:space="0" w:color="auto"/>
              <w:left w:val="nil"/>
              <w:right w:val="single" w:sz="6" w:space="0" w:color="auto"/>
            </w:tcBorders>
          </w:tcPr>
          <w:p w14:paraId="6B00D3A0" w14:textId="77777777" w:rsidR="0043261D" w:rsidRDefault="0043261D" w:rsidP="00AE6F44">
            <w:pPr>
              <w:pStyle w:val="TblTxt1"/>
            </w:pPr>
            <w:r>
              <w:t>a)</w:t>
            </w:r>
            <w:r>
              <w:tab/>
              <w:t>Convert Prime Farmland, Unique Farmland, or Farmland of Statewide Importance (Farmland), as shown on the maps prepared pursuant to the Farmland Mapping and Monitoring Program of the California Resources Agency, to non-agricultural use?</w:t>
            </w:r>
          </w:p>
        </w:tc>
        <w:tc>
          <w:tcPr>
            <w:tcW w:w="1170" w:type="dxa"/>
            <w:tcBorders>
              <w:top w:val="single" w:sz="6" w:space="0" w:color="auto"/>
              <w:left w:val="single" w:sz="6" w:space="0" w:color="auto"/>
              <w:right w:val="single" w:sz="6" w:space="0" w:color="auto"/>
            </w:tcBorders>
            <w:vAlign w:val="center"/>
          </w:tcPr>
          <w:p w14:paraId="19C3A1A1" w14:textId="77777777" w:rsidR="0043261D" w:rsidRPr="00F339B2" w:rsidRDefault="0043261D" w:rsidP="00AE6F44">
            <w:pPr>
              <w:pStyle w:val="ChecklistXs"/>
            </w:pPr>
          </w:p>
        </w:tc>
        <w:tc>
          <w:tcPr>
            <w:tcW w:w="1170" w:type="dxa"/>
            <w:tcBorders>
              <w:top w:val="single" w:sz="6" w:space="0" w:color="auto"/>
              <w:left w:val="single" w:sz="6" w:space="0" w:color="auto"/>
              <w:right w:val="single" w:sz="6" w:space="0" w:color="auto"/>
            </w:tcBorders>
            <w:vAlign w:val="center"/>
          </w:tcPr>
          <w:p w14:paraId="011C64C0" w14:textId="77777777" w:rsidR="0043261D" w:rsidRPr="00B74932" w:rsidRDefault="0043261D" w:rsidP="00AE6F44">
            <w:pPr>
              <w:pStyle w:val="ChecklistXs"/>
              <w:rPr>
                <w:b w:val="0"/>
              </w:rPr>
            </w:pPr>
          </w:p>
        </w:tc>
        <w:tc>
          <w:tcPr>
            <w:tcW w:w="1170" w:type="dxa"/>
            <w:tcBorders>
              <w:top w:val="single" w:sz="6" w:space="0" w:color="auto"/>
              <w:left w:val="single" w:sz="6" w:space="0" w:color="auto"/>
              <w:right w:val="single" w:sz="6" w:space="0" w:color="auto"/>
            </w:tcBorders>
            <w:vAlign w:val="center"/>
          </w:tcPr>
          <w:p w14:paraId="3951C343" w14:textId="77777777" w:rsidR="0043261D" w:rsidRPr="00F339B2" w:rsidRDefault="0043261D" w:rsidP="00AE6F44">
            <w:pPr>
              <w:pStyle w:val="ChecklistXs"/>
            </w:pPr>
          </w:p>
        </w:tc>
        <w:tc>
          <w:tcPr>
            <w:tcW w:w="1155" w:type="dxa"/>
            <w:tcBorders>
              <w:top w:val="single" w:sz="6" w:space="0" w:color="auto"/>
              <w:left w:val="single" w:sz="6" w:space="0" w:color="auto"/>
              <w:right w:val="nil"/>
            </w:tcBorders>
            <w:vAlign w:val="center"/>
          </w:tcPr>
          <w:p w14:paraId="10BCACF2" w14:textId="77777777" w:rsidR="0043261D" w:rsidRPr="00F339B2" w:rsidRDefault="003E5E05" w:rsidP="00AE6F44">
            <w:pPr>
              <w:pStyle w:val="ChecklistXs"/>
            </w:pPr>
            <w:r>
              <w:t>X</w:t>
            </w:r>
          </w:p>
        </w:tc>
      </w:tr>
      <w:tr w:rsidR="0043261D" w14:paraId="47AC7692" w14:textId="77777777" w:rsidTr="00AE6F44">
        <w:trPr>
          <w:cantSplit/>
          <w:jc w:val="center"/>
        </w:trPr>
        <w:tc>
          <w:tcPr>
            <w:tcW w:w="4666" w:type="dxa"/>
            <w:tcBorders>
              <w:top w:val="single" w:sz="6" w:space="0" w:color="auto"/>
              <w:left w:val="nil"/>
              <w:right w:val="single" w:sz="6" w:space="0" w:color="auto"/>
            </w:tcBorders>
          </w:tcPr>
          <w:p w14:paraId="06FBAEFB" w14:textId="77777777" w:rsidR="0043261D" w:rsidRDefault="0043261D" w:rsidP="00AE6F44">
            <w:pPr>
              <w:pStyle w:val="TblTxt1"/>
            </w:pPr>
            <w:r>
              <w:t>b)</w:t>
            </w:r>
            <w:r>
              <w:tab/>
              <w:t>Conflict with existing zoning for agricultural use, or a Williamson Act contract?</w:t>
            </w:r>
          </w:p>
        </w:tc>
        <w:tc>
          <w:tcPr>
            <w:tcW w:w="1170" w:type="dxa"/>
            <w:tcBorders>
              <w:top w:val="single" w:sz="6" w:space="0" w:color="auto"/>
              <w:left w:val="single" w:sz="6" w:space="0" w:color="auto"/>
              <w:right w:val="single" w:sz="6" w:space="0" w:color="auto"/>
            </w:tcBorders>
            <w:vAlign w:val="center"/>
          </w:tcPr>
          <w:p w14:paraId="00749640" w14:textId="77777777" w:rsidR="0043261D" w:rsidRPr="00F339B2" w:rsidRDefault="0043261D" w:rsidP="00AE6F44">
            <w:pPr>
              <w:pStyle w:val="ChecklistXs"/>
            </w:pPr>
          </w:p>
        </w:tc>
        <w:tc>
          <w:tcPr>
            <w:tcW w:w="1170" w:type="dxa"/>
            <w:tcBorders>
              <w:top w:val="single" w:sz="6" w:space="0" w:color="auto"/>
              <w:left w:val="single" w:sz="6" w:space="0" w:color="auto"/>
              <w:right w:val="single" w:sz="6" w:space="0" w:color="auto"/>
            </w:tcBorders>
            <w:vAlign w:val="center"/>
          </w:tcPr>
          <w:p w14:paraId="13B4B82B" w14:textId="77777777" w:rsidR="0043261D" w:rsidRPr="00F339B2" w:rsidRDefault="0043261D" w:rsidP="00AE6F44">
            <w:pPr>
              <w:pStyle w:val="ChecklistXs"/>
            </w:pPr>
          </w:p>
        </w:tc>
        <w:tc>
          <w:tcPr>
            <w:tcW w:w="1170" w:type="dxa"/>
            <w:tcBorders>
              <w:top w:val="single" w:sz="6" w:space="0" w:color="auto"/>
              <w:left w:val="single" w:sz="6" w:space="0" w:color="auto"/>
              <w:right w:val="single" w:sz="6" w:space="0" w:color="auto"/>
            </w:tcBorders>
            <w:vAlign w:val="center"/>
          </w:tcPr>
          <w:p w14:paraId="170A15D4" w14:textId="77777777" w:rsidR="0043261D" w:rsidRPr="00F339B2" w:rsidRDefault="0043261D" w:rsidP="00AE6F44">
            <w:pPr>
              <w:pStyle w:val="ChecklistXs"/>
            </w:pPr>
          </w:p>
        </w:tc>
        <w:tc>
          <w:tcPr>
            <w:tcW w:w="1155" w:type="dxa"/>
            <w:tcBorders>
              <w:top w:val="single" w:sz="6" w:space="0" w:color="auto"/>
              <w:left w:val="single" w:sz="6" w:space="0" w:color="auto"/>
              <w:right w:val="nil"/>
            </w:tcBorders>
            <w:vAlign w:val="center"/>
          </w:tcPr>
          <w:p w14:paraId="78F41A93" w14:textId="77777777" w:rsidR="0043261D" w:rsidRPr="00F339B2" w:rsidRDefault="003E5E05" w:rsidP="00AE6F44">
            <w:pPr>
              <w:pStyle w:val="ChecklistXs"/>
            </w:pPr>
            <w:r>
              <w:t>X</w:t>
            </w:r>
          </w:p>
        </w:tc>
      </w:tr>
      <w:tr w:rsidR="0043261D" w14:paraId="73D0D67C" w14:textId="77777777" w:rsidTr="00AE6F44">
        <w:trPr>
          <w:cantSplit/>
          <w:jc w:val="center"/>
        </w:trPr>
        <w:tc>
          <w:tcPr>
            <w:tcW w:w="4666" w:type="dxa"/>
            <w:tcBorders>
              <w:top w:val="single" w:sz="6" w:space="0" w:color="auto"/>
              <w:left w:val="nil"/>
              <w:bottom w:val="single" w:sz="6" w:space="0" w:color="auto"/>
              <w:right w:val="single" w:sz="6" w:space="0" w:color="auto"/>
            </w:tcBorders>
          </w:tcPr>
          <w:p w14:paraId="3E4D9655" w14:textId="77777777" w:rsidR="0043261D" w:rsidRDefault="0043261D" w:rsidP="00AE6F44">
            <w:pPr>
              <w:pStyle w:val="TblTxt1"/>
            </w:pPr>
            <w:r>
              <w:t>c)</w:t>
            </w:r>
            <w:r>
              <w:tab/>
              <w:t>Conflict with existing zoning for, or cause rezoning of, forest land (as defined in Public Resources Code Section 12220(g)), timberland (as defined by Public Resources Code Section 4526), or timberland zoned Timberland Production (as defined by Government Code Section 51104(g))?</w:t>
            </w:r>
          </w:p>
        </w:tc>
        <w:tc>
          <w:tcPr>
            <w:tcW w:w="1170" w:type="dxa"/>
            <w:tcBorders>
              <w:top w:val="single" w:sz="6" w:space="0" w:color="auto"/>
              <w:left w:val="single" w:sz="6" w:space="0" w:color="auto"/>
              <w:bottom w:val="single" w:sz="6" w:space="0" w:color="auto"/>
              <w:right w:val="single" w:sz="6" w:space="0" w:color="auto"/>
            </w:tcBorders>
            <w:vAlign w:val="center"/>
          </w:tcPr>
          <w:p w14:paraId="418D05CF" w14:textId="77777777" w:rsidR="0043261D" w:rsidRPr="00F339B2" w:rsidRDefault="0043261D" w:rsidP="00AE6F44">
            <w:pPr>
              <w:pStyle w:val="ChecklistXs"/>
            </w:pPr>
          </w:p>
        </w:tc>
        <w:tc>
          <w:tcPr>
            <w:tcW w:w="1170" w:type="dxa"/>
            <w:tcBorders>
              <w:top w:val="single" w:sz="6" w:space="0" w:color="auto"/>
              <w:left w:val="single" w:sz="6" w:space="0" w:color="auto"/>
              <w:bottom w:val="single" w:sz="6" w:space="0" w:color="auto"/>
              <w:right w:val="single" w:sz="6" w:space="0" w:color="auto"/>
            </w:tcBorders>
            <w:vAlign w:val="center"/>
          </w:tcPr>
          <w:p w14:paraId="5A24A240" w14:textId="77777777" w:rsidR="0043261D" w:rsidRPr="00F339B2" w:rsidRDefault="0043261D" w:rsidP="00AE6F44">
            <w:pPr>
              <w:pStyle w:val="ChecklistXs"/>
            </w:pPr>
          </w:p>
        </w:tc>
        <w:tc>
          <w:tcPr>
            <w:tcW w:w="1170" w:type="dxa"/>
            <w:tcBorders>
              <w:top w:val="single" w:sz="6" w:space="0" w:color="auto"/>
              <w:left w:val="single" w:sz="6" w:space="0" w:color="auto"/>
              <w:bottom w:val="single" w:sz="6" w:space="0" w:color="auto"/>
              <w:right w:val="single" w:sz="6" w:space="0" w:color="auto"/>
            </w:tcBorders>
            <w:vAlign w:val="center"/>
          </w:tcPr>
          <w:p w14:paraId="4A71591A" w14:textId="77777777" w:rsidR="0043261D" w:rsidRPr="00F339B2" w:rsidRDefault="0043261D" w:rsidP="00AE6F44">
            <w:pPr>
              <w:pStyle w:val="ChecklistXs"/>
            </w:pPr>
          </w:p>
        </w:tc>
        <w:tc>
          <w:tcPr>
            <w:tcW w:w="1155" w:type="dxa"/>
            <w:tcBorders>
              <w:top w:val="single" w:sz="6" w:space="0" w:color="auto"/>
              <w:left w:val="single" w:sz="6" w:space="0" w:color="auto"/>
              <w:bottom w:val="single" w:sz="6" w:space="0" w:color="auto"/>
              <w:right w:val="nil"/>
            </w:tcBorders>
            <w:vAlign w:val="center"/>
          </w:tcPr>
          <w:p w14:paraId="79740AD7" w14:textId="77777777" w:rsidR="0043261D" w:rsidRPr="00F339B2" w:rsidRDefault="003E5E05" w:rsidP="00AE6F44">
            <w:pPr>
              <w:pStyle w:val="ChecklistXs"/>
            </w:pPr>
            <w:r>
              <w:t>X</w:t>
            </w:r>
          </w:p>
        </w:tc>
      </w:tr>
      <w:tr w:rsidR="0043261D" w14:paraId="0D221975" w14:textId="77777777" w:rsidTr="00AE6F44">
        <w:trPr>
          <w:cantSplit/>
          <w:jc w:val="center"/>
        </w:trPr>
        <w:tc>
          <w:tcPr>
            <w:tcW w:w="4666" w:type="dxa"/>
            <w:tcBorders>
              <w:top w:val="single" w:sz="6" w:space="0" w:color="auto"/>
              <w:left w:val="nil"/>
              <w:bottom w:val="single" w:sz="6" w:space="0" w:color="auto"/>
              <w:right w:val="single" w:sz="6" w:space="0" w:color="auto"/>
            </w:tcBorders>
          </w:tcPr>
          <w:p w14:paraId="2DC140F8" w14:textId="77777777" w:rsidR="0043261D" w:rsidRPr="004D6B3E" w:rsidRDefault="0043261D" w:rsidP="00AE6F44">
            <w:pPr>
              <w:pStyle w:val="TblTxt1"/>
            </w:pPr>
            <w:r w:rsidRPr="004D6B3E">
              <w:t>d)</w:t>
            </w:r>
            <w:r w:rsidRPr="004D6B3E">
              <w:tab/>
              <w:t>Result in the loss of forest land or conversion of forest land to non-forest use?</w:t>
            </w:r>
          </w:p>
        </w:tc>
        <w:tc>
          <w:tcPr>
            <w:tcW w:w="1170" w:type="dxa"/>
            <w:tcBorders>
              <w:top w:val="single" w:sz="6" w:space="0" w:color="auto"/>
              <w:left w:val="single" w:sz="6" w:space="0" w:color="auto"/>
              <w:bottom w:val="single" w:sz="6" w:space="0" w:color="auto"/>
              <w:right w:val="single" w:sz="6" w:space="0" w:color="auto"/>
            </w:tcBorders>
            <w:vAlign w:val="center"/>
          </w:tcPr>
          <w:p w14:paraId="69E62F8D" w14:textId="77777777" w:rsidR="0043261D" w:rsidRPr="00F339B2" w:rsidRDefault="0043261D" w:rsidP="00AE6F44">
            <w:pPr>
              <w:pStyle w:val="ChecklistXs"/>
            </w:pPr>
          </w:p>
        </w:tc>
        <w:tc>
          <w:tcPr>
            <w:tcW w:w="1170" w:type="dxa"/>
            <w:tcBorders>
              <w:top w:val="single" w:sz="6" w:space="0" w:color="auto"/>
              <w:left w:val="single" w:sz="6" w:space="0" w:color="auto"/>
              <w:bottom w:val="single" w:sz="6" w:space="0" w:color="auto"/>
              <w:right w:val="single" w:sz="6" w:space="0" w:color="auto"/>
            </w:tcBorders>
            <w:vAlign w:val="center"/>
          </w:tcPr>
          <w:p w14:paraId="3EBB1CAC" w14:textId="77777777" w:rsidR="0043261D" w:rsidRPr="00F339B2" w:rsidRDefault="0043261D" w:rsidP="00AE6F44">
            <w:pPr>
              <w:pStyle w:val="ChecklistXs"/>
            </w:pPr>
          </w:p>
        </w:tc>
        <w:tc>
          <w:tcPr>
            <w:tcW w:w="1170" w:type="dxa"/>
            <w:tcBorders>
              <w:top w:val="single" w:sz="6" w:space="0" w:color="auto"/>
              <w:left w:val="single" w:sz="6" w:space="0" w:color="auto"/>
              <w:bottom w:val="single" w:sz="6" w:space="0" w:color="auto"/>
              <w:right w:val="single" w:sz="6" w:space="0" w:color="auto"/>
            </w:tcBorders>
            <w:vAlign w:val="center"/>
          </w:tcPr>
          <w:p w14:paraId="2B47D444" w14:textId="77777777" w:rsidR="0043261D" w:rsidRPr="00F339B2" w:rsidRDefault="0043261D" w:rsidP="00AE6F44">
            <w:pPr>
              <w:pStyle w:val="ChecklistXs"/>
            </w:pPr>
          </w:p>
        </w:tc>
        <w:tc>
          <w:tcPr>
            <w:tcW w:w="1155" w:type="dxa"/>
            <w:tcBorders>
              <w:top w:val="single" w:sz="6" w:space="0" w:color="auto"/>
              <w:left w:val="single" w:sz="6" w:space="0" w:color="auto"/>
              <w:bottom w:val="single" w:sz="6" w:space="0" w:color="auto"/>
              <w:right w:val="nil"/>
            </w:tcBorders>
            <w:vAlign w:val="center"/>
          </w:tcPr>
          <w:p w14:paraId="7DA7101D" w14:textId="77777777" w:rsidR="0043261D" w:rsidRPr="00F339B2" w:rsidRDefault="003E5E05" w:rsidP="00AE6F44">
            <w:pPr>
              <w:pStyle w:val="ChecklistXs"/>
            </w:pPr>
            <w:r>
              <w:t>X</w:t>
            </w:r>
          </w:p>
        </w:tc>
      </w:tr>
      <w:tr w:rsidR="0043261D" w14:paraId="35E95682" w14:textId="77777777" w:rsidTr="00AE6F44">
        <w:trPr>
          <w:cantSplit/>
          <w:jc w:val="center"/>
        </w:trPr>
        <w:tc>
          <w:tcPr>
            <w:tcW w:w="4666" w:type="dxa"/>
            <w:tcBorders>
              <w:top w:val="single" w:sz="6" w:space="0" w:color="auto"/>
              <w:left w:val="nil"/>
              <w:bottom w:val="single" w:sz="12" w:space="0" w:color="auto"/>
              <w:right w:val="single" w:sz="6" w:space="0" w:color="auto"/>
            </w:tcBorders>
          </w:tcPr>
          <w:p w14:paraId="703746C9" w14:textId="77777777" w:rsidR="0043261D" w:rsidRPr="004D6B3E" w:rsidRDefault="0043261D" w:rsidP="00AE6F44">
            <w:pPr>
              <w:pStyle w:val="TblTxt1"/>
            </w:pPr>
            <w:r w:rsidRPr="004D6B3E">
              <w:t>e)</w:t>
            </w:r>
            <w:r w:rsidRPr="004D6B3E">
              <w:tab/>
              <w:t>Involve other changes in the existing environment which, due to their location or nature, could result in conversion of Farmland, to non-agricultural use or conversion of forest land to non-forest use?</w:t>
            </w:r>
          </w:p>
        </w:tc>
        <w:tc>
          <w:tcPr>
            <w:tcW w:w="1170" w:type="dxa"/>
            <w:tcBorders>
              <w:top w:val="single" w:sz="6" w:space="0" w:color="auto"/>
              <w:left w:val="single" w:sz="6" w:space="0" w:color="auto"/>
              <w:bottom w:val="single" w:sz="12" w:space="0" w:color="auto"/>
              <w:right w:val="single" w:sz="6" w:space="0" w:color="auto"/>
            </w:tcBorders>
            <w:vAlign w:val="center"/>
          </w:tcPr>
          <w:p w14:paraId="13A39072" w14:textId="77777777" w:rsidR="0043261D" w:rsidRPr="00F339B2" w:rsidRDefault="0043261D" w:rsidP="00AE6F44">
            <w:pPr>
              <w:pStyle w:val="ChecklistXs"/>
            </w:pPr>
          </w:p>
        </w:tc>
        <w:tc>
          <w:tcPr>
            <w:tcW w:w="1170" w:type="dxa"/>
            <w:tcBorders>
              <w:top w:val="single" w:sz="6" w:space="0" w:color="auto"/>
              <w:left w:val="single" w:sz="6" w:space="0" w:color="auto"/>
              <w:bottom w:val="single" w:sz="12" w:space="0" w:color="auto"/>
              <w:right w:val="single" w:sz="6" w:space="0" w:color="auto"/>
            </w:tcBorders>
            <w:vAlign w:val="center"/>
          </w:tcPr>
          <w:p w14:paraId="04E92FF9" w14:textId="77777777" w:rsidR="0043261D" w:rsidRPr="00F339B2" w:rsidRDefault="0043261D" w:rsidP="00AE6F44">
            <w:pPr>
              <w:pStyle w:val="ChecklistXs"/>
            </w:pPr>
          </w:p>
        </w:tc>
        <w:tc>
          <w:tcPr>
            <w:tcW w:w="1170" w:type="dxa"/>
            <w:tcBorders>
              <w:top w:val="single" w:sz="6" w:space="0" w:color="auto"/>
              <w:left w:val="single" w:sz="6" w:space="0" w:color="auto"/>
              <w:bottom w:val="single" w:sz="12" w:space="0" w:color="auto"/>
              <w:right w:val="single" w:sz="6" w:space="0" w:color="auto"/>
            </w:tcBorders>
            <w:vAlign w:val="center"/>
          </w:tcPr>
          <w:p w14:paraId="00E20CAC" w14:textId="77777777" w:rsidR="0043261D" w:rsidRPr="00F339B2" w:rsidRDefault="0043261D" w:rsidP="00AE6F44">
            <w:pPr>
              <w:pStyle w:val="ChecklistXs"/>
            </w:pPr>
          </w:p>
        </w:tc>
        <w:tc>
          <w:tcPr>
            <w:tcW w:w="1155" w:type="dxa"/>
            <w:tcBorders>
              <w:top w:val="single" w:sz="6" w:space="0" w:color="auto"/>
              <w:left w:val="single" w:sz="6" w:space="0" w:color="auto"/>
              <w:bottom w:val="single" w:sz="12" w:space="0" w:color="auto"/>
              <w:right w:val="nil"/>
            </w:tcBorders>
            <w:vAlign w:val="center"/>
          </w:tcPr>
          <w:p w14:paraId="7B0CD236" w14:textId="77777777" w:rsidR="0043261D" w:rsidRPr="00F339B2" w:rsidRDefault="003E5E05" w:rsidP="00AE6F44">
            <w:pPr>
              <w:pStyle w:val="ChecklistXs"/>
            </w:pPr>
            <w:r>
              <w:t>X</w:t>
            </w:r>
          </w:p>
        </w:tc>
      </w:tr>
      <w:tr w:rsidR="0043261D" w14:paraId="032A9B5B" w14:textId="77777777" w:rsidTr="00AE6F44">
        <w:trPr>
          <w:cantSplit/>
          <w:jc w:val="center"/>
        </w:trPr>
        <w:tc>
          <w:tcPr>
            <w:tcW w:w="9331" w:type="dxa"/>
            <w:gridSpan w:val="5"/>
            <w:tcBorders>
              <w:top w:val="single" w:sz="12" w:space="0" w:color="auto"/>
              <w:left w:val="nil"/>
              <w:right w:val="nil"/>
            </w:tcBorders>
            <w:shd w:val="clear" w:color="auto" w:fill="E0E0E0"/>
          </w:tcPr>
          <w:p w14:paraId="53A88607" w14:textId="77777777" w:rsidR="0043261D" w:rsidRPr="00A7449B" w:rsidRDefault="0043261D" w:rsidP="00AE6F44">
            <w:pPr>
              <w:pStyle w:val="ChecklistSubhead"/>
            </w:pPr>
            <w:r w:rsidRPr="00A7449B">
              <w:t>III</w:t>
            </w:r>
            <w:r>
              <w:t xml:space="preserve">. </w:t>
            </w:r>
            <w:r w:rsidRPr="00A7449B">
              <w:t xml:space="preserve">AIR QUALITY. </w:t>
            </w:r>
            <w:r w:rsidRPr="00B74932">
              <w:rPr>
                <w:rStyle w:val="ChecklistSubText"/>
                <w:b/>
              </w:rPr>
              <w:t xml:space="preserve">Where available, the significance criteria established by the applicable air quality management </w:t>
            </w:r>
            <w:r>
              <w:rPr>
                <w:rStyle w:val="ChecklistSubText"/>
                <w:b/>
              </w:rPr>
              <w:t xml:space="preserve">district </w:t>
            </w:r>
            <w:r w:rsidRPr="00B74932">
              <w:rPr>
                <w:rStyle w:val="ChecklistSubText"/>
                <w:b/>
              </w:rPr>
              <w:t>or air pollution control district may be relied upon to make the following determinations. Would the project:</w:t>
            </w:r>
          </w:p>
        </w:tc>
      </w:tr>
      <w:tr w:rsidR="0043261D" w14:paraId="6D83226D" w14:textId="77777777" w:rsidTr="00AE6F44">
        <w:trPr>
          <w:cantSplit/>
          <w:jc w:val="center"/>
        </w:trPr>
        <w:tc>
          <w:tcPr>
            <w:tcW w:w="4666" w:type="dxa"/>
            <w:tcBorders>
              <w:top w:val="single" w:sz="6" w:space="0" w:color="auto"/>
              <w:left w:val="nil"/>
              <w:right w:val="single" w:sz="6" w:space="0" w:color="auto"/>
            </w:tcBorders>
          </w:tcPr>
          <w:p w14:paraId="14969940" w14:textId="77777777" w:rsidR="0043261D" w:rsidRDefault="0043261D" w:rsidP="00AE6F44">
            <w:pPr>
              <w:pStyle w:val="TblTxt1"/>
            </w:pPr>
            <w:r>
              <w:t>a)</w:t>
            </w:r>
            <w:r>
              <w:tab/>
              <w:t>Conflict with or obstruct implementation of the applicable air quality plan?</w:t>
            </w:r>
          </w:p>
        </w:tc>
        <w:tc>
          <w:tcPr>
            <w:tcW w:w="1170" w:type="dxa"/>
            <w:tcBorders>
              <w:top w:val="single" w:sz="6" w:space="0" w:color="auto"/>
              <w:left w:val="single" w:sz="6" w:space="0" w:color="auto"/>
              <w:right w:val="single" w:sz="6" w:space="0" w:color="auto"/>
            </w:tcBorders>
            <w:vAlign w:val="center"/>
          </w:tcPr>
          <w:p w14:paraId="7081DFA7" w14:textId="77777777" w:rsidR="0043261D" w:rsidRPr="00B74932" w:rsidRDefault="0043261D" w:rsidP="00AE6F44">
            <w:pPr>
              <w:pStyle w:val="ChecklistXs"/>
            </w:pPr>
          </w:p>
        </w:tc>
        <w:tc>
          <w:tcPr>
            <w:tcW w:w="1170" w:type="dxa"/>
            <w:tcBorders>
              <w:top w:val="single" w:sz="6" w:space="0" w:color="auto"/>
              <w:left w:val="single" w:sz="6" w:space="0" w:color="auto"/>
              <w:right w:val="single" w:sz="6" w:space="0" w:color="auto"/>
            </w:tcBorders>
            <w:vAlign w:val="center"/>
          </w:tcPr>
          <w:p w14:paraId="416DEB60" w14:textId="77777777" w:rsidR="0043261D" w:rsidRPr="00B74932" w:rsidRDefault="0043261D" w:rsidP="00AE6F44">
            <w:pPr>
              <w:pStyle w:val="ChecklistXs"/>
            </w:pPr>
          </w:p>
        </w:tc>
        <w:tc>
          <w:tcPr>
            <w:tcW w:w="1170" w:type="dxa"/>
            <w:tcBorders>
              <w:top w:val="single" w:sz="6" w:space="0" w:color="auto"/>
              <w:left w:val="single" w:sz="6" w:space="0" w:color="auto"/>
              <w:right w:val="single" w:sz="6" w:space="0" w:color="auto"/>
            </w:tcBorders>
            <w:vAlign w:val="center"/>
          </w:tcPr>
          <w:p w14:paraId="30EB9652" w14:textId="77777777" w:rsidR="0043261D" w:rsidRPr="00B74932" w:rsidRDefault="00816F17" w:rsidP="00AE6F44">
            <w:pPr>
              <w:pStyle w:val="ChecklistXs"/>
            </w:pPr>
            <w:r>
              <w:t>X</w:t>
            </w:r>
          </w:p>
        </w:tc>
        <w:tc>
          <w:tcPr>
            <w:tcW w:w="1155" w:type="dxa"/>
            <w:tcBorders>
              <w:top w:val="single" w:sz="6" w:space="0" w:color="auto"/>
              <w:left w:val="single" w:sz="6" w:space="0" w:color="auto"/>
              <w:right w:val="nil"/>
            </w:tcBorders>
            <w:vAlign w:val="center"/>
          </w:tcPr>
          <w:p w14:paraId="58F29676" w14:textId="77777777" w:rsidR="0043261D" w:rsidRPr="00B74932" w:rsidRDefault="0043261D" w:rsidP="00AE6F44">
            <w:pPr>
              <w:pStyle w:val="ChecklistXs"/>
            </w:pPr>
          </w:p>
        </w:tc>
      </w:tr>
      <w:tr w:rsidR="0043261D" w14:paraId="4BA54D00" w14:textId="77777777" w:rsidTr="00AE6F44">
        <w:trPr>
          <w:cantSplit/>
          <w:jc w:val="center"/>
        </w:trPr>
        <w:tc>
          <w:tcPr>
            <w:tcW w:w="4666" w:type="dxa"/>
            <w:tcBorders>
              <w:top w:val="single" w:sz="6" w:space="0" w:color="auto"/>
              <w:left w:val="nil"/>
              <w:right w:val="single" w:sz="6" w:space="0" w:color="auto"/>
            </w:tcBorders>
          </w:tcPr>
          <w:p w14:paraId="5ACCAF93" w14:textId="77777777" w:rsidR="0043261D" w:rsidRDefault="0043261D" w:rsidP="00AE6F44">
            <w:pPr>
              <w:pStyle w:val="TblTxt1"/>
            </w:pPr>
            <w:r>
              <w:t>b)</w:t>
            </w:r>
            <w:r>
              <w:tab/>
              <w:t>Result in a cumulatively considerable net increase of any criteria pollutant for which the project region is non-attainment under an applicable federal or state ambient air quality standard?</w:t>
            </w:r>
          </w:p>
        </w:tc>
        <w:tc>
          <w:tcPr>
            <w:tcW w:w="1170" w:type="dxa"/>
            <w:tcBorders>
              <w:top w:val="single" w:sz="6" w:space="0" w:color="auto"/>
              <w:left w:val="single" w:sz="6" w:space="0" w:color="auto"/>
              <w:right w:val="single" w:sz="6" w:space="0" w:color="auto"/>
            </w:tcBorders>
            <w:vAlign w:val="center"/>
          </w:tcPr>
          <w:p w14:paraId="79787D87" w14:textId="77777777" w:rsidR="0043261D" w:rsidRPr="00B74932" w:rsidRDefault="0043261D" w:rsidP="00AE6F44">
            <w:pPr>
              <w:pStyle w:val="ChecklistXs"/>
            </w:pPr>
          </w:p>
        </w:tc>
        <w:tc>
          <w:tcPr>
            <w:tcW w:w="1170" w:type="dxa"/>
            <w:tcBorders>
              <w:top w:val="single" w:sz="6" w:space="0" w:color="auto"/>
              <w:left w:val="single" w:sz="6" w:space="0" w:color="auto"/>
              <w:right w:val="single" w:sz="6" w:space="0" w:color="auto"/>
            </w:tcBorders>
            <w:vAlign w:val="center"/>
          </w:tcPr>
          <w:p w14:paraId="1E74B029" w14:textId="77777777" w:rsidR="0043261D" w:rsidRPr="00B74932" w:rsidRDefault="0043261D" w:rsidP="00AE6F44">
            <w:pPr>
              <w:pStyle w:val="ChecklistXs"/>
            </w:pPr>
          </w:p>
        </w:tc>
        <w:tc>
          <w:tcPr>
            <w:tcW w:w="1170" w:type="dxa"/>
            <w:tcBorders>
              <w:top w:val="single" w:sz="6" w:space="0" w:color="auto"/>
              <w:left w:val="single" w:sz="6" w:space="0" w:color="auto"/>
              <w:right w:val="single" w:sz="6" w:space="0" w:color="auto"/>
            </w:tcBorders>
            <w:vAlign w:val="center"/>
          </w:tcPr>
          <w:p w14:paraId="7D96E224" w14:textId="77777777" w:rsidR="0043261D" w:rsidRPr="00B74932" w:rsidRDefault="00816F17" w:rsidP="00AE6F44">
            <w:pPr>
              <w:pStyle w:val="ChecklistXs"/>
            </w:pPr>
            <w:r>
              <w:t>X</w:t>
            </w:r>
          </w:p>
        </w:tc>
        <w:tc>
          <w:tcPr>
            <w:tcW w:w="1155" w:type="dxa"/>
            <w:tcBorders>
              <w:top w:val="single" w:sz="6" w:space="0" w:color="auto"/>
              <w:left w:val="single" w:sz="6" w:space="0" w:color="auto"/>
              <w:right w:val="nil"/>
            </w:tcBorders>
            <w:vAlign w:val="center"/>
          </w:tcPr>
          <w:p w14:paraId="206E89B3" w14:textId="77777777" w:rsidR="0043261D" w:rsidRPr="00B74932" w:rsidRDefault="0043261D" w:rsidP="00AE6F44">
            <w:pPr>
              <w:pStyle w:val="ChecklistXs"/>
            </w:pPr>
          </w:p>
        </w:tc>
      </w:tr>
      <w:tr w:rsidR="0043261D" w14:paraId="7FF71ACD" w14:textId="77777777" w:rsidTr="00AE6F44">
        <w:trPr>
          <w:cantSplit/>
          <w:jc w:val="center"/>
        </w:trPr>
        <w:tc>
          <w:tcPr>
            <w:tcW w:w="4666" w:type="dxa"/>
            <w:tcBorders>
              <w:top w:val="single" w:sz="6" w:space="0" w:color="auto"/>
              <w:left w:val="nil"/>
              <w:right w:val="single" w:sz="6" w:space="0" w:color="auto"/>
            </w:tcBorders>
          </w:tcPr>
          <w:p w14:paraId="1F87E2F3" w14:textId="77777777" w:rsidR="0043261D" w:rsidRDefault="0043261D" w:rsidP="00AE6F44">
            <w:pPr>
              <w:pStyle w:val="TblTxt1"/>
            </w:pPr>
            <w:r>
              <w:t>c)</w:t>
            </w:r>
            <w:r>
              <w:tab/>
              <w:t>Expose sensitive receptors to substantial pollutant concentrations?</w:t>
            </w:r>
          </w:p>
        </w:tc>
        <w:tc>
          <w:tcPr>
            <w:tcW w:w="1170" w:type="dxa"/>
            <w:tcBorders>
              <w:top w:val="single" w:sz="6" w:space="0" w:color="auto"/>
              <w:left w:val="single" w:sz="6" w:space="0" w:color="auto"/>
              <w:right w:val="single" w:sz="6" w:space="0" w:color="auto"/>
            </w:tcBorders>
            <w:vAlign w:val="center"/>
          </w:tcPr>
          <w:p w14:paraId="3B1A57F9" w14:textId="77777777" w:rsidR="0043261D" w:rsidRPr="00B74932" w:rsidRDefault="0043261D" w:rsidP="00AE6F44">
            <w:pPr>
              <w:pStyle w:val="ChecklistXs"/>
            </w:pPr>
          </w:p>
        </w:tc>
        <w:tc>
          <w:tcPr>
            <w:tcW w:w="1170" w:type="dxa"/>
            <w:tcBorders>
              <w:top w:val="single" w:sz="6" w:space="0" w:color="auto"/>
              <w:left w:val="single" w:sz="6" w:space="0" w:color="auto"/>
              <w:right w:val="single" w:sz="6" w:space="0" w:color="auto"/>
            </w:tcBorders>
            <w:vAlign w:val="center"/>
          </w:tcPr>
          <w:p w14:paraId="7CADC12C" w14:textId="77777777" w:rsidR="0043261D" w:rsidRPr="00B74932" w:rsidRDefault="0043261D" w:rsidP="00AE6F44">
            <w:pPr>
              <w:pStyle w:val="ChecklistXs"/>
            </w:pPr>
          </w:p>
        </w:tc>
        <w:tc>
          <w:tcPr>
            <w:tcW w:w="1170" w:type="dxa"/>
            <w:tcBorders>
              <w:top w:val="single" w:sz="6" w:space="0" w:color="auto"/>
              <w:left w:val="single" w:sz="6" w:space="0" w:color="auto"/>
              <w:right w:val="single" w:sz="6" w:space="0" w:color="auto"/>
            </w:tcBorders>
            <w:vAlign w:val="center"/>
          </w:tcPr>
          <w:p w14:paraId="30D8AD65" w14:textId="77777777" w:rsidR="0043261D" w:rsidRPr="00B74932" w:rsidRDefault="00816F17" w:rsidP="00AE6F44">
            <w:pPr>
              <w:pStyle w:val="ChecklistXs"/>
            </w:pPr>
            <w:r>
              <w:t>X</w:t>
            </w:r>
          </w:p>
        </w:tc>
        <w:tc>
          <w:tcPr>
            <w:tcW w:w="1155" w:type="dxa"/>
            <w:tcBorders>
              <w:top w:val="single" w:sz="6" w:space="0" w:color="auto"/>
              <w:left w:val="single" w:sz="6" w:space="0" w:color="auto"/>
              <w:right w:val="nil"/>
            </w:tcBorders>
            <w:vAlign w:val="center"/>
          </w:tcPr>
          <w:p w14:paraId="0380D1A3" w14:textId="77777777" w:rsidR="0043261D" w:rsidRPr="00B74932" w:rsidRDefault="0043261D" w:rsidP="00AE6F44">
            <w:pPr>
              <w:pStyle w:val="ChecklistXs"/>
            </w:pPr>
          </w:p>
        </w:tc>
      </w:tr>
      <w:tr w:rsidR="0043261D" w14:paraId="38D860EE" w14:textId="77777777" w:rsidTr="00AE6F44">
        <w:trPr>
          <w:cantSplit/>
          <w:jc w:val="center"/>
        </w:trPr>
        <w:tc>
          <w:tcPr>
            <w:tcW w:w="4666" w:type="dxa"/>
            <w:tcBorders>
              <w:top w:val="single" w:sz="6" w:space="0" w:color="auto"/>
              <w:left w:val="nil"/>
              <w:bottom w:val="single" w:sz="12" w:space="0" w:color="auto"/>
              <w:right w:val="single" w:sz="6" w:space="0" w:color="auto"/>
            </w:tcBorders>
          </w:tcPr>
          <w:p w14:paraId="45CC1A57" w14:textId="77777777" w:rsidR="0043261D" w:rsidRDefault="0043261D" w:rsidP="00AE6F44">
            <w:pPr>
              <w:pStyle w:val="TblTxt1"/>
            </w:pPr>
            <w:r>
              <w:t>d)</w:t>
            </w:r>
            <w:r>
              <w:tab/>
              <w:t>Result in other emissions (such as those leading to odors) adversely affecting a substantial number of people?</w:t>
            </w:r>
          </w:p>
        </w:tc>
        <w:tc>
          <w:tcPr>
            <w:tcW w:w="1170" w:type="dxa"/>
            <w:tcBorders>
              <w:top w:val="single" w:sz="6" w:space="0" w:color="auto"/>
              <w:left w:val="single" w:sz="6" w:space="0" w:color="auto"/>
              <w:bottom w:val="single" w:sz="12" w:space="0" w:color="auto"/>
              <w:right w:val="single" w:sz="6" w:space="0" w:color="auto"/>
            </w:tcBorders>
            <w:vAlign w:val="center"/>
          </w:tcPr>
          <w:p w14:paraId="421B5CCA" w14:textId="77777777" w:rsidR="0043261D" w:rsidRPr="00B74932" w:rsidRDefault="0043261D" w:rsidP="00AE6F44">
            <w:pPr>
              <w:pStyle w:val="ChecklistXs"/>
            </w:pPr>
          </w:p>
        </w:tc>
        <w:tc>
          <w:tcPr>
            <w:tcW w:w="1170" w:type="dxa"/>
            <w:tcBorders>
              <w:top w:val="single" w:sz="6" w:space="0" w:color="auto"/>
              <w:left w:val="single" w:sz="6" w:space="0" w:color="auto"/>
              <w:bottom w:val="single" w:sz="12" w:space="0" w:color="auto"/>
              <w:right w:val="single" w:sz="6" w:space="0" w:color="auto"/>
            </w:tcBorders>
            <w:vAlign w:val="center"/>
          </w:tcPr>
          <w:p w14:paraId="2EC37B6A" w14:textId="77777777" w:rsidR="0043261D" w:rsidRPr="00B74932" w:rsidRDefault="00816F17" w:rsidP="00AE6F44">
            <w:pPr>
              <w:pStyle w:val="ChecklistXs"/>
            </w:pPr>
            <w:r>
              <w:t>X</w:t>
            </w:r>
          </w:p>
        </w:tc>
        <w:tc>
          <w:tcPr>
            <w:tcW w:w="1170" w:type="dxa"/>
            <w:tcBorders>
              <w:top w:val="single" w:sz="6" w:space="0" w:color="auto"/>
              <w:left w:val="single" w:sz="6" w:space="0" w:color="auto"/>
              <w:bottom w:val="single" w:sz="12" w:space="0" w:color="auto"/>
              <w:right w:val="single" w:sz="6" w:space="0" w:color="auto"/>
            </w:tcBorders>
            <w:vAlign w:val="center"/>
          </w:tcPr>
          <w:p w14:paraId="1C6256AB" w14:textId="77777777" w:rsidR="0043261D" w:rsidRPr="00B74932" w:rsidRDefault="0043261D" w:rsidP="00AE6F44">
            <w:pPr>
              <w:pStyle w:val="ChecklistXs"/>
            </w:pPr>
          </w:p>
        </w:tc>
        <w:tc>
          <w:tcPr>
            <w:tcW w:w="1155" w:type="dxa"/>
            <w:tcBorders>
              <w:top w:val="single" w:sz="6" w:space="0" w:color="auto"/>
              <w:left w:val="single" w:sz="6" w:space="0" w:color="auto"/>
              <w:bottom w:val="single" w:sz="12" w:space="0" w:color="auto"/>
              <w:right w:val="nil"/>
            </w:tcBorders>
            <w:vAlign w:val="center"/>
          </w:tcPr>
          <w:p w14:paraId="03A3AAB4" w14:textId="77777777" w:rsidR="0043261D" w:rsidRPr="00B74932" w:rsidRDefault="0043261D" w:rsidP="00AE6F44">
            <w:pPr>
              <w:pStyle w:val="ChecklistXs"/>
            </w:pPr>
          </w:p>
        </w:tc>
      </w:tr>
      <w:tr w:rsidR="0043261D" w14:paraId="30168F84" w14:textId="77777777" w:rsidTr="00AE6F44">
        <w:trPr>
          <w:cantSplit/>
          <w:jc w:val="center"/>
        </w:trPr>
        <w:tc>
          <w:tcPr>
            <w:tcW w:w="9331" w:type="dxa"/>
            <w:gridSpan w:val="5"/>
            <w:tcBorders>
              <w:top w:val="single" w:sz="12" w:space="0" w:color="auto"/>
              <w:left w:val="nil"/>
              <w:right w:val="nil"/>
            </w:tcBorders>
            <w:shd w:val="clear" w:color="auto" w:fill="E0E0E0"/>
          </w:tcPr>
          <w:p w14:paraId="600B6460" w14:textId="77777777" w:rsidR="0043261D" w:rsidRDefault="0043261D" w:rsidP="00AE6F44">
            <w:pPr>
              <w:pStyle w:val="ChecklistSubhead"/>
            </w:pPr>
            <w:r w:rsidRPr="00A7449B">
              <w:t>IV</w:t>
            </w:r>
            <w:r>
              <w:t xml:space="preserve">. </w:t>
            </w:r>
            <w:r w:rsidRPr="00A7449B">
              <w:t xml:space="preserve">BIOLOGICAL RESOURCES. </w:t>
            </w:r>
            <w:r w:rsidRPr="00B74932">
              <w:rPr>
                <w:rStyle w:val="ChecklistSubText"/>
                <w:b/>
              </w:rPr>
              <w:t>Would the project:</w:t>
            </w:r>
          </w:p>
        </w:tc>
      </w:tr>
      <w:tr w:rsidR="00E5618D" w14:paraId="08AF27DA" w14:textId="77777777" w:rsidTr="00AE6F44">
        <w:trPr>
          <w:cantSplit/>
          <w:jc w:val="center"/>
        </w:trPr>
        <w:tc>
          <w:tcPr>
            <w:tcW w:w="4666" w:type="dxa"/>
            <w:tcBorders>
              <w:top w:val="single" w:sz="6" w:space="0" w:color="auto"/>
              <w:left w:val="nil"/>
              <w:right w:val="single" w:sz="6" w:space="0" w:color="auto"/>
            </w:tcBorders>
          </w:tcPr>
          <w:p w14:paraId="6C8C9038" w14:textId="77777777" w:rsidR="00E5618D" w:rsidRDefault="00E5618D" w:rsidP="00E5618D">
            <w:pPr>
              <w:pStyle w:val="TblTxt1"/>
            </w:pPr>
            <w:r>
              <w:t>a)</w:t>
            </w:r>
            <w:r>
              <w:tab/>
              <w:t>Have a substantial adverse effect, either directly or through habitat modifications, on any species identified as a candidate, sensitive, or special status species in local or regional plans, policies, or regulations, or by the California Department of Fish and Wildlife or U.S. Fish and Wildlife Service?</w:t>
            </w:r>
          </w:p>
        </w:tc>
        <w:tc>
          <w:tcPr>
            <w:tcW w:w="1170" w:type="dxa"/>
            <w:tcBorders>
              <w:top w:val="single" w:sz="6" w:space="0" w:color="auto"/>
              <w:left w:val="single" w:sz="6" w:space="0" w:color="auto"/>
              <w:right w:val="single" w:sz="6" w:space="0" w:color="auto"/>
            </w:tcBorders>
            <w:vAlign w:val="center"/>
          </w:tcPr>
          <w:p w14:paraId="6785A94E"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0DBD0402"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274F7F12" w14:textId="77777777" w:rsidR="00E5618D" w:rsidRPr="00F339B2" w:rsidRDefault="00E5618D" w:rsidP="00E5618D">
            <w:pPr>
              <w:pStyle w:val="ChecklistXs"/>
            </w:pPr>
          </w:p>
        </w:tc>
        <w:tc>
          <w:tcPr>
            <w:tcW w:w="1155" w:type="dxa"/>
            <w:tcBorders>
              <w:top w:val="single" w:sz="6" w:space="0" w:color="auto"/>
              <w:left w:val="single" w:sz="6" w:space="0" w:color="auto"/>
              <w:right w:val="nil"/>
            </w:tcBorders>
            <w:vAlign w:val="center"/>
          </w:tcPr>
          <w:p w14:paraId="2FCA8DD0" w14:textId="77777777" w:rsidR="00E5618D" w:rsidRPr="00F339B2" w:rsidRDefault="00E5618D" w:rsidP="00E5618D">
            <w:pPr>
              <w:pStyle w:val="ChecklistXs"/>
            </w:pPr>
            <w:r>
              <w:t>X</w:t>
            </w:r>
          </w:p>
        </w:tc>
      </w:tr>
      <w:tr w:rsidR="00E5618D" w14:paraId="1E074BB5" w14:textId="77777777" w:rsidTr="00AE6F44">
        <w:trPr>
          <w:cantSplit/>
          <w:jc w:val="center"/>
        </w:trPr>
        <w:tc>
          <w:tcPr>
            <w:tcW w:w="4666" w:type="dxa"/>
            <w:tcBorders>
              <w:top w:val="single" w:sz="6" w:space="0" w:color="auto"/>
              <w:left w:val="nil"/>
              <w:right w:val="single" w:sz="6" w:space="0" w:color="auto"/>
            </w:tcBorders>
          </w:tcPr>
          <w:p w14:paraId="42988E04" w14:textId="77777777" w:rsidR="00E5618D" w:rsidRDefault="00E5618D" w:rsidP="00E5618D">
            <w:pPr>
              <w:pStyle w:val="TblTxt1"/>
            </w:pPr>
            <w:r>
              <w:t>b)</w:t>
            </w:r>
            <w:r>
              <w:tab/>
              <w:t>Have a substantial adverse effect on any riparian habitat or other sensitive natural community identified in local or regional plans, policies, regulations or by the California Department of Fish and Wildlife or U.S. Fish and Wildlife Service?</w:t>
            </w:r>
          </w:p>
        </w:tc>
        <w:tc>
          <w:tcPr>
            <w:tcW w:w="1170" w:type="dxa"/>
            <w:tcBorders>
              <w:top w:val="single" w:sz="6" w:space="0" w:color="auto"/>
              <w:left w:val="single" w:sz="6" w:space="0" w:color="auto"/>
              <w:right w:val="single" w:sz="6" w:space="0" w:color="auto"/>
            </w:tcBorders>
            <w:vAlign w:val="center"/>
          </w:tcPr>
          <w:p w14:paraId="718D15A7"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4C849E94"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16C477CC" w14:textId="77777777" w:rsidR="00E5618D" w:rsidRPr="00F339B2" w:rsidRDefault="00E5618D" w:rsidP="00E5618D">
            <w:pPr>
              <w:pStyle w:val="ChecklistXs"/>
            </w:pPr>
          </w:p>
        </w:tc>
        <w:tc>
          <w:tcPr>
            <w:tcW w:w="1155" w:type="dxa"/>
            <w:tcBorders>
              <w:top w:val="single" w:sz="6" w:space="0" w:color="auto"/>
              <w:left w:val="single" w:sz="6" w:space="0" w:color="auto"/>
              <w:right w:val="nil"/>
            </w:tcBorders>
            <w:vAlign w:val="center"/>
          </w:tcPr>
          <w:p w14:paraId="0A349365" w14:textId="77777777" w:rsidR="00E5618D" w:rsidRPr="00F339B2" w:rsidRDefault="00E5618D" w:rsidP="00E5618D">
            <w:pPr>
              <w:pStyle w:val="ChecklistXs"/>
            </w:pPr>
            <w:r>
              <w:t>X</w:t>
            </w:r>
          </w:p>
        </w:tc>
      </w:tr>
      <w:tr w:rsidR="00E5618D" w14:paraId="4D4BA669" w14:textId="77777777" w:rsidTr="00AE6F44">
        <w:trPr>
          <w:cantSplit/>
          <w:jc w:val="center"/>
        </w:trPr>
        <w:tc>
          <w:tcPr>
            <w:tcW w:w="4666" w:type="dxa"/>
            <w:tcBorders>
              <w:top w:val="single" w:sz="6" w:space="0" w:color="auto"/>
              <w:left w:val="nil"/>
              <w:right w:val="single" w:sz="6" w:space="0" w:color="auto"/>
            </w:tcBorders>
          </w:tcPr>
          <w:p w14:paraId="18F01335" w14:textId="77777777" w:rsidR="00E5618D" w:rsidRDefault="00E5618D" w:rsidP="00E5618D">
            <w:pPr>
              <w:pStyle w:val="TblTxt1"/>
            </w:pPr>
            <w:r>
              <w:t>c)</w:t>
            </w:r>
            <w:r>
              <w:tab/>
              <w:t>Have a substantial adverse effect on state or federally protected wetlands (including, but not limited to, marsh, vernal pool, coastal, etc.) through direct removal, filling, hydrological interruption, or other means?</w:t>
            </w:r>
          </w:p>
        </w:tc>
        <w:tc>
          <w:tcPr>
            <w:tcW w:w="1170" w:type="dxa"/>
            <w:tcBorders>
              <w:top w:val="single" w:sz="6" w:space="0" w:color="auto"/>
              <w:left w:val="single" w:sz="6" w:space="0" w:color="auto"/>
              <w:right w:val="single" w:sz="6" w:space="0" w:color="auto"/>
            </w:tcBorders>
            <w:vAlign w:val="center"/>
          </w:tcPr>
          <w:p w14:paraId="4D1D916C"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0260CCC8"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569CC163" w14:textId="77777777" w:rsidR="00E5618D" w:rsidRPr="00F339B2" w:rsidRDefault="00E5618D" w:rsidP="00E5618D">
            <w:pPr>
              <w:pStyle w:val="ChecklistXs"/>
            </w:pPr>
          </w:p>
        </w:tc>
        <w:tc>
          <w:tcPr>
            <w:tcW w:w="1155" w:type="dxa"/>
            <w:tcBorders>
              <w:top w:val="single" w:sz="6" w:space="0" w:color="auto"/>
              <w:left w:val="single" w:sz="6" w:space="0" w:color="auto"/>
              <w:right w:val="nil"/>
            </w:tcBorders>
            <w:vAlign w:val="center"/>
          </w:tcPr>
          <w:p w14:paraId="56B3DDAA" w14:textId="77777777" w:rsidR="00E5618D" w:rsidRPr="00F339B2" w:rsidRDefault="00E5618D" w:rsidP="00E5618D">
            <w:pPr>
              <w:pStyle w:val="ChecklistXs"/>
            </w:pPr>
            <w:r>
              <w:t>X</w:t>
            </w:r>
          </w:p>
        </w:tc>
      </w:tr>
      <w:tr w:rsidR="00E5618D" w14:paraId="6A8CF76B" w14:textId="77777777" w:rsidTr="00AE6F44">
        <w:trPr>
          <w:cantSplit/>
          <w:jc w:val="center"/>
        </w:trPr>
        <w:tc>
          <w:tcPr>
            <w:tcW w:w="4666" w:type="dxa"/>
            <w:tcBorders>
              <w:top w:val="single" w:sz="6" w:space="0" w:color="auto"/>
              <w:left w:val="nil"/>
              <w:right w:val="single" w:sz="6" w:space="0" w:color="auto"/>
            </w:tcBorders>
          </w:tcPr>
          <w:p w14:paraId="6A3BFA4F" w14:textId="77777777" w:rsidR="00E5618D" w:rsidRDefault="00E5618D" w:rsidP="00E5618D">
            <w:pPr>
              <w:pStyle w:val="TblTxt1"/>
            </w:pPr>
            <w:r>
              <w:t>d)</w:t>
            </w:r>
            <w:r>
              <w:tab/>
              <w:t>Interfere substantially with the movement of any native resident or migratory fish or wildlife species or with established native resident or migratory wildlife corridors, or impede the use of native wildlife nursery sites?</w:t>
            </w:r>
          </w:p>
        </w:tc>
        <w:tc>
          <w:tcPr>
            <w:tcW w:w="1170" w:type="dxa"/>
            <w:tcBorders>
              <w:top w:val="single" w:sz="6" w:space="0" w:color="auto"/>
              <w:left w:val="single" w:sz="6" w:space="0" w:color="auto"/>
              <w:right w:val="single" w:sz="6" w:space="0" w:color="auto"/>
            </w:tcBorders>
            <w:vAlign w:val="center"/>
          </w:tcPr>
          <w:p w14:paraId="19FEA5AF"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5926DD26"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42FEEBF2" w14:textId="77777777" w:rsidR="00E5618D" w:rsidRPr="00F339B2" w:rsidRDefault="00E5618D" w:rsidP="00E5618D">
            <w:pPr>
              <w:pStyle w:val="ChecklistXs"/>
            </w:pPr>
            <w:r>
              <w:t>X</w:t>
            </w:r>
          </w:p>
        </w:tc>
        <w:tc>
          <w:tcPr>
            <w:tcW w:w="1155" w:type="dxa"/>
            <w:tcBorders>
              <w:top w:val="single" w:sz="6" w:space="0" w:color="auto"/>
              <w:left w:val="single" w:sz="6" w:space="0" w:color="auto"/>
              <w:right w:val="nil"/>
            </w:tcBorders>
            <w:vAlign w:val="center"/>
          </w:tcPr>
          <w:p w14:paraId="48AE8765" w14:textId="77777777" w:rsidR="00E5618D" w:rsidRPr="00F339B2" w:rsidRDefault="00E5618D" w:rsidP="00E5618D">
            <w:pPr>
              <w:pStyle w:val="ChecklistXs"/>
            </w:pPr>
          </w:p>
        </w:tc>
      </w:tr>
      <w:tr w:rsidR="00E5618D" w14:paraId="14F1E352" w14:textId="77777777" w:rsidTr="00AE6F44">
        <w:trPr>
          <w:cantSplit/>
          <w:jc w:val="center"/>
        </w:trPr>
        <w:tc>
          <w:tcPr>
            <w:tcW w:w="4666" w:type="dxa"/>
            <w:tcBorders>
              <w:top w:val="single" w:sz="6" w:space="0" w:color="auto"/>
              <w:left w:val="nil"/>
              <w:right w:val="single" w:sz="6" w:space="0" w:color="auto"/>
            </w:tcBorders>
          </w:tcPr>
          <w:p w14:paraId="3CFCB9E2" w14:textId="77777777" w:rsidR="00E5618D" w:rsidRDefault="00E5618D" w:rsidP="00E5618D">
            <w:pPr>
              <w:pStyle w:val="TblTxt1"/>
            </w:pPr>
            <w:r>
              <w:t>e)</w:t>
            </w:r>
            <w:r>
              <w:tab/>
              <w:t>Conflict with any local policies or ordinances protecting biological resources, such as a tree preservation policy or ordinance?</w:t>
            </w:r>
          </w:p>
        </w:tc>
        <w:tc>
          <w:tcPr>
            <w:tcW w:w="1170" w:type="dxa"/>
            <w:tcBorders>
              <w:top w:val="single" w:sz="6" w:space="0" w:color="auto"/>
              <w:left w:val="single" w:sz="6" w:space="0" w:color="auto"/>
              <w:right w:val="single" w:sz="6" w:space="0" w:color="auto"/>
            </w:tcBorders>
            <w:vAlign w:val="center"/>
          </w:tcPr>
          <w:p w14:paraId="4673F02A"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68D145A9"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3F6A4C65" w14:textId="77777777" w:rsidR="00E5618D" w:rsidRPr="00F339B2" w:rsidRDefault="00E5618D" w:rsidP="00E5618D">
            <w:pPr>
              <w:pStyle w:val="ChecklistXs"/>
            </w:pPr>
          </w:p>
        </w:tc>
        <w:tc>
          <w:tcPr>
            <w:tcW w:w="1155" w:type="dxa"/>
            <w:tcBorders>
              <w:top w:val="single" w:sz="6" w:space="0" w:color="auto"/>
              <w:left w:val="single" w:sz="6" w:space="0" w:color="auto"/>
              <w:right w:val="nil"/>
            </w:tcBorders>
            <w:vAlign w:val="center"/>
          </w:tcPr>
          <w:p w14:paraId="6C019D06" w14:textId="77777777" w:rsidR="00E5618D" w:rsidRPr="00F339B2" w:rsidRDefault="00E5618D" w:rsidP="00E5618D">
            <w:pPr>
              <w:pStyle w:val="ChecklistXs"/>
            </w:pPr>
            <w:r>
              <w:t>X</w:t>
            </w:r>
          </w:p>
        </w:tc>
      </w:tr>
      <w:tr w:rsidR="00E5618D" w14:paraId="689CB5C2" w14:textId="77777777" w:rsidTr="00AE6F44">
        <w:trPr>
          <w:cantSplit/>
          <w:jc w:val="center"/>
        </w:trPr>
        <w:tc>
          <w:tcPr>
            <w:tcW w:w="4666" w:type="dxa"/>
            <w:tcBorders>
              <w:top w:val="single" w:sz="6" w:space="0" w:color="auto"/>
              <w:left w:val="nil"/>
              <w:bottom w:val="single" w:sz="12" w:space="0" w:color="auto"/>
              <w:right w:val="single" w:sz="6" w:space="0" w:color="auto"/>
            </w:tcBorders>
          </w:tcPr>
          <w:p w14:paraId="1EAA893F" w14:textId="77777777" w:rsidR="00E5618D" w:rsidRDefault="00E5618D" w:rsidP="00E5618D">
            <w:pPr>
              <w:pStyle w:val="TblTxt1"/>
            </w:pPr>
            <w:r>
              <w:t>f)</w:t>
            </w:r>
            <w:r>
              <w:tab/>
              <w:t>Conflict with the provisions of an adopted Habitat Conservation Plan, Natural Community Conservation Plan, or other approved local, regional, or state habitat conservation plan?</w:t>
            </w:r>
          </w:p>
        </w:tc>
        <w:tc>
          <w:tcPr>
            <w:tcW w:w="1170" w:type="dxa"/>
            <w:tcBorders>
              <w:top w:val="single" w:sz="6" w:space="0" w:color="auto"/>
              <w:left w:val="single" w:sz="6" w:space="0" w:color="auto"/>
              <w:bottom w:val="single" w:sz="12" w:space="0" w:color="auto"/>
              <w:right w:val="single" w:sz="6" w:space="0" w:color="auto"/>
            </w:tcBorders>
            <w:vAlign w:val="center"/>
          </w:tcPr>
          <w:p w14:paraId="0F60022B" w14:textId="77777777" w:rsidR="00E5618D" w:rsidRPr="00F339B2" w:rsidRDefault="00E5618D" w:rsidP="00E5618D">
            <w:pPr>
              <w:pStyle w:val="ChecklistXs"/>
            </w:pPr>
          </w:p>
        </w:tc>
        <w:tc>
          <w:tcPr>
            <w:tcW w:w="1170" w:type="dxa"/>
            <w:tcBorders>
              <w:top w:val="single" w:sz="6" w:space="0" w:color="auto"/>
              <w:left w:val="single" w:sz="6" w:space="0" w:color="auto"/>
              <w:bottom w:val="single" w:sz="12" w:space="0" w:color="auto"/>
              <w:right w:val="single" w:sz="6" w:space="0" w:color="auto"/>
            </w:tcBorders>
            <w:vAlign w:val="center"/>
          </w:tcPr>
          <w:p w14:paraId="713FDBA6" w14:textId="77777777" w:rsidR="00E5618D" w:rsidRPr="00F339B2" w:rsidRDefault="00E5618D" w:rsidP="00E5618D">
            <w:pPr>
              <w:pStyle w:val="ChecklistXs"/>
            </w:pPr>
          </w:p>
        </w:tc>
        <w:tc>
          <w:tcPr>
            <w:tcW w:w="1170" w:type="dxa"/>
            <w:tcBorders>
              <w:top w:val="single" w:sz="6" w:space="0" w:color="auto"/>
              <w:left w:val="single" w:sz="6" w:space="0" w:color="auto"/>
              <w:bottom w:val="single" w:sz="12" w:space="0" w:color="auto"/>
              <w:right w:val="single" w:sz="6" w:space="0" w:color="auto"/>
            </w:tcBorders>
            <w:vAlign w:val="center"/>
          </w:tcPr>
          <w:p w14:paraId="39DA59B4" w14:textId="77777777" w:rsidR="00E5618D" w:rsidRPr="00F339B2" w:rsidRDefault="00E5618D" w:rsidP="00E5618D">
            <w:pPr>
              <w:pStyle w:val="ChecklistXs"/>
            </w:pPr>
          </w:p>
        </w:tc>
        <w:tc>
          <w:tcPr>
            <w:tcW w:w="1155" w:type="dxa"/>
            <w:tcBorders>
              <w:top w:val="single" w:sz="6" w:space="0" w:color="auto"/>
              <w:left w:val="single" w:sz="6" w:space="0" w:color="auto"/>
              <w:bottom w:val="single" w:sz="12" w:space="0" w:color="auto"/>
              <w:right w:val="nil"/>
            </w:tcBorders>
            <w:vAlign w:val="center"/>
          </w:tcPr>
          <w:p w14:paraId="08B02589" w14:textId="77777777" w:rsidR="00E5618D" w:rsidRPr="00F339B2" w:rsidRDefault="00E5618D" w:rsidP="00E5618D">
            <w:pPr>
              <w:pStyle w:val="ChecklistXs"/>
            </w:pPr>
            <w:r>
              <w:t>X</w:t>
            </w:r>
          </w:p>
        </w:tc>
      </w:tr>
      <w:tr w:rsidR="00E5618D" w14:paraId="16F1D575" w14:textId="77777777" w:rsidTr="00AE6F44">
        <w:trPr>
          <w:cantSplit/>
          <w:jc w:val="center"/>
        </w:trPr>
        <w:tc>
          <w:tcPr>
            <w:tcW w:w="9331" w:type="dxa"/>
            <w:gridSpan w:val="5"/>
            <w:tcBorders>
              <w:top w:val="single" w:sz="12" w:space="0" w:color="auto"/>
              <w:left w:val="nil"/>
              <w:right w:val="nil"/>
            </w:tcBorders>
            <w:shd w:val="clear" w:color="auto" w:fill="E0E0E0"/>
          </w:tcPr>
          <w:p w14:paraId="5EF5CE22" w14:textId="77777777" w:rsidR="00E5618D" w:rsidRDefault="00E5618D" w:rsidP="00E5618D">
            <w:pPr>
              <w:pStyle w:val="ChecklistSubhead"/>
            </w:pPr>
            <w:r w:rsidRPr="00A7449B">
              <w:t>V</w:t>
            </w:r>
            <w:r>
              <w:t xml:space="preserve">. </w:t>
            </w:r>
            <w:r w:rsidRPr="00A7449B">
              <w:t xml:space="preserve">CULTURAL RESOURCES. </w:t>
            </w:r>
            <w:r w:rsidRPr="00B74932">
              <w:rPr>
                <w:rStyle w:val="ChecklistSubText"/>
                <w:b/>
              </w:rPr>
              <w:t>Would the project:</w:t>
            </w:r>
          </w:p>
        </w:tc>
      </w:tr>
      <w:tr w:rsidR="00E5618D" w14:paraId="02E54073" w14:textId="77777777" w:rsidTr="00AE6F44">
        <w:trPr>
          <w:cantSplit/>
          <w:jc w:val="center"/>
        </w:trPr>
        <w:tc>
          <w:tcPr>
            <w:tcW w:w="4666" w:type="dxa"/>
            <w:tcBorders>
              <w:top w:val="single" w:sz="6" w:space="0" w:color="auto"/>
              <w:left w:val="nil"/>
              <w:right w:val="single" w:sz="6" w:space="0" w:color="auto"/>
            </w:tcBorders>
          </w:tcPr>
          <w:p w14:paraId="56969A95" w14:textId="77777777" w:rsidR="00E5618D" w:rsidRDefault="00E5618D" w:rsidP="00E5618D">
            <w:pPr>
              <w:pStyle w:val="TblTxt1"/>
            </w:pPr>
            <w:r>
              <w:t>a)</w:t>
            </w:r>
            <w:r>
              <w:tab/>
              <w:t xml:space="preserve">Cause a substantial adverse change in the significance of a historical resource pursuant to </w:t>
            </w:r>
            <w:r w:rsidRPr="007E52F7">
              <w:t>§</w:t>
            </w:r>
            <w:r>
              <w:t> 15064.5?</w:t>
            </w:r>
          </w:p>
        </w:tc>
        <w:tc>
          <w:tcPr>
            <w:tcW w:w="1170" w:type="dxa"/>
            <w:tcBorders>
              <w:top w:val="single" w:sz="6" w:space="0" w:color="auto"/>
              <w:left w:val="single" w:sz="6" w:space="0" w:color="auto"/>
              <w:right w:val="single" w:sz="6" w:space="0" w:color="auto"/>
            </w:tcBorders>
            <w:vAlign w:val="center"/>
          </w:tcPr>
          <w:p w14:paraId="6AB51EFE"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4172E072"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6F195E03" w14:textId="77777777" w:rsidR="00E5618D" w:rsidRPr="00F339B2" w:rsidRDefault="00E5618D" w:rsidP="00E5618D">
            <w:pPr>
              <w:pStyle w:val="ChecklistXs"/>
            </w:pPr>
          </w:p>
        </w:tc>
        <w:tc>
          <w:tcPr>
            <w:tcW w:w="1155" w:type="dxa"/>
            <w:tcBorders>
              <w:top w:val="single" w:sz="6" w:space="0" w:color="auto"/>
              <w:left w:val="single" w:sz="6" w:space="0" w:color="auto"/>
              <w:right w:val="nil"/>
            </w:tcBorders>
            <w:vAlign w:val="center"/>
          </w:tcPr>
          <w:p w14:paraId="3B3888CF" w14:textId="77777777" w:rsidR="00E5618D" w:rsidRPr="00F339B2" w:rsidRDefault="00513C1A" w:rsidP="00E5618D">
            <w:pPr>
              <w:pStyle w:val="ChecklistXs"/>
            </w:pPr>
            <w:r>
              <w:t>X</w:t>
            </w:r>
          </w:p>
        </w:tc>
      </w:tr>
      <w:tr w:rsidR="00E5618D" w14:paraId="438338E1" w14:textId="77777777" w:rsidTr="00C9306F">
        <w:trPr>
          <w:cantSplit/>
          <w:jc w:val="center"/>
        </w:trPr>
        <w:tc>
          <w:tcPr>
            <w:tcW w:w="4666" w:type="dxa"/>
            <w:tcBorders>
              <w:top w:val="single" w:sz="6" w:space="0" w:color="auto"/>
              <w:left w:val="nil"/>
              <w:bottom w:val="single" w:sz="6" w:space="0" w:color="auto"/>
              <w:right w:val="single" w:sz="6" w:space="0" w:color="auto"/>
            </w:tcBorders>
          </w:tcPr>
          <w:p w14:paraId="2FE627B0" w14:textId="77777777" w:rsidR="00E5618D" w:rsidRDefault="00E5618D" w:rsidP="00E5618D">
            <w:pPr>
              <w:pStyle w:val="TblTxt1"/>
            </w:pPr>
            <w:r>
              <w:t>b)</w:t>
            </w:r>
            <w:r>
              <w:tab/>
              <w:t>Cause a substantial adverse change in the significance of an archaeological resource pursuant to § 15064.5?</w:t>
            </w:r>
            <w:r>
              <w:tab/>
            </w:r>
          </w:p>
        </w:tc>
        <w:tc>
          <w:tcPr>
            <w:tcW w:w="1170" w:type="dxa"/>
            <w:tcBorders>
              <w:top w:val="single" w:sz="6" w:space="0" w:color="auto"/>
              <w:left w:val="single" w:sz="6" w:space="0" w:color="auto"/>
              <w:bottom w:val="single" w:sz="6" w:space="0" w:color="auto"/>
              <w:right w:val="single" w:sz="6" w:space="0" w:color="auto"/>
            </w:tcBorders>
            <w:vAlign w:val="center"/>
          </w:tcPr>
          <w:p w14:paraId="2B8D4F5A" w14:textId="77777777" w:rsidR="00E5618D" w:rsidRPr="00F339B2" w:rsidRDefault="00E5618D" w:rsidP="00E5618D">
            <w:pPr>
              <w:pStyle w:val="ChecklistXs"/>
            </w:pPr>
          </w:p>
        </w:tc>
        <w:tc>
          <w:tcPr>
            <w:tcW w:w="1170" w:type="dxa"/>
            <w:tcBorders>
              <w:top w:val="single" w:sz="6" w:space="0" w:color="auto"/>
              <w:left w:val="single" w:sz="6" w:space="0" w:color="auto"/>
              <w:bottom w:val="single" w:sz="6" w:space="0" w:color="auto"/>
              <w:right w:val="single" w:sz="6" w:space="0" w:color="auto"/>
            </w:tcBorders>
            <w:vAlign w:val="center"/>
          </w:tcPr>
          <w:p w14:paraId="6729F3F4" w14:textId="77777777" w:rsidR="00E5618D" w:rsidRPr="00F339B2" w:rsidRDefault="00513C1A" w:rsidP="00E5618D">
            <w:pPr>
              <w:pStyle w:val="ChecklistXs"/>
            </w:pPr>
            <w:r>
              <w:t>X</w:t>
            </w:r>
          </w:p>
        </w:tc>
        <w:tc>
          <w:tcPr>
            <w:tcW w:w="1170" w:type="dxa"/>
            <w:tcBorders>
              <w:top w:val="single" w:sz="6" w:space="0" w:color="auto"/>
              <w:left w:val="single" w:sz="6" w:space="0" w:color="auto"/>
              <w:bottom w:val="single" w:sz="6" w:space="0" w:color="auto"/>
              <w:right w:val="single" w:sz="6" w:space="0" w:color="auto"/>
            </w:tcBorders>
            <w:vAlign w:val="center"/>
          </w:tcPr>
          <w:p w14:paraId="4F80C3B0" w14:textId="77777777" w:rsidR="00E5618D" w:rsidRPr="00F339B2" w:rsidRDefault="00E5618D" w:rsidP="00E5618D">
            <w:pPr>
              <w:pStyle w:val="ChecklistXs"/>
            </w:pPr>
          </w:p>
        </w:tc>
        <w:tc>
          <w:tcPr>
            <w:tcW w:w="1155" w:type="dxa"/>
            <w:tcBorders>
              <w:top w:val="single" w:sz="6" w:space="0" w:color="auto"/>
              <w:left w:val="single" w:sz="6" w:space="0" w:color="auto"/>
              <w:bottom w:val="single" w:sz="6" w:space="0" w:color="auto"/>
              <w:right w:val="nil"/>
            </w:tcBorders>
            <w:vAlign w:val="center"/>
          </w:tcPr>
          <w:p w14:paraId="19E00DEF" w14:textId="77777777" w:rsidR="00E5618D" w:rsidRPr="00F339B2" w:rsidRDefault="00E5618D" w:rsidP="00E5618D">
            <w:pPr>
              <w:pStyle w:val="ChecklistXs"/>
            </w:pPr>
          </w:p>
        </w:tc>
      </w:tr>
      <w:tr w:rsidR="00E5618D" w14:paraId="3CAB4BA7" w14:textId="77777777" w:rsidTr="00C9306F">
        <w:trPr>
          <w:cantSplit/>
          <w:jc w:val="center"/>
        </w:trPr>
        <w:tc>
          <w:tcPr>
            <w:tcW w:w="4666" w:type="dxa"/>
            <w:tcBorders>
              <w:top w:val="single" w:sz="6" w:space="0" w:color="auto"/>
              <w:left w:val="nil"/>
              <w:bottom w:val="single" w:sz="6" w:space="0" w:color="auto"/>
              <w:right w:val="single" w:sz="6" w:space="0" w:color="auto"/>
            </w:tcBorders>
          </w:tcPr>
          <w:p w14:paraId="1C29EC47" w14:textId="77777777" w:rsidR="00E5618D" w:rsidRDefault="00E5618D" w:rsidP="00E5618D">
            <w:pPr>
              <w:pStyle w:val="TblTxt1"/>
            </w:pPr>
            <w:r>
              <w:t>c)</w:t>
            </w:r>
            <w:r>
              <w:tab/>
              <w:t>Disturb any human remains, including those interred outside of dedicated cemeteries?</w:t>
            </w:r>
          </w:p>
        </w:tc>
        <w:tc>
          <w:tcPr>
            <w:tcW w:w="1170" w:type="dxa"/>
            <w:tcBorders>
              <w:top w:val="single" w:sz="6" w:space="0" w:color="auto"/>
              <w:left w:val="single" w:sz="6" w:space="0" w:color="auto"/>
              <w:bottom w:val="single" w:sz="6" w:space="0" w:color="auto"/>
              <w:right w:val="single" w:sz="6" w:space="0" w:color="auto"/>
            </w:tcBorders>
            <w:vAlign w:val="center"/>
          </w:tcPr>
          <w:p w14:paraId="0F5A1FC9" w14:textId="77777777" w:rsidR="00E5618D" w:rsidRPr="00F339B2" w:rsidRDefault="00E5618D" w:rsidP="00E5618D">
            <w:pPr>
              <w:pStyle w:val="ChecklistXs"/>
            </w:pPr>
          </w:p>
        </w:tc>
        <w:tc>
          <w:tcPr>
            <w:tcW w:w="1170" w:type="dxa"/>
            <w:tcBorders>
              <w:top w:val="single" w:sz="6" w:space="0" w:color="auto"/>
              <w:left w:val="single" w:sz="6" w:space="0" w:color="auto"/>
              <w:bottom w:val="single" w:sz="6" w:space="0" w:color="auto"/>
              <w:right w:val="single" w:sz="6" w:space="0" w:color="auto"/>
            </w:tcBorders>
            <w:vAlign w:val="center"/>
          </w:tcPr>
          <w:p w14:paraId="0F821A25" w14:textId="77777777" w:rsidR="00E5618D" w:rsidRPr="00F339B2" w:rsidRDefault="00E5618D" w:rsidP="00E5618D">
            <w:pPr>
              <w:pStyle w:val="ChecklistXs"/>
            </w:pPr>
          </w:p>
        </w:tc>
        <w:tc>
          <w:tcPr>
            <w:tcW w:w="1170" w:type="dxa"/>
            <w:tcBorders>
              <w:top w:val="single" w:sz="6" w:space="0" w:color="auto"/>
              <w:left w:val="single" w:sz="6" w:space="0" w:color="auto"/>
              <w:bottom w:val="single" w:sz="6" w:space="0" w:color="auto"/>
              <w:right w:val="single" w:sz="6" w:space="0" w:color="auto"/>
            </w:tcBorders>
            <w:vAlign w:val="center"/>
          </w:tcPr>
          <w:p w14:paraId="0D31B2CB" w14:textId="77777777" w:rsidR="00E5618D" w:rsidRPr="00F339B2" w:rsidRDefault="00B96A21" w:rsidP="00E5618D">
            <w:pPr>
              <w:pStyle w:val="ChecklistXs"/>
            </w:pPr>
            <w:r>
              <w:t>X</w:t>
            </w:r>
          </w:p>
        </w:tc>
        <w:tc>
          <w:tcPr>
            <w:tcW w:w="1155" w:type="dxa"/>
            <w:tcBorders>
              <w:top w:val="single" w:sz="6" w:space="0" w:color="auto"/>
              <w:left w:val="single" w:sz="6" w:space="0" w:color="auto"/>
              <w:bottom w:val="single" w:sz="6" w:space="0" w:color="auto"/>
              <w:right w:val="nil"/>
            </w:tcBorders>
            <w:vAlign w:val="center"/>
          </w:tcPr>
          <w:p w14:paraId="46A4D5CF" w14:textId="77777777" w:rsidR="00E5618D" w:rsidRPr="00F339B2" w:rsidRDefault="00E5618D" w:rsidP="00E5618D">
            <w:pPr>
              <w:pStyle w:val="ChecklistXs"/>
            </w:pPr>
          </w:p>
        </w:tc>
      </w:tr>
      <w:tr w:rsidR="00E5618D" w14:paraId="24A953C8" w14:textId="77777777" w:rsidTr="004B2A05">
        <w:trPr>
          <w:cantSplit/>
          <w:jc w:val="center"/>
        </w:trPr>
        <w:tc>
          <w:tcPr>
            <w:tcW w:w="9331" w:type="dxa"/>
            <w:gridSpan w:val="5"/>
            <w:tcBorders>
              <w:top w:val="single" w:sz="12" w:space="0" w:color="auto"/>
              <w:left w:val="nil"/>
              <w:right w:val="nil"/>
            </w:tcBorders>
            <w:shd w:val="clear" w:color="auto" w:fill="E0E0E0"/>
          </w:tcPr>
          <w:p w14:paraId="12821D43" w14:textId="77777777" w:rsidR="00E5618D" w:rsidRPr="00F339B2" w:rsidRDefault="00E5618D" w:rsidP="00E5618D">
            <w:pPr>
              <w:pStyle w:val="ChecklistXs"/>
              <w:jc w:val="left"/>
            </w:pPr>
            <w:r w:rsidRPr="0047703F">
              <w:rPr>
                <w:rFonts w:ascii="Arial Narrow" w:hAnsi="Arial Narrow"/>
              </w:rPr>
              <w:t xml:space="preserve">VI. ENERGY. </w:t>
            </w:r>
            <w:r w:rsidRPr="0047703F">
              <w:rPr>
                <w:rStyle w:val="ChecklistSubText"/>
                <w:b/>
              </w:rPr>
              <w:t>Would the project:</w:t>
            </w:r>
          </w:p>
        </w:tc>
      </w:tr>
      <w:tr w:rsidR="00E5618D" w14:paraId="4D7F9D74" w14:textId="77777777" w:rsidTr="00AE6F44">
        <w:trPr>
          <w:cantSplit/>
          <w:jc w:val="center"/>
        </w:trPr>
        <w:tc>
          <w:tcPr>
            <w:tcW w:w="4666" w:type="dxa"/>
            <w:tcBorders>
              <w:top w:val="single" w:sz="6" w:space="0" w:color="auto"/>
              <w:left w:val="nil"/>
              <w:right w:val="single" w:sz="6" w:space="0" w:color="auto"/>
            </w:tcBorders>
          </w:tcPr>
          <w:p w14:paraId="0EFFDB3A" w14:textId="77777777" w:rsidR="00E5618D" w:rsidDel="00276E3A" w:rsidRDefault="00E5618D" w:rsidP="00E5618D">
            <w:pPr>
              <w:pStyle w:val="TblTxt1"/>
            </w:pPr>
            <w:r>
              <w:t>a)</w:t>
            </w:r>
            <w:r>
              <w:tab/>
            </w:r>
            <w:r w:rsidRPr="00276E3A">
              <w:t>Result in potentially significant environmental impact due to wasteful, inefficient, or unnecessary consumption of energy resources, during project construction or operation?</w:t>
            </w:r>
          </w:p>
        </w:tc>
        <w:tc>
          <w:tcPr>
            <w:tcW w:w="1170" w:type="dxa"/>
            <w:tcBorders>
              <w:top w:val="single" w:sz="6" w:space="0" w:color="auto"/>
              <w:left w:val="single" w:sz="6" w:space="0" w:color="auto"/>
              <w:right w:val="single" w:sz="6" w:space="0" w:color="auto"/>
            </w:tcBorders>
            <w:vAlign w:val="center"/>
          </w:tcPr>
          <w:p w14:paraId="088A030F"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31A418C3"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7F56C129" w14:textId="77777777" w:rsidR="00E5618D" w:rsidRPr="00F339B2" w:rsidRDefault="00816F17" w:rsidP="00E5618D">
            <w:pPr>
              <w:pStyle w:val="ChecklistXs"/>
            </w:pPr>
            <w:r>
              <w:t>X</w:t>
            </w:r>
          </w:p>
        </w:tc>
        <w:tc>
          <w:tcPr>
            <w:tcW w:w="1155" w:type="dxa"/>
            <w:tcBorders>
              <w:top w:val="single" w:sz="6" w:space="0" w:color="auto"/>
              <w:left w:val="single" w:sz="6" w:space="0" w:color="auto"/>
              <w:right w:val="nil"/>
            </w:tcBorders>
            <w:vAlign w:val="center"/>
          </w:tcPr>
          <w:p w14:paraId="3E3D374F" w14:textId="77777777" w:rsidR="00E5618D" w:rsidRPr="00F339B2" w:rsidRDefault="00E5618D" w:rsidP="00E5618D">
            <w:pPr>
              <w:pStyle w:val="ChecklistXs"/>
            </w:pPr>
          </w:p>
        </w:tc>
      </w:tr>
      <w:tr w:rsidR="00E5618D" w14:paraId="2C1FCBB0" w14:textId="77777777" w:rsidTr="00AE6F44">
        <w:trPr>
          <w:cantSplit/>
          <w:jc w:val="center"/>
        </w:trPr>
        <w:tc>
          <w:tcPr>
            <w:tcW w:w="4666" w:type="dxa"/>
            <w:tcBorders>
              <w:top w:val="single" w:sz="6" w:space="0" w:color="auto"/>
              <w:left w:val="nil"/>
              <w:right w:val="single" w:sz="6" w:space="0" w:color="auto"/>
            </w:tcBorders>
          </w:tcPr>
          <w:p w14:paraId="33C8371E" w14:textId="77777777" w:rsidR="00E5618D" w:rsidDel="00276E3A" w:rsidRDefault="00E5618D" w:rsidP="00E5618D">
            <w:pPr>
              <w:pStyle w:val="TblTxt1"/>
            </w:pPr>
            <w:r w:rsidRPr="00D247F0">
              <w:t>b)</w:t>
            </w:r>
            <w:r w:rsidRPr="00D247F0">
              <w:tab/>
              <w:t>Conflict with or obstruct a state or local plan for renewable energy or energy efficiency?</w:t>
            </w:r>
          </w:p>
        </w:tc>
        <w:tc>
          <w:tcPr>
            <w:tcW w:w="1170" w:type="dxa"/>
            <w:tcBorders>
              <w:top w:val="single" w:sz="6" w:space="0" w:color="auto"/>
              <w:left w:val="single" w:sz="6" w:space="0" w:color="auto"/>
              <w:right w:val="single" w:sz="6" w:space="0" w:color="auto"/>
            </w:tcBorders>
            <w:vAlign w:val="center"/>
          </w:tcPr>
          <w:p w14:paraId="22F75AC8"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06627F2E"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0BB5B6FF" w14:textId="77777777" w:rsidR="00E5618D" w:rsidRPr="00F339B2" w:rsidRDefault="00E5618D" w:rsidP="00E5618D">
            <w:pPr>
              <w:pStyle w:val="ChecklistXs"/>
            </w:pPr>
          </w:p>
        </w:tc>
        <w:tc>
          <w:tcPr>
            <w:tcW w:w="1155" w:type="dxa"/>
            <w:tcBorders>
              <w:top w:val="single" w:sz="6" w:space="0" w:color="auto"/>
              <w:left w:val="single" w:sz="6" w:space="0" w:color="auto"/>
              <w:right w:val="nil"/>
            </w:tcBorders>
            <w:vAlign w:val="center"/>
          </w:tcPr>
          <w:p w14:paraId="5539F95A" w14:textId="77777777" w:rsidR="00E5618D" w:rsidRPr="00F339B2" w:rsidRDefault="00816F17" w:rsidP="00E5618D">
            <w:pPr>
              <w:pStyle w:val="ChecklistXs"/>
            </w:pPr>
            <w:r>
              <w:t>X</w:t>
            </w:r>
          </w:p>
        </w:tc>
      </w:tr>
      <w:tr w:rsidR="00E5618D" w14:paraId="58D35438" w14:textId="77777777" w:rsidTr="00AE6F44">
        <w:trPr>
          <w:cantSplit/>
          <w:jc w:val="center"/>
        </w:trPr>
        <w:tc>
          <w:tcPr>
            <w:tcW w:w="9331" w:type="dxa"/>
            <w:gridSpan w:val="5"/>
            <w:tcBorders>
              <w:top w:val="single" w:sz="12" w:space="0" w:color="auto"/>
              <w:left w:val="nil"/>
              <w:right w:val="nil"/>
            </w:tcBorders>
            <w:shd w:val="clear" w:color="auto" w:fill="E0E0E0"/>
          </w:tcPr>
          <w:p w14:paraId="5AD5D82E" w14:textId="77777777" w:rsidR="00E5618D" w:rsidRDefault="00E5618D" w:rsidP="00E5618D">
            <w:pPr>
              <w:pStyle w:val="ChecklistSubhead"/>
            </w:pPr>
            <w:r w:rsidRPr="00A7449B">
              <w:t>VI</w:t>
            </w:r>
            <w:r>
              <w:t xml:space="preserve">I. </w:t>
            </w:r>
            <w:r w:rsidRPr="00A7449B">
              <w:t>GEOLOGY AND SOILS</w:t>
            </w:r>
            <w:r w:rsidRPr="00AA2405">
              <w:t xml:space="preserve">. </w:t>
            </w:r>
            <w:r w:rsidRPr="00B74932">
              <w:rPr>
                <w:rStyle w:val="ChecklistSubText"/>
                <w:b/>
              </w:rPr>
              <w:t>Would the project:</w:t>
            </w:r>
          </w:p>
        </w:tc>
      </w:tr>
      <w:tr w:rsidR="00E5618D" w14:paraId="0C20292F" w14:textId="77777777" w:rsidTr="00AE6F44">
        <w:trPr>
          <w:cantSplit/>
          <w:jc w:val="center"/>
        </w:trPr>
        <w:tc>
          <w:tcPr>
            <w:tcW w:w="4666" w:type="dxa"/>
            <w:tcBorders>
              <w:top w:val="single" w:sz="6" w:space="0" w:color="auto"/>
              <w:left w:val="nil"/>
              <w:right w:val="single" w:sz="6" w:space="0" w:color="auto"/>
            </w:tcBorders>
            <w:vAlign w:val="bottom"/>
          </w:tcPr>
          <w:p w14:paraId="3E52DDAF" w14:textId="77777777" w:rsidR="00E5618D" w:rsidRDefault="00E5618D" w:rsidP="00E5618D">
            <w:pPr>
              <w:pStyle w:val="TblTxt1"/>
            </w:pPr>
            <w:r>
              <w:t>a)</w:t>
            </w:r>
            <w:r>
              <w:tab/>
              <w:t xml:space="preserve">Directly or indirectly cause potential substantial adverse effects, including the risk of loss, injury, or death involving: </w:t>
            </w:r>
          </w:p>
        </w:tc>
        <w:tc>
          <w:tcPr>
            <w:tcW w:w="1170" w:type="dxa"/>
            <w:tcBorders>
              <w:top w:val="single" w:sz="6" w:space="0" w:color="auto"/>
              <w:left w:val="single" w:sz="6" w:space="0" w:color="auto"/>
              <w:right w:val="single" w:sz="6" w:space="0" w:color="auto"/>
            </w:tcBorders>
            <w:vAlign w:val="center"/>
          </w:tcPr>
          <w:p w14:paraId="0C0F4749"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412E84A6"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30A3B8EF" w14:textId="77777777" w:rsidR="00E5618D" w:rsidRPr="00F339B2" w:rsidRDefault="00E5618D" w:rsidP="00E5618D">
            <w:pPr>
              <w:pStyle w:val="ChecklistXs"/>
            </w:pPr>
          </w:p>
        </w:tc>
        <w:tc>
          <w:tcPr>
            <w:tcW w:w="1155" w:type="dxa"/>
            <w:tcBorders>
              <w:top w:val="single" w:sz="6" w:space="0" w:color="auto"/>
              <w:left w:val="single" w:sz="6" w:space="0" w:color="auto"/>
              <w:right w:val="nil"/>
            </w:tcBorders>
            <w:vAlign w:val="center"/>
          </w:tcPr>
          <w:p w14:paraId="13FA807E" w14:textId="77777777" w:rsidR="00E5618D" w:rsidRPr="00F339B2" w:rsidRDefault="00E5618D" w:rsidP="00E5618D">
            <w:pPr>
              <w:pStyle w:val="ChecklistXs"/>
            </w:pPr>
          </w:p>
        </w:tc>
      </w:tr>
      <w:tr w:rsidR="00E5618D" w14:paraId="5A08C494" w14:textId="77777777" w:rsidTr="00AE6F44">
        <w:trPr>
          <w:cantSplit/>
          <w:jc w:val="center"/>
        </w:trPr>
        <w:tc>
          <w:tcPr>
            <w:tcW w:w="4666" w:type="dxa"/>
            <w:tcBorders>
              <w:top w:val="single" w:sz="6" w:space="0" w:color="auto"/>
              <w:left w:val="nil"/>
              <w:right w:val="single" w:sz="6" w:space="0" w:color="auto"/>
            </w:tcBorders>
            <w:vAlign w:val="bottom"/>
          </w:tcPr>
          <w:p w14:paraId="48D8A785" w14:textId="77777777" w:rsidR="00E5618D" w:rsidRDefault="00E5618D" w:rsidP="00E5618D">
            <w:pPr>
              <w:pStyle w:val="TblTxt2"/>
              <w:tabs>
                <w:tab w:val="left" w:pos="688"/>
              </w:tabs>
              <w:ind w:left="688" w:hanging="328"/>
            </w:pPr>
            <w:r>
              <w:t>i)</w:t>
            </w:r>
            <w:r>
              <w:tab/>
              <w:t>Rupture of a known earthquake fault, as delineated on the most recent Alquist-Priolo Earthquake Fault Zoning Map, issued by the State Geologist for the area or based on other substantial evidence of a known fault? Refer to Division of Mines and Geology Special Publication 42.</w:t>
            </w:r>
          </w:p>
        </w:tc>
        <w:tc>
          <w:tcPr>
            <w:tcW w:w="1170" w:type="dxa"/>
            <w:tcBorders>
              <w:top w:val="single" w:sz="6" w:space="0" w:color="auto"/>
              <w:left w:val="single" w:sz="6" w:space="0" w:color="auto"/>
              <w:right w:val="single" w:sz="6" w:space="0" w:color="auto"/>
            </w:tcBorders>
            <w:vAlign w:val="center"/>
          </w:tcPr>
          <w:p w14:paraId="3A9F830A"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1472FBCA"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1A32301A" w14:textId="77777777" w:rsidR="00E5618D" w:rsidRPr="00F339B2" w:rsidRDefault="00B96A21" w:rsidP="00E5618D">
            <w:pPr>
              <w:pStyle w:val="ChecklistXs"/>
            </w:pPr>
            <w:r>
              <w:t>X</w:t>
            </w:r>
          </w:p>
        </w:tc>
        <w:tc>
          <w:tcPr>
            <w:tcW w:w="1155" w:type="dxa"/>
            <w:tcBorders>
              <w:top w:val="single" w:sz="6" w:space="0" w:color="auto"/>
              <w:left w:val="single" w:sz="6" w:space="0" w:color="auto"/>
              <w:right w:val="nil"/>
            </w:tcBorders>
            <w:vAlign w:val="center"/>
          </w:tcPr>
          <w:p w14:paraId="126C265F" w14:textId="77777777" w:rsidR="00E5618D" w:rsidRPr="00F339B2" w:rsidRDefault="00E5618D" w:rsidP="00E5618D">
            <w:pPr>
              <w:pStyle w:val="ChecklistXs"/>
            </w:pPr>
          </w:p>
        </w:tc>
      </w:tr>
      <w:tr w:rsidR="00E5618D" w14:paraId="309E4A8D" w14:textId="77777777" w:rsidTr="00AE6F44">
        <w:trPr>
          <w:cantSplit/>
          <w:jc w:val="center"/>
        </w:trPr>
        <w:tc>
          <w:tcPr>
            <w:tcW w:w="4666" w:type="dxa"/>
            <w:tcBorders>
              <w:top w:val="single" w:sz="6" w:space="0" w:color="auto"/>
              <w:left w:val="nil"/>
              <w:right w:val="single" w:sz="6" w:space="0" w:color="auto"/>
            </w:tcBorders>
            <w:vAlign w:val="bottom"/>
          </w:tcPr>
          <w:p w14:paraId="1D6A5934" w14:textId="77777777" w:rsidR="00E5618D" w:rsidRDefault="00E5618D" w:rsidP="00E5618D">
            <w:pPr>
              <w:pStyle w:val="TblTxt2"/>
              <w:tabs>
                <w:tab w:val="left" w:pos="688"/>
              </w:tabs>
              <w:ind w:left="688" w:hanging="328"/>
            </w:pPr>
            <w:r>
              <w:t>ii)</w:t>
            </w:r>
            <w:r>
              <w:tab/>
              <w:t xml:space="preserve">Strong seismic ground shaking? </w:t>
            </w:r>
          </w:p>
        </w:tc>
        <w:tc>
          <w:tcPr>
            <w:tcW w:w="1170" w:type="dxa"/>
            <w:tcBorders>
              <w:top w:val="single" w:sz="6" w:space="0" w:color="auto"/>
              <w:left w:val="single" w:sz="6" w:space="0" w:color="auto"/>
              <w:right w:val="single" w:sz="6" w:space="0" w:color="auto"/>
            </w:tcBorders>
            <w:vAlign w:val="center"/>
          </w:tcPr>
          <w:p w14:paraId="13ECE7E6"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02892B64"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63523DB8" w14:textId="77777777" w:rsidR="00E5618D" w:rsidRPr="00F339B2" w:rsidRDefault="00B96A21" w:rsidP="00E5618D">
            <w:pPr>
              <w:pStyle w:val="ChecklistXs"/>
            </w:pPr>
            <w:r>
              <w:t xml:space="preserve">X </w:t>
            </w:r>
          </w:p>
        </w:tc>
        <w:tc>
          <w:tcPr>
            <w:tcW w:w="1155" w:type="dxa"/>
            <w:tcBorders>
              <w:top w:val="single" w:sz="6" w:space="0" w:color="auto"/>
              <w:left w:val="single" w:sz="6" w:space="0" w:color="auto"/>
              <w:right w:val="nil"/>
            </w:tcBorders>
            <w:vAlign w:val="center"/>
          </w:tcPr>
          <w:p w14:paraId="6516A3FF" w14:textId="77777777" w:rsidR="00E5618D" w:rsidRPr="00F339B2" w:rsidRDefault="00E5618D" w:rsidP="00E5618D">
            <w:pPr>
              <w:pStyle w:val="ChecklistXs"/>
            </w:pPr>
          </w:p>
        </w:tc>
      </w:tr>
      <w:tr w:rsidR="00E5618D" w14:paraId="160FE97F" w14:textId="77777777" w:rsidTr="00AE6F44">
        <w:trPr>
          <w:cantSplit/>
          <w:jc w:val="center"/>
        </w:trPr>
        <w:tc>
          <w:tcPr>
            <w:tcW w:w="4666" w:type="dxa"/>
            <w:tcBorders>
              <w:top w:val="single" w:sz="6" w:space="0" w:color="auto"/>
              <w:left w:val="nil"/>
              <w:right w:val="single" w:sz="6" w:space="0" w:color="auto"/>
            </w:tcBorders>
            <w:vAlign w:val="bottom"/>
          </w:tcPr>
          <w:p w14:paraId="439EBFB1" w14:textId="77777777" w:rsidR="00E5618D" w:rsidRDefault="00E5618D" w:rsidP="00E5618D">
            <w:pPr>
              <w:pStyle w:val="TblTxt2"/>
              <w:tabs>
                <w:tab w:val="left" w:pos="688"/>
              </w:tabs>
              <w:ind w:left="688" w:hanging="328"/>
            </w:pPr>
            <w:r>
              <w:t>iii)</w:t>
            </w:r>
            <w:r>
              <w:tab/>
              <w:t xml:space="preserve">Seismic-related ground failure, including liquefaction? </w:t>
            </w:r>
          </w:p>
        </w:tc>
        <w:tc>
          <w:tcPr>
            <w:tcW w:w="1170" w:type="dxa"/>
            <w:tcBorders>
              <w:top w:val="single" w:sz="6" w:space="0" w:color="auto"/>
              <w:left w:val="single" w:sz="6" w:space="0" w:color="auto"/>
              <w:right w:val="single" w:sz="6" w:space="0" w:color="auto"/>
            </w:tcBorders>
            <w:vAlign w:val="center"/>
          </w:tcPr>
          <w:p w14:paraId="3C2CB32E"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19E2C94D"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2C513D6E" w14:textId="77777777" w:rsidR="00E5618D" w:rsidRPr="00F339B2" w:rsidRDefault="009515DC" w:rsidP="00E5618D">
            <w:pPr>
              <w:pStyle w:val="ChecklistXs"/>
            </w:pPr>
            <w:r>
              <w:t>X</w:t>
            </w:r>
          </w:p>
        </w:tc>
        <w:tc>
          <w:tcPr>
            <w:tcW w:w="1155" w:type="dxa"/>
            <w:tcBorders>
              <w:top w:val="single" w:sz="6" w:space="0" w:color="auto"/>
              <w:left w:val="single" w:sz="6" w:space="0" w:color="auto"/>
              <w:right w:val="nil"/>
            </w:tcBorders>
            <w:vAlign w:val="center"/>
          </w:tcPr>
          <w:p w14:paraId="43AE701D" w14:textId="77777777" w:rsidR="00E5618D" w:rsidRPr="00F339B2" w:rsidRDefault="00E5618D" w:rsidP="00E5618D">
            <w:pPr>
              <w:pStyle w:val="ChecklistXs"/>
            </w:pPr>
          </w:p>
        </w:tc>
      </w:tr>
      <w:tr w:rsidR="00E5618D" w14:paraId="03E7321D" w14:textId="77777777" w:rsidTr="00AE6F44">
        <w:trPr>
          <w:cantSplit/>
          <w:jc w:val="center"/>
        </w:trPr>
        <w:tc>
          <w:tcPr>
            <w:tcW w:w="4666" w:type="dxa"/>
            <w:tcBorders>
              <w:top w:val="single" w:sz="6" w:space="0" w:color="auto"/>
              <w:left w:val="nil"/>
              <w:right w:val="single" w:sz="6" w:space="0" w:color="auto"/>
            </w:tcBorders>
            <w:vAlign w:val="bottom"/>
          </w:tcPr>
          <w:p w14:paraId="7B7D6242" w14:textId="77777777" w:rsidR="00E5618D" w:rsidRDefault="00E5618D" w:rsidP="00E5618D">
            <w:pPr>
              <w:pStyle w:val="TblTxt2"/>
              <w:tabs>
                <w:tab w:val="left" w:pos="688"/>
              </w:tabs>
              <w:ind w:left="688" w:hanging="328"/>
            </w:pPr>
            <w:r>
              <w:t>iv)</w:t>
            </w:r>
            <w:r>
              <w:tab/>
              <w:t xml:space="preserve">Landslides? </w:t>
            </w:r>
          </w:p>
        </w:tc>
        <w:tc>
          <w:tcPr>
            <w:tcW w:w="1170" w:type="dxa"/>
            <w:tcBorders>
              <w:top w:val="single" w:sz="6" w:space="0" w:color="auto"/>
              <w:left w:val="single" w:sz="6" w:space="0" w:color="auto"/>
              <w:right w:val="single" w:sz="6" w:space="0" w:color="auto"/>
            </w:tcBorders>
            <w:vAlign w:val="center"/>
          </w:tcPr>
          <w:p w14:paraId="142F75DD"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7BC96ABC"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7910AB20" w14:textId="77777777" w:rsidR="00E5618D" w:rsidRPr="00F339B2" w:rsidRDefault="00C7350C" w:rsidP="00E5618D">
            <w:pPr>
              <w:pStyle w:val="ChecklistXs"/>
            </w:pPr>
            <w:r>
              <w:t>X</w:t>
            </w:r>
          </w:p>
        </w:tc>
        <w:tc>
          <w:tcPr>
            <w:tcW w:w="1155" w:type="dxa"/>
            <w:tcBorders>
              <w:top w:val="single" w:sz="6" w:space="0" w:color="auto"/>
              <w:left w:val="single" w:sz="6" w:space="0" w:color="auto"/>
              <w:right w:val="nil"/>
            </w:tcBorders>
            <w:vAlign w:val="center"/>
          </w:tcPr>
          <w:p w14:paraId="0F81DC25" w14:textId="77777777" w:rsidR="00E5618D" w:rsidRPr="00F339B2" w:rsidRDefault="00E5618D" w:rsidP="00E5618D">
            <w:pPr>
              <w:pStyle w:val="ChecklistXs"/>
            </w:pPr>
          </w:p>
        </w:tc>
      </w:tr>
      <w:tr w:rsidR="00E5618D" w14:paraId="18243807" w14:textId="77777777" w:rsidTr="00AE6F44">
        <w:trPr>
          <w:cantSplit/>
          <w:jc w:val="center"/>
        </w:trPr>
        <w:tc>
          <w:tcPr>
            <w:tcW w:w="4666" w:type="dxa"/>
            <w:tcBorders>
              <w:top w:val="single" w:sz="6" w:space="0" w:color="auto"/>
              <w:left w:val="nil"/>
              <w:right w:val="single" w:sz="6" w:space="0" w:color="auto"/>
            </w:tcBorders>
            <w:vAlign w:val="bottom"/>
          </w:tcPr>
          <w:p w14:paraId="577A3EA0" w14:textId="77777777" w:rsidR="00E5618D" w:rsidRDefault="00E5618D" w:rsidP="00E5618D">
            <w:pPr>
              <w:pStyle w:val="TblTxt1"/>
            </w:pPr>
            <w:r>
              <w:t>b)</w:t>
            </w:r>
            <w:r>
              <w:tab/>
              <w:t xml:space="preserve">Result in substantial soil erosion or the loss of topsoil? </w:t>
            </w:r>
          </w:p>
        </w:tc>
        <w:tc>
          <w:tcPr>
            <w:tcW w:w="1170" w:type="dxa"/>
            <w:tcBorders>
              <w:top w:val="single" w:sz="6" w:space="0" w:color="auto"/>
              <w:left w:val="single" w:sz="6" w:space="0" w:color="auto"/>
              <w:right w:val="single" w:sz="6" w:space="0" w:color="auto"/>
            </w:tcBorders>
            <w:vAlign w:val="center"/>
          </w:tcPr>
          <w:p w14:paraId="07C173E5"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2387BDA8"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2983A8FB" w14:textId="77777777" w:rsidR="00E5618D" w:rsidRPr="00F339B2" w:rsidRDefault="00B96A21" w:rsidP="00E5618D">
            <w:pPr>
              <w:pStyle w:val="ChecklistXs"/>
            </w:pPr>
            <w:r>
              <w:t>X</w:t>
            </w:r>
          </w:p>
        </w:tc>
        <w:tc>
          <w:tcPr>
            <w:tcW w:w="1155" w:type="dxa"/>
            <w:tcBorders>
              <w:top w:val="single" w:sz="6" w:space="0" w:color="auto"/>
              <w:left w:val="single" w:sz="6" w:space="0" w:color="auto"/>
              <w:right w:val="nil"/>
            </w:tcBorders>
            <w:vAlign w:val="center"/>
          </w:tcPr>
          <w:p w14:paraId="3AF65B95" w14:textId="77777777" w:rsidR="00E5618D" w:rsidRPr="00F339B2" w:rsidRDefault="00E5618D" w:rsidP="00E5618D">
            <w:pPr>
              <w:pStyle w:val="ChecklistXs"/>
            </w:pPr>
          </w:p>
        </w:tc>
      </w:tr>
      <w:tr w:rsidR="00E5618D" w14:paraId="66F1C60D" w14:textId="77777777" w:rsidTr="00AE6F44">
        <w:trPr>
          <w:cantSplit/>
          <w:jc w:val="center"/>
        </w:trPr>
        <w:tc>
          <w:tcPr>
            <w:tcW w:w="4666" w:type="dxa"/>
            <w:tcBorders>
              <w:top w:val="single" w:sz="6" w:space="0" w:color="auto"/>
              <w:left w:val="nil"/>
              <w:right w:val="single" w:sz="6" w:space="0" w:color="auto"/>
            </w:tcBorders>
            <w:vAlign w:val="bottom"/>
          </w:tcPr>
          <w:p w14:paraId="4086104D" w14:textId="77777777" w:rsidR="00E5618D" w:rsidRDefault="00E5618D" w:rsidP="00E5618D">
            <w:pPr>
              <w:pStyle w:val="TblTxt1"/>
              <w:keepNext/>
            </w:pPr>
            <w:r>
              <w:t>c)</w:t>
            </w:r>
            <w:r>
              <w:tab/>
              <w:t>Be located on a geologic unit or soil that is unstable, or that would become unstable as a result of the project, and potentially result in on- or off-site landslide, lateral spreading, subsidence, liquefaction or collapse?</w:t>
            </w:r>
          </w:p>
        </w:tc>
        <w:tc>
          <w:tcPr>
            <w:tcW w:w="1170" w:type="dxa"/>
            <w:tcBorders>
              <w:top w:val="single" w:sz="6" w:space="0" w:color="auto"/>
              <w:left w:val="single" w:sz="6" w:space="0" w:color="auto"/>
              <w:right w:val="single" w:sz="6" w:space="0" w:color="auto"/>
            </w:tcBorders>
            <w:vAlign w:val="center"/>
          </w:tcPr>
          <w:p w14:paraId="722C36CE"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253F7F10"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0FFA56F7" w14:textId="77777777" w:rsidR="00E5618D" w:rsidRPr="00F339B2" w:rsidRDefault="00C7350C" w:rsidP="00E5618D">
            <w:pPr>
              <w:pStyle w:val="ChecklistXs"/>
            </w:pPr>
            <w:r>
              <w:t>X</w:t>
            </w:r>
          </w:p>
        </w:tc>
        <w:tc>
          <w:tcPr>
            <w:tcW w:w="1155" w:type="dxa"/>
            <w:tcBorders>
              <w:top w:val="single" w:sz="6" w:space="0" w:color="auto"/>
              <w:left w:val="single" w:sz="6" w:space="0" w:color="auto"/>
              <w:right w:val="nil"/>
            </w:tcBorders>
            <w:vAlign w:val="center"/>
          </w:tcPr>
          <w:p w14:paraId="11E70685" w14:textId="77777777" w:rsidR="00E5618D" w:rsidRPr="00F339B2" w:rsidRDefault="00E5618D" w:rsidP="00E5618D">
            <w:pPr>
              <w:pStyle w:val="ChecklistXs"/>
            </w:pPr>
          </w:p>
        </w:tc>
      </w:tr>
      <w:tr w:rsidR="00E5618D" w14:paraId="6A32AEFD" w14:textId="77777777" w:rsidTr="00AE6F44">
        <w:trPr>
          <w:cantSplit/>
          <w:jc w:val="center"/>
        </w:trPr>
        <w:tc>
          <w:tcPr>
            <w:tcW w:w="4666" w:type="dxa"/>
            <w:tcBorders>
              <w:top w:val="single" w:sz="6" w:space="0" w:color="auto"/>
              <w:left w:val="nil"/>
              <w:right w:val="single" w:sz="6" w:space="0" w:color="auto"/>
            </w:tcBorders>
          </w:tcPr>
          <w:p w14:paraId="6447C13A" w14:textId="77777777" w:rsidR="00E5618D" w:rsidRDefault="00E5618D" w:rsidP="00E5618D">
            <w:pPr>
              <w:pStyle w:val="TblTxt1"/>
            </w:pPr>
            <w:r>
              <w:t>d)</w:t>
            </w:r>
            <w:r>
              <w:tab/>
              <w:t>Be located on expansive soil, as defined in Table 18-1-B of the Uniform Building Code (1994), creating substantial direct or indirect risks to life or property?</w:t>
            </w:r>
          </w:p>
        </w:tc>
        <w:tc>
          <w:tcPr>
            <w:tcW w:w="1170" w:type="dxa"/>
            <w:tcBorders>
              <w:top w:val="single" w:sz="6" w:space="0" w:color="auto"/>
              <w:left w:val="single" w:sz="6" w:space="0" w:color="auto"/>
              <w:right w:val="single" w:sz="6" w:space="0" w:color="auto"/>
            </w:tcBorders>
            <w:vAlign w:val="center"/>
          </w:tcPr>
          <w:p w14:paraId="2FCCCC7A"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5ECD2834"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7F8C4275" w14:textId="77777777" w:rsidR="00E5618D" w:rsidRPr="00F339B2" w:rsidRDefault="00E5618D" w:rsidP="00E5618D">
            <w:pPr>
              <w:pStyle w:val="ChecklistXs"/>
            </w:pPr>
          </w:p>
        </w:tc>
        <w:tc>
          <w:tcPr>
            <w:tcW w:w="1155" w:type="dxa"/>
            <w:tcBorders>
              <w:top w:val="single" w:sz="6" w:space="0" w:color="auto"/>
              <w:left w:val="single" w:sz="6" w:space="0" w:color="auto"/>
              <w:right w:val="nil"/>
            </w:tcBorders>
            <w:vAlign w:val="center"/>
          </w:tcPr>
          <w:p w14:paraId="42DE6E1A" w14:textId="77777777" w:rsidR="00E5618D" w:rsidRPr="00F339B2" w:rsidRDefault="00B96A21" w:rsidP="00E5618D">
            <w:pPr>
              <w:pStyle w:val="ChecklistXs"/>
            </w:pPr>
            <w:r>
              <w:t>X</w:t>
            </w:r>
          </w:p>
        </w:tc>
      </w:tr>
      <w:tr w:rsidR="00E5618D" w14:paraId="362FFF67" w14:textId="77777777" w:rsidTr="00AE6F44">
        <w:trPr>
          <w:cantSplit/>
          <w:jc w:val="center"/>
        </w:trPr>
        <w:tc>
          <w:tcPr>
            <w:tcW w:w="4666" w:type="dxa"/>
            <w:tcBorders>
              <w:top w:val="single" w:sz="6" w:space="0" w:color="auto"/>
              <w:left w:val="nil"/>
              <w:bottom w:val="single" w:sz="4" w:space="0" w:color="auto"/>
              <w:right w:val="single" w:sz="6" w:space="0" w:color="auto"/>
            </w:tcBorders>
          </w:tcPr>
          <w:p w14:paraId="35700E0E" w14:textId="77777777" w:rsidR="00E5618D" w:rsidRDefault="00E5618D" w:rsidP="00E5618D">
            <w:pPr>
              <w:pStyle w:val="TblTxt1"/>
            </w:pPr>
            <w:r>
              <w:t>e)</w:t>
            </w:r>
            <w:r>
              <w:tab/>
              <w:t>Have soils incapable of adequately supporting the use of septic tanks or alternative waste water disposal systems where sewers are not available for the disposal of waste water?</w:t>
            </w:r>
          </w:p>
        </w:tc>
        <w:tc>
          <w:tcPr>
            <w:tcW w:w="1170" w:type="dxa"/>
            <w:tcBorders>
              <w:top w:val="single" w:sz="6" w:space="0" w:color="auto"/>
              <w:left w:val="single" w:sz="6" w:space="0" w:color="auto"/>
              <w:bottom w:val="single" w:sz="4" w:space="0" w:color="auto"/>
              <w:right w:val="single" w:sz="6" w:space="0" w:color="auto"/>
            </w:tcBorders>
            <w:vAlign w:val="center"/>
          </w:tcPr>
          <w:p w14:paraId="26D80960" w14:textId="77777777" w:rsidR="00E5618D" w:rsidRPr="00F339B2" w:rsidRDefault="00E5618D" w:rsidP="00E5618D">
            <w:pPr>
              <w:pStyle w:val="ChecklistXs"/>
            </w:pPr>
          </w:p>
        </w:tc>
        <w:tc>
          <w:tcPr>
            <w:tcW w:w="1170" w:type="dxa"/>
            <w:tcBorders>
              <w:top w:val="single" w:sz="6" w:space="0" w:color="auto"/>
              <w:left w:val="single" w:sz="6" w:space="0" w:color="auto"/>
              <w:bottom w:val="single" w:sz="4" w:space="0" w:color="auto"/>
              <w:right w:val="single" w:sz="6" w:space="0" w:color="auto"/>
            </w:tcBorders>
            <w:vAlign w:val="center"/>
          </w:tcPr>
          <w:p w14:paraId="48EC7CFE" w14:textId="77777777" w:rsidR="00E5618D" w:rsidRPr="00F339B2" w:rsidRDefault="00E5618D" w:rsidP="00E5618D">
            <w:pPr>
              <w:pStyle w:val="ChecklistXs"/>
            </w:pPr>
          </w:p>
        </w:tc>
        <w:tc>
          <w:tcPr>
            <w:tcW w:w="1170" w:type="dxa"/>
            <w:tcBorders>
              <w:top w:val="single" w:sz="6" w:space="0" w:color="auto"/>
              <w:left w:val="single" w:sz="6" w:space="0" w:color="auto"/>
              <w:bottom w:val="single" w:sz="4" w:space="0" w:color="auto"/>
              <w:right w:val="single" w:sz="6" w:space="0" w:color="auto"/>
            </w:tcBorders>
            <w:vAlign w:val="center"/>
          </w:tcPr>
          <w:p w14:paraId="3384034D" w14:textId="77777777" w:rsidR="00E5618D" w:rsidRPr="00F339B2" w:rsidRDefault="00E5618D" w:rsidP="00E5618D">
            <w:pPr>
              <w:pStyle w:val="ChecklistXs"/>
            </w:pPr>
          </w:p>
        </w:tc>
        <w:tc>
          <w:tcPr>
            <w:tcW w:w="1155" w:type="dxa"/>
            <w:tcBorders>
              <w:top w:val="single" w:sz="6" w:space="0" w:color="auto"/>
              <w:left w:val="single" w:sz="6" w:space="0" w:color="auto"/>
              <w:bottom w:val="single" w:sz="4" w:space="0" w:color="auto"/>
              <w:right w:val="nil"/>
            </w:tcBorders>
            <w:vAlign w:val="center"/>
          </w:tcPr>
          <w:p w14:paraId="6A7F7172" w14:textId="77777777" w:rsidR="00E5618D" w:rsidRPr="00F339B2" w:rsidRDefault="00B96A21" w:rsidP="00E5618D">
            <w:pPr>
              <w:pStyle w:val="ChecklistXs"/>
            </w:pPr>
            <w:r>
              <w:t>X</w:t>
            </w:r>
          </w:p>
        </w:tc>
      </w:tr>
      <w:tr w:rsidR="00E5618D" w14:paraId="7EA40114" w14:textId="77777777" w:rsidTr="00AE6F44">
        <w:trPr>
          <w:cantSplit/>
          <w:jc w:val="center"/>
        </w:trPr>
        <w:tc>
          <w:tcPr>
            <w:tcW w:w="4666" w:type="dxa"/>
            <w:tcBorders>
              <w:top w:val="single" w:sz="4" w:space="0" w:color="auto"/>
              <w:left w:val="nil"/>
              <w:bottom w:val="single" w:sz="12" w:space="0" w:color="auto"/>
              <w:right w:val="single" w:sz="6" w:space="0" w:color="auto"/>
            </w:tcBorders>
          </w:tcPr>
          <w:p w14:paraId="6A65D5DA" w14:textId="77777777" w:rsidR="00E5618D" w:rsidRDefault="00E5618D" w:rsidP="00E5618D">
            <w:pPr>
              <w:pStyle w:val="TblTxt1"/>
            </w:pPr>
            <w:r>
              <w:t>f)</w:t>
            </w:r>
            <w:r>
              <w:tab/>
            </w:r>
            <w:r w:rsidRPr="00D247F0">
              <w:t>Directly or indirectly destroy a unique paleontological resource or site or unique geologic feature?</w:t>
            </w:r>
          </w:p>
        </w:tc>
        <w:tc>
          <w:tcPr>
            <w:tcW w:w="1170" w:type="dxa"/>
            <w:tcBorders>
              <w:top w:val="single" w:sz="4" w:space="0" w:color="auto"/>
              <w:left w:val="single" w:sz="6" w:space="0" w:color="auto"/>
              <w:bottom w:val="single" w:sz="12" w:space="0" w:color="auto"/>
              <w:right w:val="single" w:sz="6" w:space="0" w:color="auto"/>
            </w:tcBorders>
            <w:vAlign w:val="center"/>
          </w:tcPr>
          <w:p w14:paraId="5FC9F851" w14:textId="77777777" w:rsidR="00E5618D" w:rsidRPr="00F339B2" w:rsidRDefault="00E5618D" w:rsidP="00E5618D">
            <w:pPr>
              <w:pStyle w:val="ChecklistXs"/>
            </w:pPr>
          </w:p>
        </w:tc>
        <w:tc>
          <w:tcPr>
            <w:tcW w:w="1170" w:type="dxa"/>
            <w:tcBorders>
              <w:top w:val="single" w:sz="4" w:space="0" w:color="auto"/>
              <w:left w:val="single" w:sz="6" w:space="0" w:color="auto"/>
              <w:bottom w:val="single" w:sz="12" w:space="0" w:color="auto"/>
              <w:right w:val="single" w:sz="6" w:space="0" w:color="auto"/>
            </w:tcBorders>
            <w:vAlign w:val="center"/>
          </w:tcPr>
          <w:p w14:paraId="62481962" w14:textId="77777777" w:rsidR="00E5618D" w:rsidRPr="00F339B2" w:rsidRDefault="009515DC" w:rsidP="00E5618D">
            <w:pPr>
              <w:pStyle w:val="ChecklistXs"/>
            </w:pPr>
            <w:r>
              <w:t>X</w:t>
            </w:r>
          </w:p>
        </w:tc>
        <w:tc>
          <w:tcPr>
            <w:tcW w:w="1170" w:type="dxa"/>
            <w:tcBorders>
              <w:top w:val="single" w:sz="4" w:space="0" w:color="auto"/>
              <w:left w:val="single" w:sz="6" w:space="0" w:color="auto"/>
              <w:bottom w:val="single" w:sz="12" w:space="0" w:color="auto"/>
              <w:right w:val="single" w:sz="6" w:space="0" w:color="auto"/>
            </w:tcBorders>
            <w:vAlign w:val="center"/>
          </w:tcPr>
          <w:p w14:paraId="0302BC44" w14:textId="77777777" w:rsidR="00E5618D" w:rsidRPr="00F339B2" w:rsidRDefault="00E5618D" w:rsidP="00E5618D">
            <w:pPr>
              <w:pStyle w:val="ChecklistXs"/>
            </w:pPr>
          </w:p>
        </w:tc>
        <w:tc>
          <w:tcPr>
            <w:tcW w:w="1155" w:type="dxa"/>
            <w:tcBorders>
              <w:top w:val="single" w:sz="4" w:space="0" w:color="auto"/>
              <w:left w:val="single" w:sz="6" w:space="0" w:color="auto"/>
              <w:bottom w:val="single" w:sz="12" w:space="0" w:color="auto"/>
              <w:right w:val="nil"/>
            </w:tcBorders>
            <w:vAlign w:val="center"/>
          </w:tcPr>
          <w:p w14:paraId="1AFD3341" w14:textId="77777777" w:rsidR="00E5618D" w:rsidRPr="00F339B2" w:rsidRDefault="00E5618D" w:rsidP="00E5618D">
            <w:pPr>
              <w:pStyle w:val="ChecklistXs"/>
            </w:pPr>
          </w:p>
        </w:tc>
      </w:tr>
      <w:tr w:rsidR="00E5618D" w14:paraId="13586D30" w14:textId="77777777" w:rsidTr="00AE6F44">
        <w:trPr>
          <w:cantSplit/>
          <w:jc w:val="center"/>
        </w:trPr>
        <w:tc>
          <w:tcPr>
            <w:tcW w:w="9331" w:type="dxa"/>
            <w:gridSpan w:val="5"/>
            <w:tcBorders>
              <w:top w:val="single" w:sz="12" w:space="0" w:color="auto"/>
              <w:left w:val="nil"/>
              <w:right w:val="nil"/>
            </w:tcBorders>
            <w:shd w:val="clear" w:color="auto" w:fill="E0E0E0"/>
          </w:tcPr>
          <w:p w14:paraId="74CA6382" w14:textId="77777777" w:rsidR="00E5618D" w:rsidRPr="005C6840" w:rsidRDefault="00E5618D" w:rsidP="00E5618D">
            <w:pPr>
              <w:pStyle w:val="ChecklistSubhead"/>
            </w:pPr>
            <w:r w:rsidRPr="00A7449B">
              <w:t>VII</w:t>
            </w:r>
            <w:r>
              <w:t xml:space="preserve">I. GREENHOUSE GAS EMISSIONS. </w:t>
            </w:r>
            <w:r w:rsidRPr="00B74932">
              <w:rPr>
                <w:rStyle w:val="ChecklistSubText"/>
                <w:b/>
              </w:rPr>
              <w:t>Would the project:</w:t>
            </w:r>
          </w:p>
        </w:tc>
      </w:tr>
      <w:tr w:rsidR="00E5618D" w14:paraId="284F4D15" w14:textId="77777777" w:rsidTr="00AE6F44">
        <w:trPr>
          <w:cantSplit/>
          <w:jc w:val="center"/>
        </w:trPr>
        <w:tc>
          <w:tcPr>
            <w:tcW w:w="4666" w:type="dxa"/>
            <w:tcBorders>
              <w:top w:val="single" w:sz="6" w:space="0" w:color="auto"/>
              <w:left w:val="nil"/>
              <w:right w:val="single" w:sz="6" w:space="0" w:color="auto"/>
            </w:tcBorders>
          </w:tcPr>
          <w:p w14:paraId="426180C3" w14:textId="77777777" w:rsidR="00E5618D" w:rsidRDefault="00E5618D" w:rsidP="00E5618D">
            <w:pPr>
              <w:pStyle w:val="TblTxt1"/>
            </w:pPr>
            <w:r>
              <w:t>a)</w:t>
            </w:r>
            <w:r>
              <w:tab/>
              <w:t>Generate greenhouse gas emissions, either directly or indirectly, that may have a significant impact on the environment?</w:t>
            </w:r>
          </w:p>
        </w:tc>
        <w:tc>
          <w:tcPr>
            <w:tcW w:w="1170" w:type="dxa"/>
            <w:tcBorders>
              <w:top w:val="single" w:sz="6" w:space="0" w:color="auto"/>
              <w:left w:val="single" w:sz="6" w:space="0" w:color="auto"/>
              <w:right w:val="single" w:sz="6" w:space="0" w:color="auto"/>
            </w:tcBorders>
            <w:vAlign w:val="center"/>
          </w:tcPr>
          <w:p w14:paraId="319586C4"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505FE372"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09A568E1" w14:textId="77777777" w:rsidR="00E5618D" w:rsidRPr="00F339B2" w:rsidRDefault="0082260D" w:rsidP="00E5618D">
            <w:pPr>
              <w:pStyle w:val="ChecklistXs"/>
            </w:pPr>
            <w:r>
              <w:t>X</w:t>
            </w:r>
          </w:p>
        </w:tc>
        <w:tc>
          <w:tcPr>
            <w:tcW w:w="1155" w:type="dxa"/>
            <w:tcBorders>
              <w:top w:val="single" w:sz="6" w:space="0" w:color="auto"/>
              <w:left w:val="single" w:sz="6" w:space="0" w:color="auto"/>
              <w:right w:val="nil"/>
            </w:tcBorders>
            <w:vAlign w:val="center"/>
          </w:tcPr>
          <w:p w14:paraId="29B538C3" w14:textId="77777777" w:rsidR="00E5618D" w:rsidRPr="00F339B2" w:rsidRDefault="00E5618D" w:rsidP="00E5618D">
            <w:pPr>
              <w:pStyle w:val="ChecklistXs"/>
            </w:pPr>
          </w:p>
        </w:tc>
      </w:tr>
      <w:tr w:rsidR="00E5618D" w14:paraId="3BE9C01E" w14:textId="77777777" w:rsidTr="00AE6F44">
        <w:trPr>
          <w:cantSplit/>
          <w:jc w:val="center"/>
        </w:trPr>
        <w:tc>
          <w:tcPr>
            <w:tcW w:w="4666" w:type="dxa"/>
            <w:tcBorders>
              <w:top w:val="single" w:sz="6" w:space="0" w:color="auto"/>
              <w:left w:val="nil"/>
              <w:right w:val="single" w:sz="6" w:space="0" w:color="auto"/>
            </w:tcBorders>
          </w:tcPr>
          <w:p w14:paraId="054CF9F8" w14:textId="77777777" w:rsidR="00E5618D" w:rsidRDefault="00E5618D" w:rsidP="00E5618D">
            <w:pPr>
              <w:pStyle w:val="TblTxt1"/>
            </w:pPr>
            <w:r>
              <w:t>b)</w:t>
            </w:r>
            <w:r>
              <w:tab/>
              <w:t>Conflict with an applicable plan, policy or regulation adopted for the purpose of reducing the emissions of greenhouse gases?</w:t>
            </w:r>
          </w:p>
        </w:tc>
        <w:tc>
          <w:tcPr>
            <w:tcW w:w="1170" w:type="dxa"/>
            <w:tcBorders>
              <w:top w:val="single" w:sz="6" w:space="0" w:color="auto"/>
              <w:left w:val="single" w:sz="6" w:space="0" w:color="auto"/>
              <w:right w:val="single" w:sz="6" w:space="0" w:color="auto"/>
            </w:tcBorders>
            <w:vAlign w:val="center"/>
          </w:tcPr>
          <w:p w14:paraId="751E62AD"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29BC80E8"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3FAA1A13" w14:textId="77777777" w:rsidR="00E5618D" w:rsidRPr="00F339B2" w:rsidRDefault="00E5618D" w:rsidP="00E5618D">
            <w:pPr>
              <w:pStyle w:val="ChecklistXs"/>
            </w:pPr>
          </w:p>
        </w:tc>
        <w:tc>
          <w:tcPr>
            <w:tcW w:w="1155" w:type="dxa"/>
            <w:tcBorders>
              <w:top w:val="single" w:sz="6" w:space="0" w:color="auto"/>
              <w:left w:val="single" w:sz="6" w:space="0" w:color="auto"/>
              <w:right w:val="nil"/>
            </w:tcBorders>
            <w:vAlign w:val="center"/>
          </w:tcPr>
          <w:p w14:paraId="7BB723EA" w14:textId="77777777" w:rsidR="00E5618D" w:rsidRPr="00F339B2" w:rsidRDefault="00816F17" w:rsidP="00E5618D">
            <w:pPr>
              <w:pStyle w:val="ChecklistXs"/>
            </w:pPr>
            <w:r>
              <w:t>X</w:t>
            </w:r>
          </w:p>
        </w:tc>
      </w:tr>
      <w:tr w:rsidR="00E5618D" w14:paraId="61CAD0F3" w14:textId="77777777" w:rsidTr="00AE6F44">
        <w:trPr>
          <w:cantSplit/>
          <w:jc w:val="center"/>
        </w:trPr>
        <w:tc>
          <w:tcPr>
            <w:tcW w:w="9331" w:type="dxa"/>
            <w:gridSpan w:val="5"/>
            <w:tcBorders>
              <w:top w:val="single" w:sz="12" w:space="0" w:color="auto"/>
              <w:left w:val="nil"/>
              <w:right w:val="nil"/>
            </w:tcBorders>
            <w:shd w:val="clear" w:color="auto" w:fill="E0E0E0"/>
          </w:tcPr>
          <w:p w14:paraId="117C1F56" w14:textId="77777777" w:rsidR="00E5618D" w:rsidRDefault="00E5618D" w:rsidP="00E5618D">
            <w:pPr>
              <w:pStyle w:val="ChecklistSubhead"/>
            </w:pPr>
            <w:r>
              <w:t xml:space="preserve">IX. </w:t>
            </w:r>
            <w:r w:rsidRPr="00A7449B">
              <w:t xml:space="preserve">HAZARDS AND HAZARDOUS MATERIALS. </w:t>
            </w:r>
            <w:r w:rsidRPr="00B74932">
              <w:rPr>
                <w:rStyle w:val="ChecklistSubText"/>
                <w:b/>
              </w:rPr>
              <w:t>Would the project:</w:t>
            </w:r>
          </w:p>
        </w:tc>
      </w:tr>
      <w:tr w:rsidR="00E5618D" w14:paraId="09167172" w14:textId="77777777" w:rsidTr="00AE6F44">
        <w:trPr>
          <w:cantSplit/>
          <w:jc w:val="center"/>
        </w:trPr>
        <w:tc>
          <w:tcPr>
            <w:tcW w:w="4666" w:type="dxa"/>
            <w:tcBorders>
              <w:top w:val="single" w:sz="6" w:space="0" w:color="auto"/>
              <w:left w:val="nil"/>
              <w:right w:val="single" w:sz="6" w:space="0" w:color="auto"/>
            </w:tcBorders>
          </w:tcPr>
          <w:p w14:paraId="3CBEE8A6" w14:textId="77777777" w:rsidR="00E5618D" w:rsidRDefault="00E5618D" w:rsidP="00E5618D">
            <w:pPr>
              <w:pStyle w:val="TblTxt1"/>
            </w:pPr>
            <w:r>
              <w:t>a)</w:t>
            </w:r>
            <w:r>
              <w:tab/>
              <w:t>Create a significant hazard to the public or the environment through the routine transport, use, or disposal of hazardous materials?</w:t>
            </w:r>
          </w:p>
        </w:tc>
        <w:tc>
          <w:tcPr>
            <w:tcW w:w="1170" w:type="dxa"/>
            <w:tcBorders>
              <w:top w:val="single" w:sz="6" w:space="0" w:color="auto"/>
              <w:left w:val="single" w:sz="6" w:space="0" w:color="auto"/>
              <w:right w:val="single" w:sz="6" w:space="0" w:color="auto"/>
            </w:tcBorders>
            <w:vAlign w:val="center"/>
          </w:tcPr>
          <w:p w14:paraId="02EFF124"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4A029478" w14:textId="77777777" w:rsidR="00E5618D" w:rsidRPr="00F339B2" w:rsidRDefault="00BB3DD7" w:rsidP="00E5618D">
            <w:pPr>
              <w:pStyle w:val="ChecklistXs"/>
            </w:pPr>
            <w:r>
              <w:t>X</w:t>
            </w:r>
          </w:p>
        </w:tc>
        <w:tc>
          <w:tcPr>
            <w:tcW w:w="1170" w:type="dxa"/>
            <w:tcBorders>
              <w:top w:val="single" w:sz="6" w:space="0" w:color="auto"/>
              <w:left w:val="single" w:sz="6" w:space="0" w:color="auto"/>
              <w:right w:val="single" w:sz="6" w:space="0" w:color="auto"/>
            </w:tcBorders>
            <w:vAlign w:val="center"/>
          </w:tcPr>
          <w:p w14:paraId="6006A7BF" w14:textId="77777777" w:rsidR="00E5618D" w:rsidRPr="00F339B2" w:rsidRDefault="00E5618D" w:rsidP="00E5618D">
            <w:pPr>
              <w:pStyle w:val="ChecklistXs"/>
            </w:pPr>
          </w:p>
        </w:tc>
        <w:tc>
          <w:tcPr>
            <w:tcW w:w="1155" w:type="dxa"/>
            <w:tcBorders>
              <w:top w:val="single" w:sz="6" w:space="0" w:color="auto"/>
              <w:left w:val="single" w:sz="6" w:space="0" w:color="auto"/>
              <w:right w:val="nil"/>
            </w:tcBorders>
            <w:vAlign w:val="center"/>
          </w:tcPr>
          <w:p w14:paraId="7A5E274B" w14:textId="77777777" w:rsidR="00E5618D" w:rsidRPr="00F339B2" w:rsidRDefault="00E5618D" w:rsidP="00E5618D">
            <w:pPr>
              <w:pStyle w:val="ChecklistXs"/>
            </w:pPr>
          </w:p>
        </w:tc>
      </w:tr>
      <w:tr w:rsidR="00E5618D" w14:paraId="25C000EB" w14:textId="77777777" w:rsidTr="00AE6F44">
        <w:trPr>
          <w:cantSplit/>
          <w:jc w:val="center"/>
        </w:trPr>
        <w:tc>
          <w:tcPr>
            <w:tcW w:w="4666" w:type="dxa"/>
            <w:tcBorders>
              <w:top w:val="single" w:sz="6" w:space="0" w:color="auto"/>
              <w:left w:val="nil"/>
              <w:right w:val="single" w:sz="6" w:space="0" w:color="auto"/>
            </w:tcBorders>
          </w:tcPr>
          <w:p w14:paraId="3D0AC601" w14:textId="77777777" w:rsidR="00E5618D" w:rsidRDefault="00E5618D" w:rsidP="00E5618D">
            <w:pPr>
              <w:pStyle w:val="TblTxt1"/>
            </w:pPr>
            <w:r>
              <w:t>b)</w:t>
            </w:r>
            <w:r>
              <w:tab/>
              <w:t>Create a significant hazard to the public or the environment through reasonably foreseeable upset and accident conditions involving the release of hazardous materials into the environment?</w:t>
            </w:r>
          </w:p>
        </w:tc>
        <w:tc>
          <w:tcPr>
            <w:tcW w:w="1170" w:type="dxa"/>
            <w:tcBorders>
              <w:top w:val="single" w:sz="6" w:space="0" w:color="auto"/>
              <w:left w:val="single" w:sz="6" w:space="0" w:color="auto"/>
              <w:right w:val="single" w:sz="6" w:space="0" w:color="auto"/>
            </w:tcBorders>
            <w:vAlign w:val="center"/>
          </w:tcPr>
          <w:p w14:paraId="615AF8EA"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7A0C2011" w14:textId="77777777" w:rsidR="00E5618D" w:rsidRPr="00F339B2" w:rsidRDefault="003B3586" w:rsidP="00E5618D">
            <w:pPr>
              <w:pStyle w:val="ChecklistXs"/>
            </w:pPr>
            <w:r>
              <w:t>X</w:t>
            </w:r>
          </w:p>
        </w:tc>
        <w:tc>
          <w:tcPr>
            <w:tcW w:w="1170" w:type="dxa"/>
            <w:tcBorders>
              <w:top w:val="single" w:sz="6" w:space="0" w:color="auto"/>
              <w:left w:val="single" w:sz="6" w:space="0" w:color="auto"/>
              <w:right w:val="single" w:sz="6" w:space="0" w:color="auto"/>
            </w:tcBorders>
            <w:vAlign w:val="center"/>
          </w:tcPr>
          <w:p w14:paraId="3E371E11" w14:textId="77777777" w:rsidR="00E5618D" w:rsidRPr="00F339B2" w:rsidRDefault="00E5618D" w:rsidP="00E5618D">
            <w:pPr>
              <w:pStyle w:val="ChecklistXs"/>
            </w:pPr>
          </w:p>
        </w:tc>
        <w:tc>
          <w:tcPr>
            <w:tcW w:w="1155" w:type="dxa"/>
            <w:tcBorders>
              <w:top w:val="single" w:sz="6" w:space="0" w:color="auto"/>
              <w:left w:val="single" w:sz="6" w:space="0" w:color="auto"/>
              <w:right w:val="nil"/>
            </w:tcBorders>
            <w:vAlign w:val="center"/>
          </w:tcPr>
          <w:p w14:paraId="63894F9C" w14:textId="77777777" w:rsidR="00E5618D" w:rsidRPr="00F339B2" w:rsidRDefault="00E5618D" w:rsidP="00E5618D">
            <w:pPr>
              <w:pStyle w:val="ChecklistXs"/>
            </w:pPr>
          </w:p>
        </w:tc>
      </w:tr>
      <w:tr w:rsidR="00E5618D" w14:paraId="1D50DE42" w14:textId="77777777" w:rsidTr="00AE6F44">
        <w:trPr>
          <w:cantSplit/>
          <w:jc w:val="center"/>
        </w:trPr>
        <w:tc>
          <w:tcPr>
            <w:tcW w:w="4666" w:type="dxa"/>
            <w:tcBorders>
              <w:top w:val="single" w:sz="6" w:space="0" w:color="auto"/>
              <w:left w:val="nil"/>
              <w:right w:val="single" w:sz="6" w:space="0" w:color="auto"/>
            </w:tcBorders>
          </w:tcPr>
          <w:p w14:paraId="51F00AC4" w14:textId="77777777" w:rsidR="00E5618D" w:rsidRDefault="00E5618D" w:rsidP="00E5618D">
            <w:pPr>
              <w:pStyle w:val="TblTxt1"/>
            </w:pPr>
            <w:r>
              <w:t>c)</w:t>
            </w:r>
            <w:r>
              <w:tab/>
              <w:t>Emit hazardous emissions or handle hazardous or acutely hazardous materials, substances, or waste within one-quarter mile of an existing or proposed school?</w:t>
            </w:r>
          </w:p>
        </w:tc>
        <w:tc>
          <w:tcPr>
            <w:tcW w:w="1170" w:type="dxa"/>
            <w:tcBorders>
              <w:top w:val="single" w:sz="6" w:space="0" w:color="auto"/>
              <w:left w:val="single" w:sz="6" w:space="0" w:color="auto"/>
              <w:right w:val="single" w:sz="6" w:space="0" w:color="auto"/>
            </w:tcBorders>
            <w:vAlign w:val="center"/>
          </w:tcPr>
          <w:p w14:paraId="00D9E16A"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41A95BAD"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192ED039" w14:textId="77777777" w:rsidR="00E5618D" w:rsidRPr="00F339B2" w:rsidRDefault="00707B03" w:rsidP="00E5618D">
            <w:pPr>
              <w:pStyle w:val="ChecklistXs"/>
            </w:pPr>
            <w:r>
              <w:t>X</w:t>
            </w:r>
          </w:p>
        </w:tc>
        <w:tc>
          <w:tcPr>
            <w:tcW w:w="1155" w:type="dxa"/>
            <w:tcBorders>
              <w:top w:val="single" w:sz="6" w:space="0" w:color="auto"/>
              <w:left w:val="single" w:sz="6" w:space="0" w:color="auto"/>
              <w:right w:val="nil"/>
            </w:tcBorders>
            <w:vAlign w:val="center"/>
          </w:tcPr>
          <w:p w14:paraId="33F6C784" w14:textId="77777777" w:rsidR="00E5618D" w:rsidRPr="00F339B2" w:rsidRDefault="00E5618D" w:rsidP="00E5618D">
            <w:pPr>
              <w:pStyle w:val="ChecklistXs"/>
            </w:pPr>
          </w:p>
        </w:tc>
      </w:tr>
      <w:tr w:rsidR="00E5618D" w14:paraId="4CDC7A1B" w14:textId="77777777" w:rsidTr="00AE6F44">
        <w:trPr>
          <w:cantSplit/>
          <w:jc w:val="center"/>
        </w:trPr>
        <w:tc>
          <w:tcPr>
            <w:tcW w:w="4666" w:type="dxa"/>
            <w:tcBorders>
              <w:top w:val="single" w:sz="6" w:space="0" w:color="auto"/>
              <w:left w:val="nil"/>
              <w:right w:val="single" w:sz="6" w:space="0" w:color="auto"/>
            </w:tcBorders>
          </w:tcPr>
          <w:p w14:paraId="426B5282" w14:textId="77777777" w:rsidR="00E5618D" w:rsidRDefault="00E5618D" w:rsidP="00E5618D">
            <w:pPr>
              <w:pStyle w:val="TblTxt1"/>
            </w:pPr>
            <w:r>
              <w:t>d)</w:t>
            </w:r>
            <w:r>
              <w:tab/>
              <w:t xml:space="preserve">Be located on a site which is included on a list of hazardous materials sites compiled pursuant to Government Code § 65962.5 and, as a result, would it create a significant hazard to the public or the environment? </w:t>
            </w:r>
          </w:p>
        </w:tc>
        <w:tc>
          <w:tcPr>
            <w:tcW w:w="1170" w:type="dxa"/>
            <w:tcBorders>
              <w:top w:val="single" w:sz="6" w:space="0" w:color="auto"/>
              <w:left w:val="single" w:sz="6" w:space="0" w:color="auto"/>
              <w:right w:val="single" w:sz="6" w:space="0" w:color="auto"/>
            </w:tcBorders>
            <w:vAlign w:val="center"/>
          </w:tcPr>
          <w:p w14:paraId="2A491879"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513CAC3A" w14:textId="77777777" w:rsidR="00E5618D" w:rsidRPr="00F339B2" w:rsidRDefault="003B3586" w:rsidP="00E5618D">
            <w:pPr>
              <w:pStyle w:val="ChecklistXs"/>
            </w:pPr>
            <w:r>
              <w:t>X</w:t>
            </w:r>
          </w:p>
        </w:tc>
        <w:tc>
          <w:tcPr>
            <w:tcW w:w="1170" w:type="dxa"/>
            <w:tcBorders>
              <w:top w:val="single" w:sz="6" w:space="0" w:color="auto"/>
              <w:left w:val="single" w:sz="6" w:space="0" w:color="auto"/>
              <w:right w:val="single" w:sz="6" w:space="0" w:color="auto"/>
            </w:tcBorders>
            <w:vAlign w:val="center"/>
          </w:tcPr>
          <w:p w14:paraId="1FA817D8" w14:textId="77777777" w:rsidR="00E5618D" w:rsidRPr="00F339B2" w:rsidRDefault="00E5618D" w:rsidP="00E5618D">
            <w:pPr>
              <w:pStyle w:val="ChecklistXs"/>
            </w:pPr>
          </w:p>
        </w:tc>
        <w:tc>
          <w:tcPr>
            <w:tcW w:w="1155" w:type="dxa"/>
            <w:tcBorders>
              <w:top w:val="single" w:sz="6" w:space="0" w:color="auto"/>
              <w:left w:val="single" w:sz="6" w:space="0" w:color="auto"/>
              <w:right w:val="nil"/>
            </w:tcBorders>
            <w:vAlign w:val="center"/>
          </w:tcPr>
          <w:p w14:paraId="0EA78D18" w14:textId="77777777" w:rsidR="00E5618D" w:rsidRPr="00F339B2" w:rsidRDefault="00E5618D" w:rsidP="00E5618D">
            <w:pPr>
              <w:pStyle w:val="ChecklistXs"/>
            </w:pPr>
          </w:p>
        </w:tc>
      </w:tr>
      <w:tr w:rsidR="00E5618D" w14:paraId="3C8F9345" w14:textId="77777777" w:rsidTr="00AE6F44">
        <w:trPr>
          <w:cantSplit/>
          <w:jc w:val="center"/>
        </w:trPr>
        <w:tc>
          <w:tcPr>
            <w:tcW w:w="4666" w:type="dxa"/>
            <w:tcBorders>
              <w:top w:val="single" w:sz="6" w:space="0" w:color="auto"/>
              <w:left w:val="nil"/>
              <w:right w:val="single" w:sz="6" w:space="0" w:color="auto"/>
            </w:tcBorders>
          </w:tcPr>
          <w:p w14:paraId="414533FA" w14:textId="77777777" w:rsidR="00E5618D" w:rsidRDefault="00E5618D" w:rsidP="00E5618D">
            <w:pPr>
              <w:pStyle w:val="TblTxt1"/>
            </w:pPr>
            <w:r>
              <w:t>e)</w:t>
            </w:r>
            <w:r>
              <w:tab/>
              <w:t>For a project located within an airport land use plan or, where such a plan has not been adopted, within two miles of a public airport or public use airport, would the project result in a safety hazard or excessive noise for people residing or working in the project area?</w:t>
            </w:r>
          </w:p>
        </w:tc>
        <w:tc>
          <w:tcPr>
            <w:tcW w:w="1170" w:type="dxa"/>
            <w:tcBorders>
              <w:top w:val="single" w:sz="6" w:space="0" w:color="auto"/>
              <w:left w:val="single" w:sz="6" w:space="0" w:color="auto"/>
              <w:right w:val="single" w:sz="6" w:space="0" w:color="auto"/>
            </w:tcBorders>
            <w:vAlign w:val="center"/>
          </w:tcPr>
          <w:p w14:paraId="16E7D351"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56A28791"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3437A7E8" w14:textId="77777777" w:rsidR="00E5618D" w:rsidRPr="00F339B2" w:rsidRDefault="00E5618D" w:rsidP="00E5618D">
            <w:pPr>
              <w:pStyle w:val="ChecklistXs"/>
            </w:pPr>
          </w:p>
        </w:tc>
        <w:tc>
          <w:tcPr>
            <w:tcW w:w="1155" w:type="dxa"/>
            <w:tcBorders>
              <w:top w:val="single" w:sz="6" w:space="0" w:color="auto"/>
              <w:left w:val="single" w:sz="6" w:space="0" w:color="auto"/>
              <w:right w:val="nil"/>
            </w:tcBorders>
            <w:vAlign w:val="center"/>
          </w:tcPr>
          <w:p w14:paraId="56314E24" w14:textId="77777777" w:rsidR="00E5618D" w:rsidRPr="00F339B2" w:rsidRDefault="00B96A21" w:rsidP="00E5618D">
            <w:pPr>
              <w:pStyle w:val="ChecklistXs"/>
            </w:pPr>
            <w:r>
              <w:t>X</w:t>
            </w:r>
          </w:p>
        </w:tc>
      </w:tr>
      <w:tr w:rsidR="00E5618D" w14:paraId="50725000" w14:textId="77777777" w:rsidTr="00AE6F44">
        <w:trPr>
          <w:cantSplit/>
          <w:jc w:val="center"/>
        </w:trPr>
        <w:tc>
          <w:tcPr>
            <w:tcW w:w="4666" w:type="dxa"/>
            <w:tcBorders>
              <w:top w:val="single" w:sz="6" w:space="0" w:color="auto"/>
              <w:left w:val="nil"/>
              <w:right w:val="single" w:sz="6" w:space="0" w:color="auto"/>
            </w:tcBorders>
          </w:tcPr>
          <w:p w14:paraId="6B118FE3" w14:textId="77777777" w:rsidR="00E5618D" w:rsidRDefault="00E5618D" w:rsidP="00E5618D">
            <w:pPr>
              <w:pStyle w:val="TblTxt1"/>
            </w:pPr>
            <w:r>
              <w:t>f)</w:t>
            </w:r>
            <w:r>
              <w:tab/>
              <w:t>Impair implementation of or physically interfere with an adopted emergency response plan or emergency evacuation plan?</w:t>
            </w:r>
          </w:p>
        </w:tc>
        <w:tc>
          <w:tcPr>
            <w:tcW w:w="1170" w:type="dxa"/>
            <w:tcBorders>
              <w:top w:val="single" w:sz="6" w:space="0" w:color="auto"/>
              <w:left w:val="single" w:sz="6" w:space="0" w:color="auto"/>
              <w:right w:val="single" w:sz="6" w:space="0" w:color="auto"/>
            </w:tcBorders>
            <w:vAlign w:val="center"/>
          </w:tcPr>
          <w:p w14:paraId="1BC9DECB"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2A74D7CE"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5F87CD4E" w14:textId="77777777" w:rsidR="00E5618D" w:rsidRPr="00F339B2" w:rsidRDefault="00E5618D" w:rsidP="00E5618D">
            <w:pPr>
              <w:pStyle w:val="ChecklistXs"/>
            </w:pPr>
          </w:p>
        </w:tc>
        <w:tc>
          <w:tcPr>
            <w:tcW w:w="1155" w:type="dxa"/>
            <w:tcBorders>
              <w:top w:val="single" w:sz="6" w:space="0" w:color="auto"/>
              <w:left w:val="single" w:sz="6" w:space="0" w:color="auto"/>
              <w:right w:val="nil"/>
            </w:tcBorders>
            <w:vAlign w:val="center"/>
          </w:tcPr>
          <w:p w14:paraId="77DC1082" w14:textId="77777777" w:rsidR="00E5618D" w:rsidRPr="00F339B2" w:rsidRDefault="00B96A21" w:rsidP="00E5618D">
            <w:pPr>
              <w:pStyle w:val="ChecklistXs"/>
            </w:pPr>
            <w:r>
              <w:t>X</w:t>
            </w:r>
          </w:p>
        </w:tc>
      </w:tr>
      <w:tr w:rsidR="00E5618D" w14:paraId="105D8F6A" w14:textId="77777777" w:rsidTr="00AE6F44">
        <w:trPr>
          <w:cantSplit/>
          <w:jc w:val="center"/>
        </w:trPr>
        <w:tc>
          <w:tcPr>
            <w:tcW w:w="4666" w:type="dxa"/>
            <w:tcBorders>
              <w:top w:val="single" w:sz="6" w:space="0" w:color="auto"/>
              <w:left w:val="nil"/>
              <w:bottom w:val="single" w:sz="12" w:space="0" w:color="auto"/>
              <w:right w:val="single" w:sz="6" w:space="0" w:color="auto"/>
            </w:tcBorders>
          </w:tcPr>
          <w:p w14:paraId="4C73E4BE" w14:textId="77777777" w:rsidR="00E5618D" w:rsidRDefault="00E5618D" w:rsidP="00E5618D">
            <w:pPr>
              <w:pStyle w:val="TblTxt1"/>
            </w:pPr>
            <w:r>
              <w:t>g)</w:t>
            </w:r>
            <w:r>
              <w:tab/>
              <w:t>Expose people or structures, either directly or indirectly, to a significant risk of loss, injury or death involving wildland fires?</w:t>
            </w:r>
          </w:p>
        </w:tc>
        <w:tc>
          <w:tcPr>
            <w:tcW w:w="1170" w:type="dxa"/>
            <w:tcBorders>
              <w:top w:val="single" w:sz="6" w:space="0" w:color="auto"/>
              <w:left w:val="single" w:sz="6" w:space="0" w:color="auto"/>
              <w:bottom w:val="single" w:sz="12" w:space="0" w:color="auto"/>
              <w:right w:val="single" w:sz="6" w:space="0" w:color="auto"/>
            </w:tcBorders>
            <w:vAlign w:val="center"/>
          </w:tcPr>
          <w:p w14:paraId="151B3793" w14:textId="77777777" w:rsidR="00E5618D" w:rsidRPr="00F339B2" w:rsidRDefault="00E5618D" w:rsidP="00E5618D">
            <w:pPr>
              <w:pStyle w:val="ChecklistXs"/>
            </w:pPr>
          </w:p>
        </w:tc>
        <w:tc>
          <w:tcPr>
            <w:tcW w:w="1170" w:type="dxa"/>
            <w:tcBorders>
              <w:top w:val="single" w:sz="6" w:space="0" w:color="auto"/>
              <w:left w:val="single" w:sz="6" w:space="0" w:color="auto"/>
              <w:bottom w:val="single" w:sz="12" w:space="0" w:color="auto"/>
              <w:right w:val="single" w:sz="6" w:space="0" w:color="auto"/>
            </w:tcBorders>
            <w:vAlign w:val="center"/>
          </w:tcPr>
          <w:p w14:paraId="502FC11E" w14:textId="77777777" w:rsidR="00E5618D" w:rsidRPr="00F339B2" w:rsidRDefault="00E5618D" w:rsidP="00E5618D">
            <w:pPr>
              <w:pStyle w:val="ChecklistXs"/>
            </w:pPr>
          </w:p>
        </w:tc>
        <w:tc>
          <w:tcPr>
            <w:tcW w:w="1170" w:type="dxa"/>
            <w:tcBorders>
              <w:top w:val="single" w:sz="6" w:space="0" w:color="auto"/>
              <w:left w:val="single" w:sz="6" w:space="0" w:color="auto"/>
              <w:bottom w:val="single" w:sz="12" w:space="0" w:color="auto"/>
              <w:right w:val="single" w:sz="6" w:space="0" w:color="auto"/>
            </w:tcBorders>
            <w:vAlign w:val="center"/>
          </w:tcPr>
          <w:p w14:paraId="53107703" w14:textId="77777777" w:rsidR="00E5618D" w:rsidRPr="00F339B2" w:rsidRDefault="00E5618D" w:rsidP="00E5618D">
            <w:pPr>
              <w:pStyle w:val="ChecklistXs"/>
            </w:pPr>
          </w:p>
        </w:tc>
        <w:tc>
          <w:tcPr>
            <w:tcW w:w="1155" w:type="dxa"/>
            <w:tcBorders>
              <w:top w:val="single" w:sz="6" w:space="0" w:color="auto"/>
              <w:left w:val="single" w:sz="6" w:space="0" w:color="auto"/>
              <w:bottom w:val="single" w:sz="12" w:space="0" w:color="auto"/>
              <w:right w:val="nil"/>
            </w:tcBorders>
            <w:vAlign w:val="center"/>
          </w:tcPr>
          <w:p w14:paraId="39B28322" w14:textId="77777777" w:rsidR="00E5618D" w:rsidRPr="00F339B2" w:rsidRDefault="00B96A21" w:rsidP="00E5618D">
            <w:pPr>
              <w:pStyle w:val="ChecklistXs"/>
            </w:pPr>
            <w:r>
              <w:t>X</w:t>
            </w:r>
          </w:p>
        </w:tc>
      </w:tr>
      <w:tr w:rsidR="00E5618D" w14:paraId="4EF1C645" w14:textId="77777777" w:rsidTr="00AE6F44">
        <w:trPr>
          <w:cantSplit/>
          <w:jc w:val="center"/>
        </w:trPr>
        <w:tc>
          <w:tcPr>
            <w:tcW w:w="9331" w:type="dxa"/>
            <w:gridSpan w:val="5"/>
            <w:tcBorders>
              <w:top w:val="single" w:sz="12" w:space="0" w:color="auto"/>
              <w:left w:val="nil"/>
              <w:right w:val="nil"/>
            </w:tcBorders>
            <w:shd w:val="clear" w:color="auto" w:fill="E0E0E0"/>
          </w:tcPr>
          <w:p w14:paraId="705383BC" w14:textId="77777777" w:rsidR="00E5618D" w:rsidRDefault="00E5618D" w:rsidP="00E5618D">
            <w:pPr>
              <w:pStyle w:val="ChecklistSubhead"/>
            </w:pPr>
            <w:r>
              <w:t>X</w:t>
            </w:r>
            <w:r w:rsidRPr="00A7449B">
              <w:t xml:space="preserve">. HYDROLOGY AND WATER QUALITY. </w:t>
            </w:r>
            <w:r w:rsidRPr="00B74932">
              <w:rPr>
                <w:rStyle w:val="ChecklistSubText"/>
                <w:b/>
              </w:rPr>
              <w:t>Would the project:</w:t>
            </w:r>
          </w:p>
        </w:tc>
      </w:tr>
      <w:tr w:rsidR="00E5618D" w14:paraId="2BC6E589" w14:textId="77777777" w:rsidTr="00AE6F44">
        <w:trPr>
          <w:cantSplit/>
          <w:jc w:val="center"/>
        </w:trPr>
        <w:tc>
          <w:tcPr>
            <w:tcW w:w="4666" w:type="dxa"/>
            <w:tcBorders>
              <w:top w:val="single" w:sz="6" w:space="0" w:color="auto"/>
              <w:left w:val="nil"/>
              <w:right w:val="single" w:sz="6" w:space="0" w:color="auto"/>
            </w:tcBorders>
            <w:vAlign w:val="center"/>
          </w:tcPr>
          <w:p w14:paraId="2C503263" w14:textId="77777777" w:rsidR="00E5618D" w:rsidRDefault="00E5618D" w:rsidP="00E5618D">
            <w:pPr>
              <w:pStyle w:val="TblTxt1"/>
            </w:pPr>
            <w:r>
              <w:t>a)</w:t>
            </w:r>
            <w:r>
              <w:tab/>
              <w:t xml:space="preserve">Violate any water quality standards or waste discharge requirements </w:t>
            </w:r>
            <w:r w:rsidRPr="00D247F0">
              <w:t>or otherwise substantially degrade surface or ground water quality</w:t>
            </w:r>
            <w:r>
              <w:t>?</w:t>
            </w:r>
          </w:p>
        </w:tc>
        <w:tc>
          <w:tcPr>
            <w:tcW w:w="1170" w:type="dxa"/>
            <w:tcBorders>
              <w:top w:val="single" w:sz="6" w:space="0" w:color="auto"/>
              <w:left w:val="single" w:sz="6" w:space="0" w:color="auto"/>
              <w:right w:val="single" w:sz="6" w:space="0" w:color="auto"/>
            </w:tcBorders>
            <w:vAlign w:val="center"/>
          </w:tcPr>
          <w:p w14:paraId="1BA9DA55"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5E29A49A"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7E9C8AD9" w14:textId="64E76BDC" w:rsidR="00E5618D" w:rsidRPr="00F339B2" w:rsidRDefault="00A977BB" w:rsidP="00E5618D">
            <w:pPr>
              <w:pStyle w:val="ChecklistXs"/>
            </w:pPr>
            <w:r>
              <w:t>X</w:t>
            </w:r>
          </w:p>
        </w:tc>
        <w:tc>
          <w:tcPr>
            <w:tcW w:w="1155" w:type="dxa"/>
            <w:tcBorders>
              <w:top w:val="single" w:sz="6" w:space="0" w:color="auto"/>
              <w:left w:val="single" w:sz="6" w:space="0" w:color="auto"/>
              <w:right w:val="nil"/>
            </w:tcBorders>
            <w:vAlign w:val="center"/>
          </w:tcPr>
          <w:p w14:paraId="56879E0B" w14:textId="77777777" w:rsidR="00E5618D" w:rsidRPr="00F339B2" w:rsidRDefault="00E5618D" w:rsidP="00E5618D">
            <w:pPr>
              <w:pStyle w:val="ChecklistXs"/>
            </w:pPr>
          </w:p>
        </w:tc>
      </w:tr>
      <w:tr w:rsidR="00E5618D" w14:paraId="10DB397A" w14:textId="77777777" w:rsidTr="00AE6F44">
        <w:trPr>
          <w:cantSplit/>
          <w:jc w:val="center"/>
        </w:trPr>
        <w:tc>
          <w:tcPr>
            <w:tcW w:w="4666" w:type="dxa"/>
            <w:tcBorders>
              <w:top w:val="single" w:sz="6" w:space="0" w:color="auto"/>
              <w:left w:val="nil"/>
              <w:right w:val="single" w:sz="6" w:space="0" w:color="auto"/>
            </w:tcBorders>
            <w:vAlign w:val="center"/>
          </w:tcPr>
          <w:p w14:paraId="086094EF" w14:textId="77777777" w:rsidR="00E5618D" w:rsidRDefault="00E5618D" w:rsidP="00E5618D">
            <w:pPr>
              <w:pStyle w:val="TblTxt1"/>
            </w:pPr>
            <w:r>
              <w:t>b)</w:t>
            </w:r>
            <w:r>
              <w:tab/>
              <w:t xml:space="preserve">Substantially decrease groundwater supplies or interfere substantially with groundwater recharge such that </w:t>
            </w:r>
            <w:r w:rsidRPr="00D247F0">
              <w:t>the project may impede sustainable groundwater management of the basin</w:t>
            </w:r>
            <w:r>
              <w:t>?</w:t>
            </w:r>
          </w:p>
        </w:tc>
        <w:tc>
          <w:tcPr>
            <w:tcW w:w="1170" w:type="dxa"/>
            <w:tcBorders>
              <w:top w:val="single" w:sz="6" w:space="0" w:color="auto"/>
              <w:left w:val="single" w:sz="6" w:space="0" w:color="auto"/>
              <w:right w:val="single" w:sz="6" w:space="0" w:color="auto"/>
            </w:tcBorders>
            <w:vAlign w:val="center"/>
          </w:tcPr>
          <w:p w14:paraId="7C3E5855"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7ECFA7F7"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7F6BAEEE" w14:textId="77777777" w:rsidR="00E5618D" w:rsidRPr="00F339B2" w:rsidRDefault="003D2EDF" w:rsidP="00E5618D">
            <w:pPr>
              <w:pStyle w:val="ChecklistXs"/>
            </w:pPr>
            <w:r>
              <w:t>X</w:t>
            </w:r>
          </w:p>
        </w:tc>
        <w:tc>
          <w:tcPr>
            <w:tcW w:w="1155" w:type="dxa"/>
            <w:tcBorders>
              <w:top w:val="single" w:sz="6" w:space="0" w:color="auto"/>
              <w:left w:val="single" w:sz="6" w:space="0" w:color="auto"/>
              <w:right w:val="nil"/>
            </w:tcBorders>
            <w:vAlign w:val="center"/>
          </w:tcPr>
          <w:p w14:paraId="6122D892" w14:textId="77777777" w:rsidR="00E5618D" w:rsidRPr="00F339B2" w:rsidRDefault="00E5618D" w:rsidP="00E5618D">
            <w:pPr>
              <w:pStyle w:val="ChecklistXs"/>
            </w:pPr>
          </w:p>
        </w:tc>
      </w:tr>
      <w:tr w:rsidR="003D2EDF" w14:paraId="7498DDCF" w14:textId="77777777" w:rsidTr="00AE6F44">
        <w:trPr>
          <w:cantSplit/>
          <w:jc w:val="center"/>
        </w:trPr>
        <w:tc>
          <w:tcPr>
            <w:tcW w:w="4666" w:type="dxa"/>
            <w:tcBorders>
              <w:top w:val="single" w:sz="6" w:space="0" w:color="auto"/>
              <w:left w:val="nil"/>
              <w:right w:val="single" w:sz="6" w:space="0" w:color="auto"/>
            </w:tcBorders>
            <w:vAlign w:val="center"/>
          </w:tcPr>
          <w:p w14:paraId="4538A808" w14:textId="77777777" w:rsidR="003D2EDF" w:rsidRDefault="003D2EDF" w:rsidP="003D2EDF">
            <w:pPr>
              <w:pStyle w:val="TblTxt1"/>
            </w:pPr>
            <w:r>
              <w:t>c)</w:t>
            </w:r>
            <w:r>
              <w:tab/>
              <w:t xml:space="preserve">Substantially alter the existing drainage pattern of the site or area, including through the alteration of the course of a stream or river or through the addition of impervious surfaces, in a manner which would: </w:t>
            </w:r>
          </w:p>
        </w:tc>
        <w:tc>
          <w:tcPr>
            <w:tcW w:w="1170" w:type="dxa"/>
            <w:tcBorders>
              <w:top w:val="single" w:sz="6" w:space="0" w:color="auto"/>
              <w:left w:val="single" w:sz="6" w:space="0" w:color="auto"/>
              <w:right w:val="single" w:sz="6" w:space="0" w:color="auto"/>
            </w:tcBorders>
            <w:vAlign w:val="center"/>
          </w:tcPr>
          <w:p w14:paraId="299302EA" w14:textId="77777777" w:rsidR="003D2EDF" w:rsidRPr="00F339B2" w:rsidRDefault="003D2EDF" w:rsidP="003D2EDF">
            <w:pPr>
              <w:pStyle w:val="ChecklistXs"/>
            </w:pPr>
          </w:p>
        </w:tc>
        <w:tc>
          <w:tcPr>
            <w:tcW w:w="1170" w:type="dxa"/>
            <w:tcBorders>
              <w:top w:val="single" w:sz="6" w:space="0" w:color="auto"/>
              <w:left w:val="single" w:sz="6" w:space="0" w:color="auto"/>
              <w:right w:val="single" w:sz="6" w:space="0" w:color="auto"/>
            </w:tcBorders>
            <w:vAlign w:val="center"/>
          </w:tcPr>
          <w:p w14:paraId="07E393D8" w14:textId="77777777" w:rsidR="003D2EDF" w:rsidRPr="00F339B2" w:rsidRDefault="003D2EDF" w:rsidP="003D2EDF">
            <w:pPr>
              <w:pStyle w:val="ChecklistXs"/>
            </w:pPr>
          </w:p>
        </w:tc>
        <w:tc>
          <w:tcPr>
            <w:tcW w:w="1170" w:type="dxa"/>
            <w:tcBorders>
              <w:top w:val="single" w:sz="6" w:space="0" w:color="auto"/>
              <w:left w:val="single" w:sz="6" w:space="0" w:color="auto"/>
              <w:right w:val="single" w:sz="6" w:space="0" w:color="auto"/>
            </w:tcBorders>
            <w:vAlign w:val="center"/>
          </w:tcPr>
          <w:p w14:paraId="40AB67DC" w14:textId="77777777" w:rsidR="003D2EDF" w:rsidRPr="00F339B2" w:rsidRDefault="003D2EDF" w:rsidP="003D2EDF">
            <w:pPr>
              <w:pStyle w:val="ChecklistXs"/>
            </w:pPr>
          </w:p>
        </w:tc>
        <w:tc>
          <w:tcPr>
            <w:tcW w:w="1155" w:type="dxa"/>
            <w:tcBorders>
              <w:top w:val="single" w:sz="6" w:space="0" w:color="auto"/>
              <w:left w:val="single" w:sz="6" w:space="0" w:color="auto"/>
              <w:right w:val="nil"/>
            </w:tcBorders>
            <w:vAlign w:val="center"/>
          </w:tcPr>
          <w:p w14:paraId="0ABC4B13" w14:textId="77777777" w:rsidR="003D2EDF" w:rsidRPr="00F339B2" w:rsidRDefault="003D2EDF" w:rsidP="003D2EDF">
            <w:pPr>
              <w:pStyle w:val="ChecklistXs"/>
            </w:pPr>
          </w:p>
        </w:tc>
      </w:tr>
      <w:tr w:rsidR="003D2EDF" w14:paraId="6F535AB6" w14:textId="77777777" w:rsidTr="00AE6F44">
        <w:trPr>
          <w:cantSplit/>
          <w:jc w:val="center"/>
        </w:trPr>
        <w:tc>
          <w:tcPr>
            <w:tcW w:w="4666" w:type="dxa"/>
            <w:tcBorders>
              <w:top w:val="single" w:sz="6" w:space="0" w:color="auto"/>
              <w:left w:val="nil"/>
              <w:right w:val="single" w:sz="6" w:space="0" w:color="auto"/>
            </w:tcBorders>
            <w:vAlign w:val="center"/>
          </w:tcPr>
          <w:p w14:paraId="27823A19" w14:textId="77777777" w:rsidR="003D2EDF" w:rsidRDefault="003D2EDF" w:rsidP="003D2EDF">
            <w:pPr>
              <w:pStyle w:val="TblTxt2"/>
            </w:pPr>
            <w:r>
              <w:t>i)</w:t>
            </w:r>
            <w:r>
              <w:tab/>
              <w:t>r</w:t>
            </w:r>
            <w:r w:rsidRPr="00D247F0">
              <w:t>esult in a substantial erosion or siltation on- or off-site</w:t>
            </w:r>
            <w:r>
              <w:t>;</w:t>
            </w:r>
          </w:p>
        </w:tc>
        <w:tc>
          <w:tcPr>
            <w:tcW w:w="1170" w:type="dxa"/>
            <w:tcBorders>
              <w:top w:val="single" w:sz="6" w:space="0" w:color="auto"/>
              <w:left w:val="single" w:sz="6" w:space="0" w:color="auto"/>
              <w:right w:val="single" w:sz="6" w:space="0" w:color="auto"/>
            </w:tcBorders>
            <w:vAlign w:val="center"/>
          </w:tcPr>
          <w:p w14:paraId="49FB9A23" w14:textId="77777777" w:rsidR="003D2EDF" w:rsidRPr="00F339B2" w:rsidRDefault="003D2EDF" w:rsidP="003D2EDF">
            <w:pPr>
              <w:pStyle w:val="ChecklistXs"/>
            </w:pPr>
          </w:p>
        </w:tc>
        <w:tc>
          <w:tcPr>
            <w:tcW w:w="1170" w:type="dxa"/>
            <w:tcBorders>
              <w:top w:val="single" w:sz="6" w:space="0" w:color="auto"/>
              <w:left w:val="single" w:sz="6" w:space="0" w:color="auto"/>
              <w:right w:val="single" w:sz="6" w:space="0" w:color="auto"/>
            </w:tcBorders>
            <w:vAlign w:val="center"/>
          </w:tcPr>
          <w:p w14:paraId="54550E60" w14:textId="77777777" w:rsidR="003D2EDF" w:rsidRPr="00F339B2" w:rsidRDefault="003D2EDF" w:rsidP="003D2EDF">
            <w:pPr>
              <w:pStyle w:val="ChecklistXs"/>
            </w:pPr>
          </w:p>
        </w:tc>
        <w:tc>
          <w:tcPr>
            <w:tcW w:w="1170" w:type="dxa"/>
            <w:tcBorders>
              <w:top w:val="single" w:sz="6" w:space="0" w:color="auto"/>
              <w:left w:val="single" w:sz="6" w:space="0" w:color="auto"/>
              <w:right w:val="single" w:sz="6" w:space="0" w:color="auto"/>
            </w:tcBorders>
            <w:vAlign w:val="center"/>
          </w:tcPr>
          <w:p w14:paraId="5E1554A9" w14:textId="77777777" w:rsidR="003D2EDF" w:rsidRPr="00F339B2" w:rsidRDefault="003D2EDF" w:rsidP="003D2EDF">
            <w:pPr>
              <w:pStyle w:val="ChecklistXs"/>
            </w:pPr>
            <w:r>
              <w:t>X</w:t>
            </w:r>
          </w:p>
        </w:tc>
        <w:tc>
          <w:tcPr>
            <w:tcW w:w="1155" w:type="dxa"/>
            <w:tcBorders>
              <w:top w:val="single" w:sz="6" w:space="0" w:color="auto"/>
              <w:left w:val="single" w:sz="6" w:space="0" w:color="auto"/>
              <w:right w:val="nil"/>
            </w:tcBorders>
            <w:vAlign w:val="center"/>
          </w:tcPr>
          <w:p w14:paraId="735DC4C9" w14:textId="77777777" w:rsidR="003D2EDF" w:rsidRPr="00F339B2" w:rsidRDefault="003D2EDF" w:rsidP="003D2EDF">
            <w:pPr>
              <w:pStyle w:val="ChecklistXs"/>
            </w:pPr>
          </w:p>
        </w:tc>
      </w:tr>
      <w:tr w:rsidR="00E5618D" w14:paraId="4D9FF2CF" w14:textId="77777777" w:rsidTr="00AE6F44">
        <w:trPr>
          <w:cantSplit/>
          <w:jc w:val="center"/>
        </w:trPr>
        <w:tc>
          <w:tcPr>
            <w:tcW w:w="4666" w:type="dxa"/>
            <w:tcBorders>
              <w:top w:val="single" w:sz="6" w:space="0" w:color="auto"/>
              <w:left w:val="nil"/>
              <w:right w:val="single" w:sz="6" w:space="0" w:color="auto"/>
            </w:tcBorders>
            <w:vAlign w:val="center"/>
          </w:tcPr>
          <w:p w14:paraId="6BCBF685" w14:textId="77777777" w:rsidR="00E5618D" w:rsidRDefault="00E5618D" w:rsidP="00E5618D">
            <w:pPr>
              <w:pStyle w:val="TblTxt2"/>
            </w:pPr>
            <w:r>
              <w:t>ii)</w:t>
            </w:r>
            <w:r>
              <w:tab/>
            </w:r>
            <w:r w:rsidRPr="00D247F0">
              <w:t>substantially increase the rate or amount of surface runoff in a manner which would result in flooding on- or offsite;</w:t>
            </w:r>
          </w:p>
        </w:tc>
        <w:tc>
          <w:tcPr>
            <w:tcW w:w="1170" w:type="dxa"/>
            <w:tcBorders>
              <w:top w:val="single" w:sz="6" w:space="0" w:color="auto"/>
              <w:left w:val="single" w:sz="6" w:space="0" w:color="auto"/>
              <w:right w:val="single" w:sz="6" w:space="0" w:color="auto"/>
            </w:tcBorders>
            <w:vAlign w:val="center"/>
          </w:tcPr>
          <w:p w14:paraId="0ABD36A5"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17E601D4"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6DE0EA18" w14:textId="4CF2BD5D" w:rsidR="00E5618D" w:rsidRPr="00F339B2" w:rsidRDefault="00A977BB" w:rsidP="00E5618D">
            <w:pPr>
              <w:pStyle w:val="ChecklistXs"/>
            </w:pPr>
            <w:r>
              <w:t>X</w:t>
            </w:r>
          </w:p>
        </w:tc>
        <w:tc>
          <w:tcPr>
            <w:tcW w:w="1155" w:type="dxa"/>
            <w:tcBorders>
              <w:top w:val="single" w:sz="6" w:space="0" w:color="auto"/>
              <w:left w:val="single" w:sz="6" w:space="0" w:color="auto"/>
              <w:right w:val="nil"/>
            </w:tcBorders>
            <w:vAlign w:val="center"/>
          </w:tcPr>
          <w:p w14:paraId="688190E1" w14:textId="77777777" w:rsidR="00E5618D" w:rsidRPr="00F339B2" w:rsidRDefault="00E5618D" w:rsidP="00E5618D">
            <w:pPr>
              <w:pStyle w:val="ChecklistXs"/>
            </w:pPr>
          </w:p>
        </w:tc>
      </w:tr>
      <w:tr w:rsidR="00E5618D" w14:paraId="5E40F339" w14:textId="77777777" w:rsidTr="00AE6F44">
        <w:trPr>
          <w:cantSplit/>
          <w:jc w:val="center"/>
        </w:trPr>
        <w:tc>
          <w:tcPr>
            <w:tcW w:w="4666" w:type="dxa"/>
            <w:tcBorders>
              <w:top w:val="single" w:sz="6" w:space="0" w:color="auto"/>
              <w:left w:val="nil"/>
              <w:right w:val="single" w:sz="6" w:space="0" w:color="auto"/>
            </w:tcBorders>
            <w:vAlign w:val="center"/>
          </w:tcPr>
          <w:p w14:paraId="0C32DEB2" w14:textId="77777777" w:rsidR="00E5618D" w:rsidRDefault="00E5618D" w:rsidP="00E5618D">
            <w:pPr>
              <w:pStyle w:val="TblTxt2"/>
            </w:pPr>
            <w:r>
              <w:t>iii)</w:t>
            </w:r>
            <w:r>
              <w:tab/>
            </w:r>
            <w:r w:rsidRPr="00D247F0">
              <w:t>create or contribute runoff water which would exceed the capacity of existing or planned stormwater drainage systems or provide substantial additional sources of polluted runoff; or</w:t>
            </w:r>
          </w:p>
        </w:tc>
        <w:tc>
          <w:tcPr>
            <w:tcW w:w="1170" w:type="dxa"/>
            <w:tcBorders>
              <w:top w:val="single" w:sz="6" w:space="0" w:color="auto"/>
              <w:left w:val="single" w:sz="6" w:space="0" w:color="auto"/>
              <w:right w:val="single" w:sz="6" w:space="0" w:color="auto"/>
            </w:tcBorders>
            <w:vAlign w:val="center"/>
          </w:tcPr>
          <w:p w14:paraId="169610EF"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16145221"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249F8366" w14:textId="35A1D5A1" w:rsidR="00E5618D" w:rsidRPr="00F339B2" w:rsidRDefault="00A977BB" w:rsidP="00E5618D">
            <w:pPr>
              <w:pStyle w:val="ChecklistXs"/>
            </w:pPr>
            <w:r>
              <w:t>X</w:t>
            </w:r>
          </w:p>
        </w:tc>
        <w:tc>
          <w:tcPr>
            <w:tcW w:w="1155" w:type="dxa"/>
            <w:tcBorders>
              <w:top w:val="single" w:sz="6" w:space="0" w:color="auto"/>
              <w:left w:val="single" w:sz="6" w:space="0" w:color="auto"/>
              <w:right w:val="nil"/>
            </w:tcBorders>
            <w:vAlign w:val="center"/>
          </w:tcPr>
          <w:p w14:paraId="16809781" w14:textId="77777777" w:rsidR="00E5618D" w:rsidRPr="00F339B2" w:rsidRDefault="00E5618D" w:rsidP="00E5618D">
            <w:pPr>
              <w:pStyle w:val="ChecklistXs"/>
            </w:pPr>
          </w:p>
        </w:tc>
      </w:tr>
      <w:tr w:rsidR="00E5618D" w14:paraId="798E5CB0" w14:textId="77777777" w:rsidTr="00AE6F44">
        <w:trPr>
          <w:cantSplit/>
          <w:jc w:val="center"/>
        </w:trPr>
        <w:tc>
          <w:tcPr>
            <w:tcW w:w="4666" w:type="dxa"/>
            <w:tcBorders>
              <w:top w:val="single" w:sz="6" w:space="0" w:color="auto"/>
              <w:left w:val="nil"/>
              <w:right w:val="single" w:sz="6" w:space="0" w:color="auto"/>
            </w:tcBorders>
            <w:vAlign w:val="center"/>
          </w:tcPr>
          <w:p w14:paraId="7CBFB6DB" w14:textId="77777777" w:rsidR="00E5618D" w:rsidRDefault="00E5618D" w:rsidP="00E5618D">
            <w:pPr>
              <w:pStyle w:val="TblTxt2"/>
            </w:pPr>
            <w:r>
              <w:t>iv)</w:t>
            </w:r>
            <w:r>
              <w:tab/>
            </w:r>
            <w:r w:rsidRPr="00D247F0">
              <w:t>impede or redirect flood flows?</w:t>
            </w:r>
          </w:p>
        </w:tc>
        <w:tc>
          <w:tcPr>
            <w:tcW w:w="1170" w:type="dxa"/>
            <w:tcBorders>
              <w:top w:val="single" w:sz="6" w:space="0" w:color="auto"/>
              <w:left w:val="single" w:sz="6" w:space="0" w:color="auto"/>
              <w:right w:val="single" w:sz="6" w:space="0" w:color="auto"/>
            </w:tcBorders>
            <w:vAlign w:val="center"/>
          </w:tcPr>
          <w:p w14:paraId="61D6F800"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0EF50F5D"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6A5B23D2" w14:textId="77777777" w:rsidR="00E5618D" w:rsidRPr="00F339B2" w:rsidRDefault="003D2EDF" w:rsidP="00E5618D">
            <w:pPr>
              <w:pStyle w:val="ChecklistXs"/>
            </w:pPr>
            <w:r>
              <w:t>X</w:t>
            </w:r>
          </w:p>
        </w:tc>
        <w:tc>
          <w:tcPr>
            <w:tcW w:w="1155" w:type="dxa"/>
            <w:tcBorders>
              <w:top w:val="single" w:sz="6" w:space="0" w:color="auto"/>
              <w:left w:val="single" w:sz="6" w:space="0" w:color="auto"/>
              <w:right w:val="nil"/>
            </w:tcBorders>
            <w:vAlign w:val="center"/>
          </w:tcPr>
          <w:p w14:paraId="457A229B" w14:textId="77777777" w:rsidR="00E5618D" w:rsidRPr="00F339B2" w:rsidRDefault="00E5618D" w:rsidP="00E5618D">
            <w:pPr>
              <w:pStyle w:val="ChecklistXs"/>
            </w:pPr>
          </w:p>
        </w:tc>
      </w:tr>
      <w:tr w:rsidR="00E5618D" w14:paraId="46B69D7D" w14:textId="77777777" w:rsidTr="00AE6F44">
        <w:trPr>
          <w:cantSplit/>
          <w:jc w:val="center"/>
        </w:trPr>
        <w:tc>
          <w:tcPr>
            <w:tcW w:w="4666" w:type="dxa"/>
            <w:tcBorders>
              <w:top w:val="single" w:sz="6" w:space="0" w:color="auto"/>
              <w:left w:val="nil"/>
              <w:right w:val="single" w:sz="6" w:space="0" w:color="auto"/>
            </w:tcBorders>
            <w:vAlign w:val="center"/>
          </w:tcPr>
          <w:p w14:paraId="6586B79C" w14:textId="77777777" w:rsidR="00E5618D" w:rsidRDefault="00E5618D" w:rsidP="00E5618D">
            <w:pPr>
              <w:pStyle w:val="TblTxt1"/>
            </w:pPr>
            <w:r>
              <w:t>d)</w:t>
            </w:r>
            <w:r>
              <w:tab/>
            </w:r>
            <w:r w:rsidRPr="00D247F0">
              <w:t>In flood hazard, tsunami, or seiche zones, risk release of pollutants due to project inundation?</w:t>
            </w:r>
            <w:r w:rsidRPr="00D247F0" w:rsidDel="00D247F0">
              <w:t xml:space="preserve"> </w:t>
            </w:r>
          </w:p>
        </w:tc>
        <w:tc>
          <w:tcPr>
            <w:tcW w:w="1170" w:type="dxa"/>
            <w:tcBorders>
              <w:top w:val="single" w:sz="6" w:space="0" w:color="auto"/>
              <w:left w:val="single" w:sz="6" w:space="0" w:color="auto"/>
              <w:right w:val="single" w:sz="6" w:space="0" w:color="auto"/>
            </w:tcBorders>
            <w:vAlign w:val="center"/>
          </w:tcPr>
          <w:p w14:paraId="7C3EB642"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0CE2F2F9"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798FEAA2" w14:textId="77777777" w:rsidR="00E5618D" w:rsidRPr="00F339B2" w:rsidRDefault="003D2EDF" w:rsidP="00E5618D">
            <w:pPr>
              <w:pStyle w:val="ChecklistXs"/>
            </w:pPr>
            <w:r>
              <w:t>X</w:t>
            </w:r>
          </w:p>
        </w:tc>
        <w:tc>
          <w:tcPr>
            <w:tcW w:w="1155" w:type="dxa"/>
            <w:tcBorders>
              <w:top w:val="single" w:sz="6" w:space="0" w:color="auto"/>
              <w:left w:val="single" w:sz="6" w:space="0" w:color="auto"/>
              <w:right w:val="nil"/>
            </w:tcBorders>
            <w:vAlign w:val="center"/>
          </w:tcPr>
          <w:p w14:paraId="21294130" w14:textId="77777777" w:rsidR="00E5618D" w:rsidRPr="00F339B2" w:rsidRDefault="00E5618D" w:rsidP="00E5618D">
            <w:pPr>
              <w:pStyle w:val="ChecklistXs"/>
            </w:pPr>
          </w:p>
        </w:tc>
      </w:tr>
      <w:tr w:rsidR="00E5618D" w14:paraId="419A1116" w14:textId="77777777" w:rsidTr="00AE6F44">
        <w:trPr>
          <w:cantSplit/>
          <w:jc w:val="center"/>
        </w:trPr>
        <w:tc>
          <w:tcPr>
            <w:tcW w:w="4666" w:type="dxa"/>
            <w:tcBorders>
              <w:top w:val="single" w:sz="6" w:space="0" w:color="auto"/>
              <w:left w:val="nil"/>
              <w:right w:val="single" w:sz="6" w:space="0" w:color="auto"/>
            </w:tcBorders>
            <w:vAlign w:val="center"/>
          </w:tcPr>
          <w:p w14:paraId="66C49016" w14:textId="77777777" w:rsidR="00E5618D" w:rsidRDefault="00E5618D" w:rsidP="00E5618D">
            <w:pPr>
              <w:pStyle w:val="TblTxt1"/>
            </w:pPr>
            <w:r>
              <w:t>e)</w:t>
            </w:r>
            <w:r>
              <w:tab/>
            </w:r>
            <w:r w:rsidRPr="00D247F0">
              <w:t>Conflict with or obstruct implementation of a water quality control plan or sustainable groundwater management plan?</w:t>
            </w:r>
            <w:r w:rsidRPr="00D247F0" w:rsidDel="00D247F0">
              <w:t xml:space="preserve"> </w:t>
            </w:r>
          </w:p>
        </w:tc>
        <w:tc>
          <w:tcPr>
            <w:tcW w:w="1170" w:type="dxa"/>
            <w:tcBorders>
              <w:top w:val="single" w:sz="6" w:space="0" w:color="auto"/>
              <w:left w:val="single" w:sz="6" w:space="0" w:color="auto"/>
              <w:right w:val="single" w:sz="6" w:space="0" w:color="auto"/>
            </w:tcBorders>
            <w:vAlign w:val="center"/>
          </w:tcPr>
          <w:p w14:paraId="1DD8875E"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16CDDFCB"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730F1C86" w14:textId="67A22D12" w:rsidR="00E5618D" w:rsidRPr="00F339B2" w:rsidRDefault="00345BC8" w:rsidP="00E5618D">
            <w:pPr>
              <w:pStyle w:val="ChecklistXs"/>
            </w:pPr>
            <w:r>
              <w:t>X</w:t>
            </w:r>
          </w:p>
        </w:tc>
        <w:tc>
          <w:tcPr>
            <w:tcW w:w="1155" w:type="dxa"/>
            <w:tcBorders>
              <w:top w:val="single" w:sz="6" w:space="0" w:color="auto"/>
              <w:left w:val="single" w:sz="6" w:space="0" w:color="auto"/>
              <w:right w:val="nil"/>
            </w:tcBorders>
            <w:vAlign w:val="center"/>
          </w:tcPr>
          <w:p w14:paraId="25C64036" w14:textId="5F339087" w:rsidR="00E5618D" w:rsidRPr="00F339B2" w:rsidRDefault="00E5618D" w:rsidP="00E5618D">
            <w:pPr>
              <w:pStyle w:val="ChecklistXs"/>
            </w:pPr>
          </w:p>
        </w:tc>
      </w:tr>
      <w:tr w:rsidR="00E5618D" w14:paraId="46E111F8" w14:textId="77777777" w:rsidTr="00AE6F44">
        <w:trPr>
          <w:cantSplit/>
          <w:jc w:val="center"/>
        </w:trPr>
        <w:tc>
          <w:tcPr>
            <w:tcW w:w="9331" w:type="dxa"/>
            <w:gridSpan w:val="5"/>
            <w:tcBorders>
              <w:top w:val="single" w:sz="12" w:space="0" w:color="auto"/>
              <w:left w:val="nil"/>
              <w:right w:val="nil"/>
            </w:tcBorders>
            <w:shd w:val="clear" w:color="auto" w:fill="E0E0E0"/>
          </w:tcPr>
          <w:p w14:paraId="4E8E5F0B" w14:textId="77777777" w:rsidR="00E5618D" w:rsidRDefault="00E5618D" w:rsidP="00E5618D">
            <w:pPr>
              <w:pStyle w:val="ChecklistSubhead"/>
            </w:pPr>
            <w:r w:rsidRPr="00A7449B">
              <w:t>X</w:t>
            </w:r>
            <w:r>
              <w:t xml:space="preserve">I. </w:t>
            </w:r>
            <w:r w:rsidRPr="00A7449B">
              <w:t xml:space="preserve">LAND USE AND PLANNING. </w:t>
            </w:r>
            <w:r w:rsidRPr="00B74932">
              <w:rPr>
                <w:rStyle w:val="ChecklistSubText"/>
                <w:b/>
              </w:rPr>
              <w:t>Would the project:</w:t>
            </w:r>
          </w:p>
        </w:tc>
      </w:tr>
      <w:tr w:rsidR="00E5618D" w14:paraId="663781FF" w14:textId="77777777" w:rsidTr="00AE6F44">
        <w:trPr>
          <w:cantSplit/>
          <w:jc w:val="center"/>
        </w:trPr>
        <w:tc>
          <w:tcPr>
            <w:tcW w:w="4666" w:type="dxa"/>
            <w:tcBorders>
              <w:top w:val="single" w:sz="6" w:space="0" w:color="auto"/>
              <w:left w:val="nil"/>
              <w:right w:val="single" w:sz="6" w:space="0" w:color="auto"/>
            </w:tcBorders>
          </w:tcPr>
          <w:p w14:paraId="437B434A" w14:textId="77777777" w:rsidR="00E5618D" w:rsidRDefault="00E5618D" w:rsidP="00E5618D">
            <w:pPr>
              <w:pStyle w:val="TblTxt1"/>
            </w:pPr>
            <w:r>
              <w:t>a)</w:t>
            </w:r>
            <w:r>
              <w:tab/>
              <w:t xml:space="preserve">Physically divide an established community? </w:t>
            </w:r>
          </w:p>
        </w:tc>
        <w:tc>
          <w:tcPr>
            <w:tcW w:w="1170" w:type="dxa"/>
            <w:tcBorders>
              <w:top w:val="single" w:sz="6" w:space="0" w:color="auto"/>
              <w:left w:val="single" w:sz="6" w:space="0" w:color="auto"/>
              <w:right w:val="single" w:sz="6" w:space="0" w:color="auto"/>
            </w:tcBorders>
            <w:vAlign w:val="center"/>
          </w:tcPr>
          <w:p w14:paraId="6AD152CF"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7B62C2BC"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16D5AA19" w14:textId="77777777" w:rsidR="00E5618D" w:rsidRPr="00F339B2" w:rsidRDefault="00E5618D" w:rsidP="00E5618D">
            <w:pPr>
              <w:pStyle w:val="ChecklistXs"/>
            </w:pPr>
          </w:p>
        </w:tc>
        <w:tc>
          <w:tcPr>
            <w:tcW w:w="1155" w:type="dxa"/>
            <w:tcBorders>
              <w:top w:val="single" w:sz="6" w:space="0" w:color="auto"/>
              <w:left w:val="single" w:sz="6" w:space="0" w:color="auto"/>
              <w:right w:val="nil"/>
            </w:tcBorders>
            <w:vAlign w:val="center"/>
          </w:tcPr>
          <w:p w14:paraId="1DEB480B" w14:textId="77777777" w:rsidR="00E5618D" w:rsidRPr="00F339B2" w:rsidRDefault="00022FDD" w:rsidP="00E5618D">
            <w:pPr>
              <w:pStyle w:val="ChecklistXs"/>
            </w:pPr>
            <w:r>
              <w:t>X</w:t>
            </w:r>
          </w:p>
        </w:tc>
      </w:tr>
      <w:tr w:rsidR="00E5618D" w14:paraId="4DDF3E25" w14:textId="77777777" w:rsidTr="00AE6F44">
        <w:trPr>
          <w:cantSplit/>
          <w:jc w:val="center"/>
        </w:trPr>
        <w:tc>
          <w:tcPr>
            <w:tcW w:w="4666" w:type="dxa"/>
            <w:tcBorders>
              <w:top w:val="single" w:sz="6" w:space="0" w:color="auto"/>
              <w:left w:val="nil"/>
              <w:right w:val="single" w:sz="6" w:space="0" w:color="auto"/>
            </w:tcBorders>
          </w:tcPr>
          <w:p w14:paraId="7A82EFB8" w14:textId="77777777" w:rsidR="00E5618D" w:rsidRDefault="00E5618D" w:rsidP="00E5618D">
            <w:pPr>
              <w:pStyle w:val="TblTxt1"/>
            </w:pPr>
            <w:r>
              <w:t>b)</w:t>
            </w:r>
            <w:r>
              <w:tab/>
            </w:r>
            <w:r w:rsidRPr="005C4718">
              <w:t xml:space="preserve">Cause a significant environmental impact due to a </w:t>
            </w:r>
            <w:r>
              <w:t xml:space="preserve">conflict with any land use plan, policy, or regulation adopted for the purpose of avoiding or mitigating an environmental effect? </w:t>
            </w:r>
          </w:p>
        </w:tc>
        <w:tc>
          <w:tcPr>
            <w:tcW w:w="1170" w:type="dxa"/>
            <w:tcBorders>
              <w:top w:val="single" w:sz="6" w:space="0" w:color="auto"/>
              <w:left w:val="single" w:sz="6" w:space="0" w:color="auto"/>
              <w:right w:val="single" w:sz="6" w:space="0" w:color="auto"/>
            </w:tcBorders>
            <w:vAlign w:val="center"/>
          </w:tcPr>
          <w:p w14:paraId="0C336F1E"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2C3A7C62"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5AC29511" w14:textId="77777777" w:rsidR="00E5618D" w:rsidRPr="00F339B2" w:rsidRDefault="00022FDD" w:rsidP="00E5618D">
            <w:pPr>
              <w:pStyle w:val="ChecklistXs"/>
            </w:pPr>
            <w:r>
              <w:t>X</w:t>
            </w:r>
          </w:p>
        </w:tc>
        <w:tc>
          <w:tcPr>
            <w:tcW w:w="1155" w:type="dxa"/>
            <w:tcBorders>
              <w:top w:val="single" w:sz="6" w:space="0" w:color="auto"/>
              <w:left w:val="single" w:sz="6" w:space="0" w:color="auto"/>
              <w:right w:val="nil"/>
            </w:tcBorders>
            <w:vAlign w:val="center"/>
          </w:tcPr>
          <w:p w14:paraId="75DD825E" w14:textId="77777777" w:rsidR="00E5618D" w:rsidRPr="00F339B2" w:rsidRDefault="00E5618D" w:rsidP="00E5618D">
            <w:pPr>
              <w:pStyle w:val="ChecklistXs"/>
            </w:pPr>
          </w:p>
        </w:tc>
      </w:tr>
      <w:tr w:rsidR="00E5618D" w14:paraId="60CC921B" w14:textId="77777777" w:rsidTr="00AE6F44">
        <w:trPr>
          <w:cantSplit/>
          <w:jc w:val="center"/>
        </w:trPr>
        <w:tc>
          <w:tcPr>
            <w:tcW w:w="9331" w:type="dxa"/>
            <w:gridSpan w:val="5"/>
            <w:tcBorders>
              <w:top w:val="single" w:sz="12" w:space="0" w:color="auto"/>
              <w:left w:val="nil"/>
              <w:right w:val="nil"/>
            </w:tcBorders>
            <w:shd w:val="clear" w:color="auto" w:fill="E0E0E0"/>
          </w:tcPr>
          <w:p w14:paraId="085FDDCC" w14:textId="77777777" w:rsidR="00E5618D" w:rsidRDefault="00E5618D" w:rsidP="00E5618D">
            <w:pPr>
              <w:pStyle w:val="ChecklistSubhead"/>
            </w:pPr>
            <w:r w:rsidRPr="00F84F3C">
              <w:t>X</w:t>
            </w:r>
            <w:r>
              <w:t xml:space="preserve">II. </w:t>
            </w:r>
            <w:r w:rsidRPr="00F84F3C">
              <w:t xml:space="preserve">MINERAL RESOURCES. </w:t>
            </w:r>
            <w:r w:rsidRPr="00B74932">
              <w:rPr>
                <w:rStyle w:val="ChecklistSubText"/>
                <w:b/>
              </w:rPr>
              <w:t>Would the project:</w:t>
            </w:r>
          </w:p>
        </w:tc>
      </w:tr>
      <w:tr w:rsidR="00E5618D" w14:paraId="08641C28" w14:textId="77777777" w:rsidTr="00AE6F44">
        <w:trPr>
          <w:cantSplit/>
          <w:jc w:val="center"/>
        </w:trPr>
        <w:tc>
          <w:tcPr>
            <w:tcW w:w="4666" w:type="dxa"/>
            <w:tcBorders>
              <w:top w:val="single" w:sz="6" w:space="0" w:color="auto"/>
              <w:left w:val="nil"/>
              <w:right w:val="single" w:sz="6" w:space="0" w:color="auto"/>
            </w:tcBorders>
          </w:tcPr>
          <w:p w14:paraId="230DFC16" w14:textId="77777777" w:rsidR="00E5618D" w:rsidRDefault="00E5618D" w:rsidP="00E5618D">
            <w:pPr>
              <w:pStyle w:val="TblTxt1"/>
            </w:pPr>
            <w:r>
              <w:t>a)</w:t>
            </w:r>
            <w:r>
              <w:tab/>
              <w:t>Result in the loss of availability of a known mineral resource that would be a value to the region and the residents of the state?</w:t>
            </w:r>
          </w:p>
        </w:tc>
        <w:tc>
          <w:tcPr>
            <w:tcW w:w="1170" w:type="dxa"/>
            <w:tcBorders>
              <w:top w:val="single" w:sz="6" w:space="0" w:color="auto"/>
              <w:left w:val="single" w:sz="6" w:space="0" w:color="auto"/>
              <w:right w:val="single" w:sz="6" w:space="0" w:color="auto"/>
            </w:tcBorders>
            <w:vAlign w:val="center"/>
          </w:tcPr>
          <w:p w14:paraId="6A8CAF82"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3235EE10"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59FA9B80" w14:textId="231242F1" w:rsidR="00E5618D" w:rsidRPr="00F339B2" w:rsidRDefault="00F20E89" w:rsidP="00E5618D">
            <w:pPr>
              <w:pStyle w:val="ChecklistXs"/>
            </w:pPr>
            <w:r>
              <w:t>X</w:t>
            </w:r>
          </w:p>
        </w:tc>
        <w:tc>
          <w:tcPr>
            <w:tcW w:w="1155" w:type="dxa"/>
            <w:tcBorders>
              <w:top w:val="single" w:sz="6" w:space="0" w:color="auto"/>
              <w:left w:val="single" w:sz="6" w:space="0" w:color="auto"/>
              <w:right w:val="nil"/>
            </w:tcBorders>
            <w:vAlign w:val="center"/>
          </w:tcPr>
          <w:p w14:paraId="7E2C6679" w14:textId="6EED8F06" w:rsidR="00E5618D" w:rsidRPr="00F339B2" w:rsidRDefault="00E5618D" w:rsidP="00E5618D">
            <w:pPr>
              <w:pStyle w:val="ChecklistXs"/>
            </w:pPr>
          </w:p>
        </w:tc>
      </w:tr>
      <w:tr w:rsidR="00E5618D" w14:paraId="3765A303" w14:textId="77777777" w:rsidTr="00AE6F44">
        <w:trPr>
          <w:cantSplit/>
          <w:jc w:val="center"/>
        </w:trPr>
        <w:tc>
          <w:tcPr>
            <w:tcW w:w="4666" w:type="dxa"/>
            <w:tcBorders>
              <w:top w:val="single" w:sz="6" w:space="0" w:color="auto"/>
              <w:left w:val="nil"/>
              <w:bottom w:val="single" w:sz="12" w:space="0" w:color="auto"/>
              <w:right w:val="single" w:sz="6" w:space="0" w:color="auto"/>
            </w:tcBorders>
          </w:tcPr>
          <w:p w14:paraId="0398E91A" w14:textId="77777777" w:rsidR="00E5618D" w:rsidRDefault="00E5618D" w:rsidP="00E5618D">
            <w:pPr>
              <w:pStyle w:val="TblTxt1"/>
            </w:pPr>
            <w:r>
              <w:t>b)</w:t>
            </w:r>
            <w:r>
              <w:tab/>
              <w:t>Result in the loss of availability of a locally important mineral resource recovery site delineated on a local general plan, specific plan or other land use plan?</w:t>
            </w:r>
          </w:p>
        </w:tc>
        <w:tc>
          <w:tcPr>
            <w:tcW w:w="1170" w:type="dxa"/>
            <w:tcBorders>
              <w:top w:val="single" w:sz="6" w:space="0" w:color="auto"/>
              <w:left w:val="single" w:sz="6" w:space="0" w:color="auto"/>
              <w:bottom w:val="single" w:sz="12" w:space="0" w:color="auto"/>
              <w:right w:val="single" w:sz="6" w:space="0" w:color="auto"/>
            </w:tcBorders>
            <w:vAlign w:val="center"/>
          </w:tcPr>
          <w:p w14:paraId="1C333143" w14:textId="77777777" w:rsidR="00E5618D" w:rsidRPr="00F339B2" w:rsidRDefault="00E5618D" w:rsidP="00E5618D">
            <w:pPr>
              <w:pStyle w:val="ChecklistXs"/>
            </w:pPr>
          </w:p>
        </w:tc>
        <w:tc>
          <w:tcPr>
            <w:tcW w:w="1170" w:type="dxa"/>
            <w:tcBorders>
              <w:top w:val="single" w:sz="6" w:space="0" w:color="auto"/>
              <w:left w:val="single" w:sz="6" w:space="0" w:color="auto"/>
              <w:bottom w:val="single" w:sz="12" w:space="0" w:color="auto"/>
              <w:right w:val="single" w:sz="6" w:space="0" w:color="auto"/>
            </w:tcBorders>
            <w:vAlign w:val="center"/>
          </w:tcPr>
          <w:p w14:paraId="72F58E42" w14:textId="77777777" w:rsidR="00E5618D" w:rsidRPr="00F339B2" w:rsidRDefault="00E5618D" w:rsidP="00E5618D">
            <w:pPr>
              <w:pStyle w:val="ChecklistXs"/>
            </w:pPr>
          </w:p>
        </w:tc>
        <w:tc>
          <w:tcPr>
            <w:tcW w:w="1170" w:type="dxa"/>
            <w:tcBorders>
              <w:top w:val="single" w:sz="6" w:space="0" w:color="auto"/>
              <w:left w:val="single" w:sz="6" w:space="0" w:color="auto"/>
              <w:bottom w:val="single" w:sz="12" w:space="0" w:color="auto"/>
              <w:right w:val="single" w:sz="6" w:space="0" w:color="auto"/>
            </w:tcBorders>
            <w:vAlign w:val="center"/>
          </w:tcPr>
          <w:p w14:paraId="515F7FA6" w14:textId="77777777" w:rsidR="00E5618D" w:rsidRPr="00F339B2" w:rsidRDefault="00E5618D" w:rsidP="00E5618D">
            <w:pPr>
              <w:pStyle w:val="ChecklistXs"/>
            </w:pPr>
          </w:p>
        </w:tc>
        <w:tc>
          <w:tcPr>
            <w:tcW w:w="1155" w:type="dxa"/>
            <w:tcBorders>
              <w:top w:val="single" w:sz="6" w:space="0" w:color="auto"/>
              <w:left w:val="single" w:sz="6" w:space="0" w:color="auto"/>
              <w:bottom w:val="single" w:sz="12" w:space="0" w:color="auto"/>
              <w:right w:val="nil"/>
            </w:tcBorders>
            <w:vAlign w:val="center"/>
          </w:tcPr>
          <w:p w14:paraId="57B0DEF1" w14:textId="77777777" w:rsidR="00E5618D" w:rsidRPr="00F339B2" w:rsidRDefault="00022FDD" w:rsidP="00E5618D">
            <w:pPr>
              <w:pStyle w:val="ChecklistXs"/>
            </w:pPr>
            <w:r>
              <w:t>X</w:t>
            </w:r>
          </w:p>
        </w:tc>
      </w:tr>
      <w:tr w:rsidR="00E5618D" w14:paraId="0A0CFA31" w14:textId="77777777" w:rsidTr="00AE6F44">
        <w:trPr>
          <w:cantSplit/>
          <w:jc w:val="center"/>
        </w:trPr>
        <w:tc>
          <w:tcPr>
            <w:tcW w:w="9331" w:type="dxa"/>
            <w:gridSpan w:val="5"/>
            <w:tcBorders>
              <w:top w:val="single" w:sz="12" w:space="0" w:color="auto"/>
              <w:left w:val="nil"/>
              <w:right w:val="nil"/>
            </w:tcBorders>
            <w:shd w:val="clear" w:color="auto" w:fill="E0E0E0"/>
          </w:tcPr>
          <w:p w14:paraId="512B6D4D" w14:textId="77777777" w:rsidR="00E5618D" w:rsidRDefault="00E5618D" w:rsidP="00E5618D">
            <w:pPr>
              <w:pStyle w:val="ChecklistSubhead"/>
            </w:pPr>
            <w:r w:rsidRPr="00F84F3C">
              <w:t>XI</w:t>
            </w:r>
            <w:r>
              <w:t xml:space="preserve">II. </w:t>
            </w:r>
            <w:r w:rsidRPr="00F84F3C">
              <w:t>NOISE.</w:t>
            </w:r>
            <w:r w:rsidRPr="00EE636A">
              <w:rPr>
                <w:rStyle w:val="ChecklistSubText"/>
              </w:rPr>
              <w:t xml:space="preserve"> </w:t>
            </w:r>
            <w:r w:rsidRPr="00B74932">
              <w:rPr>
                <w:rStyle w:val="ChecklistSubText"/>
                <w:b/>
              </w:rPr>
              <w:t>Would the project result in:</w:t>
            </w:r>
          </w:p>
        </w:tc>
      </w:tr>
      <w:tr w:rsidR="00E5618D" w14:paraId="6700DD0A" w14:textId="77777777" w:rsidTr="00AE6F44">
        <w:trPr>
          <w:cantSplit/>
          <w:jc w:val="center"/>
        </w:trPr>
        <w:tc>
          <w:tcPr>
            <w:tcW w:w="4666" w:type="dxa"/>
            <w:tcBorders>
              <w:top w:val="single" w:sz="6" w:space="0" w:color="auto"/>
              <w:left w:val="nil"/>
              <w:right w:val="single" w:sz="6" w:space="0" w:color="auto"/>
            </w:tcBorders>
          </w:tcPr>
          <w:p w14:paraId="2EE6EDC3" w14:textId="77777777" w:rsidR="00E5618D" w:rsidRDefault="00E5618D" w:rsidP="00E5618D">
            <w:pPr>
              <w:pStyle w:val="TblTxt1"/>
            </w:pPr>
            <w:r>
              <w:t>a)</w:t>
            </w:r>
            <w:r>
              <w:tab/>
              <w:t xml:space="preserve">Generation of </w:t>
            </w:r>
            <w:r w:rsidRPr="005C4718">
              <w:t xml:space="preserve">a substantial temporary or permanent increase in ambient </w:t>
            </w:r>
            <w:r>
              <w:t xml:space="preserve">noise levels </w:t>
            </w:r>
            <w:r w:rsidRPr="005C4718">
              <w:t>in the vicinity of the project</w:t>
            </w:r>
            <w:r>
              <w:t xml:space="preserve"> in excess of standards established in the local general plan or noise ordinance, or applicable standards of other agencies?</w:t>
            </w:r>
          </w:p>
        </w:tc>
        <w:tc>
          <w:tcPr>
            <w:tcW w:w="1170" w:type="dxa"/>
            <w:tcBorders>
              <w:top w:val="single" w:sz="6" w:space="0" w:color="auto"/>
              <w:left w:val="single" w:sz="6" w:space="0" w:color="auto"/>
              <w:right w:val="single" w:sz="6" w:space="0" w:color="auto"/>
            </w:tcBorders>
            <w:vAlign w:val="center"/>
          </w:tcPr>
          <w:p w14:paraId="6C3C2203"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59F1B491"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28A8F2AC" w14:textId="77777777" w:rsidR="00E5618D" w:rsidRPr="00F339B2" w:rsidRDefault="00816F17" w:rsidP="00E5618D">
            <w:pPr>
              <w:pStyle w:val="ChecklistXs"/>
            </w:pPr>
            <w:r>
              <w:t>X</w:t>
            </w:r>
          </w:p>
        </w:tc>
        <w:tc>
          <w:tcPr>
            <w:tcW w:w="1155" w:type="dxa"/>
            <w:tcBorders>
              <w:top w:val="single" w:sz="6" w:space="0" w:color="auto"/>
              <w:left w:val="single" w:sz="6" w:space="0" w:color="auto"/>
              <w:right w:val="nil"/>
            </w:tcBorders>
            <w:vAlign w:val="center"/>
          </w:tcPr>
          <w:p w14:paraId="74727BB6" w14:textId="77777777" w:rsidR="00E5618D" w:rsidRPr="00F339B2" w:rsidRDefault="00E5618D" w:rsidP="00E5618D">
            <w:pPr>
              <w:pStyle w:val="ChecklistXs"/>
            </w:pPr>
          </w:p>
        </w:tc>
      </w:tr>
      <w:tr w:rsidR="00E5618D" w14:paraId="3E411802" w14:textId="77777777" w:rsidTr="00AE6F44">
        <w:trPr>
          <w:cantSplit/>
          <w:jc w:val="center"/>
        </w:trPr>
        <w:tc>
          <w:tcPr>
            <w:tcW w:w="4666" w:type="dxa"/>
            <w:tcBorders>
              <w:top w:val="single" w:sz="6" w:space="0" w:color="auto"/>
              <w:left w:val="nil"/>
              <w:right w:val="single" w:sz="6" w:space="0" w:color="auto"/>
            </w:tcBorders>
          </w:tcPr>
          <w:p w14:paraId="272CC670" w14:textId="77777777" w:rsidR="00E5618D" w:rsidRDefault="00E5618D" w:rsidP="00E5618D">
            <w:pPr>
              <w:pStyle w:val="TblTxt1"/>
            </w:pPr>
            <w:r>
              <w:t>b)</w:t>
            </w:r>
            <w:r>
              <w:tab/>
              <w:t>Generation of excessive groundborne vibration or groundborne noise levels?</w:t>
            </w:r>
          </w:p>
        </w:tc>
        <w:tc>
          <w:tcPr>
            <w:tcW w:w="1170" w:type="dxa"/>
            <w:tcBorders>
              <w:top w:val="single" w:sz="6" w:space="0" w:color="auto"/>
              <w:left w:val="single" w:sz="6" w:space="0" w:color="auto"/>
              <w:right w:val="single" w:sz="6" w:space="0" w:color="auto"/>
            </w:tcBorders>
            <w:vAlign w:val="center"/>
          </w:tcPr>
          <w:p w14:paraId="7BC58F8D"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6520FE65"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3DCC515E" w14:textId="77777777" w:rsidR="00E5618D" w:rsidRPr="00F339B2" w:rsidRDefault="00816F17" w:rsidP="00E5618D">
            <w:pPr>
              <w:pStyle w:val="ChecklistXs"/>
            </w:pPr>
            <w:r>
              <w:t>X</w:t>
            </w:r>
          </w:p>
        </w:tc>
        <w:tc>
          <w:tcPr>
            <w:tcW w:w="1155" w:type="dxa"/>
            <w:tcBorders>
              <w:top w:val="single" w:sz="6" w:space="0" w:color="auto"/>
              <w:left w:val="single" w:sz="6" w:space="0" w:color="auto"/>
              <w:right w:val="nil"/>
            </w:tcBorders>
            <w:vAlign w:val="center"/>
          </w:tcPr>
          <w:p w14:paraId="625A5378" w14:textId="77777777" w:rsidR="00E5618D" w:rsidRPr="00F339B2" w:rsidRDefault="00E5618D" w:rsidP="00E5618D">
            <w:pPr>
              <w:pStyle w:val="ChecklistXs"/>
            </w:pPr>
          </w:p>
        </w:tc>
      </w:tr>
      <w:tr w:rsidR="00E5618D" w14:paraId="14C517EE" w14:textId="77777777" w:rsidTr="00AE6F44">
        <w:trPr>
          <w:cantSplit/>
          <w:jc w:val="center"/>
        </w:trPr>
        <w:tc>
          <w:tcPr>
            <w:tcW w:w="4666" w:type="dxa"/>
            <w:tcBorders>
              <w:top w:val="single" w:sz="6" w:space="0" w:color="auto"/>
              <w:left w:val="nil"/>
              <w:right w:val="single" w:sz="6" w:space="0" w:color="auto"/>
            </w:tcBorders>
          </w:tcPr>
          <w:p w14:paraId="6242D067" w14:textId="77777777" w:rsidR="00E5618D" w:rsidRDefault="00E5618D" w:rsidP="00E5618D">
            <w:pPr>
              <w:pStyle w:val="TblTxt1"/>
            </w:pPr>
            <w:r>
              <w:t>c)</w:t>
            </w:r>
            <w:r>
              <w:tab/>
              <w:t>For a project located within the vicinity of a private airstrip or an airport land use plan or, where such a plan has not been adopted, within two miles of a public airport or public use airport, would the project expose people residing or working in the project area to excessive noise levels?</w:t>
            </w:r>
          </w:p>
        </w:tc>
        <w:tc>
          <w:tcPr>
            <w:tcW w:w="1170" w:type="dxa"/>
            <w:tcBorders>
              <w:top w:val="single" w:sz="6" w:space="0" w:color="auto"/>
              <w:left w:val="single" w:sz="6" w:space="0" w:color="auto"/>
              <w:right w:val="single" w:sz="6" w:space="0" w:color="auto"/>
            </w:tcBorders>
            <w:vAlign w:val="center"/>
          </w:tcPr>
          <w:p w14:paraId="3841EACA"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53D92C63"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4D88A61C" w14:textId="77777777" w:rsidR="00E5618D" w:rsidRPr="00F339B2" w:rsidRDefault="00E5618D" w:rsidP="00E5618D">
            <w:pPr>
              <w:pStyle w:val="ChecklistXs"/>
            </w:pPr>
          </w:p>
        </w:tc>
        <w:tc>
          <w:tcPr>
            <w:tcW w:w="1155" w:type="dxa"/>
            <w:tcBorders>
              <w:top w:val="single" w:sz="6" w:space="0" w:color="auto"/>
              <w:left w:val="single" w:sz="6" w:space="0" w:color="auto"/>
              <w:right w:val="nil"/>
            </w:tcBorders>
            <w:vAlign w:val="center"/>
          </w:tcPr>
          <w:p w14:paraId="0E595957" w14:textId="77777777" w:rsidR="00E5618D" w:rsidRPr="00F339B2" w:rsidRDefault="00816F17" w:rsidP="00E5618D">
            <w:pPr>
              <w:pStyle w:val="ChecklistXs"/>
            </w:pPr>
            <w:r>
              <w:t>X</w:t>
            </w:r>
          </w:p>
        </w:tc>
      </w:tr>
      <w:tr w:rsidR="00E5618D" w14:paraId="230883D6" w14:textId="77777777" w:rsidTr="00AE6F44">
        <w:trPr>
          <w:cantSplit/>
          <w:jc w:val="center"/>
        </w:trPr>
        <w:tc>
          <w:tcPr>
            <w:tcW w:w="9331" w:type="dxa"/>
            <w:gridSpan w:val="5"/>
            <w:tcBorders>
              <w:top w:val="single" w:sz="12" w:space="0" w:color="auto"/>
              <w:left w:val="nil"/>
              <w:right w:val="nil"/>
            </w:tcBorders>
            <w:shd w:val="clear" w:color="auto" w:fill="E0E0E0"/>
          </w:tcPr>
          <w:p w14:paraId="6833B736" w14:textId="77777777" w:rsidR="00E5618D" w:rsidRDefault="00E5618D" w:rsidP="00E5618D">
            <w:pPr>
              <w:pStyle w:val="ChecklistSubhead"/>
            </w:pPr>
            <w:r>
              <w:t xml:space="preserve">XIV. </w:t>
            </w:r>
            <w:r w:rsidRPr="00F84F3C">
              <w:t xml:space="preserve">POPULATION AND HOUSING. </w:t>
            </w:r>
            <w:r w:rsidRPr="00B74932">
              <w:rPr>
                <w:rStyle w:val="ChecklistSubText"/>
                <w:b/>
              </w:rPr>
              <w:t>Would the project:</w:t>
            </w:r>
          </w:p>
        </w:tc>
      </w:tr>
      <w:tr w:rsidR="00E5618D" w14:paraId="05DABFD0" w14:textId="77777777" w:rsidTr="00AE6F44">
        <w:trPr>
          <w:cantSplit/>
          <w:jc w:val="center"/>
        </w:trPr>
        <w:tc>
          <w:tcPr>
            <w:tcW w:w="4666" w:type="dxa"/>
            <w:tcBorders>
              <w:top w:val="single" w:sz="6" w:space="0" w:color="auto"/>
              <w:left w:val="nil"/>
              <w:right w:val="single" w:sz="6" w:space="0" w:color="auto"/>
            </w:tcBorders>
          </w:tcPr>
          <w:p w14:paraId="18B66DD4" w14:textId="77777777" w:rsidR="00E5618D" w:rsidRDefault="00E5618D" w:rsidP="00E5618D">
            <w:pPr>
              <w:pStyle w:val="TblTxt1"/>
            </w:pPr>
            <w:r>
              <w:t>a)</w:t>
            </w:r>
            <w:r>
              <w:tab/>
              <w:t>Induce substantial unplanned population growth in an area, either directly (for example, by proposing new homes and businesses) or indirectly (for example, through extension of roads or other infrastructure)?</w:t>
            </w:r>
          </w:p>
        </w:tc>
        <w:tc>
          <w:tcPr>
            <w:tcW w:w="1170" w:type="dxa"/>
            <w:tcBorders>
              <w:top w:val="single" w:sz="6" w:space="0" w:color="auto"/>
              <w:left w:val="single" w:sz="6" w:space="0" w:color="auto"/>
              <w:right w:val="single" w:sz="6" w:space="0" w:color="auto"/>
            </w:tcBorders>
            <w:vAlign w:val="center"/>
          </w:tcPr>
          <w:p w14:paraId="29A023A0"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7F838125"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72FE6857" w14:textId="77777777" w:rsidR="00E5618D" w:rsidRPr="00F339B2" w:rsidRDefault="00E5618D" w:rsidP="00E5618D">
            <w:pPr>
              <w:pStyle w:val="ChecklistXs"/>
            </w:pPr>
          </w:p>
        </w:tc>
        <w:tc>
          <w:tcPr>
            <w:tcW w:w="1155" w:type="dxa"/>
            <w:tcBorders>
              <w:top w:val="single" w:sz="6" w:space="0" w:color="auto"/>
              <w:left w:val="single" w:sz="6" w:space="0" w:color="auto"/>
              <w:right w:val="nil"/>
            </w:tcBorders>
            <w:vAlign w:val="center"/>
          </w:tcPr>
          <w:p w14:paraId="24F5D435" w14:textId="77777777" w:rsidR="00E5618D" w:rsidRPr="00F339B2" w:rsidRDefault="00022FDD" w:rsidP="00E5618D">
            <w:pPr>
              <w:pStyle w:val="ChecklistXs"/>
            </w:pPr>
            <w:r>
              <w:t>X</w:t>
            </w:r>
          </w:p>
        </w:tc>
      </w:tr>
      <w:tr w:rsidR="00E5618D" w14:paraId="2963A215" w14:textId="77777777" w:rsidTr="00AE6F44">
        <w:trPr>
          <w:cantSplit/>
          <w:jc w:val="center"/>
        </w:trPr>
        <w:tc>
          <w:tcPr>
            <w:tcW w:w="4666" w:type="dxa"/>
            <w:tcBorders>
              <w:top w:val="single" w:sz="6" w:space="0" w:color="auto"/>
              <w:left w:val="nil"/>
              <w:right w:val="single" w:sz="6" w:space="0" w:color="auto"/>
            </w:tcBorders>
          </w:tcPr>
          <w:p w14:paraId="33FD37C6" w14:textId="77777777" w:rsidR="00E5618D" w:rsidRDefault="00E5618D" w:rsidP="00E5618D">
            <w:pPr>
              <w:pStyle w:val="TblTxt1"/>
            </w:pPr>
            <w:r>
              <w:t>b)</w:t>
            </w:r>
            <w:r>
              <w:tab/>
              <w:t>Displace substantial numbers of existing people or housing, necessitating the construction of replacement housing elsewhere?</w:t>
            </w:r>
          </w:p>
        </w:tc>
        <w:tc>
          <w:tcPr>
            <w:tcW w:w="1170" w:type="dxa"/>
            <w:tcBorders>
              <w:top w:val="single" w:sz="6" w:space="0" w:color="auto"/>
              <w:left w:val="single" w:sz="6" w:space="0" w:color="auto"/>
              <w:right w:val="single" w:sz="6" w:space="0" w:color="auto"/>
            </w:tcBorders>
            <w:vAlign w:val="center"/>
          </w:tcPr>
          <w:p w14:paraId="14517D06"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15361DB5"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581E6A04" w14:textId="77777777" w:rsidR="00E5618D" w:rsidRPr="00F339B2" w:rsidRDefault="00E5618D" w:rsidP="00E5618D">
            <w:pPr>
              <w:pStyle w:val="ChecklistXs"/>
            </w:pPr>
          </w:p>
        </w:tc>
        <w:tc>
          <w:tcPr>
            <w:tcW w:w="1155" w:type="dxa"/>
            <w:tcBorders>
              <w:top w:val="single" w:sz="6" w:space="0" w:color="auto"/>
              <w:left w:val="single" w:sz="6" w:space="0" w:color="auto"/>
              <w:right w:val="nil"/>
            </w:tcBorders>
            <w:vAlign w:val="center"/>
          </w:tcPr>
          <w:p w14:paraId="21D5FD50" w14:textId="77777777" w:rsidR="00E5618D" w:rsidRPr="00F339B2" w:rsidRDefault="00022FDD" w:rsidP="00E5618D">
            <w:pPr>
              <w:pStyle w:val="ChecklistXs"/>
            </w:pPr>
            <w:r>
              <w:t>X</w:t>
            </w:r>
          </w:p>
        </w:tc>
      </w:tr>
      <w:tr w:rsidR="00E5618D" w14:paraId="38B423C3" w14:textId="77777777" w:rsidTr="00AE6F44">
        <w:trPr>
          <w:cantSplit/>
          <w:jc w:val="center"/>
        </w:trPr>
        <w:tc>
          <w:tcPr>
            <w:tcW w:w="9331" w:type="dxa"/>
            <w:gridSpan w:val="5"/>
            <w:tcBorders>
              <w:top w:val="single" w:sz="12" w:space="0" w:color="auto"/>
              <w:left w:val="nil"/>
              <w:right w:val="nil"/>
            </w:tcBorders>
            <w:shd w:val="clear" w:color="auto" w:fill="E0E0E0"/>
          </w:tcPr>
          <w:p w14:paraId="6E4DC60F" w14:textId="77777777" w:rsidR="00E5618D" w:rsidRDefault="00E5618D" w:rsidP="00E5618D">
            <w:pPr>
              <w:pStyle w:val="ChecklistSubhead"/>
            </w:pPr>
            <w:r>
              <w:t>XV</w:t>
            </w:r>
            <w:r w:rsidRPr="00F84F3C">
              <w:t>. PUBLIC SERVICES</w:t>
            </w:r>
            <w:r w:rsidRPr="00AA2405">
              <w:t>.</w:t>
            </w:r>
            <w:r w:rsidRPr="00B74932">
              <w:rPr>
                <w:rStyle w:val="ChecklistSubText"/>
                <w:b/>
              </w:rPr>
              <w:t xml:space="preserve"> Would the project</w:t>
            </w:r>
            <w:r>
              <w:rPr>
                <w:rStyle w:val="ChecklistSubText"/>
                <w:b/>
              </w:rPr>
              <w:t>:</w:t>
            </w:r>
          </w:p>
        </w:tc>
      </w:tr>
      <w:tr w:rsidR="00E5618D" w14:paraId="3E91FC7A" w14:textId="77777777" w:rsidTr="00AE6F44">
        <w:trPr>
          <w:cantSplit/>
          <w:jc w:val="center"/>
        </w:trPr>
        <w:tc>
          <w:tcPr>
            <w:tcW w:w="4666" w:type="dxa"/>
            <w:tcBorders>
              <w:top w:val="single" w:sz="6" w:space="0" w:color="auto"/>
              <w:left w:val="nil"/>
              <w:right w:val="single" w:sz="6" w:space="0" w:color="auto"/>
            </w:tcBorders>
          </w:tcPr>
          <w:p w14:paraId="71CCC27C" w14:textId="77777777" w:rsidR="00E5618D" w:rsidRDefault="00E5618D" w:rsidP="00E5618D">
            <w:pPr>
              <w:pStyle w:val="TblTxt1"/>
            </w:pPr>
            <w:r>
              <w:t>a)</w:t>
            </w:r>
            <w:r>
              <w:tab/>
            </w:r>
            <w:r w:rsidRPr="00817A9C">
              <w:t xml:space="preserve">Result in substantial adverse physical impacts associated with the provision of new or physically altered </w:t>
            </w:r>
            <w:r>
              <w:t xml:space="preserve">governmental facilities, </w:t>
            </w:r>
            <w:r w:rsidRPr="00817A9C">
              <w:t>need for new or physically altered governmental facilities, the construction of which could cause significant environmental impacts, in order to maintain acceptable service ratios, response times, or other performance objectives for any of the public services:</w:t>
            </w:r>
          </w:p>
        </w:tc>
        <w:tc>
          <w:tcPr>
            <w:tcW w:w="1170" w:type="dxa"/>
            <w:tcBorders>
              <w:top w:val="single" w:sz="6" w:space="0" w:color="auto"/>
              <w:left w:val="single" w:sz="6" w:space="0" w:color="auto"/>
              <w:right w:val="single" w:sz="6" w:space="0" w:color="auto"/>
            </w:tcBorders>
            <w:vAlign w:val="center"/>
          </w:tcPr>
          <w:p w14:paraId="574DF64C"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64EEA723"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328EC847" w14:textId="77777777" w:rsidR="00E5618D" w:rsidRPr="00F339B2" w:rsidRDefault="00E5618D" w:rsidP="00E5618D">
            <w:pPr>
              <w:pStyle w:val="ChecklistXs"/>
            </w:pPr>
          </w:p>
        </w:tc>
        <w:tc>
          <w:tcPr>
            <w:tcW w:w="1155" w:type="dxa"/>
            <w:tcBorders>
              <w:top w:val="single" w:sz="6" w:space="0" w:color="auto"/>
              <w:left w:val="single" w:sz="6" w:space="0" w:color="auto"/>
              <w:right w:val="nil"/>
            </w:tcBorders>
            <w:vAlign w:val="center"/>
          </w:tcPr>
          <w:p w14:paraId="2AA6081D" w14:textId="77777777" w:rsidR="00E5618D" w:rsidRPr="00F339B2" w:rsidRDefault="00E5618D" w:rsidP="00E5618D">
            <w:pPr>
              <w:pStyle w:val="ChecklistXs"/>
            </w:pPr>
          </w:p>
        </w:tc>
      </w:tr>
      <w:tr w:rsidR="00E5618D" w14:paraId="77D593D8" w14:textId="77777777" w:rsidTr="00AE6F44">
        <w:trPr>
          <w:cantSplit/>
          <w:jc w:val="center"/>
        </w:trPr>
        <w:tc>
          <w:tcPr>
            <w:tcW w:w="4666" w:type="dxa"/>
            <w:tcBorders>
              <w:top w:val="single" w:sz="6" w:space="0" w:color="auto"/>
              <w:left w:val="nil"/>
              <w:right w:val="single" w:sz="6" w:space="0" w:color="auto"/>
            </w:tcBorders>
          </w:tcPr>
          <w:p w14:paraId="018FBA27" w14:textId="77777777" w:rsidR="00E5618D" w:rsidRDefault="00E5618D" w:rsidP="00E5618D">
            <w:pPr>
              <w:pStyle w:val="TblTxt1"/>
              <w:ind w:left="688"/>
            </w:pPr>
            <w:r>
              <w:t>Fire protection?</w:t>
            </w:r>
          </w:p>
        </w:tc>
        <w:tc>
          <w:tcPr>
            <w:tcW w:w="1170" w:type="dxa"/>
            <w:tcBorders>
              <w:top w:val="single" w:sz="6" w:space="0" w:color="auto"/>
              <w:left w:val="single" w:sz="6" w:space="0" w:color="auto"/>
              <w:right w:val="single" w:sz="6" w:space="0" w:color="auto"/>
            </w:tcBorders>
            <w:vAlign w:val="center"/>
          </w:tcPr>
          <w:p w14:paraId="01E517E1"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4CD1BE92"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2588D658" w14:textId="77777777" w:rsidR="00E5618D" w:rsidRPr="00F339B2" w:rsidRDefault="00022FDD" w:rsidP="00E5618D">
            <w:pPr>
              <w:pStyle w:val="ChecklistXs"/>
            </w:pPr>
            <w:r>
              <w:t>X</w:t>
            </w:r>
          </w:p>
        </w:tc>
        <w:tc>
          <w:tcPr>
            <w:tcW w:w="1155" w:type="dxa"/>
            <w:tcBorders>
              <w:top w:val="single" w:sz="6" w:space="0" w:color="auto"/>
              <w:left w:val="single" w:sz="6" w:space="0" w:color="auto"/>
              <w:right w:val="nil"/>
            </w:tcBorders>
            <w:vAlign w:val="center"/>
          </w:tcPr>
          <w:p w14:paraId="0D93BD65" w14:textId="77777777" w:rsidR="00E5618D" w:rsidRPr="00F339B2" w:rsidRDefault="00E5618D" w:rsidP="00E5618D">
            <w:pPr>
              <w:pStyle w:val="ChecklistXs"/>
            </w:pPr>
          </w:p>
        </w:tc>
      </w:tr>
      <w:tr w:rsidR="00E5618D" w14:paraId="6BF73CD0" w14:textId="77777777" w:rsidTr="00AE6F44">
        <w:trPr>
          <w:cantSplit/>
          <w:jc w:val="center"/>
        </w:trPr>
        <w:tc>
          <w:tcPr>
            <w:tcW w:w="4666" w:type="dxa"/>
            <w:tcBorders>
              <w:top w:val="single" w:sz="6" w:space="0" w:color="auto"/>
              <w:left w:val="nil"/>
              <w:right w:val="single" w:sz="6" w:space="0" w:color="auto"/>
            </w:tcBorders>
          </w:tcPr>
          <w:p w14:paraId="5795C299" w14:textId="77777777" w:rsidR="00E5618D" w:rsidRDefault="00E5618D" w:rsidP="00E5618D">
            <w:pPr>
              <w:pStyle w:val="TblTxt1"/>
              <w:ind w:left="688"/>
            </w:pPr>
            <w:r>
              <w:t>Police protection?</w:t>
            </w:r>
          </w:p>
        </w:tc>
        <w:tc>
          <w:tcPr>
            <w:tcW w:w="1170" w:type="dxa"/>
            <w:tcBorders>
              <w:top w:val="single" w:sz="6" w:space="0" w:color="auto"/>
              <w:left w:val="single" w:sz="6" w:space="0" w:color="auto"/>
              <w:right w:val="single" w:sz="6" w:space="0" w:color="auto"/>
            </w:tcBorders>
            <w:vAlign w:val="center"/>
          </w:tcPr>
          <w:p w14:paraId="27574E9C"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5B6F8725"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60A0736D" w14:textId="77777777" w:rsidR="00E5618D" w:rsidRPr="00F339B2" w:rsidRDefault="00022FDD" w:rsidP="00E5618D">
            <w:pPr>
              <w:pStyle w:val="ChecklistXs"/>
            </w:pPr>
            <w:r>
              <w:t>X</w:t>
            </w:r>
          </w:p>
        </w:tc>
        <w:tc>
          <w:tcPr>
            <w:tcW w:w="1155" w:type="dxa"/>
            <w:tcBorders>
              <w:top w:val="single" w:sz="6" w:space="0" w:color="auto"/>
              <w:left w:val="single" w:sz="6" w:space="0" w:color="auto"/>
              <w:right w:val="nil"/>
            </w:tcBorders>
            <w:vAlign w:val="center"/>
          </w:tcPr>
          <w:p w14:paraId="06790666" w14:textId="77777777" w:rsidR="00E5618D" w:rsidRPr="00F339B2" w:rsidRDefault="00E5618D" w:rsidP="00E5618D">
            <w:pPr>
              <w:pStyle w:val="ChecklistXs"/>
            </w:pPr>
          </w:p>
        </w:tc>
      </w:tr>
      <w:tr w:rsidR="00E5618D" w14:paraId="5F3583F3" w14:textId="77777777" w:rsidTr="00AE6F44">
        <w:trPr>
          <w:cantSplit/>
          <w:jc w:val="center"/>
        </w:trPr>
        <w:tc>
          <w:tcPr>
            <w:tcW w:w="4666" w:type="dxa"/>
            <w:tcBorders>
              <w:top w:val="single" w:sz="6" w:space="0" w:color="auto"/>
              <w:left w:val="nil"/>
              <w:right w:val="single" w:sz="6" w:space="0" w:color="auto"/>
            </w:tcBorders>
          </w:tcPr>
          <w:p w14:paraId="06E4D587" w14:textId="77777777" w:rsidR="00E5618D" w:rsidRDefault="00E5618D" w:rsidP="00E5618D">
            <w:pPr>
              <w:pStyle w:val="TblTxt1"/>
              <w:ind w:left="688"/>
            </w:pPr>
            <w:r>
              <w:t>Schools?</w:t>
            </w:r>
          </w:p>
        </w:tc>
        <w:tc>
          <w:tcPr>
            <w:tcW w:w="1170" w:type="dxa"/>
            <w:tcBorders>
              <w:top w:val="single" w:sz="6" w:space="0" w:color="auto"/>
              <w:left w:val="single" w:sz="6" w:space="0" w:color="auto"/>
              <w:right w:val="single" w:sz="6" w:space="0" w:color="auto"/>
            </w:tcBorders>
            <w:vAlign w:val="center"/>
          </w:tcPr>
          <w:p w14:paraId="13E04721"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1E15817A"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3A14D98C" w14:textId="77777777" w:rsidR="00E5618D" w:rsidRPr="00F339B2" w:rsidRDefault="00E5618D" w:rsidP="00E5618D">
            <w:pPr>
              <w:pStyle w:val="ChecklistXs"/>
            </w:pPr>
          </w:p>
        </w:tc>
        <w:tc>
          <w:tcPr>
            <w:tcW w:w="1155" w:type="dxa"/>
            <w:tcBorders>
              <w:top w:val="single" w:sz="6" w:space="0" w:color="auto"/>
              <w:left w:val="single" w:sz="6" w:space="0" w:color="auto"/>
              <w:right w:val="nil"/>
            </w:tcBorders>
            <w:vAlign w:val="center"/>
          </w:tcPr>
          <w:p w14:paraId="4CEA9A7D" w14:textId="77777777" w:rsidR="00E5618D" w:rsidRPr="00F339B2" w:rsidRDefault="00022FDD" w:rsidP="00E5618D">
            <w:pPr>
              <w:pStyle w:val="ChecklistXs"/>
            </w:pPr>
            <w:r>
              <w:t>X</w:t>
            </w:r>
          </w:p>
        </w:tc>
      </w:tr>
      <w:tr w:rsidR="00E5618D" w14:paraId="12A31693" w14:textId="77777777" w:rsidTr="00AE6F44">
        <w:trPr>
          <w:cantSplit/>
          <w:jc w:val="center"/>
        </w:trPr>
        <w:tc>
          <w:tcPr>
            <w:tcW w:w="4666" w:type="dxa"/>
            <w:tcBorders>
              <w:top w:val="single" w:sz="6" w:space="0" w:color="auto"/>
              <w:left w:val="nil"/>
              <w:right w:val="single" w:sz="6" w:space="0" w:color="auto"/>
            </w:tcBorders>
          </w:tcPr>
          <w:p w14:paraId="2313F99D" w14:textId="77777777" w:rsidR="00E5618D" w:rsidRDefault="00E5618D" w:rsidP="00E5618D">
            <w:pPr>
              <w:pStyle w:val="TblTxt1"/>
              <w:ind w:left="688"/>
            </w:pPr>
            <w:r>
              <w:t>Parks?</w:t>
            </w:r>
          </w:p>
        </w:tc>
        <w:tc>
          <w:tcPr>
            <w:tcW w:w="1170" w:type="dxa"/>
            <w:tcBorders>
              <w:top w:val="single" w:sz="6" w:space="0" w:color="auto"/>
              <w:left w:val="single" w:sz="6" w:space="0" w:color="auto"/>
              <w:right w:val="single" w:sz="6" w:space="0" w:color="auto"/>
            </w:tcBorders>
            <w:vAlign w:val="center"/>
          </w:tcPr>
          <w:p w14:paraId="505BCAEF"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6C8516ED"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48CD75B6" w14:textId="77777777" w:rsidR="00E5618D" w:rsidRPr="00F339B2" w:rsidRDefault="00E5618D" w:rsidP="00E5618D">
            <w:pPr>
              <w:pStyle w:val="ChecklistXs"/>
            </w:pPr>
          </w:p>
        </w:tc>
        <w:tc>
          <w:tcPr>
            <w:tcW w:w="1155" w:type="dxa"/>
            <w:tcBorders>
              <w:top w:val="single" w:sz="6" w:space="0" w:color="auto"/>
              <w:left w:val="single" w:sz="6" w:space="0" w:color="auto"/>
              <w:right w:val="nil"/>
            </w:tcBorders>
            <w:vAlign w:val="center"/>
          </w:tcPr>
          <w:p w14:paraId="0D29AB73" w14:textId="77777777" w:rsidR="00E5618D" w:rsidRPr="00F339B2" w:rsidRDefault="00022FDD" w:rsidP="00E5618D">
            <w:pPr>
              <w:pStyle w:val="ChecklistXs"/>
            </w:pPr>
            <w:r>
              <w:t>X</w:t>
            </w:r>
          </w:p>
        </w:tc>
      </w:tr>
      <w:tr w:rsidR="00E5618D" w14:paraId="0B188DBE" w14:textId="77777777" w:rsidTr="00AE6F44">
        <w:trPr>
          <w:cantSplit/>
          <w:jc w:val="center"/>
        </w:trPr>
        <w:tc>
          <w:tcPr>
            <w:tcW w:w="4666" w:type="dxa"/>
            <w:tcBorders>
              <w:top w:val="single" w:sz="6" w:space="0" w:color="auto"/>
              <w:left w:val="nil"/>
              <w:bottom w:val="single" w:sz="12" w:space="0" w:color="auto"/>
              <w:right w:val="single" w:sz="6" w:space="0" w:color="auto"/>
            </w:tcBorders>
          </w:tcPr>
          <w:p w14:paraId="15A5B6EF" w14:textId="77777777" w:rsidR="00E5618D" w:rsidRDefault="00E5618D" w:rsidP="00E5618D">
            <w:pPr>
              <w:pStyle w:val="TblTxt1"/>
              <w:ind w:left="688"/>
            </w:pPr>
            <w:r>
              <w:t>Other public facilities?</w:t>
            </w:r>
          </w:p>
        </w:tc>
        <w:tc>
          <w:tcPr>
            <w:tcW w:w="1170" w:type="dxa"/>
            <w:tcBorders>
              <w:top w:val="single" w:sz="6" w:space="0" w:color="auto"/>
              <w:left w:val="single" w:sz="6" w:space="0" w:color="auto"/>
              <w:bottom w:val="single" w:sz="12" w:space="0" w:color="auto"/>
              <w:right w:val="single" w:sz="6" w:space="0" w:color="auto"/>
            </w:tcBorders>
            <w:vAlign w:val="center"/>
          </w:tcPr>
          <w:p w14:paraId="1167A4C7" w14:textId="77777777" w:rsidR="00E5618D" w:rsidRPr="00F339B2" w:rsidRDefault="00E5618D" w:rsidP="00E5618D">
            <w:pPr>
              <w:pStyle w:val="ChecklistXs"/>
            </w:pPr>
          </w:p>
        </w:tc>
        <w:tc>
          <w:tcPr>
            <w:tcW w:w="1170" w:type="dxa"/>
            <w:tcBorders>
              <w:top w:val="single" w:sz="6" w:space="0" w:color="auto"/>
              <w:left w:val="single" w:sz="6" w:space="0" w:color="auto"/>
              <w:bottom w:val="single" w:sz="12" w:space="0" w:color="auto"/>
              <w:right w:val="single" w:sz="6" w:space="0" w:color="auto"/>
            </w:tcBorders>
            <w:vAlign w:val="center"/>
          </w:tcPr>
          <w:p w14:paraId="50291160" w14:textId="77777777" w:rsidR="00E5618D" w:rsidRPr="00F339B2" w:rsidRDefault="00E5618D" w:rsidP="00E5618D">
            <w:pPr>
              <w:pStyle w:val="ChecklistXs"/>
            </w:pPr>
          </w:p>
        </w:tc>
        <w:tc>
          <w:tcPr>
            <w:tcW w:w="1170" w:type="dxa"/>
            <w:tcBorders>
              <w:top w:val="single" w:sz="6" w:space="0" w:color="auto"/>
              <w:left w:val="single" w:sz="6" w:space="0" w:color="auto"/>
              <w:bottom w:val="single" w:sz="12" w:space="0" w:color="auto"/>
              <w:right w:val="single" w:sz="6" w:space="0" w:color="auto"/>
            </w:tcBorders>
            <w:vAlign w:val="center"/>
          </w:tcPr>
          <w:p w14:paraId="528C7AB9" w14:textId="77777777" w:rsidR="00E5618D" w:rsidRPr="00F339B2" w:rsidRDefault="00E5618D" w:rsidP="00E5618D">
            <w:pPr>
              <w:pStyle w:val="ChecklistXs"/>
            </w:pPr>
          </w:p>
        </w:tc>
        <w:tc>
          <w:tcPr>
            <w:tcW w:w="1155" w:type="dxa"/>
            <w:tcBorders>
              <w:top w:val="single" w:sz="6" w:space="0" w:color="auto"/>
              <w:left w:val="single" w:sz="6" w:space="0" w:color="auto"/>
              <w:bottom w:val="single" w:sz="12" w:space="0" w:color="auto"/>
              <w:right w:val="nil"/>
            </w:tcBorders>
            <w:vAlign w:val="center"/>
          </w:tcPr>
          <w:p w14:paraId="724CE5CB" w14:textId="77777777" w:rsidR="00E5618D" w:rsidRPr="00F339B2" w:rsidRDefault="00022FDD" w:rsidP="00E5618D">
            <w:pPr>
              <w:pStyle w:val="ChecklistXs"/>
            </w:pPr>
            <w:r>
              <w:t>X</w:t>
            </w:r>
          </w:p>
        </w:tc>
      </w:tr>
      <w:tr w:rsidR="00E5618D" w14:paraId="1E7E36DD" w14:textId="77777777" w:rsidTr="00AE6F44">
        <w:trPr>
          <w:cantSplit/>
          <w:jc w:val="center"/>
        </w:trPr>
        <w:tc>
          <w:tcPr>
            <w:tcW w:w="9331" w:type="dxa"/>
            <w:gridSpan w:val="5"/>
            <w:tcBorders>
              <w:top w:val="single" w:sz="12" w:space="0" w:color="auto"/>
              <w:left w:val="nil"/>
              <w:right w:val="nil"/>
            </w:tcBorders>
            <w:shd w:val="clear" w:color="auto" w:fill="E0E0E0"/>
          </w:tcPr>
          <w:p w14:paraId="48026234" w14:textId="77777777" w:rsidR="00E5618D" w:rsidRPr="00A7449B" w:rsidRDefault="00E5618D" w:rsidP="00E5618D">
            <w:pPr>
              <w:pStyle w:val="ChecklistSubhead"/>
            </w:pPr>
            <w:r>
              <w:t>X</w:t>
            </w:r>
            <w:r w:rsidRPr="00A7449B">
              <w:t>V</w:t>
            </w:r>
            <w:r>
              <w:t>I</w:t>
            </w:r>
            <w:r w:rsidRPr="00A7449B">
              <w:t xml:space="preserve">. RECREATION. </w:t>
            </w:r>
          </w:p>
        </w:tc>
      </w:tr>
      <w:tr w:rsidR="00E5618D" w14:paraId="58C3484A" w14:textId="77777777" w:rsidTr="00AE6F44">
        <w:trPr>
          <w:cantSplit/>
          <w:jc w:val="center"/>
        </w:trPr>
        <w:tc>
          <w:tcPr>
            <w:tcW w:w="4666" w:type="dxa"/>
            <w:tcBorders>
              <w:top w:val="single" w:sz="6" w:space="0" w:color="auto"/>
              <w:left w:val="nil"/>
              <w:right w:val="single" w:sz="6" w:space="0" w:color="auto"/>
            </w:tcBorders>
          </w:tcPr>
          <w:p w14:paraId="6B0B8B2F" w14:textId="77777777" w:rsidR="00E5618D" w:rsidRDefault="00E5618D" w:rsidP="00E5618D">
            <w:pPr>
              <w:pStyle w:val="TblTxt1"/>
            </w:pPr>
            <w:r>
              <w:t>a)</w:t>
            </w:r>
            <w:r>
              <w:tab/>
              <w:t>Would the project increase the use of existing neighborhood and regional parks or other recreational facilities such that substantial physical deterioration of the facility would occur or be accelerated?</w:t>
            </w:r>
          </w:p>
        </w:tc>
        <w:tc>
          <w:tcPr>
            <w:tcW w:w="1170" w:type="dxa"/>
            <w:tcBorders>
              <w:top w:val="single" w:sz="6" w:space="0" w:color="auto"/>
              <w:left w:val="single" w:sz="6" w:space="0" w:color="auto"/>
              <w:right w:val="single" w:sz="6" w:space="0" w:color="auto"/>
            </w:tcBorders>
            <w:vAlign w:val="center"/>
          </w:tcPr>
          <w:p w14:paraId="34E76E2E"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2D7AA7F7"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558A6C9F" w14:textId="77777777" w:rsidR="00E5618D" w:rsidRPr="00F339B2" w:rsidRDefault="00E5618D" w:rsidP="00E5618D">
            <w:pPr>
              <w:pStyle w:val="ChecklistXs"/>
            </w:pPr>
          </w:p>
        </w:tc>
        <w:tc>
          <w:tcPr>
            <w:tcW w:w="1155" w:type="dxa"/>
            <w:tcBorders>
              <w:top w:val="single" w:sz="6" w:space="0" w:color="auto"/>
              <w:left w:val="single" w:sz="6" w:space="0" w:color="auto"/>
              <w:right w:val="nil"/>
            </w:tcBorders>
            <w:vAlign w:val="center"/>
          </w:tcPr>
          <w:p w14:paraId="3A75EAF3" w14:textId="77777777" w:rsidR="00E5618D" w:rsidRPr="00F339B2" w:rsidRDefault="003E5E05" w:rsidP="00E5618D">
            <w:pPr>
              <w:pStyle w:val="ChecklistXs"/>
            </w:pPr>
            <w:r>
              <w:t>X</w:t>
            </w:r>
          </w:p>
        </w:tc>
      </w:tr>
      <w:tr w:rsidR="00E5618D" w14:paraId="46CD05A8" w14:textId="77777777" w:rsidTr="00AE6F44">
        <w:trPr>
          <w:cantSplit/>
          <w:jc w:val="center"/>
        </w:trPr>
        <w:tc>
          <w:tcPr>
            <w:tcW w:w="4666" w:type="dxa"/>
            <w:tcBorders>
              <w:top w:val="single" w:sz="6" w:space="0" w:color="auto"/>
              <w:left w:val="nil"/>
              <w:bottom w:val="single" w:sz="12" w:space="0" w:color="auto"/>
              <w:right w:val="single" w:sz="6" w:space="0" w:color="auto"/>
            </w:tcBorders>
          </w:tcPr>
          <w:p w14:paraId="56B91AD2" w14:textId="77777777" w:rsidR="00E5618D" w:rsidRDefault="00E5618D" w:rsidP="00E5618D">
            <w:pPr>
              <w:pStyle w:val="TblTxt1"/>
            </w:pPr>
            <w:r>
              <w:t>b)</w:t>
            </w:r>
            <w:r>
              <w:tab/>
              <w:t>Does the project include recreational facilities or require the construction or expansion of recreational facilities which might have an adverse physical effect on the environment?</w:t>
            </w:r>
          </w:p>
        </w:tc>
        <w:tc>
          <w:tcPr>
            <w:tcW w:w="1170" w:type="dxa"/>
            <w:tcBorders>
              <w:top w:val="single" w:sz="6" w:space="0" w:color="auto"/>
              <w:left w:val="single" w:sz="6" w:space="0" w:color="auto"/>
              <w:bottom w:val="single" w:sz="12" w:space="0" w:color="auto"/>
              <w:right w:val="single" w:sz="6" w:space="0" w:color="auto"/>
            </w:tcBorders>
            <w:vAlign w:val="center"/>
          </w:tcPr>
          <w:p w14:paraId="1646BF43" w14:textId="77777777" w:rsidR="00E5618D" w:rsidRPr="00F339B2" w:rsidRDefault="00E5618D" w:rsidP="00E5618D">
            <w:pPr>
              <w:pStyle w:val="ChecklistXs"/>
            </w:pPr>
          </w:p>
        </w:tc>
        <w:tc>
          <w:tcPr>
            <w:tcW w:w="1170" w:type="dxa"/>
            <w:tcBorders>
              <w:top w:val="single" w:sz="6" w:space="0" w:color="auto"/>
              <w:left w:val="single" w:sz="6" w:space="0" w:color="auto"/>
              <w:bottom w:val="single" w:sz="12" w:space="0" w:color="auto"/>
              <w:right w:val="single" w:sz="6" w:space="0" w:color="auto"/>
            </w:tcBorders>
            <w:vAlign w:val="center"/>
          </w:tcPr>
          <w:p w14:paraId="33242011" w14:textId="77777777" w:rsidR="00E5618D" w:rsidRPr="00F339B2" w:rsidRDefault="00E5618D" w:rsidP="00E5618D">
            <w:pPr>
              <w:pStyle w:val="ChecklistXs"/>
            </w:pPr>
          </w:p>
        </w:tc>
        <w:tc>
          <w:tcPr>
            <w:tcW w:w="1170" w:type="dxa"/>
            <w:tcBorders>
              <w:top w:val="single" w:sz="6" w:space="0" w:color="auto"/>
              <w:left w:val="single" w:sz="6" w:space="0" w:color="auto"/>
              <w:bottom w:val="single" w:sz="12" w:space="0" w:color="auto"/>
              <w:right w:val="single" w:sz="6" w:space="0" w:color="auto"/>
            </w:tcBorders>
            <w:vAlign w:val="center"/>
          </w:tcPr>
          <w:p w14:paraId="0BEF04E5" w14:textId="77777777" w:rsidR="00E5618D" w:rsidRPr="00F339B2" w:rsidRDefault="00E5618D" w:rsidP="00E5618D">
            <w:pPr>
              <w:pStyle w:val="ChecklistXs"/>
            </w:pPr>
          </w:p>
        </w:tc>
        <w:tc>
          <w:tcPr>
            <w:tcW w:w="1155" w:type="dxa"/>
            <w:tcBorders>
              <w:top w:val="single" w:sz="6" w:space="0" w:color="auto"/>
              <w:left w:val="single" w:sz="6" w:space="0" w:color="auto"/>
              <w:bottom w:val="single" w:sz="12" w:space="0" w:color="auto"/>
              <w:right w:val="nil"/>
            </w:tcBorders>
            <w:vAlign w:val="center"/>
          </w:tcPr>
          <w:p w14:paraId="6B9B7B10" w14:textId="77777777" w:rsidR="00E5618D" w:rsidRPr="00F339B2" w:rsidRDefault="003E5E05" w:rsidP="00E5618D">
            <w:pPr>
              <w:pStyle w:val="ChecklistXs"/>
            </w:pPr>
            <w:r>
              <w:t>X</w:t>
            </w:r>
          </w:p>
        </w:tc>
      </w:tr>
      <w:tr w:rsidR="00E5618D" w14:paraId="48FCF52B" w14:textId="77777777" w:rsidTr="00AE6F44">
        <w:trPr>
          <w:cantSplit/>
          <w:jc w:val="center"/>
        </w:trPr>
        <w:tc>
          <w:tcPr>
            <w:tcW w:w="9331" w:type="dxa"/>
            <w:gridSpan w:val="5"/>
            <w:tcBorders>
              <w:top w:val="single" w:sz="12" w:space="0" w:color="auto"/>
              <w:left w:val="nil"/>
              <w:right w:val="nil"/>
            </w:tcBorders>
            <w:shd w:val="clear" w:color="auto" w:fill="E0E0E0"/>
          </w:tcPr>
          <w:p w14:paraId="425EC6C9" w14:textId="77777777" w:rsidR="00E5618D" w:rsidRDefault="00E5618D" w:rsidP="00E5618D">
            <w:pPr>
              <w:pStyle w:val="ChecklistSubhead"/>
            </w:pPr>
            <w:r w:rsidRPr="00F84F3C">
              <w:t>XV</w:t>
            </w:r>
            <w:r>
              <w:t>II</w:t>
            </w:r>
            <w:r w:rsidRPr="00F84F3C">
              <w:t xml:space="preserve">. TRANSPORTATION. </w:t>
            </w:r>
            <w:r w:rsidRPr="00B74932">
              <w:rPr>
                <w:rStyle w:val="ChecklistSubText"/>
                <w:b/>
              </w:rPr>
              <w:t>Would the project:</w:t>
            </w:r>
          </w:p>
        </w:tc>
      </w:tr>
      <w:tr w:rsidR="00E5618D" w14:paraId="5CDFB13B" w14:textId="77777777" w:rsidTr="00AE6F44">
        <w:trPr>
          <w:cantSplit/>
          <w:jc w:val="center"/>
        </w:trPr>
        <w:tc>
          <w:tcPr>
            <w:tcW w:w="4666" w:type="dxa"/>
            <w:tcBorders>
              <w:top w:val="single" w:sz="6" w:space="0" w:color="auto"/>
              <w:left w:val="nil"/>
              <w:right w:val="single" w:sz="6" w:space="0" w:color="auto"/>
            </w:tcBorders>
          </w:tcPr>
          <w:p w14:paraId="2B565EE5" w14:textId="77777777" w:rsidR="00E5618D" w:rsidRDefault="00E5618D" w:rsidP="00E5618D">
            <w:pPr>
              <w:pStyle w:val="TblTxt1"/>
            </w:pPr>
            <w:r>
              <w:t>a)</w:t>
            </w:r>
            <w:r>
              <w:tab/>
              <w:t xml:space="preserve">Conflict with a program, plan, ordinance or policy addressing the circulation system, including transit, roadway, bicycle and pedestrian facilities? </w:t>
            </w:r>
          </w:p>
        </w:tc>
        <w:tc>
          <w:tcPr>
            <w:tcW w:w="1170" w:type="dxa"/>
            <w:tcBorders>
              <w:top w:val="single" w:sz="6" w:space="0" w:color="auto"/>
              <w:left w:val="single" w:sz="6" w:space="0" w:color="auto"/>
              <w:right w:val="single" w:sz="6" w:space="0" w:color="auto"/>
            </w:tcBorders>
            <w:vAlign w:val="center"/>
          </w:tcPr>
          <w:p w14:paraId="2B833CBA"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64BD74A0" w14:textId="77777777" w:rsidR="00E5618D" w:rsidRPr="00F339B2" w:rsidRDefault="003D2EDF" w:rsidP="00E5618D">
            <w:pPr>
              <w:pStyle w:val="ChecklistXs"/>
            </w:pPr>
            <w:r>
              <w:t>X</w:t>
            </w:r>
          </w:p>
        </w:tc>
        <w:tc>
          <w:tcPr>
            <w:tcW w:w="1170" w:type="dxa"/>
            <w:tcBorders>
              <w:top w:val="single" w:sz="6" w:space="0" w:color="auto"/>
              <w:left w:val="single" w:sz="6" w:space="0" w:color="auto"/>
              <w:right w:val="single" w:sz="6" w:space="0" w:color="auto"/>
            </w:tcBorders>
            <w:vAlign w:val="center"/>
          </w:tcPr>
          <w:p w14:paraId="532FFBC9" w14:textId="77777777" w:rsidR="00E5618D" w:rsidRPr="00F339B2" w:rsidRDefault="00E5618D" w:rsidP="00E5618D">
            <w:pPr>
              <w:pStyle w:val="ChecklistXs"/>
            </w:pPr>
          </w:p>
        </w:tc>
        <w:tc>
          <w:tcPr>
            <w:tcW w:w="1155" w:type="dxa"/>
            <w:tcBorders>
              <w:top w:val="single" w:sz="6" w:space="0" w:color="auto"/>
              <w:left w:val="single" w:sz="6" w:space="0" w:color="auto"/>
              <w:right w:val="nil"/>
            </w:tcBorders>
            <w:vAlign w:val="center"/>
          </w:tcPr>
          <w:p w14:paraId="72DB29CE" w14:textId="77777777" w:rsidR="00E5618D" w:rsidRPr="00F339B2" w:rsidRDefault="00E5618D" w:rsidP="00E5618D">
            <w:pPr>
              <w:pStyle w:val="ChecklistXs"/>
            </w:pPr>
          </w:p>
        </w:tc>
      </w:tr>
      <w:tr w:rsidR="00E5618D" w14:paraId="30CEE688" w14:textId="77777777" w:rsidTr="00AE6F44">
        <w:trPr>
          <w:cantSplit/>
          <w:jc w:val="center"/>
        </w:trPr>
        <w:tc>
          <w:tcPr>
            <w:tcW w:w="4666" w:type="dxa"/>
            <w:tcBorders>
              <w:top w:val="single" w:sz="6" w:space="0" w:color="auto"/>
              <w:left w:val="nil"/>
              <w:right w:val="single" w:sz="6" w:space="0" w:color="auto"/>
            </w:tcBorders>
          </w:tcPr>
          <w:p w14:paraId="0C9F05C5" w14:textId="77777777" w:rsidR="00E5618D" w:rsidRDefault="00E5618D" w:rsidP="00E5618D">
            <w:pPr>
              <w:pStyle w:val="TblTxt1"/>
            </w:pPr>
            <w:r>
              <w:t>b)</w:t>
            </w:r>
            <w:r>
              <w:tab/>
              <w:t xml:space="preserve">Conflict or be inconsistent with CEQA Guidelines § 15064.3, subdivision (b)? </w:t>
            </w:r>
          </w:p>
        </w:tc>
        <w:tc>
          <w:tcPr>
            <w:tcW w:w="1170" w:type="dxa"/>
            <w:tcBorders>
              <w:top w:val="single" w:sz="6" w:space="0" w:color="auto"/>
              <w:left w:val="single" w:sz="6" w:space="0" w:color="auto"/>
              <w:right w:val="single" w:sz="6" w:space="0" w:color="auto"/>
            </w:tcBorders>
            <w:vAlign w:val="center"/>
          </w:tcPr>
          <w:p w14:paraId="4BAD082B"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481F3CE7"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7170373E" w14:textId="77777777" w:rsidR="00E5618D" w:rsidRPr="00F339B2" w:rsidRDefault="003D2EDF" w:rsidP="00E5618D">
            <w:pPr>
              <w:pStyle w:val="ChecklistXs"/>
            </w:pPr>
            <w:r>
              <w:t>X</w:t>
            </w:r>
          </w:p>
        </w:tc>
        <w:tc>
          <w:tcPr>
            <w:tcW w:w="1155" w:type="dxa"/>
            <w:tcBorders>
              <w:top w:val="single" w:sz="6" w:space="0" w:color="auto"/>
              <w:left w:val="single" w:sz="6" w:space="0" w:color="auto"/>
              <w:right w:val="nil"/>
            </w:tcBorders>
            <w:vAlign w:val="center"/>
          </w:tcPr>
          <w:p w14:paraId="790430BE" w14:textId="77777777" w:rsidR="00E5618D" w:rsidRPr="00F339B2" w:rsidRDefault="00E5618D" w:rsidP="00E5618D">
            <w:pPr>
              <w:pStyle w:val="ChecklistXs"/>
            </w:pPr>
          </w:p>
        </w:tc>
      </w:tr>
      <w:tr w:rsidR="00E5618D" w14:paraId="6A242C41" w14:textId="77777777" w:rsidTr="00AE6F44">
        <w:trPr>
          <w:cantSplit/>
          <w:jc w:val="center"/>
        </w:trPr>
        <w:tc>
          <w:tcPr>
            <w:tcW w:w="4666" w:type="dxa"/>
            <w:tcBorders>
              <w:top w:val="single" w:sz="6" w:space="0" w:color="auto"/>
              <w:left w:val="nil"/>
              <w:right w:val="single" w:sz="6" w:space="0" w:color="auto"/>
            </w:tcBorders>
          </w:tcPr>
          <w:p w14:paraId="0C6EAC7A" w14:textId="77777777" w:rsidR="00E5618D" w:rsidRDefault="00E5618D" w:rsidP="00E5618D">
            <w:pPr>
              <w:pStyle w:val="TblTxt1"/>
            </w:pPr>
            <w:r>
              <w:t>c)</w:t>
            </w:r>
            <w:r>
              <w:tab/>
              <w:t>Substantially increase hazards due to a geometric design feature (e.g., sharp curves or dangerous intersections) or incompatible uses (e.g., farm equipment)?</w:t>
            </w:r>
          </w:p>
        </w:tc>
        <w:tc>
          <w:tcPr>
            <w:tcW w:w="1170" w:type="dxa"/>
            <w:tcBorders>
              <w:top w:val="single" w:sz="6" w:space="0" w:color="auto"/>
              <w:left w:val="single" w:sz="6" w:space="0" w:color="auto"/>
              <w:right w:val="single" w:sz="6" w:space="0" w:color="auto"/>
            </w:tcBorders>
            <w:vAlign w:val="center"/>
          </w:tcPr>
          <w:p w14:paraId="0CDB7939"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5AC63C53"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020513F9" w14:textId="02F61634" w:rsidR="00E5618D" w:rsidRPr="00F339B2" w:rsidRDefault="00E9367F" w:rsidP="00E5618D">
            <w:pPr>
              <w:pStyle w:val="ChecklistXs"/>
            </w:pPr>
            <w:r>
              <w:t>X</w:t>
            </w:r>
          </w:p>
        </w:tc>
        <w:tc>
          <w:tcPr>
            <w:tcW w:w="1155" w:type="dxa"/>
            <w:tcBorders>
              <w:top w:val="single" w:sz="6" w:space="0" w:color="auto"/>
              <w:left w:val="single" w:sz="6" w:space="0" w:color="auto"/>
              <w:right w:val="nil"/>
            </w:tcBorders>
            <w:vAlign w:val="center"/>
          </w:tcPr>
          <w:p w14:paraId="17DBE671" w14:textId="31995AA5" w:rsidR="00E5618D" w:rsidRPr="00F339B2" w:rsidRDefault="00E5618D" w:rsidP="00E5618D">
            <w:pPr>
              <w:pStyle w:val="ChecklistXs"/>
            </w:pPr>
          </w:p>
        </w:tc>
      </w:tr>
      <w:tr w:rsidR="00E5618D" w14:paraId="25EFE8E8" w14:textId="77777777" w:rsidTr="00AE6F44">
        <w:trPr>
          <w:cantSplit/>
          <w:jc w:val="center"/>
        </w:trPr>
        <w:tc>
          <w:tcPr>
            <w:tcW w:w="4666" w:type="dxa"/>
            <w:tcBorders>
              <w:top w:val="single" w:sz="6" w:space="0" w:color="auto"/>
              <w:left w:val="nil"/>
              <w:right w:val="single" w:sz="6" w:space="0" w:color="auto"/>
            </w:tcBorders>
          </w:tcPr>
          <w:p w14:paraId="08C2BB18" w14:textId="77777777" w:rsidR="00E5618D" w:rsidRDefault="00E5618D" w:rsidP="00E5618D">
            <w:pPr>
              <w:pStyle w:val="TblTxt1"/>
            </w:pPr>
            <w:r>
              <w:t>d)</w:t>
            </w:r>
            <w:r>
              <w:tab/>
              <w:t>Result in inadequate emergency access?</w:t>
            </w:r>
          </w:p>
        </w:tc>
        <w:tc>
          <w:tcPr>
            <w:tcW w:w="1170" w:type="dxa"/>
            <w:tcBorders>
              <w:top w:val="single" w:sz="6" w:space="0" w:color="auto"/>
              <w:left w:val="single" w:sz="6" w:space="0" w:color="auto"/>
              <w:right w:val="single" w:sz="6" w:space="0" w:color="auto"/>
            </w:tcBorders>
            <w:vAlign w:val="center"/>
          </w:tcPr>
          <w:p w14:paraId="31903666"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0483C71E"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4E7A7821" w14:textId="0EFEDA6D" w:rsidR="00E5618D" w:rsidRPr="00F339B2" w:rsidRDefault="00E10913" w:rsidP="00E5618D">
            <w:pPr>
              <w:pStyle w:val="ChecklistXs"/>
            </w:pPr>
            <w:r>
              <w:t>X</w:t>
            </w:r>
          </w:p>
        </w:tc>
        <w:tc>
          <w:tcPr>
            <w:tcW w:w="1155" w:type="dxa"/>
            <w:tcBorders>
              <w:top w:val="single" w:sz="6" w:space="0" w:color="auto"/>
              <w:left w:val="single" w:sz="6" w:space="0" w:color="auto"/>
              <w:right w:val="nil"/>
            </w:tcBorders>
            <w:vAlign w:val="center"/>
          </w:tcPr>
          <w:p w14:paraId="4B5F6699" w14:textId="23BAE56D" w:rsidR="00E5618D" w:rsidRPr="00F339B2" w:rsidRDefault="00E5618D" w:rsidP="00E5618D">
            <w:pPr>
              <w:pStyle w:val="ChecklistXs"/>
            </w:pPr>
          </w:p>
        </w:tc>
      </w:tr>
      <w:tr w:rsidR="00E5618D" w14:paraId="06CB663F" w14:textId="77777777" w:rsidTr="00AE6F44">
        <w:trPr>
          <w:cantSplit/>
          <w:jc w:val="center"/>
        </w:trPr>
        <w:tc>
          <w:tcPr>
            <w:tcW w:w="9331" w:type="dxa"/>
            <w:gridSpan w:val="5"/>
            <w:tcBorders>
              <w:top w:val="single" w:sz="12" w:space="0" w:color="auto"/>
              <w:left w:val="nil"/>
              <w:right w:val="nil"/>
            </w:tcBorders>
            <w:shd w:val="clear" w:color="auto" w:fill="E0E0E0"/>
          </w:tcPr>
          <w:p w14:paraId="7FC6C047" w14:textId="77777777" w:rsidR="00E5618D" w:rsidRDefault="00E5618D" w:rsidP="00E5618D">
            <w:pPr>
              <w:pStyle w:val="ChecklistSubhead"/>
            </w:pPr>
            <w:r w:rsidRPr="002C77E7">
              <w:t>XVII</w:t>
            </w:r>
            <w:r>
              <w:t>I</w:t>
            </w:r>
            <w:r w:rsidRPr="002C77E7">
              <w:t xml:space="preserve">. TRIBAL CULTURAL RESOURCES. </w:t>
            </w:r>
          </w:p>
        </w:tc>
      </w:tr>
      <w:tr w:rsidR="00E5618D" w:rsidRPr="002C77E7" w14:paraId="733EC3AF" w14:textId="77777777" w:rsidTr="00AE6F44">
        <w:trPr>
          <w:cantSplit/>
          <w:jc w:val="center"/>
        </w:trPr>
        <w:tc>
          <w:tcPr>
            <w:tcW w:w="4666" w:type="dxa"/>
            <w:tcBorders>
              <w:top w:val="single" w:sz="6" w:space="0" w:color="auto"/>
              <w:left w:val="nil"/>
              <w:right w:val="single" w:sz="6" w:space="0" w:color="auto"/>
            </w:tcBorders>
          </w:tcPr>
          <w:p w14:paraId="441E3B81" w14:textId="77777777" w:rsidR="00E5618D" w:rsidRPr="002C77E7" w:rsidRDefault="00E5618D" w:rsidP="00E5618D">
            <w:pPr>
              <w:pStyle w:val="TblTxt1"/>
            </w:pPr>
            <w:r>
              <w:t>a)</w:t>
            </w:r>
            <w:r>
              <w:tab/>
            </w:r>
            <w:r w:rsidRPr="005537D3">
              <w:t xml:space="preserve">Would the project cause a substantial adverse change in the significance of a tribal cultural resource, defined in Public Resources Code </w:t>
            </w:r>
            <w:r>
              <w:t>§</w:t>
            </w:r>
            <w:r w:rsidRPr="005537D3">
              <w:t xml:space="preserve"> 21074 as either a site, feature, place, cultural landscape that is geographically defined in terms of the size and scope of the landscape, sacred place, or object with cultural value to a California Native American tribe, and that is:</w:t>
            </w:r>
          </w:p>
        </w:tc>
        <w:tc>
          <w:tcPr>
            <w:tcW w:w="1170" w:type="dxa"/>
            <w:tcBorders>
              <w:top w:val="single" w:sz="6" w:space="0" w:color="auto"/>
              <w:left w:val="single" w:sz="6" w:space="0" w:color="auto"/>
              <w:right w:val="single" w:sz="6" w:space="0" w:color="auto"/>
            </w:tcBorders>
            <w:vAlign w:val="center"/>
          </w:tcPr>
          <w:p w14:paraId="56DD9BAE" w14:textId="77777777" w:rsidR="00E5618D" w:rsidRPr="002C77E7"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0EAA378F" w14:textId="77777777" w:rsidR="00E5618D" w:rsidRPr="002C77E7"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33221828" w14:textId="77777777" w:rsidR="00E5618D" w:rsidRPr="002C77E7" w:rsidRDefault="00E5618D" w:rsidP="00E5618D">
            <w:pPr>
              <w:pStyle w:val="ChecklistXs"/>
            </w:pPr>
          </w:p>
        </w:tc>
        <w:tc>
          <w:tcPr>
            <w:tcW w:w="1155" w:type="dxa"/>
            <w:tcBorders>
              <w:top w:val="single" w:sz="6" w:space="0" w:color="auto"/>
              <w:left w:val="single" w:sz="6" w:space="0" w:color="auto"/>
              <w:right w:val="nil"/>
            </w:tcBorders>
            <w:vAlign w:val="center"/>
          </w:tcPr>
          <w:p w14:paraId="3E057AA4" w14:textId="77777777" w:rsidR="00E5618D" w:rsidRPr="002C77E7" w:rsidRDefault="00E5618D" w:rsidP="00E5618D">
            <w:pPr>
              <w:pStyle w:val="ChecklistXs"/>
            </w:pPr>
          </w:p>
        </w:tc>
      </w:tr>
      <w:tr w:rsidR="00E5618D" w:rsidRPr="002C77E7" w14:paraId="0D5149DF" w14:textId="77777777" w:rsidTr="00AE6F44">
        <w:trPr>
          <w:cantSplit/>
          <w:jc w:val="center"/>
        </w:trPr>
        <w:tc>
          <w:tcPr>
            <w:tcW w:w="4666" w:type="dxa"/>
            <w:tcBorders>
              <w:top w:val="single" w:sz="6" w:space="0" w:color="auto"/>
              <w:left w:val="nil"/>
              <w:right w:val="single" w:sz="6" w:space="0" w:color="auto"/>
            </w:tcBorders>
          </w:tcPr>
          <w:p w14:paraId="49E6162C" w14:textId="77777777" w:rsidR="00E5618D" w:rsidRPr="002C77E7" w:rsidRDefault="00E5618D" w:rsidP="00E5618D">
            <w:pPr>
              <w:pStyle w:val="TblTxt2"/>
            </w:pPr>
            <w:r>
              <w:t>i</w:t>
            </w:r>
            <w:r w:rsidRPr="002C77E7">
              <w:t>)</w:t>
            </w:r>
            <w:r w:rsidRPr="002C77E7">
              <w:tab/>
              <w:t>Listed or eligible for listing in the California Register of Historical Resources, or in a local register of historical resources as defined in Public Resources Code section 5020.1(k), or</w:t>
            </w:r>
          </w:p>
        </w:tc>
        <w:tc>
          <w:tcPr>
            <w:tcW w:w="1170" w:type="dxa"/>
            <w:tcBorders>
              <w:top w:val="single" w:sz="6" w:space="0" w:color="auto"/>
              <w:left w:val="single" w:sz="6" w:space="0" w:color="auto"/>
              <w:right w:val="single" w:sz="6" w:space="0" w:color="auto"/>
            </w:tcBorders>
            <w:vAlign w:val="center"/>
          </w:tcPr>
          <w:p w14:paraId="1AED6ABB" w14:textId="77777777" w:rsidR="00E5618D" w:rsidRPr="002C77E7"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21244C1F" w14:textId="77777777" w:rsidR="00E5618D" w:rsidRPr="002C77E7"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0888FFFB" w14:textId="77777777" w:rsidR="00E5618D" w:rsidRPr="002C77E7" w:rsidRDefault="00E5618D" w:rsidP="00E5618D">
            <w:pPr>
              <w:pStyle w:val="ChecklistXs"/>
            </w:pPr>
          </w:p>
        </w:tc>
        <w:tc>
          <w:tcPr>
            <w:tcW w:w="1155" w:type="dxa"/>
            <w:tcBorders>
              <w:top w:val="single" w:sz="6" w:space="0" w:color="auto"/>
              <w:left w:val="single" w:sz="6" w:space="0" w:color="auto"/>
              <w:right w:val="nil"/>
            </w:tcBorders>
            <w:vAlign w:val="center"/>
          </w:tcPr>
          <w:p w14:paraId="0AD0F4F0" w14:textId="77777777" w:rsidR="00E5618D" w:rsidRPr="002C77E7" w:rsidRDefault="00624190" w:rsidP="00E5618D">
            <w:pPr>
              <w:pStyle w:val="ChecklistXs"/>
            </w:pPr>
            <w:r>
              <w:t>X</w:t>
            </w:r>
          </w:p>
        </w:tc>
      </w:tr>
      <w:tr w:rsidR="00E5618D" w:rsidRPr="002C77E7" w14:paraId="5840C965" w14:textId="77777777" w:rsidTr="00AE6F44">
        <w:trPr>
          <w:cantSplit/>
          <w:jc w:val="center"/>
        </w:trPr>
        <w:tc>
          <w:tcPr>
            <w:tcW w:w="4666" w:type="dxa"/>
            <w:tcBorders>
              <w:top w:val="single" w:sz="6" w:space="0" w:color="auto"/>
              <w:left w:val="nil"/>
              <w:right w:val="single" w:sz="6" w:space="0" w:color="auto"/>
            </w:tcBorders>
          </w:tcPr>
          <w:p w14:paraId="028BA9B6" w14:textId="77777777" w:rsidR="00E5618D" w:rsidRPr="002C77E7" w:rsidRDefault="00E5618D" w:rsidP="00E5618D">
            <w:pPr>
              <w:pStyle w:val="TblTxt2"/>
            </w:pPr>
            <w:r>
              <w:t>ii</w:t>
            </w:r>
            <w:r w:rsidRPr="002C77E7">
              <w:t>)</w:t>
            </w:r>
            <w:r w:rsidRPr="002C77E7">
              <w:tab/>
              <w:t xml:space="preserve">A resource determined by the lead agency, in its discretion and supported by substantial evidence, to be significant pursuant to criteria set forth in subdivision (c) of Public Resources Code </w:t>
            </w:r>
            <w:r>
              <w:t>§</w:t>
            </w:r>
            <w:r w:rsidRPr="002C77E7">
              <w:t xml:space="preserve"> 5024.1. In applying the criteria set forth in subdivision (c) of Public Resource Code </w:t>
            </w:r>
            <w:r>
              <w:t>§</w:t>
            </w:r>
            <w:r w:rsidRPr="002C77E7">
              <w:t xml:space="preserve"> 5024.1, the lead agency shall consider the significance of the resource to a California Native American tribe.</w:t>
            </w:r>
          </w:p>
        </w:tc>
        <w:tc>
          <w:tcPr>
            <w:tcW w:w="1170" w:type="dxa"/>
            <w:tcBorders>
              <w:top w:val="single" w:sz="6" w:space="0" w:color="auto"/>
              <w:left w:val="single" w:sz="6" w:space="0" w:color="auto"/>
              <w:right w:val="single" w:sz="6" w:space="0" w:color="auto"/>
            </w:tcBorders>
            <w:vAlign w:val="center"/>
          </w:tcPr>
          <w:p w14:paraId="42FA5959" w14:textId="77777777" w:rsidR="00E5618D" w:rsidRPr="002C77E7"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194287F3" w14:textId="77777777" w:rsidR="00E5618D" w:rsidRPr="002C77E7" w:rsidRDefault="00624190" w:rsidP="00E5618D">
            <w:pPr>
              <w:pStyle w:val="ChecklistXs"/>
            </w:pPr>
            <w:r>
              <w:t>X</w:t>
            </w:r>
          </w:p>
        </w:tc>
        <w:tc>
          <w:tcPr>
            <w:tcW w:w="1170" w:type="dxa"/>
            <w:tcBorders>
              <w:top w:val="single" w:sz="6" w:space="0" w:color="auto"/>
              <w:left w:val="single" w:sz="6" w:space="0" w:color="auto"/>
              <w:right w:val="single" w:sz="6" w:space="0" w:color="auto"/>
            </w:tcBorders>
            <w:vAlign w:val="center"/>
          </w:tcPr>
          <w:p w14:paraId="28662CE0" w14:textId="77777777" w:rsidR="00E5618D" w:rsidRPr="002C77E7" w:rsidRDefault="00E5618D" w:rsidP="00E5618D">
            <w:pPr>
              <w:pStyle w:val="ChecklistXs"/>
            </w:pPr>
          </w:p>
        </w:tc>
        <w:tc>
          <w:tcPr>
            <w:tcW w:w="1155" w:type="dxa"/>
            <w:tcBorders>
              <w:top w:val="single" w:sz="6" w:space="0" w:color="auto"/>
              <w:left w:val="single" w:sz="6" w:space="0" w:color="auto"/>
              <w:right w:val="nil"/>
            </w:tcBorders>
            <w:vAlign w:val="center"/>
          </w:tcPr>
          <w:p w14:paraId="72D45EAB" w14:textId="77777777" w:rsidR="00E5618D" w:rsidRPr="002C77E7" w:rsidRDefault="00E5618D" w:rsidP="00E5618D">
            <w:pPr>
              <w:pStyle w:val="ChecklistXs"/>
            </w:pPr>
          </w:p>
        </w:tc>
      </w:tr>
      <w:tr w:rsidR="00E5618D" w14:paraId="334F808F" w14:textId="77777777" w:rsidTr="00AE6F44">
        <w:trPr>
          <w:cantSplit/>
          <w:jc w:val="center"/>
        </w:trPr>
        <w:tc>
          <w:tcPr>
            <w:tcW w:w="9331" w:type="dxa"/>
            <w:gridSpan w:val="5"/>
            <w:tcBorders>
              <w:top w:val="single" w:sz="12" w:space="0" w:color="auto"/>
              <w:left w:val="nil"/>
              <w:right w:val="nil"/>
            </w:tcBorders>
            <w:shd w:val="clear" w:color="auto" w:fill="E0E0E0"/>
          </w:tcPr>
          <w:p w14:paraId="487B0A86" w14:textId="77777777" w:rsidR="00E5618D" w:rsidRDefault="00E5618D" w:rsidP="00E5618D">
            <w:pPr>
              <w:pStyle w:val="ChecklistSubhead"/>
            </w:pPr>
            <w:r>
              <w:t>XIX</w:t>
            </w:r>
            <w:r w:rsidRPr="00F84F3C">
              <w:t>. UTILITIES AND SERVICE SYSTEMS.</w:t>
            </w:r>
            <w:r>
              <w:t xml:space="preserve"> </w:t>
            </w:r>
            <w:r w:rsidRPr="00B74932">
              <w:rPr>
                <w:rStyle w:val="ChecklistSubText"/>
                <w:b/>
              </w:rPr>
              <w:t>Would the project:</w:t>
            </w:r>
          </w:p>
        </w:tc>
      </w:tr>
      <w:tr w:rsidR="00E5618D" w14:paraId="7CD95455" w14:textId="77777777" w:rsidTr="00AE6F44">
        <w:trPr>
          <w:cantSplit/>
          <w:jc w:val="center"/>
        </w:trPr>
        <w:tc>
          <w:tcPr>
            <w:tcW w:w="4666" w:type="dxa"/>
            <w:tcBorders>
              <w:top w:val="single" w:sz="6" w:space="0" w:color="auto"/>
              <w:left w:val="nil"/>
              <w:right w:val="single" w:sz="6" w:space="0" w:color="auto"/>
            </w:tcBorders>
            <w:vAlign w:val="center"/>
          </w:tcPr>
          <w:p w14:paraId="0C03CB8A" w14:textId="77777777" w:rsidR="00E5618D" w:rsidRDefault="00E5618D" w:rsidP="00E5618D">
            <w:pPr>
              <w:pStyle w:val="TblTxt1"/>
            </w:pPr>
            <w:r>
              <w:t>a)</w:t>
            </w:r>
            <w:r>
              <w:tab/>
              <w:t>Require or result in the relocation or construction of new or expanded water, wastewater treatment or storm water drainage, electric power, natural gas, or telecommunications facilities, the construction or relocation of which could cause significant environmental effects?</w:t>
            </w:r>
          </w:p>
        </w:tc>
        <w:tc>
          <w:tcPr>
            <w:tcW w:w="1170" w:type="dxa"/>
            <w:tcBorders>
              <w:top w:val="single" w:sz="6" w:space="0" w:color="auto"/>
              <w:left w:val="single" w:sz="6" w:space="0" w:color="auto"/>
              <w:right w:val="single" w:sz="6" w:space="0" w:color="auto"/>
            </w:tcBorders>
            <w:vAlign w:val="center"/>
          </w:tcPr>
          <w:p w14:paraId="08A41B98"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1AC33B03"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4EBB9CAF" w14:textId="7278BC7C" w:rsidR="00E5618D" w:rsidRPr="00F339B2" w:rsidRDefault="00A977BB" w:rsidP="00E5618D">
            <w:pPr>
              <w:pStyle w:val="ChecklistXs"/>
            </w:pPr>
            <w:r>
              <w:t>X</w:t>
            </w:r>
          </w:p>
        </w:tc>
        <w:tc>
          <w:tcPr>
            <w:tcW w:w="1155" w:type="dxa"/>
            <w:tcBorders>
              <w:top w:val="single" w:sz="6" w:space="0" w:color="auto"/>
              <w:left w:val="single" w:sz="6" w:space="0" w:color="auto"/>
              <w:right w:val="nil"/>
            </w:tcBorders>
            <w:vAlign w:val="center"/>
          </w:tcPr>
          <w:p w14:paraId="0E76C111" w14:textId="77777777" w:rsidR="00E5618D" w:rsidRPr="00F339B2" w:rsidRDefault="00E5618D" w:rsidP="00E5618D">
            <w:pPr>
              <w:pStyle w:val="ChecklistXs"/>
            </w:pPr>
          </w:p>
        </w:tc>
      </w:tr>
      <w:tr w:rsidR="00E5618D" w14:paraId="57B94AC7" w14:textId="77777777" w:rsidTr="00AE6F44">
        <w:trPr>
          <w:cantSplit/>
          <w:jc w:val="center"/>
        </w:trPr>
        <w:tc>
          <w:tcPr>
            <w:tcW w:w="4666" w:type="dxa"/>
            <w:tcBorders>
              <w:top w:val="single" w:sz="6" w:space="0" w:color="auto"/>
              <w:left w:val="nil"/>
              <w:right w:val="single" w:sz="6" w:space="0" w:color="auto"/>
            </w:tcBorders>
            <w:vAlign w:val="center"/>
          </w:tcPr>
          <w:p w14:paraId="388532B2" w14:textId="77777777" w:rsidR="00E5618D" w:rsidRDefault="00E5618D" w:rsidP="00E5618D">
            <w:pPr>
              <w:pStyle w:val="TblTxt1"/>
            </w:pPr>
            <w:r>
              <w:t>b)</w:t>
            </w:r>
            <w:r>
              <w:tab/>
              <w:t xml:space="preserve">Have sufficient water supplies available to serve the project </w:t>
            </w:r>
            <w:r w:rsidRPr="005537D3">
              <w:t>and reasonably foreseeable future development during normal, dry and multiple dry years</w:t>
            </w:r>
            <w:r>
              <w:t xml:space="preserve">? </w:t>
            </w:r>
          </w:p>
        </w:tc>
        <w:tc>
          <w:tcPr>
            <w:tcW w:w="1170" w:type="dxa"/>
            <w:tcBorders>
              <w:top w:val="single" w:sz="6" w:space="0" w:color="auto"/>
              <w:left w:val="single" w:sz="6" w:space="0" w:color="auto"/>
              <w:right w:val="single" w:sz="6" w:space="0" w:color="auto"/>
            </w:tcBorders>
            <w:vAlign w:val="center"/>
          </w:tcPr>
          <w:p w14:paraId="68F6AD34"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5A5F9C39"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20F92BF9" w14:textId="77777777" w:rsidR="00E5618D" w:rsidRPr="00F339B2" w:rsidRDefault="00486525" w:rsidP="00E5618D">
            <w:pPr>
              <w:pStyle w:val="ChecklistXs"/>
            </w:pPr>
            <w:r>
              <w:t>X</w:t>
            </w:r>
          </w:p>
        </w:tc>
        <w:tc>
          <w:tcPr>
            <w:tcW w:w="1155" w:type="dxa"/>
            <w:tcBorders>
              <w:top w:val="single" w:sz="6" w:space="0" w:color="auto"/>
              <w:left w:val="single" w:sz="6" w:space="0" w:color="auto"/>
              <w:right w:val="nil"/>
            </w:tcBorders>
            <w:vAlign w:val="center"/>
          </w:tcPr>
          <w:p w14:paraId="1218AD33" w14:textId="77777777" w:rsidR="00E5618D" w:rsidRPr="00F339B2" w:rsidRDefault="00E5618D" w:rsidP="00E5618D">
            <w:pPr>
              <w:pStyle w:val="ChecklistXs"/>
            </w:pPr>
          </w:p>
        </w:tc>
      </w:tr>
      <w:tr w:rsidR="00E5618D" w14:paraId="5D6D26AE" w14:textId="77777777" w:rsidTr="00AE6F44">
        <w:trPr>
          <w:cantSplit/>
          <w:jc w:val="center"/>
        </w:trPr>
        <w:tc>
          <w:tcPr>
            <w:tcW w:w="4666" w:type="dxa"/>
            <w:tcBorders>
              <w:top w:val="single" w:sz="6" w:space="0" w:color="auto"/>
              <w:left w:val="nil"/>
              <w:right w:val="single" w:sz="6" w:space="0" w:color="auto"/>
            </w:tcBorders>
            <w:vAlign w:val="center"/>
          </w:tcPr>
          <w:p w14:paraId="7A76988B" w14:textId="77777777" w:rsidR="00E5618D" w:rsidRDefault="00E5618D" w:rsidP="00E5618D">
            <w:pPr>
              <w:pStyle w:val="TblTxt1"/>
            </w:pPr>
            <w:r>
              <w:t>c)</w:t>
            </w:r>
            <w:r>
              <w:tab/>
              <w:t>Result in a determination by the waste water treatment provider, which serves or may serve the project that it has adequate capacity to serve the project’s projected demand in addition to the provider’s existing commitments?</w:t>
            </w:r>
          </w:p>
        </w:tc>
        <w:tc>
          <w:tcPr>
            <w:tcW w:w="1170" w:type="dxa"/>
            <w:tcBorders>
              <w:top w:val="single" w:sz="6" w:space="0" w:color="auto"/>
              <w:left w:val="single" w:sz="6" w:space="0" w:color="auto"/>
              <w:right w:val="single" w:sz="6" w:space="0" w:color="auto"/>
            </w:tcBorders>
            <w:vAlign w:val="center"/>
          </w:tcPr>
          <w:p w14:paraId="32C70E0C"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1972BE73"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6200FE51" w14:textId="77777777" w:rsidR="00E5618D" w:rsidRPr="00F339B2" w:rsidRDefault="00486525" w:rsidP="00E5618D">
            <w:pPr>
              <w:pStyle w:val="ChecklistXs"/>
            </w:pPr>
            <w:r>
              <w:t>X</w:t>
            </w:r>
          </w:p>
        </w:tc>
        <w:tc>
          <w:tcPr>
            <w:tcW w:w="1155" w:type="dxa"/>
            <w:tcBorders>
              <w:top w:val="single" w:sz="6" w:space="0" w:color="auto"/>
              <w:left w:val="single" w:sz="6" w:space="0" w:color="auto"/>
              <w:right w:val="nil"/>
            </w:tcBorders>
            <w:vAlign w:val="center"/>
          </w:tcPr>
          <w:p w14:paraId="5B2960A3" w14:textId="77777777" w:rsidR="00E5618D" w:rsidRPr="00F339B2" w:rsidRDefault="00E5618D" w:rsidP="00E5618D">
            <w:pPr>
              <w:pStyle w:val="ChecklistXs"/>
            </w:pPr>
          </w:p>
        </w:tc>
      </w:tr>
      <w:tr w:rsidR="00E5618D" w14:paraId="061577D8" w14:textId="77777777" w:rsidTr="00AE6F44">
        <w:trPr>
          <w:cantSplit/>
          <w:jc w:val="center"/>
        </w:trPr>
        <w:tc>
          <w:tcPr>
            <w:tcW w:w="4666" w:type="dxa"/>
            <w:tcBorders>
              <w:top w:val="single" w:sz="6" w:space="0" w:color="auto"/>
              <w:left w:val="nil"/>
              <w:right w:val="single" w:sz="6" w:space="0" w:color="auto"/>
            </w:tcBorders>
            <w:vAlign w:val="center"/>
          </w:tcPr>
          <w:p w14:paraId="3F71B668" w14:textId="77777777" w:rsidR="00E5618D" w:rsidRDefault="00E5618D" w:rsidP="00E5618D">
            <w:pPr>
              <w:pStyle w:val="TblTxt1"/>
              <w:keepNext/>
            </w:pPr>
            <w:r>
              <w:t>d)</w:t>
            </w:r>
            <w:r>
              <w:tab/>
            </w:r>
            <w:r w:rsidRPr="005537D3">
              <w:t>Generate solid waste in excess of state or local standards, or in excess of the capacity of local infrastructure, or otherwise impair the attainment of solid waste reduction goals?</w:t>
            </w:r>
            <w:r>
              <w:t xml:space="preserve"> </w:t>
            </w:r>
          </w:p>
        </w:tc>
        <w:tc>
          <w:tcPr>
            <w:tcW w:w="1170" w:type="dxa"/>
            <w:tcBorders>
              <w:top w:val="single" w:sz="6" w:space="0" w:color="auto"/>
              <w:left w:val="single" w:sz="6" w:space="0" w:color="auto"/>
              <w:right w:val="single" w:sz="6" w:space="0" w:color="auto"/>
            </w:tcBorders>
            <w:vAlign w:val="center"/>
          </w:tcPr>
          <w:p w14:paraId="086F7B6B"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37DE5DDC"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68C39E48" w14:textId="77777777" w:rsidR="00E5618D" w:rsidRPr="00F339B2" w:rsidRDefault="00486525" w:rsidP="00E5618D">
            <w:pPr>
              <w:pStyle w:val="ChecklistXs"/>
            </w:pPr>
            <w:r>
              <w:t>X</w:t>
            </w:r>
          </w:p>
        </w:tc>
        <w:tc>
          <w:tcPr>
            <w:tcW w:w="1155" w:type="dxa"/>
            <w:tcBorders>
              <w:top w:val="single" w:sz="6" w:space="0" w:color="auto"/>
              <w:left w:val="single" w:sz="6" w:space="0" w:color="auto"/>
              <w:right w:val="nil"/>
            </w:tcBorders>
            <w:vAlign w:val="center"/>
          </w:tcPr>
          <w:p w14:paraId="339C166F" w14:textId="77777777" w:rsidR="00E5618D" w:rsidRPr="00F339B2" w:rsidRDefault="00E5618D" w:rsidP="00E5618D">
            <w:pPr>
              <w:pStyle w:val="ChecklistXs"/>
            </w:pPr>
          </w:p>
        </w:tc>
      </w:tr>
      <w:tr w:rsidR="00E5618D" w14:paraId="5EB6BFB6" w14:textId="77777777" w:rsidTr="00817A9C">
        <w:trPr>
          <w:cantSplit/>
          <w:jc w:val="center"/>
        </w:trPr>
        <w:tc>
          <w:tcPr>
            <w:tcW w:w="4666" w:type="dxa"/>
            <w:tcBorders>
              <w:top w:val="single" w:sz="6" w:space="0" w:color="auto"/>
              <w:left w:val="nil"/>
              <w:bottom w:val="single" w:sz="12" w:space="0" w:color="auto"/>
              <w:right w:val="single" w:sz="6" w:space="0" w:color="auto"/>
            </w:tcBorders>
            <w:vAlign w:val="center"/>
          </w:tcPr>
          <w:p w14:paraId="00A352F1" w14:textId="77777777" w:rsidR="00E5618D" w:rsidRDefault="00E5618D" w:rsidP="00E5618D">
            <w:pPr>
              <w:pStyle w:val="TblTxt1"/>
            </w:pPr>
            <w:r>
              <w:t>e)</w:t>
            </w:r>
            <w:r>
              <w:tab/>
              <w:t>Comply with federal, state, and local management and reduction statutes and regulations related to solid waste?</w:t>
            </w:r>
          </w:p>
        </w:tc>
        <w:tc>
          <w:tcPr>
            <w:tcW w:w="1170" w:type="dxa"/>
            <w:tcBorders>
              <w:top w:val="single" w:sz="6" w:space="0" w:color="auto"/>
              <w:left w:val="single" w:sz="6" w:space="0" w:color="auto"/>
              <w:bottom w:val="single" w:sz="12" w:space="0" w:color="auto"/>
              <w:right w:val="single" w:sz="6" w:space="0" w:color="auto"/>
            </w:tcBorders>
            <w:vAlign w:val="center"/>
          </w:tcPr>
          <w:p w14:paraId="14B1A73E" w14:textId="77777777" w:rsidR="00E5618D" w:rsidRPr="00F339B2" w:rsidRDefault="00E5618D" w:rsidP="00E5618D">
            <w:pPr>
              <w:pStyle w:val="ChecklistXs"/>
            </w:pPr>
          </w:p>
        </w:tc>
        <w:tc>
          <w:tcPr>
            <w:tcW w:w="1170" w:type="dxa"/>
            <w:tcBorders>
              <w:top w:val="single" w:sz="6" w:space="0" w:color="auto"/>
              <w:left w:val="single" w:sz="6" w:space="0" w:color="auto"/>
              <w:bottom w:val="single" w:sz="12" w:space="0" w:color="auto"/>
              <w:right w:val="single" w:sz="6" w:space="0" w:color="auto"/>
            </w:tcBorders>
            <w:vAlign w:val="center"/>
          </w:tcPr>
          <w:p w14:paraId="7E69B822" w14:textId="77777777" w:rsidR="00E5618D" w:rsidRPr="00F339B2" w:rsidRDefault="00E5618D" w:rsidP="00E5618D">
            <w:pPr>
              <w:pStyle w:val="ChecklistXs"/>
            </w:pPr>
          </w:p>
        </w:tc>
        <w:tc>
          <w:tcPr>
            <w:tcW w:w="1170" w:type="dxa"/>
            <w:tcBorders>
              <w:top w:val="single" w:sz="6" w:space="0" w:color="auto"/>
              <w:left w:val="single" w:sz="6" w:space="0" w:color="auto"/>
              <w:bottom w:val="single" w:sz="12" w:space="0" w:color="auto"/>
              <w:right w:val="single" w:sz="6" w:space="0" w:color="auto"/>
            </w:tcBorders>
            <w:vAlign w:val="center"/>
          </w:tcPr>
          <w:p w14:paraId="38C9E80D" w14:textId="4EC9F1F0" w:rsidR="00E5618D" w:rsidRPr="00F339B2" w:rsidRDefault="00E9367F" w:rsidP="00E5618D">
            <w:pPr>
              <w:pStyle w:val="ChecklistXs"/>
            </w:pPr>
            <w:r>
              <w:t>X</w:t>
            </w:r>
          </w:p>
        </w:tc>
        <w:tc>
          <w:tcPr>
            <w:tcW w:w="1155" w:type="dxa"/>
            <w:tcBorders>
              <w:top w:val="single" w:sz="6" w:space="0" w:color="auto"/>
              <w:left w:val="single" w:sz="6" w:space="0" w:color="auto"/>
              <w:bottom w:val="single" w:sz="12" w:space="0" w:color="auto"/>
              <w:right w:val="nil"/>
            </w:tcBorders>
            <w:vAlign w:val="center"/>
          </w:tcPr>
          <w:p w14:paraId="34D807FA" w14:textId="758934A5" w:rsidR="00E5618D" w:rsidRPr="00F339B2" w:rsidRDefault="00E5618D" w:rsidP="00E5618D">
            <w:pPr>
              <w:pStyle w:val="ChecklistXs"/>
            </w:pPr>
          </w:p>
        </w:tc>
      </w:tr>
      <w:tr w:rsidR="00E5618D" w14:paraId="37118059" w14:textId="77777777" w:rsidTr="00CB36AA">
        <w:trPr>
          <w:cantSplit/>
          <w:jc w:val="center"/>
        </w:trPr>
        <w:tc>
          <w:tcPr>
            <w:tcW w:w="9331" w:type="dxa"/>
            <w:gridSpan w:val="5"/>
            <w:tcBorders>
              <w:top w:val="single" w:sz="12" w:space="0" w:color="auto"/>
              <w:left w:val="nil"/>
              <w:bottom w:val="single" w:sz="6" w:space="0" w:color="auto"/>
              <w:right w:val="nil"/>
            </w:tcBorders>
            <w:shd w:val="clear" w:color="auto" w:fill="E0E0E0"/>
          </w:tcPr>
          <w:p w14:paraId="23E5844F" w14:textId="77777777" w:rsidR="00E5618D" w:rsidRDefault="00E5618D" w:rsidP="00E5618D">
            <w:pPr>
              <w:pStyle w:val="ChecklistSubhead"/>
            </w:pPr>
            <w:r w:rsidRPr="00D92FD3">
              <w:t>XX. WILDFIRE</w:t>
            </w:r>
            <w:r w:rsidRPr="00F84F3C">
              <w:t>.</w:t>
            </w:r>
            <w:r>
              <w:t xml:space="preserve"> </w:t>
            </w:r>
            <w:r w:rsidRPr="00D92FD3">
              <w:rPr>
                <w:rStyle w:val="ChecklistSubText"/>
                <w:b/>
              </w:rPr>
              <w:t>If located in or near state responsibility areas or lands classified as very high fire hazard severity zones, would the project</w:t>
            </w:r>
            <w:r w:rsidRPr="00B74932">
              <w:rPr>
                <w:rStyle w:val="ChecklistSubText"/>
                <w:b/>
              </w:rPr>
              <w:t>:</w:t>
            </w:r>
          </w:p>
        </w:tc>
      </w:tr>
      <w:tr w:rsidR="00E5618D" w14:paraId="0C0E1903" w14:textId="77777777" w:rsidTr="00CB36AA">
        <w:trPr>
          <w:cantSplit/>
          <w:jc w:val="center"/>
        </w:trPr>
        <w:tc>
          <w:tcPr>
            <w:tcW w:w="4666" w:type="dxa"/>
            <w:tcBorders>
              <w:top w:val="single" w:sz="6" w:space="0" w:color="auto"/>
              <w:left w:val="nil"/>
              <w:bottom w:val="single" w:sz="6" w:space="0" w:color="auto"/>
              <w:right w:val="single" w:sz="6" w:space="0" w:color="auto"/>
            </w:tcBorders>
            <w:vAlign w:val="center"/>
          </w:tcPr>
          <w:p w14:paraId="3575B245" w14:textId="77777777" w:rsidR="00E5618D" w:rsidDel="005537D3" w:rsidRDefault="00E5618D" w:rsidP="00E5618D">
            <w:pPr>
              <w:pStyle w:val="TblTxt1"/>
            </w:pPr>
            <w:r w:rsidRPr="005537D3">
              <w:t>a)</w:t>
            </w:r>
            <w:r>
              <w:tab/>
            </w:r>
            <w:r w:rsidRPr="005537D3">
              <w:t>Substantially impair an adopted emergency response plan or emergency evacuation plan?</w:t>
            </w:r>
          </w:p>
        </w:tc>
        <w:tc>
          <w:tcPr>
            <w:tcW w:w="1170" w:type="dxa"/>
            <w:tcBorders>
              <w:top w:val="single" w:sz="6" w:space="0" w:color="auto"/>
              <w:left w:val="single" w:sz="6" w:space="0" w:color="auto"/>
              <w:bottom w:val="single" w:sz="6" w:space="0" w:color="auto"/>
              <w:right w:val="single" w:sz="6" w:space="0" w:color="auto"/>
            </w:tcBorders>
            <w:vAlign w:val="center"/>
          </w:tcPr>
          <w:p w14:paraId="7F44D608" w14:textId="77777777" w:rsidR="00E5618D" w:rsidRPr="00F339B2" w:rsidRDefault="00E5618D" w:rsidP="00E5618D">
            <w:pPr>
              <w:pStyle w:val="ChecklistXs"/>
            </w:pPr>
          </w:p>
        </w:tc>
        <w:tc>
          <w:tcPr>
            <w:tcW w:w="1170" w:type="dxa"/>
            <w:tcBorders>
              <w:top w:val="single" w:sz="6" w:space="0" w:color="auto"/>
              <w:left w:val="single" w:sz="6" w:space="0" w:color="auto"/>
              <w:bottom w:val="single" w:sz="6" w:space="0" w:color="auto"/>
              <w:right w:val="single" w:sz="6" w:space="0" w:color="auto"/>
            </w:tcBorders>
            <w:vAlign w:val="center"/>
          </w:tcPr>
          <w:p w14:paraId="0ED3F05D" w14:textId="77777777" w:rsidR="00E5618D" w:rsidRPr="00F339B2" w:rsidRDefault="00E5618D" w:rsidP="00E5618D">
            <w:pPr>
              <w:pStyle w:val="ChecklistXs"/>
            </w:pPr>
          </w:p>
        </w:tc>
        <w:tc>
          <w:tcPr>
            <w:tcW w:w="1170" w:type="dxa"/>
            <w:tcBorders>
              <w:top w:val="single" w:sz="6" w:space="0" w:color="auto"/>
              <w:left w:val="single" w:sz="6" w:space="0" w:color="auto"/>
              <w:bottom w:val="single" w:sz="6" w:space="0" w:color="auto"/>
              <w:right w:val="single" w:sz="6" w:space="0" w:color="auto"/>
            </w:tcBorders>
            <w:vAlign w:val="center"/>
          </w:tcPr>
          <w:p w14:paraId="73B8D236" w14:textId="77777777" w:rsidR="00E5618D" w:rsidRPr="00F339B2" w:rsidRDefault="003E5E05" w:rsidP="00E5618D">
            <w:pPr>
              <w:pStyle w:val="ChecklistXs"/>
            </w:pPr>
            <w:r>
              <w:t>X</w:t>
            </w:r>
          </w:p>
        </w:tc>
        <w:tc>
          <w:tcPr>
            <w:tcW w:w="1155" w:type="dxa"/>
            <w:tcBorders>
              <w:top w:val="single" w:sz="6" w:space="0" w:color="auto"/>
              <w:left w:val="single" w:sz="6" w:space="0" w:color="auto"/>
              <w:bottom w:val="single" w:sz="6" w:space="0" w:color="auto"/>
              <w:right w:val="nil"/>
            </w:tcBorders>
            <w:vAlign w:val="center"/>
          </w:tcPr>
          <w:p w14:paraId="146544D3" w14:textId="77777777" w:rsidR="00E5618D" w:rsidRPr="00F339B2" w:rsidRDefault="00E5618D" w:rsidP="00E5618D">
            <w:pPr>
              <w:pStyle w:val="ChecklistXs"/>
            </w:pPr>
          </w:p>
        </w:tc>
      </w:tr>
      <w:tr w:rsidR="00E5618D" w14:paraId="61BE9864" w14:textId="77777777" w:rsidTr="00CB36AA">
        <w:trPr>
          <w:cantSplit/>
          <w:jc w:val="center"/>
        </w:trPr>
        <w:tc>
          <w:tcPr>
            <w:tcW w:w="4666" w:type="dxa"/>
            <w:tcBorders>
              <w:top w:val="single" w:sz="6" w:space="0" w:color="auto"/>
              <w:left w:val="nil"/>
              <w:bottom w:val="single" w:sz="6" w:space="0" w:color="auto"/>
              <w:right w:val="single" w:sz="6" w:space="0" w:color="auto"/>
            </w:tcBorders>
            <w:vAlign w:val="center"/>
          </w:tcPr>
          <w:p w14:paraId="13E25113" w14:textId="77777777" w:rsidR="00E5618D" w:rsidDel="005537D3" w:rsidRDefault="00E5618D" w:rsidP="00E5618D">
            <w:pPr>
              <w:pStyle w:val="TblTxt1"/>
            </w:pPr>
            <w:r w:rsidRPr="005537D3">
              <w:t>b)</w:t>
            </w:r>
            <w:r>
              <w:tab/>
            </w:r>
            <w:r w:rsidRPr="005537D3">
              <w:t>Due to slope, prevailing winds, and other factors, exacerbate wildfire risks, and thereby expose project occupants to pollutant concentrations from a wildfire or the uncontrolled spread of a wildfire?</w:t>
            </w:r>
          </w:p>
        </w:tc>
        <w:tc>
          <w:tcPr>
            <w:tcW w:w="1170" w:type="dxa"/>
            <w:tcBorders>
              <w:top w:val="single" w:sz="6" w:space="0" w:color="auto"/>
              <w:left w:val="single" w:sz="6" w:space="0" w:color="auto"/>
              <w:bottom w:val="single" w:sz="6" w:space="0" w:color="auto"/>
              <w:right w:val="single" w:sz="6" w:space="0" w:color="auto"/>
            </w:tcBorders>
            <w:vAlign w:val="center"/>
          </w:tcPr>
          <w:p w14:paraId="6C4CF63B" w14:textId="77777777" w:rsidR="00E5618D" w:rsidRPr="00F339B2" w:rsidRDefault="00E5618D" w:rsidP="00E5618D">
            <w:pPr>
              <w:pStyle w:val="ChecklistXs"/>
            </w:pPr>
          </w:p>
        </w:tc>
        <w:tc>
          <w:tcPr>
            <w:tcW w:w="1170" w:type="dxa"/>
            <w:tcBorders>
              <w:top w:val="single" w:sz="6" w:space="0" w:color="auto"/>
              <w:left w:val="single" w:sz="6" w:space="0" w:color="auto"/>
              <w:bottom w:val="single" w:sz="6" w:space="0" w:color="auto"/>
              <w:right w:val="single" w:sz="6" w:space="0" w:color="auto"/>
            </w:tcBorders>
            <w:vAlign w:val="center"/>
          </w:tcPr>
          <w:p w14:paraId="5F8F1557" w14:textId="77777777" w:rsidR="00E5618D" w:rsidRPr="00F339B2" w:rsidRDefault="00E5618D" w:rsidP="00E5618D">
            <w:pPr>
              <w:pStyle w:val="ChecklistXs"/>
            </w:pPr>
          </w:p>
        </w:tc>
        <w:tc>
          <w:tcPr>
            <w:tcW w:w="1170" w:type="dxa"/>
            <w:tcBorders>
              <w:top w:val="single" w:sz="6" w:space="0" w:color="auto"/>
              <w:left w:val="single" w:sz="6" w:space="0" w:color="auto"/>
              <w:bottom w:val="single" w:sz="6" w:space="0" w:color="auto"/>
              <w:right w:val="single" w:sz="6" w:space="0" w:color="auto"/>
            </w:tcBorders>
            <w:vAlign w:val="center"/>
          </w:tcPr>
          <w:p w14:paraId="0F3297A1" w14:textId="77777777" w:rsidR="00E5618D" w:rsidRPr="00F339B2" w:rsidRDefault="003E5E05" w:rsidP="00E5618D">
            <w:pPr>
              <w:pStyle w:val="ChecklistXs"/>
            </w:pPr>
            <w:r>
              <w:t>X</w:t>
            </w:r>
          </w:p>
        </w:tc>
        <w:tc>
          <w:tcPr>
            <w:tcW w:w="1155" w:type="dxa"/>
            <w:tcBorders>
              <w:top w:val="single" w:sz="6" w:space="0" w:color="auto"/>
              <w:left w:val="single" w:sz="6" w:space="0" w:color="auto"/>
              <w:bottom w:val="single" w:sz="6" w:space="0" w:color="auto"/>
              <w:right w:val="nil"/>
            </w:tcBorders>
            <w:vAlign w:val="center"/>
          </w:tcPr>
          <w:p w14:paraId="22EFB9FB" w14:textId="77777777" w:rsidR="00E5618D" w:rsidRPr="00F339B2" w:rsidRDefault="00E5618D" w:rsidP="00E5618D">
            <w:pPr>
              <w:pStyle w:val="ChecklistXs"/>
            </w:pPr>
          </w:p>
        </w:tc>
      </w:tr>
      <w:tr w:rsidR="00E5618D" w14:paraId="2FA4E04C" w14:textId="77777777" w:rsidTr="00CB36AA">
        <w:trPr>
          <w:cantSplit/>
          <w:jc w:val="center"/>
        </w:trPr>
        <w:tc>
          <w:tcPr>
            <w:tcW w:w="4666" w:type="dxa"/>
            <w:tcBorders>
              <w:top w:val="single" w:sz="6" w:space="0" w:color="auto"/>
              <w:left w:val="nil"/>
              <w:bottom w:val="single" w:sz="6" w:space="0" w:color="auto"/>
              <w:right w:val="single" w:sz="6" w:space="0" w:color="auto"/>
            </w:tcBorders>
            <w:vAlign w:val="center"/>
          </w:tcPr>
          <w:p w14:paraId="67E915BC" w14:textId="77777777" w:rsidR="00E5618D" w:rsidDel="005537D3" w:rsidRDefault="00E5618D" w:rsidP="00E5618D">
            <w:pPr>
              <w:pStyle w:val="TblTxt1"/>
            </w:pPr>
            <w:r w:rsidRPr="005537D3">
              <w:t>c)</w:t>
            </w:r>
            <w:r>
              <w:tab/>
            </w:r>
            <w:r w:rsidRPr="005537D3">
              <w:t>Require the installation or maintenance of associated infrastructure (such as roads, fuel breaks, emergency water sources, power lines or other utilities) that may exacerbate fire risk or that may result in temporary or ongoing impacts to the environment?</w:t>
            </w:r>
          </w:p>
        </w:tc>
        <w:tc>
          <w:tcPr>
            <w:tcW w:w="1170" w:type="dxa"/>
            <w:tcBorders>
              <w:top w:val="single" w:sz="6" w:space="0" w:color="auto"/>
              <w:left w:val="single" w:sz="6" w:space="0" w:color="auto"/>
              <w:bottom w:val="single" w:sz="6" w:space="0" w:color="auto"/>
              <w:right w:val="single" w:sz="6" w:space="0" w:color="auto"/>
            </w:tcBorders>
            <w:vAlign w:val="center"/>
          </w:tcPr>
          <w:p w14:paraId="73F3AC3A" w14:textId="77777777" w:rsidR="00E5618D" w:rsidRPr="00F339B2" w:rsidRDefault="00E5618D" w:rsidP="00E5618D">
            <w:pPr>
              <w:pStyle w:val="ChecklistXs"/>
            </w:pPr>
          </w:p>
        </w:tc>
        <w:tc>
          <w:tcPr>
            <w:tcW w:w="1170" w:type="dxa"/>
            <w:tcBorders>
              <w:top w:val="single" w:sz="6" w:space="0" w:color="auto"/>
              <w:left w:val="single" w:sz="6" w:space="0" w:color="auto"/>
              <w:bottom w:val="single" w:sz="6" w:space="0" w:color="auto"/>
              <w:right w:val="single" w:sz="6" w:space="0" w:color="auto"/>
            </w:tcBorders>
            <w:vAlign w:val="center"/>
          </w:tcPr>
          <w:p w14:paraId="66233297" w14:textId="77777777" w:rsidR="00E5618D" w:rsidRPr="00F339B2" w:rsidRDefault="00E5618D" w:rsidP="00E5618D">
            <w:pPr>
              <w:pStyle w:val="ChecklistXs"/>
            </w:pPr>
          </w:p>
        </w:tc>
        <w:tc>
          <w:tcPr>
            <w:tcW w:w="1170" w:type="dxa"/>
            <w:tcBorders>
              <w:top w:val="single" w:sz="6" w:space="0" w:color="auto"/>
              <w:left w:val="single" w:sz="6" w:space="0" w:color="auto"/>
              <w:bottom w:val="single" w:sz="6" w:space="0" w:color="auto"/>
              <w:right w:val="single" w:sz="6" w:space="0" w:color="auto"/>
            </w:tcBorders>
            <w:vAlign w:val="center"/>
          </w:tcPr>
          <w:p w14:paraId="6F58BF11" w14:textId="77777777" w:rsidR="00E5618D" w:rsidRPr="00F339B2" w:rsidRDefault="003E5E05" w:rsidP="00E5618D">
            <w:pPr>
              <w:pStyle w:val="ChecklistXs"/>
            </w:pPr>
            <w:r>
              <w:t>X</w:t>
            </w:r>
          </w:p>
        </w:tc>
        <w:tc>
          <w:tcPr>
            <w:tcW w:w="1155" w:type="dxa"/>
            <w:tcBorders>
              <w:top w:val="single" w:sz="6" w:space="0" w:color="auto"/>
              <w:left w:val="single" w:sz="6" w:space="0" w:color="auto"/>
              <w:bottom w:val="single" w:sz="6" w:space="0" w:color="auto"/>
              <w:right w:val="nil"/>
            </w:tcBorders>
            <w:vAlign w:val="center"/>
          </w:tcPr>
          <w:p w14:paraId="3AA6E4D0" w14:textId="77777777" w:rsidR="00E5618D" w:rsidRPr="00F339B2" w:rsidRDefault="00E5618D" w:rsidP="00E5618D">
            <w:pPr>
              <w:pStyle w:val="ChecklistXs"/>
            </w:pPr>
          </w:p>
        </w:tc>
      </w:tr>
      <w:tr w:rsidR="00E5618D" w14:paraId="05880185" w14:textId="77777777" w:rsidTr="00AE6F44">
        <w:trPr>
          <w:cantSplit/>
          <w:jc w:val="center"/>
        </w:trPr>
        <w:tc>
          <w:tcPr>
            <w:tcW w:w="4666" w:type="dxa"/>
            <w:tcBorders>
              <w:top w:val="single" w:sz="6" w:space="0" w:color="auto"/>
              <w:left w:val="nil"/>
              <w:bottom w:val="single" w:sz="12" w:space="0" w:color="auto"/>
              <w:right w:val="single" w:sz="6" w:space="0" w:color="auto"/>
            </w:tcBorders>
            <w:vAlign w:val="center"/>
          </w:tcPr>
          <w:p w14:paraId="633D8A31" w14:textId="77777777" w:rsidR="00E5618D" w:rsidDel="005537D3" w:rsidRDefault="00E5618D" w:rsidP="00E5618D">
            <w:pPr>
              <w:pStyle w:val="TblTxt1"/>
            </w:pPr>
            <w:r w:rsidRPr="005537D3">
              <w:t>d)</w:t>
            </w:r>
            <w:r>
              <w:tab/>
            </w:r>
            <w:r w:rsidRPr="005537D3">
              <w:t>Expose people or structures to significant risks, including downslope or downstream flooding or landslides, as a result of runoff, post-fire slope instability, or drainage changes?</w:t>
            </w:r>
          </w:p>
        </w:tc>
        <w:tc>
          <w:tcPr>
            <w:tcW w:w="1170" w:type="dxa"/>
            <w:tcBorders>
              <w:top w:val="single" w:sz="6" w:space="0" w:color="auto"/>
              <w:left w:val="single" w:sz="6" w:space="0" w:color="auto"/>
              <w:bottom w:val="single" w:sz="12" w:space="0" w:color="auto"/>
              <w:right w:val="single" w:sz="6" w:space="0" w:color="auto"/>
            </w:tcBorders>
            <w:vAlign w:val="center"/>
          </w:tcPr>
          <w:p w14:paraId="4AEB57B0" w14:textId="77777777" w:rsidR="00E5618D" w:rsidRPr="00F339B2" w:rsidRDefault="00E5618D" w:rsidP="00E5618D">
            <w:pPr>
              <w:pStyle w:val="ChecklistXs"/>
            </w:pPr>
          </w:p>
        </w:tc>
        <w:tc>
          <w:tcPr>
            <w:tcW w:w="1170" w:type="dxa"/>
            <w:tcBorders>
              <w:top w:val="single" w:sz="6" w:space="0" w:color="auto"/>
              <w:left w:val="single" w:sz="6" w:space="0" w:color="auto"/>
              <w:bottom w:val="single" w:sz="12" w:space="0" w:color="auto"/>
              <w:right w:val="single" w:sz="6" w:space="0" w:color="auto"/>
            </w:tcBorders>
            <w:vAlign w:val="center"/>
          </w:tcPr>
          <w:p w14:paraId="418FC544" w14:textId="77777777" w:rsidR="00E5618D" w:rsidRPr="00F339B2" w:rsidRDefault="00E5618D" w:rsidP="00E5618D">
            <w:pPr>
              <w:pStyle w:val="ChecklistXs"/>
            </w:pPr>
          </w:p>
        </w:tc>
        <w:tc>
          <w:tcPr>
            <w:tcW w:w="1170" w:type="dxa"/>
            <w:tcBorders>
              <w:top w:val="single" w:sz="6" w:space="0" w:color="auto"/>
              <w:left w:val="single" w:sz="6" w:space="0" w:color="auto"/>
              <w:bottom w:val="single" w:sz="12" w:space="0" w:color="auto"/>
              <w:right w:val="single" w:sz="6" w:space="0" w:color="auto"/>
            </w:tcBorders>
            <w:vAlign w:val="center"/>
          </w:tcPr>
          <w:p w14:paraId="438FA2BC" w14:textId="77777777" w:rsidR="00E5618D" w:rsidRPr="00F339B2" w:rsidRDefault="003E5E05" w:rsidP="00E5618D">
            <w:pPr>
              <w:pStyle w:val="ChecklistXs"/>
            </w:pPr>
            <w:r>
              <w:t>X</w:t>
            </w:r>
          </w:p>
        </w:tc>
        <w:tc>
          <w:tcPr>
            <w:tcW w:w="1155" w:type="dxa"/>
            <w:tcBorders>
              <w:top w:val="single" w:sz="6" w:space="0" w:color="auto"/>
              <w:left w:val="single" w:sz="6" w:space="0" w:color="auto"/>
              <w:bottom w:val="single" w:sz="12" w:space="0" w:color="auto"/>
              <w:right w:val="nil"/>
            </w:tcBorders>
            <w:vAlign w:val="center"/>
          </w:tcPr>
          <w:p w14:paraId="7862E8C0" w14:textId="77777777" w:rsidR="00E5618D" w:rsidRPr="00F339B2" w:rsidRDefault="00E5618D" w:rsidP="00E5618D">
            <w:pPr>
              <w:pStyle w:val="ChecklistXs"/>
            </w:pPr>
          </w:p>
        </w:tc>
      </w:tr>
      <w:tr w:rsidR="00E5618D" w14:paraId="4B5ADB79" w14:textId="77777777" w:rsidTr="00AE6F44">
        <w:trPr>
          <w:cantSplit/>
          <w:jc w:val="center"/>
        </w:trPr>
        <w:tc>
          <w:tcPr>
            <w:tcW w:w="9331" w:type="dxa"/>
            <w:gridSpan w:val="5"/>
            <w:tcBorders>
              <w:top w:val="single" w:sz="12" w:space="0" w:color="auto"/>
              <w:left w:val="nil"/>
              <w:right w:val="nil"/>
            </w:tcBorders>
            <w:shd w:val="clear" w:color="auto" w:fill="E0E0E0"/>
          </w:tcPr>
          <w:p w14:paraId="4DAEF0DB" w14:textId="77777777" w:rsidR="00E5618D" w:rsidRPr="00A7449B" w:rsidRDefault="00E5618D" w:rsidP="00E5618D">
            <w:pPr>
              <w:pStyle w:val="ChecklistSubhead"/>
            </w:pPr>
            <w:r>
              <w:t>XXI</w:t>
            </w:r>
            <w:r w:rsidRPr="00A7449B">
              <w:t>. MANDATORY FINDINGS OF SIGNIFICANCE.</w:t>
            </w:r>
          </w:p>
        </w:tc>
      </w:tr>
      <w:tr w:rsidR="00E5618D" w14:paraId="1FA0B5C5" w14:textId="77777777" w:rsidTr="00AE6F44">
        <w:trPr>
          <w:cantSplit/>
          <w:jc w:val="center"/>
        </w:trPr>
        <w:tc>
          <w:tcPr>
            <w:tcW w:w="4666" w:type="dxa"/>
            <w:tcBorders>
              <w:top w:val="single" w:sz="6" w:space="0" w:color="auto"/>
              <w:left w:val="nil"/>
              <w:right w:val="single" w:sz="6" w:space="0" w:color="auto"/>
            </w:tcBorders>
          </w:tcPr>
          <w:p w14:paraId="77A28998" w14:textId="77777777" w:rsidR="00E5618D" w:rsidRDefault="00E5618D" w:rsidP="00E5618D">
            <w:pPr>
              <w:pStyle w:val="TblTxt1"/>
            </w:pPr>
            <w:r>
              <w:t>a)</w:t>
            </w:r>
            <w:r>
              <w:tab/>
              <w:t xml:space="preserve">Does the project have the potential to </w:t>
            </w:r>
            <w:r w:rsidRPr="005537D3">
              <w:t>substantially</w:t>
            </w:r>
            <w:r>
              <w:t xml:space="preserve"> degrade the quality of the environment, substantially reduce the habitat of a fish or wildlife species, cause a fish or wildlife population to drop below self-sustaining levels, threaten to eliminate a plant or animal community, </w:t>
            </w:r>
            <w:r w:rsidRPr="005537D3">
              <w:t>substantially</w:t>
            </w:r>
            <w:r>
              <w:t xml:space="preserve"> reduce the number or restrict the range of a rare or endangered plant or animal or eliminate important examples of the major periods of California history or prehistory?</w:t>
            </w:r>
          </w:p>
        </w:tc>
        <w:tc>
          <w:tcPr>
            <w:tcW w:w="1170" w:type="dxa"/>
            <w:tcBorders>
              <w:top w:val="single" w:sz="6" w:space="0" w:color="auto"/>
              <w:left w:val="single" w:sz="6" w:space="0" w:color="auto"/>
              <w:right w:val="single" w:sz="6" w:space="0" w:color="auto"/>
            </w:tcBorders>
            <w:vAlign w:val="center"/>
          </w:tcPr>
          <w:p w14:paraId="318587DA" w14:textId="77777777" w:rsidR="00E5618D" w:rsidRPr="00F339B2" w:rsidRDefault="00E5618D" w:rsidP="00E5618D">
            <w:pPr>
              <w:pStyle w:val="ChecklistXs"/>
            </w:pPr>
          </w:p>
        </w:tc>
        <w:tc>
          <w:tcPr>
            <w:tcW w:w="1170" w:type="dxa"/>
            <w:tcBorders>
              <w:top w:val="single" w:sz="6" w:space="0" w:color="auto"/>
              <w:left w:val="single" w:sz="6" w:space="0" w:color="auto"/>
              <w:right w:val="single" w:sz="6" w:space="0" w:color="auto"/>
            </w:tcBorders>
            <w:vAlign w:val="center"/>
          </w:tcPr>
          <w:p w14:paraId="6AB984F1" w14:textId="77777777" w:rsidR="00E5618D" w:rsidRPr="00F339B2" w:rsidRDefault="003D2EDF" w:rsidP="00E5618D">
            <w:pPr>
              <w:pStyle w:val="ChecklistXs"/>
            </w:pPr>
            <w:r>
              <w:t>X</w:t>
            </w:r>
          </w:p>
        </w:tc>
        <w:tc>
          <w:tcPr>
            <w:tcW w:w="1170" w:type="dxa"/>
            <w:tcBorders>
              <w:top w:val="single" w:sz="6" w:space="0" w:color="auto"/>
              <w:left w:val="single" w:sz="6" w:space="0" w:color="auto"/>
              <w:right w:val="single" w:sz="6" w:space="0" w:color="auto"/>
            </w:tcBorders>
            <w:vAlign w:val="center"/>
          </w:tcPr>
          <w:p w14:paraId="6A2E0E14" w14:textId="77777777" w:rsidR="00E5618D" w:rsidRPr="00F339B2" w:rsidRDefault="00E5618D" w:rsidP="00E5618D">
            <w:pPr>
              <w:pStyle w:val="ChecklistXs"/>
            </w:pPr>
          </w:p>
        </w:tc>
        <w:tc>
          <w:tcPr>
            <w:tcW w:w="1155" w:type="dxa"/>
            <w:tcBorders>
              <w:top w:val="single" w:sz="6" w:space="0" w:color="auto"/>
              <w:left w:val="single" w:sz="6" w:space="0" w:color="auto"/>
              <w:right w:val="nil"/>
            </w:tcBorders>
            <w:vAlign w:val="center"/>
          </w:tcPr>
          <w:p w14:paraId="03DF1120" w14:textId="77777777" w:rsidR="00E5618D" w:rsidRPr="00F339B2" w:rsidRDefault="00E5618D" w:rsidP="00E5618D">
            <w:pPr>
              <w:pStyle w:val="ChecklistXs"/>
            </w:pPr>
          </w:p>
        </w:tc>
      </w:tr>
      <w:tr w:rsidR="00E5618D" w14:paraId="7BE86B30" w14:textId="77777777" w:rsidTr="00C9306F">
        <w:trPr>
          <w:cantSplit/>
          <w:jc w:val="center"/>
        </w:trPr>
        <w:tc>
          <w:tcPr>
            <w:tcW w:w="4666" w:type="dxa"/>
            <w:tcBorders>
              <w:top w:val="single" w:sz="6" w:space="0" w:color="auto"/>
              <w:left w:val="nil"/>
              <w:bottom w:val="single" w:sz="4" w:space="0" w:color="auto"/>
              <w:right w:val="single" w:sz="6" w:space="0" w:color="auto"/>
            </w:tcBorders>
          </w:tcPr>
          <w:p w14:paraId="736A026E" w14:textId="77777777" w:rsidR="00E5618D" w:rsidRDefault="004E02BD" w:rsidP="00E5618D">
            <w:pPr>
              <w:pStyle w:val="TblTxt1"/>
            </w:pPr>
            <w:r>
              <w:t>b</w:t>
            </w:r>
            <w:r w:rsidR="00E5618D">
              <w:t>)</w:t>
            </w:r>
            <w:r w:rsidR="00E5618D">
              <w:tab/>
              <w:t>Does the project have impacts that are individually limited, but cumulatively considerable? (“Cumulatively considerable” means that the incremental effects of a project are considerable when viewed in connection with the effects of past projects, the effects of other current projects, and the effects of probable future projects.)</w:t>
            </w:r>
          </w:p>
        </w:tc>
        <w:tc>
          <w:tcPr>
            <w:tcW w:w="1170" w:type="dxa"/>
            <w:tcBorders>
              <w:top w:val="single" w:sz="6" w:space="0" w:color="auto"/>
              <w:left w:val="single" w:sz="6" w:space="0" w:color="auto"/>
              <w:bottom w:val="single" w:sz="4" w:space="0" w:color="auto"/>
              <w:right w:val="single" w:sz="6" w:space="0" w:color="auto"/>
            </w:tcBorders>
            <w:vAlign w:val="center"/>
          </w:tcPr>
          <w:p w14:paraId="44EC3B2F" w14:textId="77777777" w:rsidR="00E5618D" w:rsidRPr="00F339B2" w:rsidRDefault="00E5618D" w:rsidP="00E5618D">
            <w:pPr>
              <w:pStyle w:val="ChecklistXs"/>
            </w:pPr>
          </w:p>
        </w:tc>
        <w:tc>
          <w:tcPr>
            <w:tcW w:w="1170" w:type="dxa"/>
            <w:tcBorders>
              <w:top w:val="single" w:sz="6" w:space="0" w:color="auto"/>
              <w:left w:val="single" w:sz="6" w:space="0" w:color="auto"/>
              <w:bottom w:val="single" w:sz="4" w:space="0" w:color="auto"/>
              <w:right w:val="single" w:sz="6" w:space="0" w:color="auto"/>
            </w:tcBorders>
            <w:vAlign w:val="center"/>
          </w:tcPr>
          <w:p w14:paraId="35A7526A" w14:textId="77777777" w:rsidR="00E5618D" w:rsidRPr="00F339B2" w:rsidRDefault="00E5618D" w:rsidP="00E5618D">
            <w:pPr>
              <w:pStyle w:val="ChecklistXs"/>
            </w:pPr>
          </w:p>
        </w:tc>
        <w:tc>
          <w:tcPr>
            <w:tcW w:w="1170" w:type="dxa"/>
            <w:tcBorders>
              <w:top w:val="single" w:sz="6" w:space="0" w:color="auto"/>
              <w:left w:val="single" w:sz="6" w:space="0" w:color="auto"/>
              <w:bottom w:val="single" w:sz="4" w:space="0" w:color="auto"/>
              <w:right w:val="single" w:sz="6" w:space="0" w:color="auto"/>
            </w:tcBorders>
            <w:vAlign w:val="center"/>
          </w:tcPr>
          <w:p w14:paraId="6F118C43" w14:textId="77777777" w:rsidR="00E5618D" w:rsidRPr="00F339B2" w:rsidRDefault="003D2EDF" w:rsidP="00E5618D">
            <w:pPr>
              <w:pStyle w:val="ChecklistXs"/>
            </w:pPr>
            <w:r>
              <w:t>X</w:t>
            </w:r>
          </w:p>
        </w:tc>
        <w:tc>
          <w:tcPr>
            <w:tcW w:w="1155" w:type="dxa"/>
            <w:tcBorders>
              <w:top w:val="single" w:sz="6" w:space="0" w:color="auto"/>
              <w:left w:val="single" w:sz="6" w:space="0" w:color="auto"/>
              <w:bottom w:val="single" w:sz="4" w:space="0" w:color="auto"/>
              <w:right w:val="nil"/>
            </w:tcBorders>
            <w:vAlign w:val="center"/>
          </w:tcPr>
          <w:p w14:paraId="0F3EEBCA" w14:textId="77777777" w:rsidR="00E5618D" w:rsidRPr="00F339B2" w:rsidRDefault="00E5618D" w:rsidP="00E5618D">
            <w:pPr>
              <w:pStyle w:val="ChecklistXs"/>
            </w:pPr>
          </w:p>
        </w:tc>
      </w:tr>
      <w:tr w:rsidR="00E5618D" w14:paraId="0D1C0495" w14:textId="77777777" w:rsidTr="00C9306F">
        <w:trPr>
          <w:cantSplit/>
          <w:trHeight w:val="773"/>
          <w:jc w:val="center"/>
        </w:trPr>
        <w:tc>
          <w:tcPr>
            <w:tcW w:w="4666" w:type="dxa"/>
            <w:tcBorders>
              <w:top w:val="single" w:sz="4" w:space="0" w:color="auto"/>
              <w:left w:val="nil"/>
              <w:bottom w:val="single" w:sz="12" w:space="0" w:color="auto"/>
              <w:right w:val="single" w:sz="4" w:space="0" w:color="auto"/>
            </w:tcBorders>
          </w:tcPr>
          <w:p w14:paraId="1E65033B" w14:textId="77777777" w:rsidR="00E5618D" w:rsidRDefault="004E02BD" w:rsidP="00E5618D">
            <w:pPr>
              <w:pStyle w:val="TblTxt1"/>
            </w:pPr>
            <w:r>
              <w:t>c</w:t>
            </w:r>
            <w:r w:rsidR="00E5618D">
              <w:t>)</w:t>
            </w:r>
            <w:r w:rsidR="00E5618D">
              <w:tab/>
              <w:t>Does the project have environmental effects which will cause substantial adverse effects on human beings, either directly or indirectly?</w:t>
            </w:r>
          </w:p>
        </w:tc>
        <w:tc>
          <w:tcPr>
            <w:tcW w:w="1170" w:type="dxa"/>
            <w:tcBorders>
              <w:top w:val="single" w:sz="4" w:space="0" w:color="auto"/>
              <w:left w:val="single" w:sz="4" w:space="0" w:color="auto"/>
              <w:bottom w:val="single" w:sz="12" w:space="0" w:color="auto"/>
              <w:right w:val="single" w:sz="4" w:space="0" w:color="auto"/>
            </w:tcBorders>
            <w:vAlign w:val="center"/>
          </w:tcPr>
          <w:p w14:paraId="2439AC67" w14:textId="77777777" w:rsidR="00E5618D" w:rsidRPr="00F339B2" w:rsidRDefault="00E5618D" w:rsidP="00E5618D">
            <w:pPr>
              <w:pStyle w:val="ChecklistXs"/>
            </w:pPr>
          </w:p>
        </w:tc>
        <w:tc>
          <w:tcPr>
            <w:tcW w:w="1170" w:type="dxa"/>
            <w:tcBorders>
              <w:top w:val="single" w:sz="4" w:space="0" w:color="auto"/>
              <w:left w:val="single" w:sz="4" w:space="0" w:color="auto"/>
              <w:bottom w:val="single" w:sz="12" w:space="0" w:color="auto"/>
              <w:right w:val="single" w:sz="4" w:space="0" w:color="auto"/>
            </w:tcBorders>
            <w:vAlign w:val="center"/>
          </w:tcPr>
          <w:p w14:paraId="5397A736" w14:textId="77777777" w:rsidR="00E5618D" w:rsidRPr="00F339B2" w:rsidRDefault="0082260D" w:rsidP="00E5618D">
            <w:pPr>
              <w:pStyle w:val="ChecklistXs"/>
            </w:pPr>
            <w:r>
              <w:t>X</w:t>
            </w:r>
          </w:p>
        </w:tc>
        <w:tc>
          <w:tcPr>
            <w:tcW w:w="1170" w:type="dxa"/>
            <w:tcBorders>
              <w:top w:val="single" w:sz="4" w:space="0" w:color="auto"/>
              <w:left w:val="single" w:sz="4" w:space="0" w:color="auto"/>
              <w:bottom w:val="single" w:sz="12" w:space="0" w:color="auto"/>
              <w:right w:val="single" w:sz="4" w:space="0" w:color="auto"/>
            </w:tcBorders>
            <w:vAlign w:val="center"/>
          </w:tcPr>
          <w:p w14:paraId="7BF69A81" w14:textId="77777777" w:rsidR="00E5618D" w:rsidRPr="00F339B2" w:rsidRDefault="00E5618D" w:rsidP="00E5618D">
            <w:pPr>
              <w:pStyle w:val="ChecklistXs"/>
            </w:pPr>
          </w:p>
        </w:tc>
        <w:tc>
          <w:tcPr>
            <w:tcW w:w="1155" w:type="dxa"/>
            <w:tcBorders>
              <w:top w:val="single" w:sz="4" w:space="0" w:color="auto"/>
              <w:left w:val="single" w:sz="4" w:space="0" w:color="auto"/>
              <w:bottom w:val="single" w:sz="12" w:space="0" w:color="auto"/>
              <w:right w:val="nil"/>
            </w:tcBorders>
            <w:vAlign w:val="center"/>
          </w:tcPr>
          <w:p w14:paraId="3E92498A" w14:textId="77777777" w:rsidR="00E5618D" w:rsidRPr="00F339B2" w:rsidRDefault="00E5618D" w:rsidP="00E5618D">
            <w:pPr>
              <w:pStyle w:val="ChecklistXs"/>
            </w:pPr>
          </w:p>
        </w:tc>
      </w:tr>
    </w:tbl>
    <w:p w14:paraId="06E88C9E" w14:textId="77777777" w:rsidR="0043261D" w:rsidRPr="0043261D" w:rsidRDefault="0043261D" w:rsidP="0043261D">
      <w:pPr>
        <w:pStyle w:val="BodyText"/>
      </w:pPr>
    </w:p>
    <w:p w14:paraId="22673DA0" w14:textId="77777777" w:rsidR="00D10CF6" w:rsidRDefault="00D10CF6" w:rsidP="00D10CF6">
      <w:pPr>
        <w:pStyle w:val="Heading1"/>
        <w:rPr>
          <w:vanish/>
        </w:rPr>
        <w:sectPr w:rsidR="00D10CF6" w:rsidSect="00756DE2">
          <w:headerReference w:type="even" r:id="rId22"/>
          <w:headerReference w:type="default" r:id="rId23"/>
          <w:headerReference w:type="first" r:id="rId24"/>
          <w:pgSz w:w="12240" w:h="15840" w:code="1"/>
          <w:pgMar w:top="2376" w:right="1440" w:bottom="1440" w:left="1440" w:header="720" w:footer="720" w:gutter="0"/>
          <w:cols w:space="720"/>
          <w:noEndnote/>
          <w:titlePg/>
        </w:sectPr>
      </w:pPr>
      <w:bookmarkStart w:id="102" w:name="_Toc433763423"/>
    </w:p>
    <w:p w14:paraId="6DB3EDC0" w14:textId="77777777" w:rsidR="00D10CF6" w:rsidRDefault="00D10CF6" w:rsidP="00D10CF6">
      <w:pPr>
        <w:pStyle w:val="Heading1"/>
      </w:pPr>
      <w:bookmarkStart w:id="103" w:name="_Hlt493474319"/>
      <w:bookmarkStart w:id="104" w:name="_Toc90882152"/>
      <w:bookmarkEnd w:id="103"/>
      <w:r>
        <w:t>Environmental Analysis</w:t>
      </w:r>
      <w:bookmarkEnd w:id="102"/>
      <w:bookmarkEnd w:id="104"/>
    </w:p>
    <w:p w14:paraId="2AB4DBA8" w14:textId="77777777" w:rsidR="00D10CF6" w:rsidRDefault="00D25C64" w:rsidP="00E51FD2">
      <w:pPr>
        <w:pStyle w:val="BodyText"/>
      </w:pPr>
      <w:r>
        <w:t>Section </w:t>
      </w:r>
      <w:r w:rsidR="00D10CF6">
        <w:t>2.</w:t>
      </w:r>
      <w:r w:rsidR="003D7419">
        <w:t>4</w:t>
      </w:r>
      <w:r w:rsidR="00D10CF6">
        <w:t xml:space="preserve"> provided a checklist of environmental impacts. This section provides an evaluation of the impact categories and questions in the checklist and identifies mitigation measures, if applicable.</w:t>
      </w:r>
      <w:r w:rsidR="00E51FD2">
        <w:t xml:space="preserve"> </w:t>
      </w:r>
    </w:p>
    <w:p w14:paraId="775B8E13" w14:textId="77777777" w:rsidR="00D10CF6" w:rsidRPr="005865D3" w:rsidRDefault="00D10CF6" w:rsidP="00D10CF6">
      <w:pPr>
        <w:pStyle w:val="Heading2"/>
      </w:pPr>
      <w:bookmarkStart w:id="105" w:name="_Toc90882153"/>
      <w:r w:rsidRPr="005865D3">
        <w:t>AESTHETICS</w:t>
      </w:r>
      <w:bookmarkEnd w:id="105"/>
    </w:p>
    <w:p w14:paraId="0E666B23" w14:textId="77777777" w:rsidR="00E70740" w:rsidRPr="00E70740" w:rsidRDefault="00E70740" w:rsidP="00E70740">
      <w:pPr>
        <w:pStyle w:val="BodyText"/>
      </w:pPr>
      <w:r>
        <w:t>Except as provided in Public Resources Code Section 21099, would the project:</w:t>
      </w:r>
    </w:p>
    <w:p w14:paraId="0A28D77D" w14:textId="77777777" w:rsidR="00D10CF6" w:rsidRPr="00FA55B9" w:rsidRDefault="00D10CF6" w:rsidP="00D10CF6">
      <w:pPr>
        <w:pStyle w:val="List"/>
        <w:numPr>
          <w:ilvl w:val="0"/>
          <w:numId w:val="6"/>
        </w:numPr>
      </w:pPr>
      <w:r w:rsidRPr="00FA55B9">
        <w:t>Have a substantial adverse effect on a scenic vista?</w:t>
      </w:r>
    </w:p>
    <w:p w14:paraId="5BDF8B9C" w14:textId="77777777" w:rsidR="002446B1" w:rsidRPr="00176875" w:rsidRDefault="002446B1" w:rsidP="002446B1">
      <w:pPr>
        <w:pStyle w:val="BodyText"/>
        <w:rPr>
          <w:color w:val="000000" w:themeColor="text1"/>
        </w:rPr>
      </w:pPr>
      <w:r w:rsidRPr="00617ACC">
        <w:rPr>
          <w:rStyle w:val="BodyTextBoldChar"/>
        </w:rPr>
        <w:t xml:space="preserve">No Impact. </w:t>
      </w:r>
      <w:r w:rsidRPr="006B3DFD">
        <w:rPr>
          <w:color w:val="000000" w:themeColor="text1"/>
        </w:rPr>
        <w:t xml:space="preserve">For purposes of determining significance under CEQA, a scenic vista is generally considered a viewpoint that provides expansive views of a highly valued landscape for the benefit of the </w:t>
      </w:r>
      <w:r w:rsidR="00FA55B9" w:rsidRPr="006B3DFD">
        <w:rPr>
          <w:color w:val="000000" w:themeColor="text1"/>
        </w:rPr>
        <w:t>public</w:t>
      </w:r>
      <w:r w:rsidRPr="006B3DFD">
        <w:rPr>
          <w:color w:val="000000" w:themeColor="text1"/>
        </w:rPr>
        <w:t xml:space="preserve">. Some scenic vistas are officially designated by public agencies or informally designated by tourist guides. Vistas provide visual access or panoramic views to a large geographic area and are generally located at a point where </w:t>
      </w:r>
      <w:r w:rsidRPr="00176875">
        <w:rPr>
          <w:color w:val="000000" w:themeColor="text1"/>
        </w:rPr>
        <w:t>surrounding views are greater than one mile away. Panoramic views are usually associated with vantage points over a section of urban or natural areas that provide a geographic orientation not commonly available. Examples of panoramic views might include an urban skyline, valley, mountain range, a large open space area, the ocean, or other water bodies. A substantial adverse effect to a scenic vista is one that degrades the view from such a designated view spot.</w:t>
      </w:r>
    </w:p>
    <w:p w14:paraId="29FBB82A" w14:textId="3E0D6F49" w:rsidR="002446B1" w:rsidRPr="00176875" w:rsidRDefault="002446B1" w:rsidP="00176875">
      <w:pPr>
        <w:pStyle w:val="BodyText"/>
        <w:rPr>
          <w:color w:val="000000" w:themeColor="text1"/>
          <w:szCs w:val="22"/>
        </w:rPr>
      </w:pPr>
      <w:r w:rsidRPr="00176875">
        <w:rPr>
          <w:color w:val="000000" w:themeColor="text1"/>
          <w:szCs w:val="22"/>
        </w:rPr>
        <w:t xml:space="preserve">The </w:t>
      </w:r>
      <w:r w:rsidR="00517DEE">
        <w:rPr>
          <w:color w:val="000000" w:themeColor="text1"/>
          <w:szCs w:val="22"/>
        </w:rPr>
        <w:t>C</w:t>
      </w:r>
      <w:r w:rsidRPr="00176875">
        <w:rPr>
          <w:color w:val="000000" w:themeColor="text1"/>
          <w:szCs w:val="22"/>
        </w:rPr>
        <w:t xml:space="preserve">ity’s physical setting in the Los Angeles River Basin region and </w:t>
      </w:r>
      <w:r w:rsidR="005865D3">
        <w:rPr>
          <w:color w:val="000000" w:themeColor="text1"/>
          <w:szCs w:val="22"/>
        </w:rPr>
        <w:t>generally</w:t>
      </w:r>
      <w:r w:rsidR="005865D3" w:rsidRPr="00176875">
        <w:rPr>
          <w:color w:val="000000" w:themeColor="text1"/>
          <w:szCs w:val="22"/>
        </w:rPr>
        <w:t xml:space="preserve"> </w:t>
      </w:r>
      <w:r w:rsidRPr="00176875">
        <w:rPr>
          <w:color w:val="000000" w:themeColor="text1"/>
          <w:szCs w:val="22"/>
        </w:rPr>
        <w:t>flat topography afford distant scenic views of the San Gabriel Mountains</w:t>
      </w:r>
      <w:r w:rsidR="006B3DFD" w:rsidRPr="00176875">
        <w:rPr>
          <w:color w:val="000000" w:themeColor="text1"/>
        </w:rPr>
        <w:t xml:space="preserve">, </w:t>
      </w:r>
      <w:r w:rsidR="006B3DFD" w:rsidRPr="00176875">
        <w:rPr>
          <w:color w:val="000000" w:themeColor="text1"/>
          <w:szCs w:val="22"/>
        </w:rPr>
        <w:t>the Montebello Hills,</w:t>
      </w:r>
      <w:r w:rsidRPr="00176875">
        <w:rPr>
          <w:color w:val="000000" w:themeColor="text1"/>
          <w:szCs w:val="22"/>
        </w:rPr>
        <w:t xml:space="preserve"> and Puente Hills from certain vantage points throughout the </w:t>
      </w:r>
      <w:r w:rsidR="00517DEE">
        <w:rPr>
          <w:color w:val="000000" w:themeColor="text1"/>
          <w:szCs w:val="22"/>
        </w:rPr>
        <w:t>C</w:t>
      </w:r>
      <w:r w:rsidR="00FA55B9" w:rsidRPr="00176875">
        <w:rPr>
          <w:color w:val="000000" w:themeColor="text1"/>
          <w:szCs w:val="22"/>
        </w:rPr>
        <w:t>ity</w:t>
      </w:r>
      <w:r w:rsidRPr="00176875">
        <w:rPr>
          <w:color w:val="000000" w:themeColor="text1"/>
          <w:szCs w:val="22"/>
        </w:rPr>
        <w:t xml:space="preserve">. </w:t>
      </w:r>
      <w:r w:rsidR="006B3DFD" w:rsidRPr="00176875">
        <w:rPr>
          <w:color w:val="000000" w:themeColor="text1"/>
          <w:szCs w:val="22"/>
        </w:rPr>
        <w:t xml:space="preserve">The San Gabriel River traverses the central portion of Irwindale </w:t>
      </w:r>
      <w:r w:rsidR="005865D3">
        <w:rPr>
          <w:color w:val="000000" w:themeColor="text1"/>
          <w:szCs w:val="22"/>
        </w:rPr>
        <w:t>from</w:t>
      </w:r>
      <w:r w:rsidR="006B3DFD" w:rsidRPr="00176875">
        <w:rPr>
          <w:color w:val="000000" w:themeColor="text1"/>
          <w:szCs w:val="22"/>
        </w:rPr>
        <w:t xml:space="preserve"> northeast to southwest. The San Gabriel Mountains ar</w:t>
      </w:r>
      <w:r w:rsidR="00176875" w:rsidRPr="00176875">
        <w:rPr>
          <w:color w:val="000000" w:themeColor="text1"/>
          <w:szCs w:val="22"/>
        </w:rPr>
        <w:t>e</w:t>
      </w:r>
      <w:r w:rsidR="006B3DFD" w:rsidRPr="00176875">
        <w:rPr>
          <w:color w:val="000000" w:themeColor="text1"/>
          <w:szCs w:val="22"/>
        </w:rPr>
        <w:t xml:space="preserve"> approximately </w:t>
      </w:r>
      <w:r w:rsidR="005865D3">
        <w:rPr>
          <w:color w:val="000000" w:themeColor="text1"/>
          <w:szCs w:val="22"/>
        </w:rPr>
        <w:t>four</w:t>
      </w:r>
      <w:r w:rsidR="005865D3" w:rsidRPr="00176875">
        <w:rPr>
          <w:color w:val="000000" w:themeColor="text1"/>
          <w:szCs w:val="22"/>
        </w:rPr>
        <w:t xml:space="preserve"> </w:t>
      </w:r>
      <w:r w:rsidR="006B3DFD" w:rsidRPr="00176875">
        <w:rPr>
          <w:color w:val="000000" w:themeColor="text1"/>
          <w:szCs w:val="22"/>
        </w:rPr>
        <w:t>miles to the north of the project site</w:t>
      </w:r>
      <w:r w:rsidR="00176875" w:rsidRPr="00176875">
        <w:rPr>
          <w:color w:val="000000" w:themeColor="text1"/>
          <w:szCs w:val="22"/>
        </w:rPr>
        <w:t xml:space="preserve"> and are an important part of the local scenery.</w:t>
      </w:r>
      <w:r w:rsidR="006B3DFD" w:rsidRPr="00176875">
        <w:rPr>
          <w:color w:val="000000" w:themeColor="text1"/>
          <w:szCs w:val="22"/>
        </w:rPr>
        <w:t xml:space="preserve"> </w:t>
      </w:r>
      <w:r w:rsidR="00176875" w:rsidRPr="00176875">
        <w:rPr>
          <w:color w:val="000000" w:themeColor="text1"/>
          <w:szCs w:val="22"/>
        </w:rPr>
        <w:t>However, v</w:t>
      </w:r>
      <w:r w:rsidR="006B3DFD" w:rsidRPr="00176875">
        <w:rPr>
          <w:color w:val="000000" w:themeColor="text1"/>
          <w:szCs w:val="22"/>
        </w:rPr>
        <w:t xml:space="preserve">iews of the San Gabriel Mountains from the </w:t>
      </w:r>
      <w:r w:rsidR="00176875" w:rsidRPr="00176875">
        <w:rPr>
          <w:color w:val="000000" w:themeColor="text1"/>
          <w:szCs w:val="22"/>
        </w:rPr>
        <w:t>p</w:t>
      </w:r>
      <w:r w:rsidR="006B3DFD" w:rsidRPr="00176875">
        <w:rPr>
          <w:color w:val="000000" w:themeColor="text1"/>
          <w:szCs w:val="22"/>
        </w:rPr>
        <w:t>roject site are</w:t>
      </w:r>
      <w:r w:rsidR="00176875" w:rsidRPr="00176875">
        <w:rPr>
          <w:color w:val="000000" w:themeColor="text1"/>
          <w:szCs w:val="22"/>
        </w:rPr>
        <w:t xml:space="preserve"> </w:t>
      </w:r>
      <w:r w:rsidR="006B3DFD" w:rsidRPr="00176875">
        <w:rPr>
          <w:color w:val="000000" w:themeColor="text1"/>
          <w:szCs w:val="22"/>
        </w:rPr>
        <w:t>limited</w:t>
      </w:r>
      <w:r w:rsidR="005865D3">
        <w:rPr>
          <w:color w:val="000000" w:themeColor="text1"/>
          <w:szCs w:val="22"/>
        </w:rPr>
        <w:t>,</w:t>
      </w:r>
      <w:r w:rsidR="006B3DFD" w:rsidRPr="00176875">
        <w:rPr>
          <w:color w:val="000000" w:themeColor="text1"/>
          <w:szCs w:val="22"/>
        </w:rPr>
        <w:t xml:space="preserve"> obstructed by surrounding urban development.</w:t>
      </w:r>
      <w:r w:rsidR="00176875" w:rsidRPr="00176875">
        <w:rPr>
          <w:color w:val="000000" w:themeColor="text1"/>
          <w:szCs w:val="22"/>
        </w:rPr>
        <w:t xml:space="preserve"> Therefore</w:t>
      </w:r>
      <w:r w:rsidRPr="00176875">
        <w:rPr>
          <w:color w:val="000000" w:themeColor="text1"/>
          <w:szCs w:val="22"/>
        </w:rPr>
        <w:t>, project development would not result in a substantial adverse effect on a scenic vista</w:t>
      </w:r>
      <w:r w:rsidR="005865D3">
        <w:rPr>
          <w:color w:val="000000" w:themeColor="text1"/>
          <w:szCs w:val="22"/>
        </w:rPr>
        <w:t xml:space="preserve"> because</w:t>
      </w:r>
      <w:r w:rsidRPr="00176875">
        <w:rPr>
          <w:color w:val="000000" w:themeColor="text1"/>
          <w:szCs w:val="22"/>
        </w:rPr>
        <w:t xml:space="preserve"> there are no such vistas offered from the project site or its surroundings.</w:t>
      </w:r>
    </w:p>
    <w:p w14:paraId="38D4EA97" w14:textId="6E121169" w:rsidR="002446B1" w:rsidRPr="00176875" w:rsidRDefault="002446B1" w:rsidP="002446B1">
      <w:pPr>
        <w:pStyle w:val="BodyText"/>
        <w:rPr>
          <w:color w:val="000000" w:themeColor="text1"/>
          <w:szCs w:val="22"/>
        </w:rPr>
      </w:pPr>
      <w:r w:rsidRPr="00176875">
        <w:rPr>
          <w:color w:val="000000" w:themeColor="text1"/>
          <w:szCs w:val="22"/>
        </w:rPr>
        <w:t xml:space="preserve">Additionally, as shown in Figure 3, </w:t>
      </w:r>
      <w:r w:rsidRPr="00176875">
        <w:rPr>
          <w:i/>
          <w:iCs/>
          <w:color w:val="000000" w:themeColor="text1"/>
          <w:szCs w:val="22"/>
        </w:rPr>
        <w:t>Aerial Photograph</w:t>
      </w:r>
      <w:r w:rsidRPr="00176875">
        <w:rPr>
          <w:color w:val="000000" w:themeColor="text1"/>
          <w:szCs w:val="22"/>
        </w:rPr>
        <w:t xml:space="preserve">, the project site and surrounding area are in </w:t>
      </w:r>
      <w:r w:rsidR="005865D3">
        <w:rPr>
          <w:color w:val="000000" w:themeColor="text1"/>
          <w:szCs w:val="22"/>
        </w:rPr>
        <w:t xml:space="preserve">a </w:t>
      </w:r>
      <w:r w:rsidRPr="00176875">
        <w:rPr>
          <w:color w:val="000000" w:themeColor="text1"/>
          <w:szCs w:val="22"/>
        </w:rPr>
        <w:t xml:space="preserve">highly urbanized area of the </w:t>
      </w:r>
      <w:r w:rsidR="00517DEE">
        <w:rPr>
          <w:color w:val="000000" w:themeColor="text1"/>
          <w:szCs w:val="22"/>
        </w:rPr>
        <w:t>C</w:t>
      </w:r>
      <w:r w:rsidR="00FA55B9" w:rsidRPr="00176875">
        <w:rPr>
          <w:color w:val="000000" w:themeColor="text1"/>
          <w:szCs w:val="22"/>
        </w:rPr>
        <w:t>ity</w:t>
      </w:r>
      <w:r w:rsidRPr="00176875">
        <w:rPr>
          <w:color w:val="000000" w:themeColor="text1"/>
          <w:szCs w:val="22"/>
        </w:rPr>
        <w:t xml:space="preserve">. The project area is dominated by commercial and industrial uses with some residential uses </w:t>
      </w:r>
      <w:r w:rsidR="000833EE">
        <w:rPr>
          <w:color w:val="000000" w:themeColor="text1"/>
          <w:szCs w:val="22"/>
        </w:rPr>
        <w:t>within a 1,000</w:t>
      </w:r>
      <w:r w:rsidR="005865D3">
        <w:rPr>
          <w:color w:val="000000" w:themeColor="text1"/>
          <w:szCs w:val="22"/>
        </w:rPr>
        <w:t>-foot</w:t>
      </w:r>
      <w:r w:rsidR="000833EE">
        <w:rPr>
          <w:color w:val="000000" w:themeColor="text1"/>
          <w:szCs w:val="22"/>
        </w:rPr>
        <w:t xml:space="preserve"> radius to </w:t>
      </w:r>
      <w:r w:rsidRPr="00176875">
        <w:rPr>
          <w:color w:val="000000" w:themeColor="text1"/>
          <w:szCs w:val="22"/>
        </w:rPr>
        <w:t>the northeast</w:t>
      </w:r>
      <w:r w:rsidR="000833EE">
        <w:rPr>
          <w:color w:val="000000" w:themeColor="text1"/>
          <w:szCs w:val="22"/>
        </w:rPr>
        <w:t xml:space="preserve">, southeast, south, </w:t>
      </w:r>
      <w:r w:rsidR="005865D3">
        <w:rPr>
          <w:color w:val="000000" w:themeColor="text1"/>
          <w:szCs w:val="22"/>
        </w:rPr>
        <w:t xml:space="preserve">and </w:t>
      </w:r>
      <w:r w:rsidR="000833EE">
        <w:rPr>
          <w:color w:val="000000" w:themeColor="text1"/>
          <w:szCs w:val="22"/>
        </w:rPr>
        <w:t>southwest</w:t>
      </w:r>
      <w:r w:rsidRPr="00176875">
        <w:rPr>
          <w:color w:val="000000" w:themeColor="text1"/>
          <w:szCs w:val="22"/>
        </w:rPr>
        <w:t xml:space="preserve">. The urban landscape character and features of the project site and surrounding area are consistent with and typical of urbanized areas of the </w:t>
      </w:r>
      <w:r w:rsidR="00D4612B">
        <w:rPr>
          <w:color w:val="000000" w:themeColor="text1"/>
          <w:szCs w:val="22"/>
        </w:rPr>
        <w:t>C</w:t>
      </w:r>
      <w:r w:rsidR="00FA55B9" w:rsidRPr="00176875">
        <w:rPr>
          <w:color w:val="000000" w:themeColor="text1"/>
          <w:szCs w:val="22"/>
        </w:rPr>
        <w:t>ity</w:t>
      </w:r>
      <w:r w:rsidRPr="00176875">
        <w:rPr>
          <w:color w:val="000000" w:themeColor="text1"/>
          <w:szCs w:val="22"/>
        </w:rPr>
        <w:t xml:space="preserve">. The project site and surrounding area do not exhibit any significant visual resources or scenic vistas. </w:t>
      </w:r>
    </w:p>
    <w:p w14:paraId="5B3879B2" w14:textId="77777777" w:rsidR="002446B1" w:rsidRPr="00176875" w:rsidRDefault="002446B1" w:rsidP="002446B1">
      <w:pPr>
        <w:pStyle w:val="BodyText"/>
        <w:rPr>
          <w:color w:val="000000" w:themeColor="text1"/>
          <w:szCs w:val="22"/>
        </w:rPr>
      </w:pPr>
      <w:r w:rsidRPr="00176875">
        <w:rPr>
          <w:color w:val="000000" w:themeColor="text1"/>
          <w:szCs w:val="22"/>
        </w:rPr>
        <w:t xml:space="preserve">Overall site topography can be characterized as </w:t>
      </w:r>
      <w:r w:rsidR="005865D3">
        <w:rPr>
          <w:color w:val="000000" w:themeColor="text1"/>
          <w:szCs w:val="22"/>
        </w:rPr>
        <w:t>mostly</w:t>
      </w:r>
      <w:r w:rsidR="005865D3" w:rsidRPr="00176875">
        <w:rPr>
          <w:color w:val="000000" w:themeColor="text1"/>
          <w:szCs w:val="22"/>
        </w:rPr>
        <w:t xml:space="preserve"> </w:t>
      </w:r>
      <w:r w:rsidRPr="00176875">
        <w:rPr>
          <w:color w:val="000000" w:themeColor="text1"/>
          <w:szCs w:val="22"/>
        </w:rPr>
        <w:t xml:space="preserve">flat, with no notable change in elevation. </w:t>
      </w:r>
      <w:r w:rsidR="00090352">
        <w:rPr>
          <w:color w:val="000000" w:themeColor="text1"/>
          <w:szCs w:val="22"/>
        </w:rPr>
        <w:t>T</w:t>
      </w:r>
      <w:r w:rsidR="00090352" w:rsidRPr="00090352">
        <w:rPr>
          <w:color w:val="000000" w:themeColor="text1"/>
          <w:szCs w:val="22"/>
        </w:rPr>
        <w:t xml:space="preserve">he overall site topography </w:t>
      </w:r>
      <w:r w:rsidR="005865D3">
        <w:rPr>
          <w:color w:val="000000" w:themeColor="text1"/>
          <w:szCs w:val="22"/>
        </w:rPr>
        <w:t>slightly</w:t>
      </w:r>
      <w:r w:rsidR="005865D3" w:rsidRPr="00090352">
        <w:rPr>
          <w:color w:val="000000" w:themeColor="text1"/>
          <w:szCs w:val="22"/>
        </w:rPr>
        <w:t xml:space="preserve"> </w:t>
      </w:r>
      <w:r w:rsidR="00090352" w:rsidRPr="00090352">
        <w:rPr>
          <w:color w:val="000000" w:themeColor="text1"/>
          <w:szCs w:val="22"/>
        </w:rPr>
        <w:t>slopes downward to the southwest at a gradient of 1 to 2 percent.</w:t>
      </w:r>
      <w:r w:rsidR="00090352">
        <w:rPr>
          <w:color w:val="000000" w:themeColor="text1"/>
          <w:szCs w:val="22"/>
        </w:rPr>
        <w:t xml:space="preserve"> </w:t>
      </w:r>
      <w:r w:rsidRPr="00176875">
        <w:rPr>
          <w:color w:val="000000" w:themeColor="text1"/>
          <w:szCs w:val="22"/>
        </w:rPr>
        <w:t>There are no visible landforms (e.g., mountains, hills, creeks) from the project site or surrounding area</w:t>
      </w:r>
      <w:r w:rsidR="005865D3">
        <w:rPr>
          <w:color w:val="000000" w:themeColor="text1"/>
          <w:szCs w:val="22"/>
        </w:rPr>
        <w:t>,</w:t>
      </w:r>
      <w:r w:rsidR="005865D3" w:rsidRPr="00176875">
        <w:rPr>
          <w:color w:val="000000" w:themeColor="text1"/>
          <w:szCs w:val="22"/>
        </w:rPr>
        <w:t xml:space="preserve"> </w:t>
      </w:r>
      <w:r w:rsidRPr="00176875">
        <w:rPr>
          <w:color w:val="000000" w:themeColor="text1"/>
          <w:szCs w:val="22"/>
        </w:rPr>
        <w:t xml:space="preserve">and no landforms are on or in proximity </w:t>
      </w:r>
      <w:r w:rsidR="005865D3">
        <w:rPr>
          <w:color w:val="000000" w:themeColor="text1"/>
          <w:szCs w:val="22"/>
        </w:rPr>
        <w:t>to</w:t>
      </w:r>
      <w:r w:rsidR="005865D3" w:rsidRPr="00176875">
        <w:rPr>
          <w:color w:val="000000" w:themeColor="text1"/>
          <w:szCs w:val="22"/>
        </w:rPr>
        <w:t xml:space="preserve"> </w:t>
      </w:r>
      <w:r w:rsidRPr="00176875">
        <w:rPr>
          <w:color w:val="000000" w:themeColor="text1"/>
          <w:szCs w:val="22"/>
        </w:rPr>
        <w:t>the project site. Also, there are no designated open space resources on</w:t>
      </w:r>
      <w:r w:rsidR="005865D3">
        <w:rPr>
          <w:color w:val="000000" w:themeColor="text1"/>
          <w:szCs w:val="22"/>
        </w:rPr>
        <w:t>-</w:t>
      </w:r>
      <w:r w:rsidRPr="00176875">
        <w:rPr>
          <w:color w:val="000000" w:themeColor="text1"/>
          <w:szCs w:val="22"/>
        </w:rPr>
        <w:t xml:space="preserve">site or in the </w:t>
      </w:r>
      <w:r w:rsidR="005865D3">
        <w:rPr>
          <w:color w:val="000000" w:themeColor="text1"/>
          <w:szCs w:val="22"/>
        </w:rPr>
        <w:t xml:space="preserve">site </w:t>
      </w:r>
      <w:r w:rsidRPr="00176875">
        <w:rPr>
          <w:color w:val="000000" w:themeColor="text1"/>
          <w:szCs w:val="22"/>
        </w:rPr>
        <w:t>vicinity</w:t>
      </w:r>
      <w:r w:rsidR="005865D3">
        <w:rPr>
          <w:color w:val="000000" w:themeColor="text1"/>
          <w:szCs w:val="22"/>
        </w:rPr>
        <w:t>;</w:t>
      </w:r>
      <w:r w:rsidRPr="00176875">
        <w:rPr>
          <w:color w:val="000000" w:themeColor="text1"/>
          <w:szCs w:val="22"/>
        </w:rPr>
        <w:t xml:space="preserve"> a</w:t>
      </w:r>
      <w:r w:rsidR="005865D3">
        <w:rPr>
          <w:color w:val="000000" w:themeColor="text1"/>
          <w:szCs w:val="22"/>
        </w:rPr>
        <w:t>n open-space</w:t>
      </w:r>
      <w:r w:rsidRPr="00176875">
        <w:rPr>
          <w:color w:val="000000" w:themeColor="text1"/>
          <w:szCs w:val="22"/>
        </w:rPr>
        <w:t xml:space="preserve"> designation </w:t>
      </w:r>
      <w:r w:rsidR="005865D3">
        <w:rPr>
          <w:color w:val="000000" w:themeColor="text1"/>
          <w:szCs w:val="22"/>
        </w:rPr>
        <w:t xml:space="preserve">is </w:t>
      </w:r>
      <w:r w:rsidRPr="00176875">
        <w:rPr>
          <w:color w:val="000000" w:themeColor="text1"/>
          <w:szCs w:val="22"/>
        </w:rPr>
        <w:t xml:space="preserve">typically used to determine the value of certain public vistas </w:t>
      </w:r>
      <w:r w:rsidR="005865D3">
        <w:rPr>
          <w:color w:val="000000" w:themeColor="text1"/>
          <w:szCs w:val="22"/>
        </w:rPr>
        <w:t>and</w:t>
      </w:r>
      <w:r w:rsidR="005865D3" w:rsidRPr="00176875">
        <w:rPr>
          <w:color w:val="000000" w:themeColor="text1"/>
          <w:szCs w:val="22"/>
        </w:rPr>
        <w:t xml:space="preserve"> </w:t>
      </w:r>
      <w:r w:rsidRPr="00176875">
        <w:rPr>
          <w:color w:val="000000" w:themeColor="text1"/>
          <w:szCs w:val="22"/>
        </w:rPr>
        <w:t>gauge adverse effects.</w:t>
      </w:r>
    </w:p>
    <w:p w14:paraId="20A18F83" w14:textId="77777777" w:rsidR="002446B1" w:rsidRPr="00176875" w:rsidRDefault="002446B1" w:rsidP="00D10CF6">
      <w:pPr>
        <w:pStyle w:val="BodyText"/>
        <w:rPr>
          <w:color w:val="000000" w:themeColor="text1"/>
          <w:szCs w:val="22"/>
        </w:rPr>
      </w:pPr>
      <w:r w:rsidRPr="00176875">
        <w:rPr>
          <w:rFonts w:cs="Garamond"/>
          <w:color w:val="000000" w:themeColor="text1"/>
          <w:szCs w:val="22"/>
        </w:rPr>
        <w:t>Based on the preceding, no impact to scenic vistas would occur.</w:t>
      </w:r>
    </w:p>
    <w:p w14:paraId="710B5301" w14:textId="77777777" w:rsidR="00D10CF6" w:rsidRPr="00713943" w:rsidRDefault="00D10CF6" w:rsidP="00D10CF6">
      <w:pPr>
        <w:pStyle w:val="List"/>
        <w:numPr>
          <w:ilvl w:val="0"/>
          <w:numId w:val="6"/>
        </w:numPr>
      </w:pPr>
      <w:r w:rsidRPr="00713943">
        <w:t>Substantially damage scenic resources, including, but not limited to, trees, rock outcroppings, and historic buildings within a state scenic highway?</w:t>
      </w:r>
    </w:p>
    <w:p w14:paraId="5A7C32F7" w14:textId="77777777" w:rsidR="009941A1" w:rsidRPr="0003415C" w:rsidRDefault="009941A1" w:rsidP="009941A1">
      <w:pPr>
        <w:pStyle w:val="BodyText"/>
        <w:rPr>
          <w:bCs/>
        </w:rPr>
      </w:pPr>
      <w:r w:rsidRPr="009941A1">
        <w:rPr>
          <w:rStyle w:val="BodyTextBoldChar"/>
        </w:rPr>
        <w:t xml:space="preserve">No Impact. </w:t>
      </w:r>
      <w:r w:rsidRPr="0003415C">
        <w:rPr>
          <w:bCs/>
        </w:rPr>
        <w:t xml:space="preserve">A scenic highway is generally considered a stretch of public roadway that is designated as a scenic corridor by a federal, state, or local agency. </w:t>
      </w:r>
      <w:r w:rsidR="005865D3" w:rsidRPr="0003415C">
        <w:rPr>
          <w:bCs/>
        </w:rPr>
        <w:t xml:space="preserve">The California Department of Transportation </w:t>
      </w:r>
      <w:r w:rsidR="005865D3">
        <w:rPr>
          <w:bCs/>
        </w:rPr>
        <w:t>(</w:t>
      </w:r>
      <w:r w:rsidRPr="0003415C">
        <w:rPr>
          <w:bCs/>
        </w:rPr>
        <w:t>Caltrans</w:t>
      </w:r>
      <w:r w:rsidR="005865D3">
        <w:rPr>
          <w:bCs/>
        </w:rPr>
        <w:t>)</w:t>
      </w:r>
      <w:r w:rsidRPr="0003415C">
        <w:rPr>
          <w:bCs/>
        </w:rPr>
        <w:t xml:space="preserve"> defines a scenic highway as any freeway, highway, road, or other public right-of-way that traverses an area of exceptional scenic quality. </w:t>
      </w:r>
    </w:p>
    <w:p w14:paraId="69BC1342" w14:textId="77777777" w:rsidR="009941A1" w:rsidRPr="0003415C" w:rsidRDefault="009941A1" w:rsidP="009941A1">
      <w:pPr>
        <w:pStyle w:val="BodyText"/>
        <w:rPr>
          <w:bCs/>
        </w:rPr>
      </w:pPr>
      <w:r w:rsidRPr="0003415C">
        <w:rPr>
          <w:bCs/>
        </w:rPr>
        <w:t xml:space="preserve">The project site is in a highly urbanized area of the </w:t>
      </w:r>
      <w:r w:rsidR="00FA55B9" w:rsidRPr="0003415C">
        <w:rPr>
          <w:bCs/>
        </w:rPr>
        <w:t>city</w:t>
      </w:r>
      <w:r w:rsidRPr="0003415C">
        <w:rPr>
          <w:bCs/>
        </w:rPr>
        <w:t xml:space="preserve"> and is not on or near a state-designated scenic highway as designated on </w:t>
      </w:r>
      <w:r w:rsidR="005865D3">
        <w:rPr>
          <w:bCs/>
        </w:rPr>
        <w:t>Caltrans’s</w:t>
      </w:r>
      <w:r w:rsidR="005865D3" w:rsidRPr="0003415C">
        <w:rPr>
          <w:bCs/>
        </w:rPr>
        <w:t xml:space="preserve"> </w:t>
      </w:r>
      <w:r w:rsidRPr="0003415C">
        <w:rPr>
          <w:bCs/>
        </w:rPr>
        <w:t xml:space="preserve">California Scenic Highway Mapping System. </w:t>
      </w:r>
      <w:r w:rsidR="005865D3" w:rsidRPr="0003415C">
        <w:rPr>
          <w:bCs/>
        </w:rPr>
        <w:t xml:space="preserve">The </w:t>
      </w:r>
      <w:r w:rsidRPr="0003415C">
        <w:rPr>
          <w:bCs/>
        </w:rPr>
        <w:t>project site is not visible from the nearest state-designated scenic highway (</w:t>
      </w:r>
      <w:r w:rsidR="00150000">
        <w:rPr>
          <w:bCs/>
        </w:rPr>
        <w:t>SR-</w:t>
      </w:r>
      <w:r w:rsidR="0003415C" w:rsidRPr="0003415C">
        <w:rPr>
          <w:bCs/>
        </w:rPr>
        <w:t>39</w:t>
      </w:r>
      <w:r w:rsidRPr="0003415C">
        <w:rPr>
          <w:bCs/>
        </w:rPr>
        <w:t>), which is approximately 2</w:t>
      </w:r>
      <w:r w:rsidR="0003415C" w:rsidRPr="0003415C">
        <w:rPr>
          <w:bCs/>
        </w:rPr>
        <w:t>.8</w:t>
      </w:r>
      <w:r w:rsidRPr="0003415C">
        <w:rPr>
          <w:bCs/>
        </w:rPr>
        <w:t xml:space="preserve"> miles to the </w:t>
      </w:r>
      <w:r w:rsidR="0003415C" w:rsidRPr="0003415C">
        <w:rPr>
          <w:bCs/>
        </w:rPr>
        <w:t>north</w:t>
      </w:r>
      <w:r w:rsidRPr="0003415C">
        <w:rPr>
          <w:bCs/>
        </w:rPr>
        <w:t>east (Caltrans 2021).</w:t>
      </w:r>
      <w:r w:rsidR="005865D3">
        <w:rPr>
          <w:bCs/>
        </w:rPr>
        <w:t xml:space="preserve"> </w:t>
      </w:r>
      <w:r w:rsidRPr="0003415C">
        <w:rPr>
          <w:bCs/>
        </w:rPr>
        <w:t>Furthermore, the project site does not contain unique or locally important scenic resources. There are no rock outcroppings, significant vegetation</w:t>
      </w:r>
      <w:r w:rsidR="005865D3">
        <w:rPr>
          <w:bCs/>
        </w:rPr>
        <w:t>,</w:t>
      </w:r>
      <w:r w:rsidRPr="0003415C">
        <w:rPr>
          <w:bCs/>
        </w:rPr>
        <w:t xml:space="preserve"> or historic buildings on</w:t>
      </w:r>
      <w:r w:rsidR="005865D3">
        <w:rPr>
          <w:bCs/>
        </w:rPr>
        <w:t>-</w:t>
      </w:r>
      <w:r w:rsidRPr="0003415C">
        <w:rPr>
          <w:bCs/>
        </w:rPr>
        <w:t>site</w:t>
      </w:r>
      <w:r w:rsidR="005865D3">
        <w:rPr>
          <w:bCs/>
        </w:rPr>
        <w:t>,</w:t>
      </w:r>
      <w:r w:rsidR="0003415C" w:rsidRPr="0003415C">
        <w:rPr>
          <w:bCs/>
        </w:rPr>
        <w:t xml:space="preserve"> a</w:t>
      </w:r>
      <w:r w:rsidRPr="0003415C">
        <w:t xml:space="preserve">s shown in Figure 3, </w:t>
      </w:r>
      <w:r w:rsidRPr="0003415C">
        <w:rPr>
          <w:rStyle w:val="BodyTextItalicChar"/>
        </w:rPr>
        <w:t>Aerial Photograph</w:t>
      </w:r>
      <w:r w:rsidRPr="0003415C">
        <w:t xml:space="preserve">. </w:t>
      </w:r>
      <w:r w:rsidR="0003415C" w:rsidRPr="0003415C">
        <w:t xml:space="preserve">The Pepsi Bottling Group </w:t>
      </w:r>
      <w:r w:rsidR="0023242A">
        <w:t>building</w:t>
      </w:r>
      <w:r w:rsidR="0003415C" w:rsidRPr="0003415C">
        <w:t xml:space="preserve"> </w:t>
      </w:r>
      <w:r w:rsidR="00F721B8">
        <w:rPr>
          <w:bCs/>
        </w:rPr>
        <w:t>is</w:t>
      </w:r>
      <w:r w:rsidRPr="0003415C">
        <w:rPr>
          <w:bCs/>
        </w:rPr>
        <w:t xml:space="preserve"> not of historic significance, as substantiated in Section 3.5.a. </w:t>
      </w:r>
    </w:p>
    <w:p w14:paraId="6F3BA989" w14:textId="4632EB5F" w:rsidR="009941A1" w:rsidRPr="0003415C" w:rsidRDefault="009941A1" w:rsidP="00D10CF6">
      <w:pPr>
        <w:pStyle w:val="BodyText"/>
        <w:rPr>
          <w:bCs/>
        </w:rPr>
      </w:pPr>
      <w:r w:rsidRPr="0003415C">
        <w:rPr>
          <w:bCs/>
        </w:rPr>
        <w:t xml:space="preserve">Therefore, no impact to scenic resources </w:t>
      </w:r>
      <w:r w:rsidR="000F753D">
        <w:rPr>
          <w:bCs/>
        </w:rPr>
        <w:t>is expected to</w:t>
      </w:r>
      <w:r w:rsidR="000F753D" w:rsidRPr="0003415C">
        <w:rPr>
          <w:bCs/>
        </w:rPr>
        <w:t xml:space="preserve"> </w:t>
      </w:r>
      <w:r w:rsidRPr="0003415C">
        <w:rPr>
          <w:bCs/>
        </w:rPr>
        <w:t>occur due to project development.</w:t>
      </w:r>
    </w:p>
    <w:p w14:paraId="5EE3CF73" w14:textId="77777777" w:rsidR="00D10CF6" w:rsidRDefault="00861E48" w:rsidP="00861E48">
      <w:pPr>
        <w:pStyle w:val="List"/>
      </w:pPr>
      <w:r w:rsidRPr="00861E48">
        <w:t>In nonurbanized areas, substantially degrade the existing visual character or quality of public views of the site and its surroundings? (Public views are those that are experienced from publicly accessible vantage point). If the project is in an urbanized area, would the project conflict with applicable zoning and other regulations governing scenic quality</w:t>
      </w:r>
      <w:r w:rsidR="00D10CF6">
        <w:t>?</w:t>
      </w:r>
    </w:p>
    <w:p w14:paraId="649A5128" w14:textId="77777777" w:rsidR="009941A1" w:rsidRPr="0003415C" w:rsidRDefault="009941A1" w:rsidP="009941A1">
      <w:pPr>
        <w:pStyle w:val="BodyText"/>
      </w:pPr>
      <w:r w:rsidRPr="0003415C">
        <w:rPr>
          <w:rStyle w:val="BodyTextBoldChar"/>
        </w:rPr>
        <w:t xml:space="preserve">Less Than Significant Impact. </w:t>
      </w:r>
      <w:r w:rsidRPr="0003415C">
        <w:t xml:space="preserve">The assessment of aesthetic impacts is subjective by nature. Aesthetics generally refers to the identification of visual resources and their quality as well as an overall visual perception of the environment. A project is generally considered to have a significant aesthetic impact if it substantially changes the character or quality of the project site </w:t>
      </w:r>
      <w:r w:rsidR="00194DFD">
        <w:t>so</w:t>
      </w:r>
      <w:r w:rsidR="00194DFD" w:rsidRPr="0003415C">
        <w:t xml:space="preserve"> </w:t>
      </w:r>
      <w:r w:rsidRPr="0003415C">
        <w:t>that the site becomes visually incompatible with or visually unexpected in its surroundings.</w:t>
      </w:r>
    </w:p>
    <w:p w14:paraId="0F285855" w14:textId="54F6F6BA" w:rsidR="009941A1" w:rsidRPr="0003415C" w:rsidRDefault="00194DFD" w:rsidP="009F07C7">
      <w:pPr>
        <w:pStyle w:val="BodyText"/>
      </w:pPr>
      <w:r w:rsidRPr="0003415C">
        <w:t xml:space="preserve">The </w:t>
      </w:r>
      <w:r w:rsidR="009941A1" w:rsidRPr="0003415C">
        <w:t xml:space="preserve">project site is in a highly urbanized area of the </w:t>
      </w:r>
      <w:r w:rsidR="00517DEE">
        <w:t>C</w:t>
      </w:r>
      <w:r w:rsidR="00FA55B9" w:rsidRPr="0003415C">
        <w:t>ity</w:t>
      </w:r>
      <w:r>
        <w:t xml:space="preserve"> and</w:t>
      </w:r>
      <w:r w:rsidR="009F07C7">
        <w:t xml:space="preserve"> currently developed with </w:t>
      </w:r>
      <w:r>
        <w:t xml:space="preserve">a </w:t>
      </w:r>
      <w:r w:rsidR="0023242A">
        <w:t>bottling plant</w:t>
      </w:r>
      <w:r w:rsidR="009F07C7">
        <w:t xml:space="preserve">, a large metal shed north of the </w:t>
      </w:r>
      <w:r w:rsidR="0023242A">
        <w:t>main</w:t>
      </w:r>
      <w:r w:rsidR="009F07C7">
        <w:t xml:space="preserve"> building</w:t>
      </w:r>
      <w:r>
        <w:t>,</w:t>
      </w:r>
      <w:r w:rsidR="009F07C7">
        <w:t xml:space="preserve"> and a loading dock and large truck yard on the eastern </w:t>
      </w:r>
      <w:r>
        <w:t xml:space="preserve">part </w:t>
      </w:r>
      <w:r w:rsidR="009F07C7">
        <w:t xml:space="preserve">of the site. </w:t>
      </w:r>
      <w:r w:rsidR="0003415C" w:rsidRPr="0003415C">
        <w:t>The building is a single-story structure of concrete tilt-up construction</w:t>
      </w:r>
      <w:r>
        <w:t>, and the</w:t>
      </w:r>
      <w:r w:rsidRPr="0003415C">
        <w:t xml:space="preserve"> </w:t>
      </w:r>
      <w:r w:rsidR="0003415C" w:rsidRPr="0003415C">
        <w:t xml:space="preserve">loading dock is along a portion of the </w:t>
      </w:r>
      <w:r w:rsidR="00FA55B9">
        <w:t>south</w:t>
      </w:r>
      <w:r w:rsidR="0003415C" w:rsidRPr="0003415C">
        <w:t>east building wall. The buildings are surrounded by concrete pavement in the parking and drive areas</w:t>
      </w:r>
      <w:r w:rsidR="009941A1" w:rsidRPr="0003415C">
        <w:t xml:space="preserve">. </w:t>
      </w:r>
      <w:r w:rsidR="0003415C" w:rsidRPr="0003415C">
        <w:t xml:space="preserve">The site </w:t>
      </w:r>
      <w:r w:rsidR="009941A1" w:rsidRPr="0003415C">
        <w:t>is mainly surrounded by a mix of commercial and industrial</w:t>
      </w:r>
      <w:r w:rsidR="0003415C" w:rsidRPr="0003415C">
        <w:t xml:space="preserve"> uses</w:t>
      </w:r>
      <w:r>
        <w:t>,</w:t>
      </w:r>
      <w:r w:rsidR="0003415C" w:rsidRPr="0003415C">
        <w:t xml:space="preserve"> with </w:t>
      </w:r>
      <w:r w:rsidR="00710DE1">
        <w:rPr>
          <w:rStyle w:val="InsertText"/>
          <w:color w:val="auto"/>
        </w:rPr>
        <w:t>t</w:t>
      </w:r>
      <w:r w:rsidR="00710DE1" w:rsidRPr="00710DE1">
        <w:rPr>
          <w:rStyle w:val="InsertText"/>
          <w:color w:val="auto"/>
        </w:rPr>
        <w:t xml:space="preserve">he </w:t>
      </w:r>
      <w:r w:rsidR="00517DEE">
        <w:rPr>
          <w:rStyle w:val="InsertText"/>
          <w:color w:val="auto"/>
        </w:rPr>
        <w:t>Olive Pit mine site/sand and gravel quarry</w:t>
      </w:r>
      <w:r w:rsidR="00710DE1" w:rsidRPr="00710DE1">
        <w:rPr>
          <w:rStyle w:val="InsertText"/>
          <w:color w:val="auto"/>
        </w:rPr>
        <w:t xml:space="preserve"> </w:t>
      </w:r>
      <w:r w:rsidR="0003415C" w:rsidRPr="0003415C">
        <w:t xml:space="preserve">and </w:t>
      </w:r>
      <w:r w:rsidR="00FA55B9">
        <w:t xml:space="preserve">the </w:t>
      </w:r>
      <w:r w:rsidR="0003415C" w:rsidRPr="0003415C">
        <w:t>City Public Works yard west of Azusa Canyon Road.</w:t>
      </w:r>
      <w:r w:rsidR="009941A1" w:rsidRPr="0003415C">
        <w:t xml:space="preserve"> The urban landscape character and features of the project site and surrounding area are consistent with and typical of urbanized areas of the </w:t>
      </w:r>
      <w:r w:rsidR="00517DEE">
        <w:t>C</w:t>
      </w:r>
      <w:r w:rsidR="00FA55B9" w:rsidRPr="0003415C">
        <w:t>ity</w:t>
      </w:r>
      <w:r w:rsidR="009941A1" w:rsidRPr="0003415C">
        <w:t xml:space="preserve">. </w:t>
      </w:r>
    </w:p>
    <w:p w14:paraId="19D15E77" w14:textId="77777777" w:rsidR="009941A1" w:rsidRPr="0003415C" w:rsidRDefault="00194DFD" w:rsidP="009941A1">
      <w:pPr>
        <w:pStyle w:val="BodyText"/>
      </w:pPr>
      <w:bookmarkStart w:id="106" w:name="_Hlk21432872"/>
      <w:r w:rsidRPr="0003415C">
        <w:t xml:space="preserve">Potential </w:t>
      </w:r>
      <w:r w:rsidR="009941A1" w:rsidRPr="0003415C">
        <w:t>impact</w:t>
      </w:r>
      <w:r>
        <w:t>s</w:t>
      </w:r>
      <w:r w:rsidR="009941A1" w:rsidRPr="0003415C">
        <w:t xml:space="preserve"> to the visual character or quality of the project site and its surroundings </w:t>
      </w:r>
      <w:r>
        <w:t xml:space="preserve">could </w:t>
      </w:r>
      <w:r w:rsidR="009941A1" w:rsidRPr="0003415C">
        <w:t xml:space="preserve">result from the construction and operational phases of the </w:t>
      </w:r>
      <w:r w:rsidR="0003415C" w:rsidRPr="0003415C">
        <w:t>proposed p</w:t>
      </w:r>
      <w:r w:rsidR="009941A1" w:rsidRPr="0003415C">
        <w:t>roject.</w:t>
      </w:r>
    </w:p>
    <w:bookmarkEnd w:id="106"/>
    <w:p w14:paraId="1021CDCE" w14:textId="77777777" w:rsidR="009941A1" w:rsidRPr="0003415C" w:rsidRDefault="009941A1" w:rsidP="009941A1">
      <w:pPr>
        <w:pStyle w:val="Heading5"/>
      </w:pPr>
      <w:r w:rsidRPr="0003415C">
        <w:t>Project Construction Phase</w:t>
      </w:r>
    </w:p>
    <w:p w14:paraId="7BE111C1" w14:textId="77777777" w:rsidR="009941A1" w:rsidRPr="0003415C" w:rsidRDefault="009941A1" w:rsidP="009941A1">
      <w:pPr>
        <w:pStyle w:val="BodyText"/>
      </w:pPr>
      <w:r w:rsidRPr="0003415C">
        <w:t xml:space="preserve">Project implementation would result in construction activities that would temporarily change the visual character of the project site and its surroundings. Construction activities would involve </w:t>
      </w:r>
      <w:r w:rsidR="0003415C" w:rsidRPr="0003415C">
        <w:t xml:space="preserve">demolition, </w:t>
      </w:r>
      <w:r w:rsidRPr="0003415C">
        <w:t xml:space="preserve">site clearing, grading, building, and site improvements. Construction staging areas, including earth stockpiling, storage of equipment and supplies, and related activities would contribute to a generally “disturbed site,” which may be perceived by some as a visual impact. </w:t>
      </w:r>
    </w:p>
    <w:p w14:paraId="0473029E" w14:textId="21642C9E" w:rsidR="009941A1" w:rsidRPr="0003415C" w:rsidRDefault="009941A1" w:rsidP="009941A1">
      <w:pPr>
        <w:pStyle w:val="BodyText"/>
        <w:rPr>
          <w:highlight w:val="yellow"/>
        </w:rPr>
      </w:pPr>
      <w:r w:rsidRPr="0003415C">
        <w:t xml:space="preserve">However, these effects would be typical of any site in the </w:t>
      </w:r>
      <w:r w:rsidR="00517DEE">
        <w:t>C</w:t>
      </w:r>
      <w:r w:rsidR="00FA55B9" w:rsidRPr="0003415C">
        <w:t>ity</w:t>
      </w:r>
      <w:r w:rsidRPr="0003415C">
        <w:t xml:space="preserve"> that undergoes development or redevelopment. </w:t>
      </w:r>
      <w:r w:rsidRPr="00330532">
        <w:t xml:space="preserve">Project development is anticipated to be completed in three phases—clearing and demolition, grading, and construction. Overall construction is </w:t>
      </w:r>
      <w:r w:rsidRPr="00664BD0">
        <w:t xml:space="preserve">estimated to take approximately </w:t>
      </w:r>
      <w:r w:rsidR="00194DFD">
        <w:t>eight</w:t>
      </w:r>
      <w:r w:rsidR="00194DFD" w:rsidRPr="00664BD0">
        <w:t xml:space="preserve"> </w:t>
      </w:r>
      <w:r w:rsidRPr="00664BD0">
        <w:t xml:space="preserve">months, </w:t>
      </w:r>
      <w:r w:rsidR="00330532" w:rsidRPr="00664BD0">
        <w:t xml:space="preserve">with project completion anticipated in </w:t>
      </w:r>
      <w:r w:rsidR="00664BD0" w:rsidRPr="00664BD0">
        <w:t>September</w:t>
      </w:r>
      <w:r w:rsidR="00330532" w:rsidRPr="00664BD0">
        <w:t xml:space="preserve"> 2022</w:t>
      </w:r>
      <w:r w:rsidRPr="00664BD0">
        <w:t>. Construction activities may</w:t>
      </w:r>
      <w:r w:rsidRPr="0003415C">
        <w:t xml:space="preserve"> be unsightly during the site preparation and construction phases, but they are not considered significant because they are temporary. </w:t>
      </w:r>
      <w:r w:rsidR="00194DFD" w:rsidRPr="0003415C">
        <w:t xml:space="preserve">Construction </w:t>
      </w:r>
      <w:r w:rsidRPr="0003415C">
        <w:t>fencing would be erected to help shield the construction areas</w:t>
      </w:r>
      <w:r w:rsidR="00194DFD">
        <w:t xml:space="preserve">, but </w:t>
      </w:r>
      <w:r w:rsidRPr="0003415C">
        <w:t xml:space="preserve">would also be temporary. </w:t>
      </w:r>
    </w:p>
    <w:p w14:paraId="4B381148" w14:textId="77777777" w:rsidR="009941A1" w:rsidRPr="002D279D" w:rsidRDefault="009941A1" w:rsidP="009941A1">
      <w:pPr>
        <w:pStyle w:val="BodyText"/>
      </w:pPr>
      <w:r w:rsidRPr="0003415C">
        <w:t xml:space="preserve">Therefore, </w:t>
      </w:r>
      <w:r w:rsidR="0003415C" w:rsidRPr="0003415C">
        <w:t>p</w:t>
      </w:r>
      <w:r w:rsidRPr="0003415C">
        <w:t xml:space="preserve">roject-related construction activities would not have a significant effect on the existing visual character or quality of the site and its surroundings. </w:t>
      </w:r>
      <w:bookmarkStart w:id="107" w:name="_Hlk20843625"/>
      <w:r w:rsidRPr="0003415C">
        <w:t xml:space="preserve">Impacts would be less than </w:t>
      </w:r>
      <w:r w:rsidR="0003415C" w:rsidRPr="0003415C">
        <w:t>significant,</w:t>
      </w:r>
      <w:r w:rsidRPr="0003415C">
        <w:t xml:space="preserve"> and no mitigation </w:t>
      </w:r>
      <w:r w:rsidRPr="002D279D">
        <w:t>measures are necessary.</w:t>
      </w:r>
      <w:bookmarkEnd w:id="107"/>
    </w:p>
    <w:p w14:paraId="40FBE59A" w14:textId="77777777" w:rsidR="009941A1" w:rsidRPr="001C26E9" w:rsidRDefault="009941A1" w:rsidP="009941A1">
      <w:pPr>
        <w:pStyle w:val="Heading5"/>
      </w:pPr>
      <w:r w:rsidRPr="001C26E9">
        <w:t>Project Operation Phase</w:t>
      </w:r>
    </w:p>
    <w:p w14:paraId="1AA414BF" w14:textId="77777777" w:rsidR="009941A1" w:rsidRPr="002D279D" w:rsidRDefault="009941A1" w:rsidP="009941A1">
      <w:pPr>
        <w:pStyle w:val="BodyText"/>
      </w:pPr>
      <w:r w:rsidRPr="002D279D">
        <w:t xml:space="preserve">Site development would involve demolition of the single-story </w:t>
      </w:r>
      <w:r w:rsidR="00AC6999">
        <w:t>building</w:t>
      </w:r>
      <w:r w:rsidR="00AC6999" w:rsidRPr="002D279D">
        <w:t xml:space="preserve"> </w:t>
      </w:r>
      <w:r w:rsidR="002D279D" w:rsidRPr="002D279D">
        <w:t xml:space="preserve">and </w:t>
      </w:r>
      <w:r w:rsidRPr="002D279D">
        <w:t>other structures</w:t>
      </w:r>
      <w:r w:rsidR="00194DFD">
        <w:t xml:space="preserve"> on-site</w:t>
      </w:r>
      <w:r w:rsidRPr="002D279D">
        <w:t xml:space="preserve"> (e.g., hardscape improvements</w:t>
      </w:r>
      <w:r w:rsidR="0003415C" w:rsidRPr="002D279D">
        <w:t xml:space="preserve">, </w:t>
      </w:r>
      <w:r w:rsidRPr="002D279D">
        <w:t>open-air asphalt-paved storage/parking area). Project development also requires demolition and removal of other site features and improvements</w:t>
      </w:r>
      <w:r w:rsidR="00194DFD">
        <w:t>,</w:t>
      </w:r>
      <w:r w:rsidRPr="002D279D">
        <w:t xml:space="preserve"> </w:t>
      </w:r>
      <w:r w:rsidR="00194DFD">
        <w:t>such as</w:t>
      </w:r>
      <w:r w:rsidRPr="002D279D">
        <w:t xml:space="preserve"> concrete pads/slabs, chain-link fencing</w:t>
      </w:r>
      <w:r w:rsidR="0003415C" w:rsidRPr="002D279D">
        <w:t xml:space="preserve">, </w:t>
      </w:r>
      <w:r w:rsidR="00194DFD">
        <w:t xml:space="preserve">and </w:t>
      </w:r>
      <w:r w:rsidRPr="002D279D">
        <w:t xml:space="preserve">landscape improvements </w:t>
      </w:r>
      <w:r w:rsidR="0003415C" w:rsidRPr="002D279D">
        <w:t xml:space="preserve">at the </w:t>
      </w:r>
      <w:r w:rsidR="001C26E9">
        <w:t>western</w:t>
      </w:r>
      <w:r w:rsidR="0003415C" w:rsidRPr="002D279D">
        <w:t xml:space="preserve"> entrance</w:t>
      </w:r>
      <w:r w:rsidRPr="002D279D">
        <w:t>. Site features and improvements</w:t>
      </w:r>
      <w:r w:rsidR="00194DFD">
        <w:t>,</w:t>
      </w:r>
      <w:r w:rsidRPr="002D279D">
        <w:t xml:space="preserve"> </w:t>
      </w:r>
      <w:r w:rsidR="00194DFD">
        <w:t>which would</w:t>
      </w:r>
      <w:r w:rsidR="00194DFD" w:rsidRPr="002D279D">
        <w:t xml:space="preserve"> </w:t>
      </w:r>
      <w:r w:rsidRPr="002D279D">
        <w:t>be demolished and removed</w:t>
      </w:r>
      <w:r w:rsidR="00194DFD">
        <w:t>,</w:t>
      </w:r>
      <w:r w:rsidRPr="002D279D">
        <w:t xml:space="preserve"> are shown in Figure 3, </w:t>
      </w:r>
      <w:r w:rsidRPr="002D279D">
        <w:rPr>
          <w:rStyle w:val="BodyTextItalicChar"/>
        </w:rPr>
        <w:t>Aerial Photograph</w:t>
      </w:r>
      <w:r w:rsidRPr="002D279D">
        <w:t>.</w:t>
      </w:r>
    </w:p>
    <w:p w14:paraId="23BCA806" w14:textId="77777777" w:rsidR="009941A1" w:rsidRPr="002D279D" w:rsidRDefault="009941A1" w:rsidP="009941A1">
      <w:pPr>
        <w:pStyle w:val="BodyText"/>
      </w:pPr>
      <w:r w:rsidRPr="002D279D">
        <w:t xml:space="preserve">Upon clearing, the project site would be developed with the </w:t>
      </w:r>
      <w:r w:rsidR="00AD53D5">
        <w:t>proposed project</w:t>
      </w:r>
      <w:r w:rsidRPr="001822BB">
        <w:t xml:space="preserve">, </w:t>
      </w:r>
      <w:r w:rsidR="00194DFD">
        <w:t>that is,</w:t>
      </w:r>
      <w:r w:rsidRPr="001822BB">
        <w:t xml:space="preserve"> </w:t>
      </w:r>
      <w:r w:rsidRPr="002D279D">
        <w:t xml:space="preserve">the construction and operation of a new </w:t>
      </w:r>
      <w:r w:rsidR="002D279D" w:rsidRPr="002D279D">
        <w:t>industrial and manufacturing</w:t>
      </w:r>
      <w:r w:rsidRPr="002D279D">
        <w:t xml:space="preserve"> facility on the site. The prospective tenant</w:t>
      </w:r>
      <w:r w:rsidR="002D279D" w:rsidRPr="002D279D">
        <w:t>s</w:t>
      </w:r>
      <w:r w:rsidRPr="002D279D">
        <w:t xml:space="preserve"> would operate out of a building that would encompass a </w:t>
      </w:r>
      <w:r w:rsidRPr="00330532">
        <w:t xml:space="preserve">total of </w:t>
      </w:r>
      <w:r w:rsidR="003F79A9" w:rsidRPr="00ED7135">
        <w:t>129,</w:t>
      </w:r>
      <w:r w:rsidR="003F79A9">
        <w:t>8</w:t>
      </w:r>
      <w:r w:rsidR="00896D27">
        <w:t>3</w:t>
      </w:r>
      <w:r w:rsidR="003F79A9">
        <w:t xml:space="preserve">0 </w:t>
      </w:r>
      <w:r w:rsidRPr="00330532">
        <w:t xml:space="preserve">square feet. The </w:t>
      </w:r>
      <w:r w:rsidR="002D279D" w:rsidRPr="00330532">
        <w:t>proposed p</w:t>
      </w:r>
      <w:r w:rsidRPr="00330532">
        <w:t>roject would also feature a truck yard and loading dock</w:t>
      </w:r>
      <w:r w:rsidR="002D279D" w:rsidRPr="00330532">
        <w:t>s</w:t>
      </w:r>
      <w:r w:rsidR="00B53733">
        <w:t>; o</w:t>
      </w:r>
      <w:r w:rsidRPr="00330532">
        <w:t>ther components</w:t>
      </w:r>
      <w:r w:rsidRPr="002D279D">
        <w:t xml:space="preserve"> </w:t>
      </w:r>
      <w:r w:rsidR="00B53733">
        <w:t>such as</w:t>
      </w:r>
      <w:r w:rsidR="00B53733" w:rsidRPr="002D279D">
        <w:t xml:space="preserve"> </w:t>
      </w:r>
      <w:r w:rsidRPr="002D279D">
        <w:t>vehicular and pedestrian access</w:t>
      </w:r>
      <w:r w:rsidR="00B53733">
        <w:t>,</w:t>
      </w:r>
      <w:r w:rsidRPr="002D279D">
        <w:t xml:space="preserve"> circulation improvements</w:t>
      </w:r>
      <w:r w:rsidR="00B53733">
        <w:t>,</w:t>
      </w:r>
      <w:r w:rsidR="00B53733" w:rsidRPr="002D279D">
        <w:t xml:space="preserve"> </w:t>
      </w:r>
      <w:r w:rsidRPr="002D279D">
        <w:t>asphalt parking areas</w:t>
      </w:r>
      <w:r w:rsidR="00B53733">
        <w:t>, and</w:t>
      </w:r>
      <w:r w:rsidR="00B53733" w:rsidRPr="002D279D">
        <w:t xml:space="preserve"> </w:t>
      </w:r>
      <w:r w:rsidRPr="002D279D">
        <w:t xml:space="preserve">utility and infrastructure improvements; and landscape improvements. </w:t>
      </w:r>
    </w:p>
    <w:p w14:paraId="1786B058" w14:textId="77777777" w:rsidR="009941A1" w:rsidRPr="002D279D" w:rsidRDefault="009941A1" w:rsidP="009941A1">
      <w:pPr>
        <w:pStyle w:val="BodyText"/>
      </w:pPr>
      <w:r w:rsidRPr="002D279D">
        <w:t xml:space="preserve">Figure </w:t>
      </w:r>
      <w:r w:rsidR="00194DFD">
        <w:t>5</w:t>
      </w:r>
      <w:r w:rsidRPr="002D279D">
        <w:t xml:space="preserve">, </w:t>
      </w:r>
      <w:r w:rsidRPr="002D279D">
        <w:rPr>
          <w:rStyle w:val="BodyTextItalicChar"/>
        </w:rPr>
        <w:t>Conceptual Site Plan</w:t>
      </w:r>
      <w:r w:rsidRPr="002D279D">
        <w:t xml:space="preserve">, illustrates the </w:t>
      </w:r>
      <w:r w:rsidR="002D279D" w:rsidRPr="002D279D">
        <w:t>proposed p</w:t>
      </w:r>
      <w:r w:rsidRPr="002D279D">
        <w:t xml:space="preserve">roject’s overall site design. The elongated building would </w:t>
      </w:r>
      <w:r w:rsidR="002D279D" w:rsidRPr="002D279D">
        <w:t xml:space="preserve">occupy </w:t>
      </w:r>
      <w:r w:rsidR="001C26E9" w:rsidRPr="002D279D">
        <w:t>most of</w:t>
      </w:r>
      <w:r w:rsidR="002D279D" w:rsidRPr="002D279D">
        <w:t xml:space="preserve"> the site</w:t>
      </w:r>
      <w:r w:rsidR="00B53733">
        <w:t>,</w:t>
      </w:r>
      <w:r w:rsidR="002D279D" w:rsidRPr="002D279D">
        <w:t xml:space="preserve"> with the truck court area in the southeast portion of the site</w:t>
      </w:r>
      <w:r w:rsidRPr="002D279D">
        <w:t>. Architecturally and functionally, the building would be designed and constructed as a single-story, painted</w:t>
      </w:r>
      <w:r w:rsidR="00B53733">
        <w:t>,</w:t>
      </w:r>
      <w:r w:rsidRPr="002D279D">
        <w:t xml:space="preserve"> concrete tilt-up industrial building (up to </w:t>
      </w:r>
      <w:r w:rsidR="002D279D" w:rsidRPr="002D279D">
        <w:t>37</w:t>
      </w:r>
      <w:r w:rsidRPr="002D279D">
        <w:t xml:space="preserve"> feet in height) </w:t>
      </w:r>
      <w:r w:rsidR="00DD5CFF" w:rsidRPr="004403C8">
        <w:t xml:space="preserve">with a mezzanine </w:t>
      </w:r>
      <w:r w:rsidR="00DD5CFF">
        <w:t xml:space="preserve">and </w:t>
      </w:r>
      <w:r w:rsidRPr="002D279D">
        <w:t xml:space="preserve">ample interior open-storage space and high ceilings, which is typical for warehouse and distribution facilities. The </w:t>
      </w:r>
      <w:r w:rsidR="002D279D" w:rsidRPr="002D279D">
        <w:t>south</w:t>
      </w:r>
      <w:r w:rsidR="001C26E9">
        <w:t>west</w:t>
      </w:r>
      <w:r w:rsidRPr="002D279D">
        <w:t xml:space="preserve"> side of the building, which would face the site</w:t>
      </w:r>
      <w:r w:rsidR="00B53733">
        <w:t>’</w:t>
      </w:r>
      <w:r w:rsidRPr="002D279D">
        <w:t xml:space="preserve">s truck yard, would feature a loading </w:t>
      </w:r>
      <w:r w:rsidRPr="00240B41">
        <w:t xml:space="preserve">dock with </w:t>
      </w:r>
      <w:r w:rsidR="002D279D" w:rsidRPr="00240B41">
        <w:t>1</w:t>
      </w:r>
      <w:r w:rsidR="003F79A9" w:rsidRPr="00240B41">
        <w:t>8</w:t>
      </w:r>
      <w:r w:rsidRPr="00240B41">
        <w:t xml:space="preserve"> dock doors</w:t>
      </w:r>
      <w:r w:rsidRPr="00330532">
        <w:t xml:space="preserve">. Designated employee and visitor parking areas would be placed </w:t>
      </w:r>
      <w:r w:rsidR="002D279D" w:rsidRPr="00330532">
        <w:t>along all</w:t>
      </w:r>
      <w:r w:rsidRPr="00330532">
        <w:t xml:space="preserve"> sides of the building</w:t>
      </w:r>
      <w:r w:rsidR="002D279D" w:rsidRPr="00330532">
        <w:t xml:space="preserve"> and in the</w:t>
      </w:r>
      <w:r w:rsidR="002D279D" w:rsidRPr="002D279D">
        <w:t xml:space="preserve"> northeast corner of the site</w:t>
      </w:r>
      <w:r w:rsidRPr="002D279D">
        <w:t xml:space="preserve">. </w:t>
      </w:r>
    </w:p>
    <w:p w14:paraId="2527E25B" w14:textId="77777777" w:rsidR="009941A1" w:rsidRPr="00DD5CFF" w:rsidRDefault="009941A1" w:rsidP="009941A1">
      <w:pPr>
        <w:pStyle w:val="BodyText"/>
      </w:pPr>
      <w:r w:rsidRPr="00DD5CFF">
        <w:t xml:space="preserve">Figure </w:t>
      </w:r>
      <w:r w:rsidR="00B53733">
        <w:t>6</w:t>
      </w:r>
      <w:r w:rsidRPr="00DD5CFF">
        <w:t xml:space="preserve">, </w:t>
      </w:r>
      <w:r w:rsidRPr="00DD5CFF">
        <w:rPr>
          <w:rStyle w:val="BodyTextItalicChar"/>
        </w:rPr>
        <w:t>Conceptual Building Elevations</w:t>
      </w:r>
      <w:r w:rsidRPr="00DD5CFF">
        <w:t xml:space="preserve">, and </w:t>
      </w:r>
      <w:r w:rsidR="00C15931">
        <w:t>Figure</w:t>
      </w:r>
      <w:r w:rsidR="00B53733">
        <w:t>s</w:t>
      </w:r>
      <w:r w:rsidR="00C15931">
        <w:t xml:space="preserve"> </w:t>
      </w:r>
      <w:r w:rsidR="00B53733">
        <w:t>7a and 7b</w:t>
      </w:r>
      <w:r w:rsidRPr="00DD5CFF">
        <w:t xml:space="preserve">, </w:t>
      </w:r>
      <w:r w:rsidRPr="00DD5CFF">
        <w:rPr>
          <w:rStyle w:val="BodyTextItalicChar"/>
        </w:rPr>
        <w:t>Conceptual Building Renderings</w:t>
      </w:r>
      <w:r w:rsidRPr="00DD5CFF">
        <w:t xml:space="preserve">, illustrate the conceptual elevations and architectural design and features of the proposed building. The building has been designed to have multiple-feature elements on all façades. As shown in these figures, the proposed building would incorporate a modern architectural style and include a </w:t>
      </w:r>
      <w:r w:rsidR="00B53733">
        <w:t>variety</w:t>
      </w:r>
      <w:r w:rsidR="00B53733" w:rsidRPr="00DD5CFF">
        <w:t xml:space="preserve"> </w:t>
      </w:r>
      <w:r w:rsidRPr="00DD5CFF">
        <w:t>of building elements and materials</w:t>
      </w:r>
      <w:r w:rsidR="00B53733">
        <w:t>,</w:t>
      </w:r>
      <w:r w:rsidR="001C26E9">
        <w:t xml:space="preserve"> including</w:t>
      </w:r>
      <w:r w:rsidRPr="00DD5CFF">
        <w:t xml:space="preserve"> </w:t>
      </w:r>
      <w:r w:rsidR="00DD5CFF" w:rsidRPr="00DD5CFF">
        <w:t>smooth and lightly colored troweled stucco; metal, glass, brick, and stone; light harmonious colors with accent color for trim; facades with depth of plane; recessed heavy doors; deeply recessed windows with planter boxes; custom ornamentation; arcades and columns for scale</w:t>
      </w:r>
      <w:r w:rsidR="00B53733">
        <w:t>,</w:t>
      </w:r>
      <w:r w:rsidR="00DD5CFF" w:rsidRPr="00DD5CFF">
        <w:t xml:space="preserve"> balance</w:t>
      </w:r>
      <w:r w:rsidR="00B53733">
        <w:t>,</w:t>
      </w:r>
      <w:r w:rsidR="00DD5CFF" w:rsidRPr="00DD5CFF">
        <w:t xml:space="preserve"> and rhythm; varied roof lines; and flat roofs behind detailed parapets</w:t>
      </w:r>
      <w:r w:rsidRPr="00DD5CFF">
        <w:t>. Building pop-outs, offsets, overhangs, recesses, and variations in building materials and colors would be added to offset the building’s massing, provide</w:t>
      </w:r>
      <w:r w:rsidR="00B53733">
        <w:t xml:space="preserve"> a more</w:t>
      </w:r>
      <w:r w:rsidRPr="00DD5CFF">
        <w:t xml:space="preserve"> human scale, and </w:t>
      </w:r>
      <w:r w:rsidR="00B53733">
        <w:t>give</w:t>
      </w:r>
      <w:r w:rsidR="00B53733" w:rsidRPr="00DD5CFF">
        <w:t xml:space="preserve"> </w:t>
      </w:r>
      <w:r w:rsidRPr="00DD5CFF">
        <w:t>relief to and variation in the building form and style. The mixture of colors, textures, and materials of the building would also help balance the intended permanence of the building with the scale of the surround</w:t>
      </w:r>
      <w:r w:rsidR="001C26E9">
        <w:t>ing</w:t>
      </w:r>
      <w:r w:rsidRPr="00DD5CFF">
        <w:t xml:space="preserve"> buildings and uses. The proposed architectural style and building design elements, features</w:t>
      </w:r>
      <w:r w:rsidR="001C26E9">
        <w:t>,</w:t>
      </w:r>
      <w:r w:rsidRPr="00DD5CFF">
        <w:t xml:space="preserve"> and materials would be complementary and </w:t>
      </w:r>
      <w:r w:rsidR="00B53733">
        <w:t xml:space="preserve">would </w:t>
      </w:r>
      <w:r w:rsidRPr="00DD5CFF">
        <w:t xml:space="preserve">not detract from the visual character or quality of the surrounding area or uses. </w:t>
      </w:r>
    </w:p>
    <w:p w14:paraId="0623945B" w14:textId="77777777" w:rsidR="009941A1" w:rsidRPr="00DD5CFF" w:rsidRDefault="009941A1" w:rsidP="009941A1">
      <w:pPr>
        <w:pStyle w:val="BodyText"/>
      </w:pPr>
      <w:r w:rsidRPr="00DD5CFF">
        <w:t xml:space="preserve">Additionally, the provisions of the </w:t>
      </w:r>
      <w:r w:rsidR="00DD5CFF" w:rsidRPr="00DD5CFF">
        <w:t xml:space="preserve">City’s </w:t>
      </w:r>
      <w:r w:rsidR="00B53733" w:rsidRPr="00DD5CFF">
        <w:t>municipal code</w:t>
      </w:r>
      <w:r w:rsidR="00B53733">
        <w:t>,</w:t>
      </w:r>
      <w:r w:rsidR="00DD5CFF" w:rsidRPr="00DD5CFF">
        <w:t xml:space="preserve"> Commercial </w:t>
      </w:r>
      <w:r w:rsidR="00B53733">
        <w:t>and</w:t>
      </w:r>
      <w:r w:rsidR="00B53733" w:rsidRPr="00DD5CFF">
        <w:t xml:space="preserve"> </w:t>
      </w:r>
      <w:r w:rsidR="00DD5CFF" w:rsidRPr="00DD5CFF">
        <w:t>Industrial Design Guidelines</w:t>
      </w:r>
      <w:r w:rsidR="00B53733">
        <w:t>,</w:t>
      </w:r>
      <w:r w:rsidR="00DD5CFF" w:rsidRPr="00DD5CFF">
        <w:t xml:space="preserve"> </w:t>
      </w:r>
      <w:r w:rsidR="00B53733">
        <w:t>and</w:t>
      </w:r>
      <w:r w:rsidRPr="00DD5CFF">
        <w:t xml:space="preserve"> development review process would help ensure that the </w:t>
      </w:r>
      <w:r w:rsidR="00DD5CFF" w:rsidRPr="00DD5CFF">
        <w:t>proposed p</w:t>
      </w:r>
      <w:r w:rsidRPr="00DD5CFF">
        <w:t xml:space="preserve">roject is designed and implemented </w:t>
      </w:r>
      <w:r w:rsidR="00B53733">
        <w:t>to</w:t>
      </w:r>
      <w:r w:rsidRPr="00DD5CFF">
        <w:t xml:space="preserve"> provide visual cohesiveness and compatibility not only within the project site, but along the site frontages and with its surroundings. The </w:t>
      </w:r>
      <w:r w:rsidR="00DD5CFF" w:rsidRPr="00DD5CFF">
        <w:t>proposed p</w:t>
      </w:r>
      <w:r w:rsidRPr="00DD5CFF">
        <w:t xml:space="preserve">roject would be designed and constructed in accordance with the applicable provisions of these regulatory documents, including those related to landscaping, </w:t>
      </w:r>
      <w:r w:rsidR="001C26E9" w:rsidRPr="00DD5CFF">
        <w:t>screening,</w:t>
      </w:r>
      <w:r w:rsidRPr="00DD5CFF">
        <w:t xml:space="preserve"> and building height, massing, and setbacks. </w:t>
      </w:r>
    </w:p>
    <w:p w14:paraId="1DFF0BA0" w14:textId="77777777" w:rsidR="009941A1" w:rsidRPr="00D901CB" w:rsidRDefault="00CB7DBF" w:rsidP="009941A1">
      <w:pPr>
        <w:pStyle w:val="BodyText"/>
      </w:pPr>
      <w:r w:rsidRPr="001D6C6F">
        <w:t>Furthermore</w:t>
      </w:r>
      <w:r w:rsidR="009941A1" w:rsidRPr="001D6C6F">
        <w:t>, the overall project design and site layout promotes a visually strong and active street frontage</w:t>
      </w:r>
      <w:r w:rsidR="009941A1" w:rsidRPr="00DD5CFF">
        <w:t xml:space="preserve"> </w:t>
      </w:r>
      <w:r w:rsidR="009941A1" w:rsidRPr="00D901CB">
        <w:t xml:space="preserve">along </w:t>
      </w:r>
      <w:r w:rsidR="00DD5CFF" w:rsidRPr="00D901CB">
        <w:t>Azusa Canyon</w:t>
      </w:r>
      <w:r w:rsidR="00A81D26">
        <w:t xml:space="preserve"> Road</w:t>
      </w:r>
      <w:r w:rsidR="009941A1" w:rsidRPr="00D901CB">
        <w:t xml:space="preserve">, which forms the </w:t>
      </w:r>
      <w:r w:rsidR="00DD5CFF" w:rsidRPr="00D901CB">
        <w:t>proposed p</w:t>
      </w:r>
      <w:r w:rsidR="009941A1" w:rsidRPr="00D901CB">
        <w:t xml:space="preserve">roject’s </w:t>
      </w:r>
      <w:r w:rsidR="00DD5CFF" w:rsidRPr="00D901CB">
        <w:t>we</w:t>
      </w:r>
      <w:r w:rsidR="009941A1" w:rsidRPr="00D901CB">
        <w:t xml:space="preserve">stern site boundary. This is accomplished through the incorporation of various project features, including multiple-feature elements on all façades; a new parkway-separated public sidewalk; </w:t>
      </w:r>
      <w:r w:rsidR="00DD5CFF" w:rsidRPr="00D901CB">
        <w:t xml:space="preserve">a meandering walkway; </w:t>
      </w:r>
      <w:r w:rsidR="009941A1" w:rsidRPr="00D901CB">
        <w:t>and a landscaped park</w:t>
      </w:r>
      <w:r w:rsidR="00DD5CFF" w:rsidRPr="00D901CB">
        <w:t>ing area</w:t>
      </w:r>
      <w:r w:rsidR="009941A1" w:rsidRPr="00D901CB">
        <w:t xml:space="preserve"> featuring trees and ground</w:t>
      </w:r>
      <w:r w:rsidR="001D6C6F">
        <w:t xml:space="preserve"> </w:t>
      </w:r>
      <w:r w:rsidR="009941A1" w:rsidRPr="00D901CB">
        <w:t>cover.</w:t>
      </w:r>
    </w:p>
    <w:p w14:paraId="5C6DC52D" w14:textId="77777777" w:rsidR="009941A1" w:rsidRPr="00D901CB" w:rsidRDefault="009941A1" w:rsidP="009941A1">
      <w:pPr>
        <w:pStyle w:val="BodyText"/>
      </w:pPr>
      <w:r w:rsidRPr="00D901CB">
        <w:t xml:space="preserve">Project development would also provide similar and compatible uses to the existing commercial and industrial uses surrounding the project site. For example, the proposed building (including building massing and height, up to </w:t>
      </w:r>
      <w:r w:rsidR="00963231" w:rsidRPr="00D901CB">
        <w:t>37</w:t>
      </w:r>
      <w:r w:rsidR="001D6C6F">
        <w:t xml:space="preserve"> </w:t>
      </w:r>
      <w:r w:rsidRPr="00D901CB">
        <w:t xml:space="preserve">feet) would be compatible with the surrounding commercial and industrial uses, which include buildings that are similar to the height and massing of the </w:t>
      </w:r>
      <w:r w:rsidR="00963231" w:rsidRPr="00D901CB">
        <w:t>proposed</w:t>
      </w:r>
      <w:r w:rsidRPr="00D901CB">
        <w:t xml:space="preserve"> building. </w:t>
      </w:r>
      <w:r w:rsidR="00D901CB" w:rsidRPr="00D901CB">
        <w:t>Additionally, parking areas, trash enclosures, and outdoor equipment would be screened in accordance with Chapter 3.2</w:t>
      </w:r>
      <w:r w:rsidR="001C26E9">
        <w:t xml:space="preserve">, </w:t>
      </w:r>
      <w:r w:rsidR="001C26E9" w:rsidRPr="00D71ABD">
        <w:t>Site Design</w:t>
      </w:r>
      <w:r w:rsidR="001C26E9">
        <w:t>,</w:t>
      </w:r>
      <w:r w:rsidR="00D901CB" w:rsidRPr="00D901CB">
        <w:t xml:space="preserve"> of the Commercial </w:t>
      </w:r>
      <w:r w:rsidR="001D6C6F">
        <w:t>and</w:t>
      </w:r>
      <w:r w:rsidR="001D6C6F" w:rsidRPr="00D901CB">
        <w:t xml:space="preserve"> </w:t>
      </w:r>
      <w:r w:rsidR="00D901CB" w:rsidRPr="00D901CB">
        <w:t xml:space="preserve">Industrial Design Guidelines. </w:t>
      </w:r>
      <w:r w:rsidR="00CB7DBF" w:rsidRPr="00CB7DBF">
        <w:t>All mechanical</w:t>
      </w:r>
      <w:r w:rsidR="00A81D26">
        <w:t>,</w:t>
      </w:r>
      <w:r w:rsidR="00CB7DBF" w:rsidRPr="00CB7DBF">
        <w:t xml:space="preserve"> heating, air-conditioning, </w:t>
      </w:r>
      <w:r w:rsidR="001C26E9" w:rsidRPr="00CB7DBF">
        <w:t>refrigeration,</w:t>
      </w:r>
      <w:r w:rsidR="00CB7DBF" w:rsidRPr="00CB7DBF">
        <w:t xml:space="preserve"> or similar devices maintained and operated on the exterior of buildings </w:t>
      </w:r>
      <w:r w:rsidR="00CB7DBF">
        <w:t>would</w:t>
      </w:r>
      <w:r w:rsidR="00CB7DBF" w:rsidRPr="00CB7DBF">
        <w:t xml:space="preserve"> be enclosed and designed, installed, operated</w:t>
      </w:r>
      <w:r w:rsidR="001D6C6F">
        <w:t>,</w:t>
      </w:r>
      <w:r w:rsidR="00CB7DBF" w:rsidRPr="00CB7DBF">
        <w:t xml:space="preserve"> and maintained to eliminate unsightliness</w:t>
      </w:r>
      <w:r w:rsidR="00CB7DBF">
        <w:t xml:space="preserve"> per Section </w:t>
      </w:r>
      <w:r w:rsidR="00CB7DBF" w:rsidRPr="00CB7DBF">
        <w:t>17.52.020</w:t>
      </w:r>
      <w:r w:rsidR="00CB7DBF">
        <w:t xml:space="preserve"> of the </w:t>
      </w:r>
      <w:r w:rsidR="001D6C6F">
        <w:t>municipal code</w:t>
      </w:r>
      <w:r w:rsidR="00CB7DBF">
        <w:t xml:space="preserve">. </w:t>
      </w:r>
    </w:p>
    <w:p w14:paraId="7A323732" w14:textId="77777777" w:rsidR="009941A1" w:rsidRDefault="009941A1" w:rsidP="009941A1">
      <w:pPr>
        <w:pStyle w:val="BodyText"/>
      </w:pPr>
      <w:r w:rsidRPr="00963231">
        <w:t xml:space="preserve">Overall, </w:t>
      </w:r>
      <w:r w:rsidR="00963231" w:rsidRPr="00963231">
        <w:t>p</w:t>
      </w:r>
      <w:r w:rsidRPr="00963231">
        <w:t>roject development would enhance and strengthen the visual character of the project site and its surroundings through new architecture, landscaping, hardscape, and other improvements on</w:t>
      </w:r>
      <w:r w:rsidR="001D6C6F">
        <w:t>-</w:t>
      </w:r>
      <w:r w:rsidRPr="00963231">
        <w:t>site and along the project site’s street frontage</w:t>
      </w:r>
      <w:r w:rsidR="00963231" w:rsidRPr="00963231">
        <w:t>s</w:t>
      </w:r>
      <w:r w:rsidRPr="00963231">
        <w:t xml:space="preserve">. The proposed architectural and landscape elements and design would ensure that the </w:t>
      </w:r>
      <w:r w:rsidR="00963231" w:rsidRPr="00963231">
        <w:t>proposed p</w:t>
      </w:r>
      <w:r w:rsidRPr="00963231">
        <w:t>roject is not detrimental to the visual character or quality of the surrounding area or uses. The building masses, landscaping, and various hardscape and landscape improvements proposed throughout the project site would be designed to create a sense of cohesiveness on- and off</w:t>
      </w:r>
      <w:r w:rsidR="001D6C6F">
        <w:t>-</w:t>
      </w:r>
      <w:r w:rsidRPr="00963231">
        <w:t>site and along the project site boundaries. Although newer than the surrounding area</w:t>
      </w:r>
      <w:r w:rsidR="001D6C6F">
        <w:t>’s</w:t>
      </w:r>
      <w:r w:rsidRPr="00963231">
        <w:t xml:space="preserve"> uses, the proposed building, landscaping</w:t>
      </w:r>
      <w:r w:rsidR="001D6C6F">
        <w:t>,</w:t>
      </w:r>
      <w:r w:rsidRPr="00963231">
        <w:t xml:space="preserve"> and other site improvements would complement and not detract from the visual character of the site </w:t>
      </w:r>
      <w:r w:rsidR="001D6C6F">
        <w:t>and</w:t>
      </w:r>
      <w:r w:rsidR="001D6C6F" w:rsidRPr="00963231">
        <w:t xml:space="preserve"> </w:t>
      </w:r>
      <w:r w:rsidRPr="00963231">
        <w:t xml:space="preserve">surrounding area. </w:t>
      </w:r>
      <w:r w:rsidRPr="00547B13">
        <w:t xml:space="preserve">Once complete, the </w:t>
      </w:r>
      <w:r w:rsidR="00963231" w:rsidRPr="00547B13">
        <w:t>proposed p</w:t>
      </w:r>
      <w:r w:rsidRPr="00547B13">
        <w:t xml:space="preserve">roject would </w:t>
      </w:r>
      <w:r w:rsidR="001D6C6F">
        <w:t>make</w:t>
      </w:r>
      <w:r w:rsidR="001D6C6F" w:rsidRPr="00547B13">
        <w:t xml:space="preserve"> </w:t>
      </w:r>
      <w:r w:rsidRPr="00547B13">
        <w:t>a substantial visual improvement over the existing conditions.</w:t>
      </w:r>
    </w:p>
    <w:p w14:paraId="737C6FEC" w14:textId="77777777" w:rsidR="00AC6999" w:rsidRDefault="00AC6999" w:rsidP="00AC6999">
      <w:pPr>
        <w:pStyle w:val="BodyText"/>
      </w:pPr>
      <w:r>
        <w:t xml:space="preserve">Furthermore, the General Plan land use designation of the project site is Industrial/Business Park. Development and operation of the proposed project would not conflict with the General Plan designation of the project site because the proposed warehouse and distribution facility is a permitted use under the Industrial/Business Park land use designation. Through the City’s development review process—which includes the Planning Commission </w:t>
      </w:r>
      <w:r w:rsidR="00495884">
        <w:t xml:space="preserve">and City Council </w:t>
      </w:r>
      <w:r>
        <w:t>review and consideration of the proposed project—the City would ensure that approval of the proposed project would not conflict with any of the City’s applicable land use plan, policies, or regulations that have been adopted for the purpose of avoiding or mitigating an environmental effect.</w:t>
      </w:r>
    </w:p>
    <w:p w14:paraId="07DEAD32" w14:textId="085F4054" w:rsidR="00AC6999" w:rsidRPr="00547B13" w:rsidRDefault="00AC6999" w:rsidP="00AC6999">
      <w:pPr>
        <w:pStyle w:val="BodyText"/>
      </w:pPr>
      <w:r>
        <w:t xml:space="preserve">According to the City’s zoning map, the project site is zoned </w:t>
      </w:r>
      <w:r w:rsidR="00495884">
        <w:t>M-1 (</w:t>
      </w:r>
      <w:r>
        <w:t>Light Manufacturing</w:t>
      </w:r>
      <w:r w:rsidR="00495884">
        <w:t>)</w:t>
      </w:r>
      <w:r>
        <w:t xml:space="preserve">. Development and operation of the proposed project would not conflict with the zoning of the project site because the proposed warehouse and manufacturing facility is a permitted use in the M-1 zone. Though the specific business(es) and/or tenant(s) that would ultimately occupy the proposed building are unknown at this time, any prospective user must be either permitted by right or conditionally permitted under the Irwindale Zoning </w:t>
      </w:r>
      <w:r w:rsidR="00530220">
        <w:t>Code</w:t>
      </w:r>
      <w:r>
        <w:t>.</w:t>
      </w:r>
    </w:p>
    <w:p w14:paraId="04A6FF68" w14:textId="77777777" w:rsidR="009941A1" w:rsidRPr="00547B13" w:rsidRDefault="009941A1" w:rsidP="00D10CF6">
      <w:pPr>
        <w:pStyle w:val="BodyText"/>
      </w:pPr>
      <w:r w:rsidRPr="00547B13">
        <w:t>Based on the preceding</w:t>
      </w:r>
      <w:r w:rsidR="001D6C6F">
        <w:t xml:space="preserve"> reasons</w:t>
      </w:r>
      <w:r w:rsidRPr="00547B13">
        <w:t xml:space="preserve">, </w:t>
      </w:r>
      <w:r w:rsidR="00963231" w:rsidRPr="00547B13">
        <w:t>p</w:t>
      </w:r>
      <w:r w:rsidRPr="00547B13">
        <w:t>roject development would not substantially degrade the visual character or quality of the site and its surroundings</w:t>
      </w:r>
      <w:r w:rsidR="00AC6999">
        <w:t xml:space="preserve"> and </w:t>
      </w:r>
      <w:r w:rsidR="00AC6999" w:rsidRPr="00861E48">
        <w:t xml:space="preserve">would </w:t>
      </w:r>
      <w:r w:rsidR="00AC6999">
        <w:t>not</w:t>
      </w:r>
      <w:r w:rsidR="00AC6999" w:rsidRPr="00861E48">
        <w:t xml:space="preserve"> conflict with applicable zoning and other regulations governing scenic quality</w:t>
      </w:r>
      <w:r w:rsidRPr="00547B13">
        <w:t xml:space="preserve">. Therefore, impacts would be less than </w:t>
      </w:r>
      <w:r w:rsidR="00963231" w:rsidRPr="00547B13">
        <w:t>significant</w:t>
      </w:r>
      <w:r w:rsidRPr="00547B13">
        <w:t xml:space="preserve">. </w:t>
      </w:r>
    </w:p>
    <w:p w14:paraId="15A0DAA7" w14:textId="77777777" w:rsidR="00D10CF6" w:rsidRPr="00547B13" w:rsidRDefault="00D10CF6" w:rsidP="00D10CF6">
      <w:pPr>
        <w:pStyle w:val="List"/>
        <w:numPr>
          <w:ilvl w:val="0"/>
          <w:numId w:val="6"/>
        </w:numPr>
      </w:pPr>
      <w:r w:rsidRPr="00547B13">
        <w:t>Create a new source of substantial light or glare, which would adversely affect day or nighttime views in the area?</w:t>
      </w:r>
    </w:p>
    <w:p w14:paraId="56F0F00A" w14:textId="2D35CC69" w:rsidR="009941A1" w:rsidRPr="00547B13" w:rsidRDefault="009941A1" w:rsidP="009941A1">
      <w:pPr>
        <w:pStyle w:val="BodyText"/>
      </w:pPr>
      <w:r w:rsidRPr="00547B13">
        <w:rPr>
          <w:rStyle w:val="BodyTextBoldChar"/>
        </w:rPr>
        <w:t xml:space="preserve">Less Than Significant Impact. </w:t>
      </w:r>
      <w:r w:rsidRPr="00547B13">
        <w:t xml:space="preserve">Lighting effects are associated with the use of artificial light during the evening hours. There are two primary sources of light emanating from building interiors </w:t>
      </w:r>
      <w:r w:rsidR="001D6C6F">
        <w:t xml:space="preserve">and </w:t>
      </w:r>
      <w:r w:rsidRPr="00547B13">
        <w:t xml:space="preserve">passing through windows and openings, and light from exterior sources (i.e., street lighting, building illumination, security lighting, parking lot lighting, landscape lighting, and signage). Excessive light and/or glare can impair vision, cause a nuisance, affect sleep patterns, and generate safety hazards </w:t>
      </w:r>
      <w:r w:rsidR="001D6C6F">
        <w:t>for</w:t>
      </w:r>
      <w:r w:rsidRPr="00547B13">
        <w:t xml:space="preserve"> drivers. Uses such as residences, elderly care facilities, schools, and hotels are considered light sensitive</w:t>
      </w:r>
      <w:r w:rsidR="001D6C6F">
        <w:t xml:space="preserve"> because</w:t>
      </w:r>
      <w:r w:rsidRPr="00547B13">
        <w:t xml:space="preserve"> occupants have expectations of privacy during evening hours and may be disturb</w:t>
      </w:r>
      <w:r w:rsidR="001D6C6F">
        <w:t>ed</w:t>
      </w:r>
      <w:r w:rsidRPr="00547B13">
        <w:t xml:space="preserve"> by bright light. Light spill or trespass </w:t>
      </w:r>
      <w:r w:rsidR="001D6C6F">
        <w:t>is</w:t>
      </w:r>
      <w:r w:rsidR="001D6C6F" w:rsidRPr="00547B13">
        <w:t xml:space="preserve"> </w:t>
      </w:r>
      <w:r w:rsidRPr="00547B13">
        <w:t xml:space="preserve">considered a nuisance and </w:t>
      </w:r>
      <w:r w:rsidR="001D6C6F">
        <w:t>is</w:t>
      </w:r>
      <w:r w:rsidR="001D6C6F" w:rsidRPr="00547B13">
        <w:t xml:space="preserve"> </w:t>
      </w:r>
      <w:r w:rsidRPr="00547B13">
        <w:t xml:space="preserve">typically defined as the presence of unwanted light on properties adjacent to the property being illuminated. With respect to lighting, the degree of illumination may vary widely depending on the amount of light generated, height of the light source, presence of barriers or obstructions, type of light source, and weather conditions. </w:t>
      </w:r>
    </w:p>
    <w:p w14:paraId="74359263" w14:textId="77777777" w:rsidR="009941A1" w:rsidRPr="00547B13" w:rsidRDefault="009941A1" w:rsidP="009941A1">
      <w:pPr>
        <w:pStyle w:val="BodyText"/>
      </w:pPr>
      <w:r w:rsidRPr="00547B13">
        <w:t xml:space="preserve">Glare is primarily a daytime occurrence caused by the reflection of sunlight or artificial light on surfaces of buildings or objects, including highly polished surfaces such as glass windows or reflective materials and, to a lesser degree, from broad expanses of light-colored surfaces. Perceived glare is the unwanted and potentially objectionable sensation experienced by a person as they look directly into </w:t>
      </w:r>
      <w:r w:rsidR="001D6C6F">
        <w:t>a</w:t>
      </w:r>
      <w:r w:rsidR="001D6C6F" w:rsidRPr="00547B13">
        <w:t xml:space="preserve"> </w:t>
      </w:r>
      <w:r w:rsidRPr="00547B13">
        <w:t>light source. Daytime glare generation is common in urban areas and is typically associated with buildings with exterior façades largely or entirely composed of highly reflective glass. Glare can also be produced during evening and nighttime hours by the reflection of artificial light sources such as automobile headlights. Daytime glare can also be generated by light reflecting off passing or parked cars. Glare generation is typically related to either moving vehicles or sun angles, although glare resulting from reflected sunlight can occur regularly at certain times of the day and year. Excessive glare not only impedes visibility, but increases the ambient heat reflectivity in a given area. Glare-sensitive uses include residences, hotels, transportation corridors, and aircraft landing corridors.</w:t>
      </w:r>
    </w:p>
    <w:p w14:paraId="463DC93D" w14:textId="77777777" w:rsidR="009941A1" w:rsidRPr="00547B13" w:rsidRDefault="009941A1" w:rsidP="009941A1">
      <w:pPr>
        <w:pStyle w:val="BodyText"/>
      </w:pPr>
      <w:r w:rsidRPr="00547B13">
        <w:t xml:space="preserve">As shown in Figure 3, </w:t>
      </w:r>
      <w:r w:rsidRPr="00547B13">
        <w:rPr>
          <w:i/>
        </w:rPr>
        <w:t>Aerial Photograph</w:t>
      </w:r>
      <w:r w:rsidRPr="00547B13">
        <w:t xml:space="preserve">, the </w:t>
      </w:r>
      <w:r w:rsidR="00652EAB" w:rsidRPr="00547B13">
        <w:t>mostly developed</w:t>
      </w:r>
      <w:r w:rsidRPr="00547B13">
        <w:t xml:space="preserve"> project site is in a highly urbanized area of the </w:t>
      </w:r>
      <w:r w:rsidR="00AF7B11" w:rsidRPr="00547B13">
        <w:t>city</w:t>
      </w:r>
      <w:r w:rsidRPr="00547B13">
        <w:t xml:space="preserve"> and is mainly surrounded by a mix of commercial and industrial</w:t>
      </w:r>
      <w:r w:rsidR="00652EAB" w:rsidRPr="00547B13">
        <w:t xml:space="preserve"> uses</w:t>
      </w:r>
      <w:r w:rsidRPr="00547B13">
        <w:t>, which are not considered light</w:t>
      </w:r>
      <w:r w:rsidR="001D6C6F">
        <w:t xml:space="preserve"> </w:t>
      </w:r>
      <w:r w:rsidRPr="00547B13">
        <w:t xml:space="preserve">sensitive. </w:t>
      </w:r>
      <w:r w:rsidR="00547B13" w:rsidRPr="00547B13">
        <w:t>The closest l</w:t>
      </w:r>
      <w:r w:rsidRPr="00547B13">
        <w:t xml:space="preserve">ight-sensitive receptors to the project site include </w:t>
      </w:r>
      <w:r w:rsidR="00611E7C">
        <w:t>mobile homes</w:t>
      </w:r>
      <w:r w:rsidRPr="00547B13">
        <w:t xml:space="preserve"> </w:t>
      </w:r>
      <w:r w:rsidR="00611E7C">
        <w:t>approximately 7</w:t>
      </w:r>
      <w:r w:rsidR="00652EAB" w:rsidRPr="00547B13">
        <w:t xml:space="preserve">00 feet </w:t>
      </w:r>
      <w:r w:rsidR="00611E7C">
        <w:t>to the southwest</w:t>
      </w:r>
      <w:r w:rsidR="00652EAB" w:rsidRPr="00547B13">
        <w:t>. N</w:t>
      </w:r>
      <w:r w:rsidRPr="00547B13">
        <w:t>ighttime lighting emanate</w:t>
      </w:r>
      <w:r w:rsidR="00652EAB" w:rsidRPr="00547B13">
        <w:t>d</w:t>
      </w:r>
      <w:r w:rsidRPr="00547B13">
        <w:t xml:space="preserve"> from the single-story metal </w:t>
      </w:r>
      <w:r w:rsidR="00DC199D">
        <w:t>building</w:t>
      </w:r>
      <w:r w:rsidR="00547B13" w:rsidRPr="00547B13">
        <w:t xml:space="preserve"> </w:t>
      </w:r>
      <w:r w:rsidR="00786B43" w:rsidRPr="00547B13">
        <w:t>on</w:t>
      </w:r>
      <w:r w:rsidRPr="00547B13">
        <w:t xml:space="preserve"> </w:t>
      </w:r>
      <w:r w:rsidR="00547B13" w:rsidRPr="00547B13">
        <w:t xml:space="preserve">the </w:t>
      </w:r>
      <w:r w:rsidR="00DC199D">
        <w:t xml:space="preserve">project for decades and </w:t>
      </w:r>
      <w:r w:rsidR="00652EAB" w:rsidRPr="00547B13">
        <w:t>until the facilit</w:t>
      </w:r>
      <w:r w:rsidR="00DC199D">
        <w:t>y’s</w:t>
      </w:r>
      <w:r w:rsidR="00652EAB" w:rsidRPr="00547B13">
        <w:t xml:space="preserve"> closure in December 2020</w:t>
      </w:r>
      <w:r w:rsidRPr="00547B13">
        <w:t>.</w:t>
      </w:r>
      <w:r w:rsidR="00786B43" w:rsidRPr="00547B13">
        <w:t xml:space="preserve"> The operational </w:t>
      </w:r>
      <w:r w:rsidR="00DC199D">
        <w:t>bottling facility</w:t>
      </w:r>
      <w:r w:rsidR="00786B43" w:rsidRPr="00547B13">
        <w:t xml:space="preserve"> is considered the baseline condition for this analysis (</w:t>
      </w:r>
      <w:r w:rsidR="00786B43" w:rsidRPr="00AF7B11">
        <w:t>see Section 1.</w:t>
      </w:r>
      <w:r w:rsidR="00AF7B11" w:rsidRPr="00AF7B11">
        <w:t>7</w:t>
      </w:r>
      <w:r w:rsidR="002D5727">
        <w:t xml:space="preserve">, </w:t>
      </w:r>
      <w:r w:rsidR="002D5727">
        <w:rPr>
          <w:i/>
          <w:iCs/>
        </w:rPr>
        <w:t>Baseline Conditions</w:t>
      </w:r>
      <w:r w:rsidR="00786B43" w:rsidRPr="00AF7B11">
        <w:t>).</w:t>
      </w:r>
      <w:r w:rsidR="00786B43" w:rsidRPr="00547B13">
        <w:t xml:space="preserve"> </w:t>
      </w:r>
    </w:p>
    <w:p w14:paraId="4B5E0AF1" w14:textId="77777777" w:rsidR="009941A1" w:rsidRPr="00547B13" w:rsidRDefault="009941A1" w:rsidP="009941A1">
      <w:pPr>
        <w:pStyle w:val="BodyText"/>
      </w:pPr>
      <w:r w:rsidRPr="00547B13">
        <w:t xml:space="preserve">Following is a discussion of the potential day- and nighttime light and glare impacts in the project area </w:t>
      </w:r>
      <w:r w:rsidR="00DC199D">
        <w:t>related to the</w:t>
      </w:r>
      <w:r w:rsidRPr="00547B13">
        <w:t xml:space="preserve"> development of the </w:t>
      </w:r>
      <w:r w:rsidR="00652EAB" w:rsidRPr="00547B13">
        <w:t>proposed p</w:t>
      </w:r>
      <w:r w:rsidRPr="00547B13">
        <w:t>roject.</w:t>
      </w:r>
    </w:p>
    <w:p w14:paraId="71D69AF6" w14:textId="77777777" w:rsidR="009941A1" w:rsidRPr="00547B13" w:rsidRDefault="009941A1" w:rsidP="009941A1">
      <w:pPr>
        <w:pStyle w:val="Heading5"/>
      </w:pPr>
      <w:r w:rsidRPr="00547B13">
        <w:t xml:space="preserve">Nighttime Lighting and Glare </w:t>
      </w:r>
    </w:p>
    <w:p w14:paraId="5103C049" w14:textId="77777777" w:rsidR="009941A1" w:rsidRPr="00547B13" w:rsidRDefault="009941A1" w:rsidP="009941A1">
      <w:pPr>
        <w:pStyle w:val="BodyText"/>
      </w:pPr>
      <w:bookmarkStart w:id="108" w:name="_Hlk21418422"/>
      <w:r w:rsidRPr="00547B13">
        <w:t>Project development would introduce sources of artificial light to the project site and surrounding area</w:t>
      </w:r>
      <w:r w:rsidR="00652EAB" w:rsidRPr="00547B13">
        <w:t xml:space="preserve"> similar to the Pepsi Group Bottling </w:t>
      </w:r>
      <w:r w:rsidR="00DC199D">
        <w:t>plant</w:t>
      </w:r>
      <w:r w:rsidRPr="00547B13">
        <w:t>.</w:t>
      </w:r>
      <w:bookmarkEnd w:id="108"/>
      <w:r w:rsidRPr="00547B13">
        <w:t xml:space="preserve"> Nighttime site lighting would include </w:t>
      </w:r>
      <w:r w:rsidR="004D490C" w:rsidRPr="00547B13">
        <w:t xml:space="preserve">exterior building-mounted light fixtures; interior lighting for the new building; lighting for pedestrian walkways; ground-mounted decorative lighting for landscape and architectural features; lighting for the new parking and loading dock areas; and security lighting. </w:t>
      </w:r>
      <w:r w:rsidR="00FA6C1F">
        <w:t>Outdoor lighting fixture</w:t>
      </w:r>
      <w:r w:rsidR="000C4F0F">
        <w:t>s</w:t>
      </w:r>
      <w:r w:rsidR="00FA6C1F">
        <w:t xml:space="preserve"> are shown on Figure 9, </w:t>
      </w:r>
      <w:r w:rsidR="00FA6C1F">
        <w:rPr>
          <w:i/>
          <w:iCs/>
        </w:rPr>
        <w:t>Site Lighting.</w:t>
      </w:r>
      <w:r w:rsidR="00FA6C1F">
        <w:t xml:space="preserve"> </w:t>
      </w:r>
      <w:r w:rsidR="004D490C" w:rsidRPr="00547B13">
        <w:t>Lighting design would limit uplight and glare</w:t>
      </w:r>
      <w:r w:rsidR="00F3607C">
        <w:t xml:space="preserve"> and comply with local regulations and the requirements of C</w:t>
      </w:r>
      <w:r w:rsidR="00396969">
        <w:t>AL</w:t>
      </w:r>
      <w:r w:rsidR="00F3607C">
        <w:t>Green</w:t>
      </w:r>
      <w:r w:rsidR="00396969">
        <w:t>.</w:t>
      </w:r>
      <w:r w:rsidR="00F3607C">
        <w:t xml:space="preserve"> A</w:t>
      </w:r>
      <w:r w:rsidR="004D490C" w:rsidRPr="00547B13">
        <w:t>ll street lighting along Azusa Canyon Road would be upgraded to LED fixtures.</w:t>
      </w:r>
      <w:r w:rsidRPr="00547B13">
        <w:t xml:space="preserve"> </w:t>
      </w:r>
      <w:bookmarkStart w:id="109" w:name="_Hlk21423516"/>
      <w:r w:rsidR="006337C5" w:rsidRPr="00547B13">
        <w:t>Since the proposed project would have a larger footprint tha</w:t>
      </w:r>
      <w:r w:rsidR="004B591D" w:rsidRPr="00547B13">
        <w:t>n</w:t>
      </w:r>
      <w:r w:rsidR="006337C5" w:rsidRPr="00547B13">
        <w:t xml:space="preserve"> the </w:t>
      </w:r>
      <w:r w:rsidR="001E252E">
        <w:t>existing buildin</w:t>
      </w:r>
      <w:r w:rsidR="00AC6999">
        <w:t>g</w:t>
      </w:r>
      <w:r w:rsidR="006337C5" w:rsidRPr="00547B13">
        <w:t>, t</w:t>
      </w:r>
      <w:r w:rsidRPr="00547B13">
        <w:t xml:space="preserve">hese sources of artificial lighting </w:t>
      </w:r>
      <w:r w:rsidR="006337C5" w:rsidRPr="00547B13">
        <w:t xml:space="preserve">could </w:t>
      </w:r>
      <w:r w:rsidRPr="00547B13">
        <w:t xml:space="preserve">have the potential to </w:t>
      </w:r>
      <w:r w:rsidR="00D20DBE" w:rsidRPr="00547B13">
        <w:t xml:space="preserve">slightly </w:t>
      </w:r>
      <w:r w:rsidRPr="00547B13">
        <w:t>increase nighttime light and glare in the project area as well as create off</w:t>
      </w:r>
      <w:r w:rsidR="00A43F23">
        <w:t>-</w:t>
      </w:r>
      <w:r w:rsidRPr="00547B13">
        <w:t xml:space="preserve">site light spill or trespass that could result in a nuisance. Nighttime lighting and glare from the project site would be visible from the surrounding land uses and roadways. </w:t>
      </w:r>
    </w:p>
    <w:bookmarkEnd w:id="109"/>
    <w:p w14:paraId="17F4802C" w14:textId="77777777" w:rsidR="009941A1" w:rsidRPr="00547B13" w:rsidRDefault="009941A1" w:rsidP="009941A1">
      <w:pPr>
        <w:pStyle w:val="BodyText"/>
      </w:pPr>
      <w:r w:rsidRPr="00547B13">
        <w:t xml:space="preserve">Although project development </w:t>
      </w:r>
      <w:r w:rsidR="00D20DBE" w:rsidRPr="00547B13">
        <w:t>may increase</w:t>
      </w:r>
      <w:r w:rsidRPr="00547B13">
        <w:t xml:space="preserve"> artificial light sources to </w:t>
      </w:r>
      <w:r w:rsidR="00D20DBE" w:rsidRPr="00547B13">
        <w:t>the</w:t>
      </w:r>
      <w:r w:rsidRPr="00547B13">
        <w:t xml:space="preserve"> surrounding area, the proposed light sources would be similar to the light sources of the surrounding industrial and commercial uses and roadways. Considering the existing sources of lighting in the surrounding vicinity</w:t>
      </w:r>
      <w:r w:rsidR="00D20DBE" w:rsidRPr="00547B13">
        <w:t xml:space="preserve"> and on</w:t>
      </w:r>
      <w:r w:rsidR="00A43F23">
        <w:t>-</w:t>
      </w:r>
      <w:r w:rsidR="00D20DBE" w:rsidRPr="00547B13">
        <w:t>site</w:t>
      </w:r>
      <w:r w:rsidRPr="00547B13">
        <w:t xml:space="preserve">, the amount and intensity of nighttime lighting proposed would not be substantially greater or different than existing lighting. It is unlikely that conventional lighting and illuminated operations realized under the </w:t>
      </w:r>
      <w:r w:rsidR="006337C5" w:rsidRPr="00547B13">
        <w:t>proposed p</w:t>
      </w:r>
      <w:r w:rsidRPr="00547B13">
        <w:t>roject would discernibly, much less adversely, affect ambient light conditions.</w:t>
      </w:r>
    </w:p>
    <w:p w14:paraId="19E5CEAF" w14:textId="77777777" w:rsidR="008979F8" w:rsidRDefault="009941A1" w:rsidP="009941A1">
      <w:pPr>
        <w:pStyle w:val="BodyText"/>
      </w:pPr>
      <w:r w:rsidRPr="00547B13">
        <w:t xml:space="preserve">Additionally, as shown in Figure </w:t>
      </w:r>
      <w:r w:rsidR="00A43F23">
        <w:t>8</w:t>
      </w:r>
      <w:r w:rsidRPr="00547B13">
        <w:t xml:space="preserve">, </w:t>
      </w:r>
      <w:r w:rsidRPr="00547B13">
        <w:rPr>
          <w:i/>
        </w:rPr>
        <w:t>Conceptual Landscape Plan</w:t>
      </w:r>
      <w:r w:rsidRPr="00547B13">
        <w:t xml:space="preserve">, </w:t>
      </w:r>
      <w:r w:rsidR="00567C9A">
        <w:t xml:space="preserve">project implementation would include </w:t>
      </w:r>
      <w:r w:rsidRPr="00547B13">
        <w:t xml:space="preserve">planting </w:t>
      </w:r>
      <w:r w:rsidR="00996B91">
        <w:t>street</w:t>
      </w:r>
      <w:r w:rsidRPr="00547B13">
        <w:t xml:space="preserve"> trees</w:t>
      </w:r>
      <w:r w:rsidR="00996B91">
        <w:t>, flowering accent trees,</w:t>
      </w:r>
      <w:r w:rsidRPr="00547B13">
        <w:t xml:space="preserve"> </w:t>
      </w:r>
      <w:r w:rsidR="00996B91">
        <w:t xml:space="preserve">evergreen parking lot canopy tress, and accent palms </w:t>
      </w:r>
      <w:r w:rsidR="000833EE" w:rsidRPr="000833EE">
        <w:t xml:space="preserve">along Azusa Canyon Road and at the building’s western entrance. </w:t>
      </w:r>
      <w:r w:rsidR="00AF7B11" w:rsidRPr="00AF7B11">
        <w:t xml:space="preserve">Trees, ground cover, and shrubs would </w:t>
      </w:r>
      <w:r w:rsidR="00AF7B11">
        <w:t xml:space="preserve">also </w:t>
      </w:r>
      <w:r w:rsidR="00AF7B11" w:rsidRPr="00AF7B11">
        <w:t xml:space="preserve">line most of the northeast, southeast, and southwest sides of the building. </w:t>
      </w:r>
      <w:r w:rsidR="004B591D" w:rsidRPr="00547B13">
        <w:t xml:space="preserve">There are existing street trees along the southern side of Los Angeles Street fronting the proposed project’s south boundary. </w:t>
      </w:r>
      <w:r w:rsidRPr="00547B13">
        <w:t>The proposed</w:t>
      </w:r>
      <w:r w:rsidR="004B591D" w:rsidRPr="00547B13">
        <w:t xml:space="preserve"> and existing</w:t>
      </w:r>
      <w:r w:rsidRPr="00547B13">
        <w:t xml:space="preserve"> trees would help shield lighting that would emanate from the project site onto </w:t>
      </w:r>
      <w:r w:rsidR="00611E7C" w:rsidRPr="00547B13">
        <w:t>Azusa Canyon Road</w:t>
      </w:r>
      <w:r w:rsidR="00547B13" w:rsidRPr="00547B13">
        <w:t>, Los Angeles Street,</w:t>
      </w:r>
      <w:r w:rsidRPr="00547B13">
        <w:t xml:space="preserve"> and the land uses beyond. </w:t>
      </w:r>
      <w:r w:rsidR="00547B13" w:rsidRPr="00547B13">
        <w:t xml:space="preserve">The proposed location and length of the proposed building (see Figure </w:t>
      </w:r>
      <w:r w:rsidR="00A43F23">
        <w:t>6</w:t>
      </w:r>
      <w:r w:rsidR="00FA55B9">
        <w:t xml:space="preserve">, </w:t>
      </w:r>
      <w:r w:rsidR="00FA55B9" w:rsidRPr="00DD5CFF">
        <w:rPr>
          <w:rStyle w:val="BodyTextItalicChar"/>
        </w:rPr>
        <w:t>Conceptual Building Elevations</w:t>
      </w:r>
      <w:r w:rsidR="00547B13" w:rsidRPr="00547B13">
        <w:t>)</w:t>
      </w:r>
      <w:r w:rsidRPr="00547B13">
        <w:t xml:space="preserve"> would also shield motorists from any light emanating from the interior </w:t>
      </w:r>
      <w:r w:rsidR="00547B13" w:rsidRPr="00547B13">
        <w:t>truck</w:t>
      </w:r>
      <w:r w:rsidRPr="00547B13">
        <w:t xml:space="preserve"> yard. </w:t>
      </w:r>
    </w:p>
    <w:p w14:paraId="2036D9FB" w14:textId="77777777" w:rsidR="008979F8" w:rsidRDefault="008979F8">
      <w:pPr>
        <w:rPr>
          <w:kern w:val="20"/>
          <w:szCs w:val="20"/>
        </w:rPr>
      </w:pPr>
      <w:r>
        <w:br w:type="page"/>
      </w:r>
    </w:p>
    <w:p w14:paraId="735533D1" w14:textId="77777777" w:rsidR="009941A1" w:rsidRDefault="008979F8" w:rsidP="008979F8">
      <w:pPr>
        <w:pStyle w:val="FigureTitle"/>
      </w:pPr>
      <w:bookmarkStart w:id="110" w:name="_Toc90882225"/>
      <w:r>
        <w:t>Figure 9</w:t>
      </w:r>
      <w:r>
        <w:tab/>
        <w:t>Site Lighting</w:t>
      </w:r>
      <w:bookmarkEnd w:id="110"/>
    </w:p>
    <w:p w14:paraId="26B1DDA0" w14:textId="77777777" w:rsidR="008979F8" w:rsidRDefault="008979F8">
      <w:pPr>
        <w:rPr>
          <w:i/>
          <w:iCs/>
          <w:kern w:val="20"/>
          <w:szCs w:val="20"/>
        </w:rPr>
      </w:pPr>
      <w:r>
        <w:rPr>
          <w:i/>
          <w:iCs/>
        </w:rPr>
        <w:br w:type="page"/>
      </w:r>
    </w:p>
    <w:p w14:paraId="109010FB" w14:textId="77777777" w:rsidR="008979F8" w:rsidRDefault="008979F8" w:rsidP="008979F8">
      <w:pPr>
        <w:pStyle w:val="BodyTextItalic"/>
      </w:pPr>
      <w:r>
        <w:t>This page intentionally left blank.</w:t>
      </w:r>
    </w:p>
    <w:p w14:paraId="01E81619" w14:textId="77777777" w:rsidR="008979F8" w:rsidRDefault="008979F8">
      <w:pPr>
        <w:rPr>
          <w:kern w:val="20"/>
          <w:szCs w:val="20"/>
        </w:rPr>
      </w:pPr>
      <w:r>
        <w:br w:type="page"/>
      </w:r>
    </w:p>
    <w:p w14:paraId="3FA4774D" w14:textId="77777777" w:rsidR="009941A1" w:rsidRPr="00547B13" w:rsidRDefault="009941A1" w:rsidP="009941A1">
      <w:pPr>
        <w:pStyle w:val="BodyText"/>
      </w:pPr>
      <w:r w:rsidRPr="00547B13">
        <w:t xml:space="preserve">Furthermore, project development would be required to comply with California’s Building Energy Efficiency Standards for Residential and Nonresidential Buildings </w:t>
      </w:r>
      <w:r w:rsidR="00C35B9B">
        <w:t>(</w:t>
      </w:r>
      <w:r w:rsidR="00C35B9B" w:rsidRPr="00547B13">
        <w:t>California Code of Regulations</w:t>
      </w:r>
      <w:r w:rsidR="00C35B9B">
        <w:t>,</w:t>
      </w:r>
      <w:r w:rsidR="00C35B9B" w:rsidRPr="00547B13">
        <w:t xml:space="preserve"> </w:t>
      </w:r>
      <w:r w:rsidRPr="00547B13">
        <w:t>Title 24, Part 6</w:t>
      </w:r>
      <w:r w:rsidR="00C35B9B">
        <w:t>)</w:t>
      </w:r>
      <w:r w:rsidRPr="00547B13">
        <w:t xml:space="preserve">, which outlines mandatory provisions for lighting control devices and luminaires. For example, the </w:t>
      </w:r>
      <w:r w:rsidR="00A43F23" w:rsidRPr="00547B13">
        <w:t>p</w:t>
      </w:r>
      <w:r w:rsidRPr="00547B13">
        <w:t>roject’s exterior lighting sources would be required to be installed in accordance with the provisions of Section 110.9</w:t>
      </w:r>
      <w:r w:rsidR="00AF7B11">
        <w:t xml:space="preserve">, </w:t>
      </w:r>
      <w:r w:rsidRPr="00D71ABD">
        <w:t>Mandatory Requirements for Lighting Control Devices and Systems, Ballasts, and Luminaires</w:t>
      </w:r>
      <w:r w:rsidRPr="00DF20D4">
        <w:t>.</w:t>
      </w:r>
    </w:p>
    <w:p w14:paraId="2381A3FC" w14:textId="77777777" w:rsidR="009941A1" w:rsidRPr="00547B13" w:rsidRDefault="009941A1" w:rsidP="009941A1">
      <w:pPr>
        <w:pStyle w:val="BodyText"/>
      </w:pPr>
      <w:r w:rsidRPr="00547B13">
        <w:t xml:space="preserve">Compliance with the lighting provisions of the </w:t>
      </w:r>
      <w:r w:rsidR="00C35B9B" w:rsidRPr="00547B13">
        <w:t>municipal code</w:t>
      </w:r>
      <w:r w:rsidRPr="00547B13">
        <w:t xml:space="preserve">, </w:t>
      </w:r>
      <w:r w:rsidR="00547B13" w:rsidRPr="00547B13">
        <w:t xml:space="preserve">Commercial </w:t>
      </w:r>
      <w:r w:rsidR="00C35B9B">
        <w:t>and</w:t>
      </w:r>
      <w:r w:rsidR="00C35B9B" w:rsidRPr="00547B13">
        <w:t xml:space="preserve"> </w:t>
      </w:r>
      <w:r w:rsidR="00547B13" w:rsidRPr="00547B13">
        <w:t xml:space="preserve">Industrial Design Guidelines, </w:t>
      </w:r>
      <w:r w:rsidRPr="00547B13">
        <w:t xml:space="preserve">and </w:t>
      </w:r>
      <w:r w:rsidR="00547B13" w:rsidRPr="00547B13">
        <w:t xml:space="preserve">the </w:t>
      </w:r>
      <w:r w:rsidRPr="00547B13">
        <w:t>Building Energy Efficiency Standards</w:t>
      </w:r>
      <w:r w:rsidR="00547B13" w:rsidRPr="00547B13">
        <w:t xml:space="preserve"> </w:t>
      </w:r>
      <w:r w:rsidRPr="00547B13">
        <w:t xml:space="preserve">would ensure that the </w:t>
      </w:r>
      <w:r w:rsidR="00547B13" w:rsidRPr="00547B13">
        <w:t>proposed p</w:t>
      </w:r>
      <w:r w:rsidRPr="00547B13">
        <w:t xml:space="preserve">roject does not result in significant light impacts. </w:t>
      </w:r>
      <w:r w:rsidR="00C35B9B">
        <w:t xml:space="preserve">With </w:t>
      </w:r>
      <w:r w:rsidR="00AF7B11">
        <w:t>these requirements, the</w:t>
      </w:r>
      <w:r w:rsidR="00F200EA">
        <w:t xml:space="preserve"> type and </w:t>
      </w:r>
      <w:r w:rsidR="00F200EA" w:rsidRPr="00F200EA">
        <w:t xml:space="preserve">location of lighting </w:t>
      </w:r>
      <w:r w:rsidR="00AF7B11">
        <w:t xml:space="preserve">would </w:t>
      </w:r>
      <w:r w:rsidR="00F200EA" w:rsidRPr="00F200EA">
        <w:t xml:space="preserve">prevent spillover onto adjoining property, streets, or skyward. This includes properties and streets </w:t>
      </w:r>
      <w:r w:rsidR="00F200EA" w:rsidRPr="00D302A3">
        <w:t xml:space="preserve">in </w:t>
      </w:r>
      <w:r w:rsidR="00611E7C" w:rsidRPr="00D302A3">
        <w:t>West Covina</w:t>
      </w:r>
      <w:r w:rsidR="00845709" w:rsidRPr="00D302A3">
        <w:t xml:space="preserve"> and Vincent</w:t>
      </w:r>
      <w:r w:rsidR="00F200EA" w:rsidRPr="00D302A3">
        <w:t>.</w:t>
      </w:r>
      <w:r w:rsidR="00AF7B11">
        <w:t xml:space="preserve"> </w:t>
      </w:r>
      <w:r w:rsidRPr="00547B13">
        <w:t xml:space="preserve">Compliance with these provisions is ensured through the City’s development review and building plan check process. Therefore, nighttime light and glare impacts related to the </w:t>
      </w:r>
      <w:r w:rsidR="00547B13" w:rsidRPr="00547B13">
        <w:t>proposed p</w:t>
      </w:r>
      <w:r w:rsidRPr="00547B13">
        <w:t>roject would be less than significant.</w:t>
      </w:r>
    </w:p>
    <w:p w14:paraId="3F7CD150" w14:textId="77777777" w:rsidR="009941A1" w:rsidRPr="003C10E4" w:rsidRDefault="009941A1" w:rsidP="009941A1">
      <w:pPr>
        <w:pStyle w:val="Heading5"/>
      </w:pPr>
      <w:r w:rsidRPr="003C10E4">
        <w:t>Daytime Glare</w:t>
      </w:r>
    </w:p>
    <w:p w14:paraId="3276D0F1" w14:textId="77777777" w:rsidR="009941A1" w:rsidRPr="003C10E4" w:rsidRDefault="009941A1" w:rsidP="009941A1">
      <w:pPr>
        <w:pStyle w:val="BodyText"/>
      </w:pPr>
      <w:r w:rsidRPr="003C10E4">
        <w:t xml:space="preserve">The </w:t>
      </w:r>
      <w:r w:rsidR="003C10E4" w:rsidRPr="003C10E4">
        <w:t>proposed p</w:t>
      </w:r>
      <w:r w:rsidRPr="003C10E4">
        <w:t xml:space="preserve">roject includes building materials and architectural treatments that could cause daytime glare, but not to such an extent that they would result in a significant impact. For example, the architectural treatments of the proposed building would include building materials such as painted concrete walls, glazing (glass windows and doors), </w:t>
      </w:r>
      <w:r w:rsidR="003C10E4" w:rsidRPr="003C10E4">
        <w:t xml:space="preserve">brick, stone, </w:t>
      </w:r>
      <w:r w:rsidRPr="003C10E4">
        <w:t xml:space="preserve">metal elements, and other decorative elements (see building elevations and renderings in Figure </w:t>
      </w:r>
      <w:r w:rsidR="00C35B9B">
        <w:t>6</w:t>
      </w:r>
      <w:r w:rsidRPr="003C10E4">
        <w:t xml:space="preserve">, </w:t>
      </w:r>
      <w:r w:rsidRPr="003C10E4">
        <w:rPr>
          <w:rStyle w:val="BodyTextItalicChar"/>
        </w:rPr>
        <w:t>Conceptual Building Elevations</w:t>
      </w:r>
      <w:r w:rsidRPr="003C10E4">
        <w:t xml:space="preserve">, and </w:t>
      </w:r>
      <w:r w:rsidR="00C15931">
        <w:t>Figure</w:t>
      </w:r>
      <w:r w:rsidR="00C35B9B">
        <w:t>s</w:t>
      </w:r>
      <w:r w:rsidR="00C15931">
        <w:t xml:space="preserve"> </w:t>
      </w:r>
      <w:r w:rsidR="00C35B9B">
        <w:t>7a and 7b</w:t>
      </w:r>
      <w:r w:rsidRPr="003C10E4">
        <w:t xml:space="preserve">, </w:t>
      </w:r>
      <w:r w:rsidRPr="003C10E4">
        <w:rPr>
          <w:rStyle w:val="BodyTextItalicChar"/>
        </w:rPr>
        <w:t>Conceptual Building Renderings</w:t>
      </w:r>
      <w:r w:rsidRPr="003C10E4">
        <w:t xml:space="preserve">). With the exception of the glass windows and doors, the building materials and architectural treatments are not reflective and would therefore not create substantial day or nighttime glare. As illustrated in </w:t>
      </w:r>
      <w:r w:rsidR="00C35B9B">
        <w:t xml:space="preserve">the </w:t>
      </w:r>
      <w:r w:rsidR="00C35B9B" w:rsidRPr="003C10E4">
        <w:t>f</w:t>
      </w:r>
      <w:r w:rsidRPr="003C10E4">
        <w:t xml:space="preserve">igures, </w:t>
      </w:r>
      <w:r w:rsidR="00C35B9B" w:rsidRPr="003C10E4">
        <w:t xml:space="preserve">the use of glazing is limited </w:t>
      </w:r>
      <w:r w:rsidRPr="003C10E4">
        <w:t xml:space="preserve">compared to the amount of nonreflective building materials (less than </w:t>
      </w:r>
      <w:r w:rsidR="00C35B9B">
        <w:t>5</w:t>
      </w:r>
      <w:r w:rsidR="00C35B9B" w:rsidRPr="003C10E4">
        <w:t xml:space="preserve"> </w:t>
      </w:r>
      <w:r w:rsidRPr="003C10E4">
        <w:t>percent of the building façades). The proposed building materials are also similar to building materials used on other similar industrial buildings in the surrounding vicinity.</w:t>
      </w:r>
    </w:p>
    <w:p w14:paraId="133A7017" w14:textId="77777777" w:rsidR="009941A1" w:rsidRPr="003C10E4" w:rsidRDefault="009941A1" w:rsidP="009941A1">
      <w:pPr>
        <w:pStyle w:val="BodyText"/>
      </w:pPr>
      <w:r w:rsidRPr="003C10E4">
        <w:t xml:space="preserve">Additionally, the proposed glazing could increase sources of </w:t>
      </w:r>
      <w:r w:rsidR="00AF7B11" w:rsidRPr="003C10E4">
        <w:t>glare because</w:t>
      </w:r>
      <w:r w:rsidRPr="003C10E4">
        <w:t xml:space="preserve"> it would reflect some level of sunlight during certain times of the day. In addition, vehicles parked on</w:t>
      </w:r>
      <w:r w:rsidR="00C35B9B">
        <w:t>-</w:t>
      </w:r>
      <w:r w:rsidRPr="003C10E4">
        <w:t xml:space="preserve">site would increase the potential for reflected sunlight during certain times of the day. However, glare from these sources is typical of the site and surrounding area and would not increase beyond what is expected for an urban area. </w:t>
      </w:r>
    </w:p>
    <w:p w14:paraId="43EAE138" w14:textId="77777777" w:rsidR="009941A1" w:rsidRPr="003C10E4" w:rsidRDefault="009941A1" w:rsidP="00D10CF6">
      <w:pPr>
        <w:pStyle w:val="BodyText"/>
      </w:pPr>
      <w:r w:rsidRPr="003C10E4">
        <w:t>Therefore, daytime glare impacts from project-related architectural treatments and building materials would be less than significant</w:t>
      </w:r>
      <w:r w:rsidR="00C35B9B">
        <w:t>,</w:t>
      </w:r>
      <w:r w:rsidRPr="003C10E4">
        <w:t xml:space="preserve"> and no mitigation measures are necessary.</w:t>
      </w:r>
    </w:p>
    <w:p w14:paraId="24CF0A65" w14:textId="77777777" w:rsidR="00D10CF6" w:rsidRPr="00FD6D54" w:rsidRDefault="00D10CF6" w:rsidP="00D10CF6">
      <w:pPr>
        <w:pStyle w:val="Heading2"/>
      </w:pPr>
      <w:bookmarkStart w:id="111" w:name="_Toc90882154"/>
      <w:r w:rsidRPr="00FD6D54">
        <w:t>AGRICULTURE AND FOREST</w:t>
      </w:r>
      <w:r w:rsidR="00255801" w:rsidRPr="00FD6D54">
        <w:t>RY</w:t>
      </w:r>
      <w:r w:rsidRPr="00FD6D54">
        <w:t xml:space="preserve"> RESOURCES</w:t>
      </w:r>
      <w:bookmarkEnd w:id="111"/>
    </w:p>
    <w:p w14:paraId="35CE917E" w14:textId="77777777" w:rsidR="00880E5F" w:rsidRDefault="00D10CF6" w:rsidP="00D10CF6">
      <w:pPr>
        <w:pStyle w:val="BodyText"/>
      </w:pPr>
      <w:r w:rsidRPr="003E5494">
        <w:t>In determining whether impacts to agricultural resources are significant environmental effects, lead agencies may refer to the California Agricultural Land Evaluation and Site Assessment Model (1997) prepared by the California Dep</w:t>
      </w:r>
      <w:r w:rsidR="00880E5F">
        <w:t xml:space="preserve">artment </w:t>
      </w:r>
      <w:r w:rsidRPr="003E5494">
        <w:t>of Conservation as an optional model to use in assessing impacts on agriculture and farmland. In determining whether impacts to forest resources, including timberland, are significant environmental effects, lead agencies may refer to information compiled by the California Department of Forestry and Fire Protection regarding the state’s inventory of forest land, including the Forest and Range Assessment Project and the Forest Legacy Assessment project; and forest carbon measurement methodology provided in Forest Protocols adopted by the California Air Resources Board.</w:t>
      </w:r>
      <w:r>
        <w:t xml:space="preserve"> </w:t>
      </w:r>
    </w:p>
    <w:p w14:paraId="50B06F95" w14:textId="77777777" w:rsidR="00D10CF6" w:rsidRPr="003E5494" w:rsidRDefault="00D10CF6" w:rsidP="00D10CF6">
      <w:pPr>
        <w:pStyle w:val="BodyText"/>
      </w:pPr>
      <w:r>
        <w:t>Would the project:</w:t>
      </w:r>
    </w:p>
    <w:p w14:paraId="1BB574AF" w14:textId="77777777" w:rsidR="00D10CF6" w:rsidRDefault="00D10CF6" w:rsidP="0088481D">
      <w:pPr>
        <w:pStyle w:val="List"/>
        <w:numPr>
          <w:ilvl w:val="0"/>
          <w:numId w:val="68"/>
        </w:numPr>
      </w:pPr>
      <w:r>
        <w:t>Convert Prime Farmland, Unique Farmland, or Farmland of Statewide Importance (Farmland), as shown on the maps prepared pursuant to the Farmland Mapping and Monitoring Program of the California Resources Agency, to non-agricultural use?</w:t>
      </w:r>
    </w:p>
    <w:p w14:paraId="1B4A10FA" w14:textId="3BFE9FE3" w:rsidR="00D10CF6" w:rsidRDefault="00300F6B" w:rsidP="00D10CF6">
      <w:pPr>
        <w:pStyle w:val="BodyText"/>
      </w:pPr>
      <w:r w:rsidRPr="00A53A7B">
        <w:rPr>
          <w:b/>
          <w:bCs/>
        </w:rPr>
        <w:t>No Impact.</w:t>
      </w:r>
      <w:r w:rsidRPr="007F2619">
        <w:t xml:space="preserve"> The project site has no agricultural or farm uses, nor are there agricultural or farm uses in its immediate vicinity. No project-related farmland conversion impact would occur. The project site is zoned </w:t>
      </w:r>
      <w:r w:rsidR="003E1EBC">
        <w:t>M-1 (</w:t>
      </w:r>
      <w:r>
        <w:t>Light Manufacturing</w:t>
      </w:r>
      <w:r w:rsidR="003E1EBC">
        <w:t>)</w:t>
      </w:r>
      <w:r w:rsidRPr="007F2619">
        <w:t>. It is listed as Urban and Built-Up Land and is not mapped as important farmland by the Division of Land Resource Protection (DLRP 2016). Therefore, no impact would occur.</w:t>
      </w:r>
    </w:p>
    <w:p w14:paraId="037A1187" w14:textId="77777777" w:rsidR="00D10CF6" w:rsidRDefault="00D10CF6" w:rsidP="00D10CF6">
      <w:pPr>
        <w:pStyle w:val="List"/>
        <w:numPr>
          <w:ilvl w:val="0"/>
          <w:numId w:val="6"/>
        </w:numPr>
      </w:pPr>
      <w:r>
        <w:t>Conflict with existing zoning for agricultural use, or a Williamson Act contract?</w:t>
      </w:r>
    </w:p>
    <w:p w14:paraId="7CFF1F30" w14:textId="51AFA3FC" w:rsidR="00300F6B" w:rsidRPr="007F2619" w:rsidRDefault="00300F6B" w:rsidP="00300F6B">
      <w:pPr>
        <w:pStyle w:val="BodyText"/>
      </w:pPr>
      <w:r w:rsidRPr="00A53A7B">
        <w:rPr>
          <w:b/>
          <w:bCs/>
        </w:rPr>
        <w:t>No Impact.</w:t>
      </w:r>
      <w:r w:rsidRPr="007F2619">
        <w:t xml:space="preserve"> The zoning designation for the project site </w:t>
      </w:r>
      <w:r>
        <w:t xml:space="preserve">is </w:t>
      </w:r>
      <w:r w:rsidR="003E1EBC">
        <w:t>M-1 (</w:t>
      </w:r>
      <w:r>
        <w:t>Light Manufacturing</w:t>
      </w:r>
      <w:r w:rsidR="003E1EBC">
        <w:t>)</w:t>
      </w:r>
      <w:r w:rsidRPr="007F2619">
        <w:t xml:space="preserve">. The proposed project would not conflict with agricultural zoning or a Williamson Act contract because the site is not zoned for agricultural use. Williamson Act contracts restrict the use of privately owned land for agriculture and compatible </w:t>
      </w:r>
      <w:r w:rsidR="00FD6D54" w:rsidRPr="007F2619">
        <w:t>open space</w:t>
      </w:r>
      <w:r w:rsidRPr="007F2619">
        <w:t xml:space="preserve"> uses under contract with local governments; in exchange, the land is taxed based on actual use rather than potential market value. Since the project site is zoned</w:t>
      </w:r>
      <w:r>
        <w:t xml:space="preserve"> </w:t>
      </w:r>
      <w:r w:rsidR="003E1EBC">
        <w:t>M-1 (</w:t>
      </w:r>
      <w:r>
        <w:t>Light Manufacturing</w:t>
      </w:r>
      <w:r w:rsidR="003E1EBC">
        <w:t>)</w:t>
      </w:r>
      <w:r w:rsidRPr="007F2619">
        <w:t xml:space="preserve">, there is no Williamson Act contract in effect on-site. Therefore, no impact would occur. </w:t>
      </w:r>
    </w:p>
    <w:p w14:paraId="625C68A6" w14:textId="77777777" w:rsidR="00D10CF6" w:rsidRDefault="00D10CF6" w:rsidP="00D10CF6">
      <w:pPr>
        <w:pStyle w:val="List"/>
        <w:numPr>
          <w:ilvl w:val="0"/>
          <w:numId w:val="6"/>
        </w:numPr>
      </w:pPr>
      <w:r w:rsidRPr="003E5494">
        <w:t xml:space="preserve">Conflict with existing zoning for, or cause rezoning of, forest land (as defined in Public Resources Code </w:t>
      </w:r>
      <w:r w:rsidR="00D25C64">
        <w:t>Section </w:t>
      </w:r>
      <w:r w:rsidRPr="003E5494">
        <w:t xml:space="preserve">12220(g)), timberland (as defined by Public Resources Code </w:t>
      </w:r>
      <w:r w:rsidR="00D25C64">
        <w:t>Section </w:t>
      </w:r>
      <w:r w:rsidRPr="003E5494">
        <w:t xml:space="preserve">4526), or timberland zoned Timberland Production (as defined by Government Code </w:t>
      </w:r>
      <w:r w:rsidR="00D25C64">
        <w:t>Section </w:t>
      </w:r>
      <w:r w:rsidRPr="003E5494">
        <w:t>51104(g))?</w:t>
      </w:r>
    </w:p>
    <w:p w14:paraId="0E279E05" w14:textId="0AE3D7FA" w:rsidR="00D10CF6" w:rsidRPr="00756DE2" w:rsidRDefault="00C539A3" w:rsidP="00D10CF6">
      <w:pPr>
        <w:pStyle w:val="BodyText"/>
      </w:pPr>
      <w:r w:rsidRPr="00A53A7B">
        <w:rPr>
          <w:b/>
          <w:bCs/>
        </w:rPr>
        <w:t>No Impact.</w:t>
      </w:r>
      <w:r w:rsidRPr="007F2619">
        <w:t xml:space="preserve"> </w:t>
      </w:r>
      <w:r w:rsidR="003247A3" w:rsidRPr="007F2619">
        <w:t>Forest land is defined as “land that can support 10</w:t>
      </w:r>
      <w:r w:rsidR="003247A3">
        <w:t xml:space="preserve"> </w:t>
      </w:r>
      <w:r w:rsidR="003247A3" w:rsidRPr="007F2619">
        <w:t xml:space="preserve">percent native tree cover of any species, including hardwoods, under natural conditions, and that allows for management </w:t>
      </w:r>
      <w:r w:rsidR="003247A3">
        <w:t xml:space="preserve">of </w:t>
      </w:r>
      <w:r w:rsidR="003247A3" w:rsidRPr="007F2619">
        <w:t xml:space="preserve">one or more forest resources, including timber, aesthetics, fish and wildlife, biodiversity, water quality, recreation, and other public benefits” (Public Resources Code </w:t>
      </w:r>
      <w:r w:rsidR="003247A3">
        <w:t>Section</w:t>
      </w:r>
      <w:r w:rsidR="003247A3" w:rsidRPr="007F2619">
        <w:t xml:space="preserve"> 12223 [g]). Timberland is defined as “land…which is available for, and capable of, growing a crop of trees of any commercial species used to produce lumber and other forest products, including Christmas trees” (Public Resources Code </w:t>
      </w:r>
      <w:r w:rsidR="003247A3">
        <w:t>Section</w:t>
      </w:r>
      <w:r w:rsidR="003247A3" w:rsidRPr="007F2619">
        <w:t xml:space="preserve"> 4526).</w:t>
      </w:r>
      <w:r w:rsidRPr="007F2619">
        <w:t xml:space="preserve"> Project development would not conflict with existing zoning for forestland, timberland, or timberland production</w:t>
      </w:r>
      <w:r w:rsidR="009D7D09">
        <w:t xml:space="preserve"> </w:t>
      </w:r>
      <w:r w:rsidR="003247A3">
        <w:t>because t</w:t>
      </w:r>
      <w:r w:rsidRPr="007F2619">
        <w:t xml:space="preserve">he project site is zoned </w:t>
      </w:r>
      <w:r w:rsidR="003E1EBC">
        <w:t>M-1 (</w:t>
      </w:r>
      <w:r>
        <w:t>Light Manufacturing</w:t>
      </w:r>
      <w:r w:rsidR="003E1EBC">
        <w:t>)</w:t>
      </w:r>
      <w:r w:rsidRPr="007F2619">
        <w:t>. Therefore, no impact would occur.</w:t>
      </w:r>
    </w:p>
    <w:p w14:paraId="20E5E702" w14:textId="77777777" w:rsidR="00D10CF6" w:rsidRDefault="00D10CF6" w:rsidP="00D10CF6">
      <w:pPr>
        <w:pStyle w:val="List"/>
        <w:numPr>
          <w:ilvl w:val="0"/>
          <w:numId w:val="6"/>
        </w:numPr>
      </w:pPr>
      <w:r w:rsidRPr="003E5494">
        <w:t>Result in the loss of forest land or conversion of forest land to non-forest use?</w:t>
      </w:r>
    </w:p>
    <w:p w14:paraId="2EDBEC41" w14:textId="77777777" w:rsidR="004A04F7" w:rsidRPr="007F2619" w:rsidRDefault="004A04F7" w:rsidP="004A04F7">
      <w:pPr>
        <w:pStyle w:val="BodyText"/>
      </w:pPr>
      <w:r w:rsidRPr="00A53A7B">
        <w:rPr>
          <w:b/>
          <w:bCs/>
        </w:rPr>
        <w:t>No Impact.</w:t>
      </w:r>
      <w:r w:rsidRPr="007F2619">
        <w:t xml:space="preserve"> The project site is paved and contains ornamental trees. Project construction would not result in the loss or conversion of forest land. Therefore, no impact would occur. </w:t>
      </w:r>
    </w:p>
    <w:p w14:paraId="460339C0" w14:textId="77777777" w:rsidR="00D10CF6" w:rsidRDefault="00D10CF6" w:rsidP="00D10CF6">
      <w:pPr>
        <w:pStyle w:val="List"/>
        <w:numPr>
          <w:ilvl w:val="0"/>
          <w:numId w:val="6"/>
        </w:numPr>
      </w:pPr>
      <w:r w:rsidRPr="003E5494">
        <w:t>Involve other changes in the existing environment which, due to their location or nature, could result in conversion of Farmland, to non-agricultural use or conversion of forest land to non-forest use?</w:t>
      </w:r>
    </w:p>
    <w:p w14:paraId="04CB672D" w14:textId="77777777" w:rsidR="004A04F7" w:rsidRPr="007F2619" w:rsidRDefault="004A04F7" w:rsidP="004A04F7">
      <w:pPr>
        <w:pStyle w:val="BodyText"/>
      </w:pPr>
      <w:r w:rsidRPr="00A53A7B">
        <w:rPr>
          <w:b/>
          <w:bCs/>
        </w:rPr>
        <w:t>No Impact.</w:t>
      </w:r>
      <w:r w:rsidRPr="007F2619">
        <w:t xml:space="preserve"> Maps from the Division of Land Resource Protection indicate that there is no important farmland or forest land on the project site or in the surrounding vicinity</w:t>
      </w:r>
      <w:r w:rsidR="001E55DE">
        <w:t xml:space="preserve"> (DLRP 2016)</w:t>
      </w:r>
      <w:r w:rsidRPr="007F2619">
        <w:t>. Project development would not directly cause conversion of such land to nonagricultural or nonforest use. Therefore, no impact would occur.</w:t>
      </w:r>
    </w:p>
    <w:p w14:paraId="0A41D675" w14:textId="77777777" w:rsidR="00D10CF6" w:rsidRDefault="00D10CF6" w:rsidP="00D10CF6">
      <w:pPr>
        <w:pStyle w:val="Heading2"/>
      </w:pPr>
      <w:bookmarkStart w:id="112" w:name="_Toc90882155"/>
      <w:r>
        <w:t>AIR QUALITY</w:t>
      </w:r>
      <w:bookmarkEnd w:id="112"/>
    </w:p>
    <w:p w14:paraId="1ACD0752" w14:textId="77777777" w:rsidR="000E40F4" w:rsidRPr="004E2D49" w:rsidRDefault="000E40F4" w:rsidP="000E40F4">
      <w:pPr>
        <w:pStyle w:val="BodyText"/>
      </w:pPr>
      <w:r w:rsidRPr="004E2D49">
        <w:t xml:space="preserve">The Air Quality section addresses the impacts of the proposed project on ambient air quality and the exposure of people, especially sensitive individuals, to unhealthful pollutant concentrations. A background discussion on the air quality regulatory setting, meteorological conditions, existing ambient air quality in the vicinity of the project site, and air quality modeling can be found </w:t>
      </w:r>
      <w:r w:rsidRPr="00BC13F4">
        <w:t>in Appendix A.</w:t>
      </w:r>
      <w:r w:rsidRPr="004E2D49">
        <w:t xml:space="preserve"> </w:t>
      </w:r>
      <w:r>
        <w:t>The Health Risk Assessment for the proposed project is in Appendix B.</w:t>
      </w:r>
    </w:p>
    <w:p w14:paraId="469E8CD6" w14:textId="77777777" w:rsidR="000E40F4" w:rsidRPr="004E2D49" w:rsidRDefault="000E40F4" w:rsidP="000E40F4">
      <w:pPr>
        <w:pStyle w:val="BodyText"/>
      </w:pPr>
      <w:r w:rsidRPr="004E2D49">
        <w:t>The primary air pollutants of concern for which ambient air quality standards (AAQS) have been established are ozone (O</w:t>
      </w:r>
      <w:r w:rsidRPr="00B67CD2">
        <w:rPr>
          <w:vertAlign w:val="subscript"/>
        </w:rPr>
        <w:t>3</w:t>
      </w:r>
      <w:r w:rsidRPr="004E2D49">
        <w:t>), carbon monoxide (CO), coarse inhalable particulate matter (PM</w:t>
      </w:r>
      <w:r w:rsidRPr="00B67CD2">
        <w:rPr>
          <w:vertAlign w:val="subscript"/>
        </w:rPr>
        <w:t>10</w:t>
      </w:r>
      <w:r w:rsidRPr="004E2D49">
        <w:t>), fine inhalable particulate matter (PM</w:t>
      </w:r>
      <w:r w:rsidRPr="00B67CD2">
        <w:rPr>
          <w:vertAlign w:val="subscript"/>
        </w:rPr>
        <w:t>2.5</w:t>
      </w:r>
      <w:r w:rsidRPr="004E2D49">
        <w:t>), sulfur dioxide (SO</w:t>
      </w:r>
      <w:r w:rsidRPr="00B67CD2">
        <w:rPr>
          <w:vertAlign w:val="subscript"/>
        </w:rPr>
        <w:t>2</w:t>
      </w:r>
      <w:r w:rsidRPr="004E2D49">
        <w:t>), nitrogen dioxide (NO</w:t>
      </w:r>
      <w:r w:rsidRPr="00B67CD2">
        <w:rPr>
          <w:vertAlign w:val="subscript"/>
        </w:rPr>
        <w:t>2</w:t>
      </w:r>
      <w:r w:rsidRPr="004E2D49">
        <w:t>), and lead (Pb). Areas are classified under the federal and California Clean Air Act as either in attainment or nonattainment for each criteria pollutant based on whether the AAQS have been achieved. The South Coast Air Basin (SoCAB), which is managed by the South Coast Air Quality Management District (</w:t>
      </w:r>
      <w:r>
        <w:t>South Coast AQMD</w:t>
      </w:r>
      <w:r w:rsidRPr="004E2D49">
        <w:t>), is designated nonattainment for O</w:t>
      </w:r>
      <w:r w:rsidRPr="00B67CD2">
        <w:rPr>
          <w:vertAlign w:val="subscript"/>
        </w:rPr>
        <w:t>3</w:t>
      </w:r>
      <w:r w:rsidRPr="004E2D49">
        <w:t>, and PM</w:t>
      </w:r>
      <w:r w:rsidRPr="00B67CD2">
        <w:rPr>
          <w:vertAlign w:val="subscript"/>
        </w:rPr>
        <w:t xml:space="preserve">2.5 </w:t>
      </w:r>
      <w:r w:rsidRPr="004E2D49">
        <w:t>under the California and National AAQS, nonattainment for PM</w:t>
      </w:r>
      <w:r w:rsidRPr="00B67CD2">
        <w:rPr>
          <w:vertAlign w:val="subscript"/>
        </w:rPr>
        <w:t>10</w:t>
      </w:r>
      <w:r w:rsidRPr="004E2D49">
        <w:t xml:space="preserve"> under the California AAQS, and nonattainment for lead (Los Angeles County only) under the National AAQS (CARB 2</w:t>
      </w:r>
      <w:r>
        <w:t>021a</w:t>
      </w:r>
      <w:r w:rsidRPr="004E2D49">
        <w:t xml:space="preserve">). </w:t>
      </w:r>
    </w:p>
    <w:p w14:paraId="4B8DC27C" w14:textId="77777777" w:rsidR="000E40F4" w:rsidRDefault="000E40F4" w:rsidP="000E40F4">
      <w:pPr>
        <w:pStyle w:val="BodyText"/>
      </w:pPr>
      <w:r>
        <w:t xml:space="preserve">Where available, the significance criteria established by the applicable air quality management </w:t>
      </w:r>
      <w:r w:rsidRPr="00861E48">
        <w:t xml:space="preserve">district </w:t>
      </w:r>
      <w:r>
        <w:t>or air pollution control district may be relied upon to make the following determinations. Would the project:</w:t>
      </w:r>
    </w:p>
    <w:p w14:paraId="186AF999" w14:textId="77777777" w:rsidR="000E40F4" w:rsidRDefault="000E40F4" w:rsidP="0088481D">
      <w:pPr>
        <w:pStyle w:val="List"/>
        <w:numPr>
          <w:ilvl w:val="0"/>
          <w:numId w:val="69"/>
        </w:numPr>
      </w:pPr>
      <w:r>
        <w:t>Conflict with or obstruct implementation of the applicable air quality plan?</w:t>
      </w:r>
    </w:p>
    <w:p w14:paraId="5AF6214C" w14:textId="77777777" w:rsidR="000E40F4" w:rsidRPr="006F1801" w:rsidRDefault="000E40F4" w:rsidP="000E40F4">
      <w:pPr>
        <w:pStyle w:val="BodyText"/>
      </w:pPr>
      <w:r w:rsidRPr="00655D6B">
        <w:rPr>
          <w:rStyle w:val="BodyTextBoldChar"/>
        </w:rPr>
        <w:t>Less Than Significant Impact.</w:t>
      </w:r>
      <w:r>
        <w:t xml:space="preserve"> South Coast AQMD</w:t>
      </w:r>
      <w:r w:rsidRPr="006F1801">
        <w:t xml:space="preserve"> adopted the 2016 Air Quality Management Plan on March 3, 2017</w:t>
      </w:r>
      <w:r w:rsidR="00B85BC9">
        <w:t xml:space="preserve">. </w:t>
      </w:r>
      <w:r w:rsidRPr="006F1801">
        <w:t xml:space="preserve">Regional growth projections are used by </w:t>
      </w:r>
      <w:r>
        <w:t>South Coast AQMD</w:t>
      </w:r>
      <w:r w:rsidRPr="006F1801">
        <w:t xml:space="preserve"> to forecast future emission levels in the SoCAB. For southern California, these regional growth projections are provided by the Southern California Association of Governments (SCAG) and are partially based on land use designations included in city/county general plans. Typically, only large, regionally significant projects have the potential to affect the regional growth projections. In addition, the consistency analysis is generally only required in connection with the adoption of general plans, specific plans, and significant projects. </w:t>
      </w:r>
    </w:p>
    <w:p w14:paraId="2F683BB9" w14:textId="6CC83797" w:rsidR="000E40F4" w:rsidRPr="0073639E" w:rsidRDefault="000E40F4" w:rsidP="000E40F4">
      <w:pPr>
        <w:pStyle w:val="BodyText"/>
      </w:pPr>
      <w:r w:rsidRPr="004E3169">
        <w:t xml:space="preserve">Section 15206(b) of the CEQA Guidelines states that a proposed project is of statewide, regional, or area-wide significance </w:t>
      </w:r>
      <w:r w:rsidRPr="00216216">
        <w:t>if a proposed industrial, manufacturing, processing plant, or industrial park employs more than 1,000 persons, occupies more than 40 acres of land</w:t>
      </w:r>
      <w:r>
        <w:t>,</w:t>
      </w:r>
      <w:r w:rsidRPr="00216216">
        <w:t xml:space="preserve"> or encompasses more than 650,000 square feet of floor space. The proposed project would develop a total of 129,830 square feet of warehousing and manufacturing space, which would result in an overall net of 67,117 square feet of these uses with removal of the existing use. </w:t>
      </w:r>
      <w:r w:rsidRPr="00ED7EED">
        <w:t xml:space="preserve">The proposed project is anticipated to add approximately 72 new jobs, </w:t>
      </w:r>
      <w:r>
        <w:t xml:space="preserve">so </w:t>
      </w:r>
      <w:r w:rsidRPr="00ED7EED">
        <w:t>it is not considered a project of statewide, regional, or areawide significance that would require intergovernmental review under Section 15206 of the CEQA Guidelines.</w:t>
      </w:r>
      <w:r w:rsidRPr="0073639E">
        <w:t xml:space="preserve"> </w:t>
      </w:r>
      <w:r>
        <w:t xml:space="preserve">As discussed in Section 3.11.b of this Initial Study, the proposed project would not conflict with the Industrial/Business Park General Plan land use designation for the project site, nor would it conflict with the </w:t>
      </w:r>
      <w:r w:rsidR="003E1EBC">
        <w:t>M-1 (</w:t>
      </w:r>
      <w:r>
        <w:t>Light Manufacturing</w:t>
      </w:r>
      <w:r w:rsidR="003E1EBC">
        <w:t>)</w:t>
      </w:r>
      <w:r>
        <w:t xml:space="preserve"> zoning designation. </w:t>
      </w:r>
      <w:r w:rsidRPr="0073639E">
        <w:t>Therefore, the project would not have the potential to substantially affect SCAG’s demographic projections. A</w:t>
      </w:r>
      <w:r>
        <w:t>lso</w:t>
      </w:r>
      <w:r w:rsidRPr="0073639E">
        <w:t>, as demonstrated below</w:t>
      </w:r>
      <w:r>
        <w:t xml:space="preserve">, </w:t>
      </w:r>
      <w:r w:rsidRPr="0073639E">
        <w:t>the regional emissions that would be generated by the operational phase of the proposed project</w:t>
      </w:r>
      <w:r w:rsidRPr="004E3169">
        <w:t xml:space="preserve"> would be less than the South Coast AQMD </w:t>
      </w:r>
      <w:r>
        <w:t xml:space="preserve">regional </w:t>
      </w:r>
      <w:r w:rsidRPr="004E3169">
        <w:t xml:space="preserve">emissions thresholds and would therefore not be considered a substantial source of air pollutant emissions that would have the potential to affect the attainment designations in the SoCAB. The proposed project would not affect the regional emissions inventory or conflict with strategies in the </w:t>
      </w:r>
      <w:r>
        <w:t>air quality management plan, and impacts</w:t>
      </w:r>
      <w:r w:rsidRPr="004E3169">
        <w:t xml:space="preserve"> would be less than significant.</w:t>
      </w:r>
    </w:p>
    <w:p w14:paraId="4CC7FD40" w14:textId="77777777" w:rsidR="000E40F4" w:rsidRDefault="000E40F4" w:rsidP="000E40F4">
      <w:pPr>
        <w:pStyle w:val="List"/>
      </w:pPr>
      <w:r>
        <w:t>Result in a cumulatively considerable net increase of any criteria pollutant for which the project region is nonattainment under an applicable federal or state ambient air quality standard?</w:t>
      </w:r>
    </w:p>
    <w:p w14:paraId="2F4B604F" w14:textId="77777777" w:rsidR="000E40F4" w:rsidRDefault="000E40F4" w:rsidP="000E40F4">
      <w:pPr>
        <w:pStyle w:val="BodyText"/>
        <w:rPr>
          <w:color w:val="0000FF"/>
        </w:rPr>
      </w:pPr>
      <w:r w:rsidRPr="00655D6B">
        <w:rPr>
          <w:rStyle w:val="BodyTextBoldChar"/>
        </w:rPr>
        <w:t xml:space="preserve">Less Than Significant Impact. </w:t>
      </w:r>
      <w:r w:rsidRPr="006F1801">
        <w:t>The following describes regional impacts from short-term construction activities and long-term operation of the proposed project.</w:t>
      </w:r>
    </w:p>
    <w:p w14:paraId="79BA8B4A" w14:textId="77777777" w:rsidR="000E40F4" w:rsidRPr="006F1801" w:rsidRDefault="000E40F4" w:rsidP="000E40F4">
      <w:pPr>
        <w:pStyle w:val="Heading5"/>
      </w:pPr>
      <w:r w:rsidRPr="006F1801">
        <w:t>Regional Short-Term Construction Impacts</w:t>
      </w:r>
    </w:p>
    <w:p w14:paraId="047E98DD" w14:textId="77777777" w:rsidR="000E40F4" w:rsidRPr="006F1801" w:rsidRDefault="000E40F4" w:rsidP="000E40F4">
      <w:pPr>
        <w:pStyle w:val="BodyText"/>
      </w:pPr>
      <w:r w:rsidRPr="004E3169">
        <w:t xml:space="preserve">The proposed project would result in construction of </w:t>
      </w:r>
      <w:r w:rsidRPr="00216216">
        <w:t xml:space="preserve">129,830 </w:t>
      </w:r>
      <w:r w:rsidRPr="00DE7290">
        <w:t>square feet</w:t>
      </w:r>
      <w:r w:rsidRPr="00DE7290" w:rsidDel="00DE7290">
        <w:t xml:space="preserve"> </w:t>
      </w:r>
      <w:r w:rsidRPr="00216216">
        <w:t>of warehousing and manufacturing space</w:t>
      </w:r>
      <w:r>
        <w:t xml:space="preserve"> over an</w:t>
      </w:r>
      <w:r w:rsidRPr="004E3169">
        <w:t xml:space="preserve"> </w:t>
      </w:r>
      <w:r>
        <w:t>eight-month duration</w:t>
      </w:r>
      <w:r w:rsidRPr="004E3169">
        <w:t xml:space="preserve">. Construction of the proposed project would generate criteria air pollutants associated with construction equipment exhaust and fugitive dust from </w:t>
      </w:r>
      <w:r>
        <w:t xml:space="preserve">demolition, </w:t>
      </w:r>
      <w:r w:rsidRPr="004E3169">
        <w:t xml:space="preserve">site preparation, grading, building construction, </w:t>
      </w:r>
      <w:r>
        <w:t xml:space="preserve">utilities trenching, </w:t>
      </w:r>
      <w:r w:rsidRPr="004E3169">
        <w:t>architectural coating,</w:t>
      </w:r>
      <w:r>
        <w:t xml:space="preserve"> and</w:t>
      </w:r>
      <w:r w:rsidRPr="004E3169">
        <w:t xml:space="preserve"> </w:t>
      </w:r>
      <w:r>
        <w:t>finishing/landscaping</w:t>
      </w:r>
      <w:r w:rsidRPr="004E3169">
        <w:t xml:space="preserve">. </w:t>
      </w:r>
      <w:r w:rsidRPr="006F1801">
        <w:t>The proposed project</w:t>
      </w:r>
      <w:r>
        <w:t>’s</w:t>
      </w:r>
      <w:r w:rsidRPr="006F1801">
        <w:t xml:space="preserve"> construction-related emissions</w:t>
      </w:r>
      <w:r>
        <w:t>,</w:t>
      </w:r>
      <w:r w:rsidRPr="006F1801">
        <w:t xml:space="preserve"> shown in </w:t>
      </w:r>
      <w:r w:rsidRPr="00BB7329">
        <w:t>Table 4</w:t>
      </w:r>
      <w:r>
        <w:t>,</w:t>
      </w:r>
      <w:r w:rsidRPr="00BB7329">
        <w:t xml:space="preserve"> are</w:t>
      </w:r>
      <w:r w:rsidRPr="006F1801">
        <w:t xml:space="preserve"> quantified using California Emissions Estimator Model, Version </w:t>
      </w:r>
      <w:r>
        <w:t>2020.4.0</w:t>
      </w:r>
      <w:r w:rsidRPr="006F1801">
        <w:t xml:space="preserve"> (CalEEMod), and are based on the construction </w:t>
      </w:r>
      <w:r>
        <w:t>duration</w:t>
      </w:r>
      <w:r w:rsidRPr="006F1801">
        <w:t xml:space="preserve"> </w:t>
      </w:r>
      <w:r>
        <w:t>and equipment mix for the project provided by the applica</w:t>
      </w:r>
      <w:r w:rsidRPr="001E366A">
        <w:t xml:space="preserve">nt. </w:t>
      </w:r>
      <w:r w:rsidRPr="006F1801">
        <w:t>As shown in the table,</w:t>
      </w:r>
      <w:r>
        <w:t xml:space="preserve"> </w:t>
      </w:r>
      <w:r w:rsidRPr="00171C9A">
        <w:t>the maximum daily emissions</w:t>
      </w:r>
      <w:r w:rsidRPr="006F1801">
        <w:t xml:space="preserve"> </w:t>
      </w:r>
      <w:r w:rsidRPr="00171C9A">
        <w:t xml:space="preserve">for </w:t>
      </w:r>
      <w:r>
        <w:t>VOC, NO</w:t>
      </w:r>
      <w:r>
        <w:rPr>
          <w:vertAlign w:val="subscript"/>
        </w:rPr>
        <w:t>x</w:t>
      </w:r>
      <w:r>
        <w:t xml:space="preserve">, </w:t>
      </w:r>
      <w:r w:rsidRPr="00171C9A">
        <w:t>CO, SO</w:t>
      </w:r>
      <w:r w:rsidRPr="00171C9A">
        <w:rPr>
          <w:vertAlign w:val="subscript"/>
        </w:rPr>
        <w:t>2</w:t>
      </w:r>
      <w:r w:rsidRPr="00171C9A">
        <w:t>, PM</w:t>
      </w:r>
      <w:r w:rsidRPr="00171C9A">
        <w:rPr>
          <w:vertAlign w:val="subscript"/>
        </w:rPr>
        <w:t>10</w:t>
      </w:r>
      <w:r w:rsidRPr="00171C9A">
        <w:t>, and PM</w:t>
      </w:r>
      <w:r w:rsidRPr="00171C9A">
        <w:rPr>
          <w:vertAlign w:val="subscript"/>
        </w:rPr>
        <w:t>2.5</w:t>
      </w:r>
      <w:r w:rsidRPr="00171C9A">
        <w:t xml:space="preserve"> </w:t>
      </w:r>
      <w:r w:rsidRPr="006F1801">
        <w:t xml:space="preserve">from construction-related activities would be less than their respective </w:t>
      </w:r>
      <w:r>
        <w:t>South Coast AQMD</w:t>
      </w:r>
      <w:r w:rsidRPr="006F1801">
        <w:t xml:space="preserve"> regional significance threshold values.</w:t>
      </w:r>
      <w:r>
        <w:t xml:space="preserve"> </w:t>
      </w:r>
      <w:r w:rsidRPr="0036430F">
        <w:t>Therefore, air quality impacts from project-related construction activities would be less than significant.</w:t>
      </w:r>
    </w:p>
    <w:tbl>
      <w:tblPr>
        <w:tblW w:w="9420" w:type="dxa"/>
        <w:jc w:val="center"/>
        <w:tblBorders>
          <w:top w:val="single" w:sz="12" w:space="0" w:color="auto"/>
          <w:bottom w:val="single" w:sz="12" w:space="0" w:color="auto"/>
          <w:insideH w:val="single" w:sz="8"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3240"/>
        <w:gridCol w:w="1030"/>
        <w:gridCol w:w="1030"/>
        <w:gridCol w:w="1030"/>
        <w:gridCol w:w="1030"/>
        <w:gridCol w:w="1030"/>
        <w:gridCol w:w="1030"/>
      </w:tblGrid>
      <w:tr w:rsidR="000E40F4" w:rsidRPr="006F1801" w14:paraId="2A9DF01A" w14:textId="77777777" w:rsidTr="00883261">
        <w:trPr>
          <w:tblHeader/>
          <w:jc w:val="center"/>
        </w:trPr>
        <w:tc>
          <w:tcPr>
            <w:tcW w:w="9420" w:type="dxa"/>
            <w:gridSpan w:val="7"/>
            <w:tcBorders>
              <w:top w:val="nil"/>
              <w:bottom w:val="single" w:sz="12" w:space="0" w:color="auto"/>
            </w:tcBorders>
          </w:tcPr>
          <w:p w14:paraId="07BAF6E2" w14:textId="77777777" w:rsidR="000E40F4" w:rsidRPr="006F1801" w:rsidRDefault="000E40F4" w:rsidP="00FD0109">
            <w:pPr>
              <w:pStyle w:val="TblTitles"/>
            </w:pPr>
            <w:r w:rsidRPr="006F1801">
              <w:br w:type="page"/>
            </w:r>
            <w:bookmarkStart w:id="113" w:name="_Toc473564319"/>
            <w:bookmarkStart w:id="114" w:name="_Toc314728675"/>
            <w:bookmarkStart w:id="115" w:name="_Toc90882250"/>
            <w:r w:rsidRPr="00BB7329">
              <w:t>Table 4</w:t>
            </w:r>
            <w:r w:rsidRPr="006F1801">
              <w:tab/>
              <w:t>Maximum Daily Regional Construction Emissions</w:t>
            </w:r>
            <w:bookmarkEnd w:id="113"/>
            <w:bookmarkEnd w:id="115"/>
            <w:r w:rsidRPr="006F1801">
              <w:t xml:space="preserve"> </w:t>
            </w:r>
            <w:bookmarkEnd w:id="114"/>
          </w:p>
        </w:tc>
      </w:tr>
      <w:tr w:rsidR="000E40F4" w:rsidRPr="006F1801" w14:paraId="0C80BAEA" w14:textId="77777777" w:rsidTr="00883261">
        <w:trPr>
          <w:tblHeader/>
          <w:jc w:val="center"/>
        </w:trPr>
        <w:tc>
          <w:tcPr>
            <w:tcW w:w="3240" w:type="dxa"/>
            <w:vMerge w:val="restart"/>
            <w:tcBorders>
              <w:top w:val="single" w:sz="12" w:space="0" w:color="auto"/>
              <w:bottom w:val="single" w:sz="12" w:space="0" w:color="auto"/>
              <w:right w:val="single" w:sz="12" w:space="0" w:color="auto"/>
            </w:tcBorders>
            <w:vAlign w:val="bottom"/>
          </w:tcPr>
          <w:p w14:paraId="0810F189" w14:textId="77777777" w:rsidR="000E40F4" w:rsidRPr="006F1801" w:rsidRDefault="000E40F4" w:rsidP="00FD0109">
            <w:pPr>
              <w:pStyle w:val="TblColumnHeads"/>
              <w:rPr>
                <w:vertAlign w:val="superscript"/>
              </w:rPr>
            </w:pPr>
            <w:r w:rsidRPr="006F1801">
              <w:t>Construction Phase</w:t>
            </w:r>
          </w:p>
        </w:tc>
        <w:tc>
          <w:tcPr>
            <w:tcW w:w="6180" w:type="dxa"/>
            <w:gridSpan w:val="6"/>
            <w:tcBorders>
              <w:top w:val="single" w:sz="12" w:space="0" w:color="auto"/>
              <w:left w:val="single" w:sz="12" w:space="0" w:color="auto"/>
              <w:bottom w:val="single" w:sz="4" w:space="0" w:color="auto"/>
            </w:tcBorders>
            <w:vAlign w:val="bottom"/>
          </w:tcPr>
          <w:p w14:paraId="0D0ED151" w14:textId="7262859B" w:rsidR="000E40F4" w:rsidRPr="006F1801" w:rsidRDefault="000E40F4" w:rsidP="00FD0109">
            <w:pPr>
              <w:pStyle w:val="TblColumnHeads"/>
            </w:pPr>
            <w:r w:rsidRPr="006F1801">
              <w:t>Criteria Air Pollutant Emissions (lbs/day)</w:t>
            </w:r>
            <w:r w:rsidRPr="006F1801">
              <w:rPr>
                <w:vertAlign w:val="superscript"/>
              </w:rPr>
              <w:t>1,2</w:t>
            </w:r>
            <w:r w:rsidR="00A418B0">
              <w:rPr>
                <w:vertAlign w:val="superscript"/>
              </w:rPr>
              <w:t>,3</w:t>
            </w:r>
          </w:p>
        </w:tc>
      </w:tr>
      <w:tr w:rsidR="000E40F4" w:rsidRPr="006F1801" w14:paraId="1C60792B" w14:textId="77777777" w:rsidTr="00883261">
        <w:trPr>
          <w:tblHeader/>
          <w:jc w:val="center"/>
        </w:trPr>
        <w:tc>
          <w:tcPr>
            <w:tcW w:w="3240" w:type="dxa"/>
            <w:vMerge/>
            <w:tcBorders>
              <w:top w:val="single" w:sz="12" w:space="0" w:color="auto"/>
              <w:bottom w:val="single" w:sz="12" w:space="0" w:color="auto"/>
              <w:right w:val="single" w:sz="12" w:space="0" w:color="auto"/>
            </w:tcBorders>
            <w:vAlign w:val="bottom"/>
          </w:tcPr>
          <w:p w14:paraId="418F561C" w14:textId="77777777" w:rsidR="000E40F4" w:rsidRPr="006F1801" w:rsidRDefault="000E40F4" w:rsidP="00FD0109">
            <w:pPr>
              <w:pStyle w:val="TblColumnHeads"/>
            </w:pPr>
          </w:p>
        </w:tc>
        <w:tc>
          <w:tcPr>
            <w:tcW w:w="1030" w:type="dxa"/>
            <w:tcBorders>
              <w:top w:val="single" w:sz="4" w:space="0" w:color="auto"/>
              <w:left w:val="single" w:sz="12" w:space="0" w:color="auto"/>
              <w:bottom w:val="single" w:sz="12" w:space="0" w:color="auto"/>
            </w:tcBorders>
            <w:vAlign w:val="bottom"/>
          </w:tcPr>
          <w:p w14:paraId="32E7455E" w14:textId="77777777" w:rsidR="000E40F4" w:rsidRPr="006F1801" w:rsidRDefault="000E40F4" w:rsidP="00FD0109">
            <w:pPr>
              <w:pStyle w:val="TblColumnHeads"/>
            </w:pPr>
            <w:r w:rsidRPr="006F1801">
              <w:t>VOC</w:t>
            </w:r>
          </w:p>
        </w:tc>
        <w:tc>
          <w:tcPr>
            <w:tcW w:w="1030" w:type="dxa"/>
            <w:tcBorders>
              <w:top w:val="single" w:sz="4" w:space="0" w:color="auto"/>
              <w:bottom w:val="single" w:sz="12" w:space="0" w:color="auto"/>
            </w:tcBorders>
            <w:vAlign w:val="bottom"/>
          </w:tcPr>
          <w:p w14:paraId="6D5CEEC7" w14:textId="77777777" w:rsidR="000E40F4" w:rsidRPr="006F1801" w:rsidRDefault="000E40F4" w:rsidP="00FD0109">
            <w:pPr>
              <w:pStyle w:val="TblColumnHeads"/>
            </w:pPr>
            <w:r w:rsidRPr="006F1801">
              <w:t>NO</w:t>
            </w:r>
            <w:r w:rsidRPr="006F1801">
              <w:rPr>
                <w:vertAlign w:val="subscript"/>
              </w:rPr>
              <w:t>X</w:t>
            </w:r>
          </w:p>
        </w:tc>
        <w:tc>
          <w:tcPr>
            <w:tcW w:w="1030" w:type="dxa"/>
            <w:tcBorders>
              <w:top w:val="single" w:sz="4" w:space="0" w:color="auto"/>
              <w:bottom w:val="single" w:sz="12" w:space="0" w:color="auto"/>
            </w:tcBorders>
            <w:vAlign w:val="bottom"/>
          </w:tcPr>
          <w:p w14:paraId="21413B03" w14:textId="77777777" w:rsidR="000E40F4" w:rsidRPr="006F1801" w:rsidRDefault="000E40F4" w:rsidP="00FD0109">
            <w:pPr>
              <w:pStyle w:val="TblColumnHeads"/>
            </w:pPr>
            <w:r w:rsidRPr="006F1801">
              <w:t>CO</w:t>
            </w:r>
          </w:p>
        </w:tc>
        <w:tc>
          <w:tcPr>
            <w:tcW w:w="1030" w:type="dxa"/>
            <w:tcBorders>
              <w:top w:val="single" w:sz="4" w:space="0" w:color="auto"/>
              <w:bottom w:val="single" w:sz="12" w:space="0" w:color="auto"/>
            </w:tcBorders>
            <w:vAlign w:val="bottom"/>
          </w:tcPr>
          <w:p w14:paraId="5E819929" w14:textId="77777777" w:rsidR="000E40F4" w:rsidRPr="006F1801" w:rsidRDefault="000E40F4" w:rsidP="00FD0109">
            <w:pPr>
              <w:pStyle w:val="TblColumnHeads"/>
            </w:pPr>
            <w:r w:rsidRPr="006F1801">
              <w:t>SO</w:t>
            </w:r>
            <w:r w:rsidRPr="006F1801">
              <w:rPr>
                <w:vertAlign w:val="subscript"/>
              </w:rPr>
              <w:t>2</w:t>
            </w:r>
          </w:p>
        </w:tc>
        <w:tc>
          <w:tcPr>
            <w:tcW w:w="1030" w:type="dxa"/>
            <w:tcBorders>
              <w:top w:val="single" w:sz="4" w:space="0" w:color="auto"/>
              <w:bottom w:val="single" w:sz="12" w:space="0" w:color="auto"/>
            </w:tcBorders>
            <w:shd w:val="clear" w:color="auto" w:fill="auto"/>
            <w:vAlign w:val="bottom"/>
          </w:tcPr>
          <w:p w14:paraId="2CDDA724" w14:textId="77777777" w:rsidR="000E40F4" w:rsidRPr="006F1801" w:rsidRDefault="000E40F4" w:rsidP="00FD0109">
            <w:pPr>
              <w:pStyle w:val="TblColumnHeads"/>
            </w:pPr>
            <w:r w:rsidRPr="006F1801">
              <w:t>PM</w:t>
            </w:r>
            <w:r w:rsidRPr="006F1801">
              <w:rPr>
                <w:vertAlign w:val="subscript"/>
              </w:rPr>
              <w:t>10</w:t>
            </w:r>
          </w:p>
        </w:tc>
        <w:tc>
          <w:tcPr>
            <w:tcW w:w="1030" w:type="dxa"/>
            <w:tcBorders>
              <w:top w:val="single" w:sz="4" w:space="0" w:color="auto"/>
              <w:bottom w:val="single" w:sz="12" w:space="0" w:color="auto"/>
            </w:tcBorders>
            <w:shd w:val="clear" w:color="auto" w:fill="auto"/>
            <w:vAlign w:val="bottom"/>
          </w:tcPr>
          <w:p w14:paraId="4E61E379" w14:textId="77777777" w:rsidR="000E40F4" w:rsidRPr="006F1801" w:rsidRDefault="000E40F4" w:rsidP="00FD0109">
            <w:pPr>
              <w:pStyle w:val="TblColumnHeads"/>
            </w:pPr>
            <w:r w:rsidRPr="006F1801">
              <w:t>PM</w:t>
            </w:r>
            <w:r w:rsidRPr="006F1801">
              <w:rPr>
                <w:vertAlign w:val="subscript"/>
              </w:rPr>
              <w:t>2.5</w:t>
            </w:r>
          </w:p>
        </w:tc>
      </w:tr>
      <w:tr w:rsidR="000E40F4" w:rsidRPr="006F1801" w14:paraId="5B536389" w14:textId="77777777" w:rsidTr="00883261">
        <w:trPr>
          <w:trHeight w:val="214"/>
          <w:jc w:val="center"/>
        </w:trPr>
        <w:tc>
          <w:tcPr>
            <w:tcW w:w="3240" w:type="dxa"/>
            <w:tcBorders>
              <w:top w:val="single" w:sz="6" w:space="0" w:color="auto"/>
              <w:bottom w:val="single" w:sz="6" w:space="0" w:color="auto"/>
              <w:right w:val="single" w:sz="12" w:space="0" w:color="auto"/>
            </w:tcBorders>
            <w:shd w:val="clear" w:color="auto" w:fill="auto"/>
          </w:tcPr>
          <w:p w14:paraId="3C1522CA" w14:textId="77777777" w:rsidR="000E40F4" w:rsidRDefault="000E40F4" w:rsidP="00FD0109">
            <w:pPr>
              <w:pStyle w:val="TblTxt"/>
            </w:pPr>
            <w:r w:rsidRPr="0055116F">
              <w:t>Building Demolition</w:t>
            </w:r>
          </w:p>
        </w:tc>
        <w:tc>
          <w:tcPr>
            <w:tcW w:w="1030" w:type="dxa"/>
            <w:tcBorders>
              <w:top w:val="single" w:sz="6" w:space="0" w:color="auto"/>
              <w:left w:val="single" w:sz="12" w:space="0" w:color="auto"/>
              <w:bottom w:val="single" w:sz="6" w:space="0" w:color="auto"/>
              <w:right w:val="single" w:sz="6" w:space="0" w:color="auto"/>
            </w:tcBorders>
            <w:shd w:val="clear" w:color="auto" w:fill="auto"/>
            <w:vAlign w:val="center"/>
          </w:tcPr>
          <w:p w14:paraId="11E473C1" w14:textId="77777777" w:rsidR="000E40F4" w:rsidRPr="00280896" w:rsidRDefault="000E40F4" w:rsidP="00FD0109">
            <w:pPr>
              <w:pStyle w:val="TblTxtCenter"/>
            </w:pPr>
            <w:r>
              <w:t>&lt;1</w:t>
            </w:r>
          </w:p>
        </w:tc>
        <w:tc>
          <w:tcPr>
            <w:tcW w:w="1030" w:type="dxa"/>
            <w:tcBorders>
              <w:top w:val="single" w:sz="6" w:space="0" w:color="auto"/>
              <w:left w:val="single" w:sz="6" w:space="0" w:color="auto"/>
              <w:bottom w:val="single" w:sz="6" w:space="0" w:color="auto"/>
              <w:right w:val="single" w:sz="6" w:space="0" w:color="auto"/>
            </w:tcBorders>
            <w:shd w:val="clear" w:color="auto" w:fill="auto"/>
            <w:vAlign w:val="center"/>
          </w:tcPr>
          <w:p w14:paraId="04397AD3" w14:textId="77777777" w:rsidR="000E40F4" w:rsidRPr="00280896" w:rsidRDefault="000E40F4" w:rsidP="00FD0109">
            <w:pPr>
              <w:pStyle w:val="TblTxtCenter"/>
            </w:pPr>
            <w:r>
              <w:t>3</w:t>
            </w:r>
          </w:p>
        </w:tc>
        <w:tc>
          <w:tcPr>
            <w:tcW w:w="1030" w:type="dxa"/>
            <w:tcBorders>
              <w:top w:val="single" w:sz="6" w:space="0" w:color="auto"/>
              <w:left w:val="single" w:sz="6" w:space="0" w:color="auto"/>
              <w:bottom w:val="single" w:sz="6" w:space="0" w:color="auto"/>
              <w:right w:val="single" w:sz="6" w:space="0" w:color="auto"/>
            </w:tcBorders>
            <w:shd w:val="clear" w:color="auto" w:fill="auto"/>
            <w:vAlign w:val="center"/>
          </w:tcPr>
          <w:p w14:paraId="2C299D9C" w14:textId="77777777" w:rsidR="000E40F4" w:rsidRPr="00280896" w:rsidRDefault="000E40F4" w:rsidP="00FD0109">
            <w:pPr>
              <w:pStyle w:val="TblTxtCenter"/>
            </w:pPr>
            <w:r>
              <w:t>4</w:t>
            </w:r>
          </w:p>
        </w:tc>
        <w:tc>
          <w:tcPr>
            <w:tcW w:w="1030" w:type="dxa"/>
            <w:tcBorders>
              <w:top w:val="single" w:sz="6" w:space="0" w:color="auto"/>
              <w:left w:val="single" w:sz="6" w:space="0" w:color="auto"/>
              <w:bottom w:val="single" w:sz="6" w:space="0" w:color="auto"/>
              <w:right w:val="single" w:sz="6" w:space="0" w:color="auto"/>
            </w:tcBorders>
            <w:shd w:val="clear" w:color="auto" w:fill="auto"/>
            <w:vAlign w:val="center"/>
          </w:tcPr>
          <w:p w14:paraId="539042E9" w14:textId="77777777" w:rsidR="000E40F4" w:rsidRDefault="000E40F4" w:rsidP="00FD0109">
            <w:pPr>
              <w:pStyle w:val="TblTxtCenter"/>
            </w:pPr>
            <w:r>
              <w:t>&lt;1</w:t>
            </w:r>
          </w:p>
        </w:tc>
        <w:tc>
          <w:tcPr>
            <w:tcW w:w="1030" w:type="dxa"/>
            <w:tcBorders>
              <w:top w:val="single" w:sz="6" w:space="0" w:color="auto"/>
              <w:left w:val="single" w:sz="6" w:space="0" w:color="auto"/>
              <w:bottom w:val="single" w:sz="6" w:space="0" w:color="auto"/>
              <w:right w:val="single" w:sz="6" w:space="0" w:color="auto"/>
            </w:tcBorders>
            <w:shd w:val="clear" w:color="auto" w:fill="auto"/>
          </w:tcPr>
          <w:p w14:paraId="6063CB4B" w14:textId="77777777" w:rsidR="000E40F4" w:rsidRPr="00374CB0" w:rsidRDefault="000E40F4" w:rsidP="00FD0109">
            <w:pPr>
              <w:pStyle w:val="TblTxtCenter"/>
            </w:pPr>
            <w:r>
              <w:t>&lt;1</w:t>
            </w:r>
          </w:p>
        </w:tc>
        <w:tc>
          <w:tcPr>
            <w:tcW w:w="1030" w:type="dxa"/>
            <w:tcBorders>
              <w:top w:val="single" w:sz="6" w:space="0" w:color="auto"/>
              <w:left w:val="single" w:sz="6" w:space="0" w:color="auto"/>
              <w:bottom w:val="single" w:sz="6" w:space="0" w:color="auto"/>
            </w:tcBorders>
            <w:shd w:val="clear" w:color="auto" w:fill="auto"/>
          </w:tcPr>
          <w:p w14:paraId="6F7AF69A" w14:textId="77777777" w:rsidR="000E40F4" w:rsidRPr="00374CB0" w:rsidRDefault="000E40F4" w:rsidP="00FD0109">
            <w:pPr>
              <w:pStyle w:val="TblTxtCenter"/>
            </w:pPr>
            <w:r>
              <w:t>&lt;1</w:t>
            </w:r>
          </w:p>
        </w:tc>
      </w:tr>
      <w:tr w:rsidR="000E40F4" w:rsidRPr="006F1801" w14:paraId="004893C0" w14:textId="77777777" w:rsidTr="00883261">
        <w:trPr>
          <w:trHeight w:val="214"/>
          <w:jc w:val="center"/>
        </w:trPr>
        <w:tc>
          <w:tcPr>
            <w:tcW w:w="3240" w:type="dxa"/>
            <w:tcBorders>
              <w:top w:val="single" w:sz="6" w:space="0" w:color="auto"/>
              <w:bottom w:val="single" w:sz="6" w:space="0" w:color="auto"/>
              <w:right w:val="single" w:sz="12" w:space="0" w:color="auto"/>
            </w:tcBorders>
            <w:shd w:val="clear" w:color="auto" w:fill="auto"/>
          </w:tcPr>
          <w:p w14:paraId="291E66B2" w14:textId="77777777" w:rsidR="000E40F4" w:rsidRDefault="000E40F4" w:rsidP="00FD0109">
            <w:pPr>
              <w:pStyle w:val="TblTxt"/>
            </w:pPr>
            <w:r w:rsidRPr="0055116F">
              <w:t>Building Demolition &amp; Asphalt Demolition</w:t>
            </w:r>
          </w:p>
        </w:tc>
        <w:tc>
          <w:tcPr>
            <w:tcW w:w="1030" w:type="dxa"/>
            <w:tcBorders>
              <w:top w:val="single" w:sz="6" w:space="0" w:color="auto"/>
              <w:left w:val="single" w:sz="12" w:space="0" w:color="auto"/>
              <w:bottom w:val="single" w:sz="6" w:space="0" w:color="auto"/>
              <w:right w:val="single" w:sz="6" w:space="0" w:color="auto"/>
            </w:tcBorders>
            <w:shd w:val="clear" w:color="auto" w:fill="auto"/>
            <w:vAlign w:val="center"/>
          </w:tcPr>
          <w:p w14:paraId="0E569209" w14:textId="77777777" w:rsidR="000E40F4" w:rsidRPr="00280896" w:rsidRDefault="000E40F4" w:rsidP="00FD0109">
            <w:pPr>
              <w:pStyle w:val="TblTxtCenter"/>
            </w:pPr>
            <w:r>
              <w:t>1</w:t>
            </w:r>
          </w:p>
        </w:tc>
        <w:tc>
          <w:tcPr>
            <w:tcW w:w="1030" w:type="dxa"/>
            <w:tcBorders>
              <w:top w:val="single" w:sz="6" w:space="0" w:color="auto"/>
              <w:left w:val="single" w:sz="6" w:space="0" w:color="auto"/>
              <w:bottom w:val="single" w:sz="6" w:space="0" w:color="auto"/>
              <w:right w:val="single" w:sz="6" w:space="0" w:color="auto"/>
            </w:tcBorders>
            <w:shd w:val="clear" w:color="auto" w:fill="auto"/>
            <w:vAlign w:val="center"/>
          </w:tcPr>
          <w:p w14:paraId="2A2D0ECE" w14:textId="77777777" w:rsidR="000E40F4" w:rsidRPr="00280896" w:rsidRDefault="000E40F4" w:rsidP="00FD0109">
            <w:pPr>
              <w:pStyle w:val="TblTxtCenter"/>
            </w:pPr>
            <w:r>
              <w:t>10</w:t>
            </w:r>
          </w:p>
        </w:tc>
        <w:tc>
          <w:tcPr>
            <w:tcW w:w="1030" w:type="dxa"/>
            <w:tcBorders>
              <w:top w:val="single" w:sz="6" w:space="0" w:color="auto"/>
              <w:left w:val="single" w:sz="6" w:space="0" w:color="auto"/>
              <w:bottom w:val="single" w:sz="6" w:space="0" w:color="auto"/>
              <w:right w:val="single" w:sz="6" w:space="0" w:color="auto"/>
            </w:tcBorders>
            <w:shd w:val="clear" w:color="auto" w:fill="auto"/>
            <w:vAlign w:val="center"/>
          </w:tcPr>
          <w:p w14:paraId="1D9DBCC5" w14:textId="77777777" w:rsidR="000E40F4" w:rsidRPr="00280896" w:rsidRDefault="000E40F4" w:rsidP="00FD0109">
            <w:pPr>
              <w:pStyle w:val="TblTxtCenter"/>
            </w:pPr>
            <w:r>
              <w:t>9</w:t>
            </w:r>
          </w:p>
        </w:tc>
        <w:tc>
          <w:tcPr>
            <w:tcW w:w="1030" w:type="dxa"/>
            <w:tcBorders>
              <w:top w:val="single" w:sz="6" w:space="0" w:color="auto"/>
              <w:left w:val="single" w:sz="6" w:space="0" w:color="auto"/>
              <w:bottom w:val="single" w:sz="6" w:space="0" w:color="auto"/>
              <w:right w:val="single" w:sz="6" w:space="0" w:color="auto"/>
            </w:tcBorders>
            <w:shd w:val="clear" w:color="auto" w:fill="auto"/>
          </w:tcPr>
          <w:p w14:paraId="475F936E" w14:textId="77777777" w:rsidR="000E40F4" w:rsidRDefault="000E40F4" w:rsidP="00FD0109">
            <w:pPr>
              <w:pStyle w:val="TblTxtCenter"/>
            </w:pPr>
            <w:r>
              <w:t>&lt;1</w:t>
            </w:r>
          </w:p>
        </w:tc>
        <w:tc>
          <w:tcPr>
            <w:tcW w:w="1030" w:type="dxa"/>
            <w:tcBorders>
              <w:top w:val="single" w:sz="6" w:space="0" w:color="auto"/>
              <w:left w:val="single" w:sz="6" w:space="0" w:color="auto"/>
              <w:bottom w:val="single" w:sz="6" w:space="0" w:color="auto"/>
              <w:right w:val="single" w:sz="6" w:space="0" w:color="auto"/>
            </w:tcBorders>
            <w:shd w:val="clear" w:color="auto" w:fill="auto"/>
            <w:vAlign w:val="center"/>
          </w:tcPr>
          <w:p w14:paraId="38A7AFD7" w14:textId="77777777" w:rsidR="000E40F4" w:rsidRPr="00374CB0" w:rsidRDefault="000E40F4" w:rsidP="00FD0109">
            <w:pPr>
              <w:pStyle w:val="TblTxtCenter"/>
            </w:pPr>
            <w:r>
              <w:t>2</w:t>
            </w:r>
          </w:p>
        </w:tc>
        <w:tc>
          <w:tcPr>
            <w:tcW w:w="1030" w:type="dxa"/>
            <w:tcBorders>
              <w:top w:val="single" w:sz="6" w:space="0" w:color="auto"/>
              <w:left w:val="single" w:sz="6" w:space="0" w:color="auto"/>
              <w:bottom w:val="single" w:sz="6" w:space="0" w:color="auto"/>
            </w:tcBorders>
            <w:shd w:val="clear" w:color="auto" w:fill="auto"/>
            <w:vAlign w:val="center"/>
          </w:tcPr>
          <w:p w14:paraId="14118C85" w14:textId="77777777" w:rsidR="000E40F4" w:rsidRPr="00374CB0" w:rsidRDefault="000E40F4" w:rsidP="00FD0109">
            <w:pPr>
              <w:pStyle w:val="TblTxtCenter"/>
            </w:pPr>
            <w:r>
              <w:t>1</w:t>
            </w:r>
          </w:p>
        </w:tc>
      </w:tr>
      <w:tr w:rsidR="000E40F4" w:rsidRPr="006F1801" w14:paraId="456319A2" w14:textId="77777777" w:rsidTr="00883261">
        <w:trPr>
          <w:trHeight w:val="214"/>
          <w:jc w:val="center"/>
        </w:trPr>
        <w:tc>
          <w:tcPr>
            <w:tcW w:w="3240" w:type="dxa"/>
            <w:tcBorders>
              <w:top w:val="single" w:sz="6" w:space="0" w:color="auto"/>
              <w:bottom w:val="single" w:sz="6" w:space="0" w:color="auto"/>
              <w:right w:val="single" w:sz="12" w:space="0" w:color="auto"/>
            </w:tcBorders>
            <w:shd w:val="clear" w:color="auto" w:fill="auto"/>
          </w:tcPr>
          <w:p w14:paraId="7B58E086" w14:textId="77777777" w:rsidR="000E40F4" w:rsidRDefault="000E40F4" w:rsidP="00FD0109">
            <w:pPr>
              <w:pStyle w:val="TblTxt"/>
            </w:pPr>
            <w:r w:rsidRPr="0055116F">
              <w:t>Site Preparation</w:t>
            </w:r>
          </w:p>
        </w:tc>
        <w:tc>
          <w:tcPr>
            <w:tcW w:w="1030" w:type="dxa"/>
            <w:tcBorders>
              <w:top w:val="single" w:sz="6" w:space="0" w:color="auto"/>
              <w:left w:val="single" w:sz="12" w:space="0" w:color="auto"/>
              <w:bottom w:val="single" w:sz="6" w:space="0" w:color="auto"/>
              <w:right w:val="single" w:sz="6" w:space="0" w:color="auto"/>
            </w:tcBorders>
            <w:shd w:val="clear" w:color="auto" w:fill="auto"/>
            <w:vAlign w:val="center"/>
          </w:tcPr>
          <w:p w14:paraId="1BAA623B" w14:textId="77777777" w:rsidR="000E40F4" w:rsidRPr="00280896" w:rsidRDefault="000E40F4" w:rsidP="00FD0109">
            <w:pPr>
              <w:pStyle w:val="TblTxtCenter"/>
            </w:pPr>
            <w:r>
              <w:t>&lt;1</w:t>
            </w:r>
          </w:p>
        </w:tc>
        <w:tc>
          <w:tcPr>
            <w:tcW w:w="1030" w:type="dxa"/>
            <w:tcBorders>
              <w:top w:val="single" w:sz="6" w:space="0" w:color="auto"/>
              <w:left w:val="single" w:sz="6" w:space="0" w:color="auto"/>
              <w:bottom w:val="single" w:sz="6" w:space="0" w:color="auto"/>
              <w:right w:val="single" w:sz="6" w:space="0" w:color="auto"/>
            </w:tcBorders>
            <w:shd w:val="clear" w:color="auto" w:fill="auto"/>
            <w:vAlign w:val="center"/>
          </w:tcPr>
          <w:p w14:paraId="7287225C" w14:textId="77777777" w:rsidR="000E40F4" w:rsidRPr="00280896" w:rsidRDefault="000E40F4" w:rsidP="00FD0109">
            <w:pPr>
              <w:pStyle w:val="TblTxtCenter"/>
            </w:pPr>
            <w:r>
              <w:t>4</w:t>
            </w:r>
          </w:p>
        </w:tc>
        <w:tc>
          <w:tcPr>
            <w:tcW w:w="1030" w:type="dxa"/>
            <w:tcBorders>
              <w:top w:val="single" w:sz="6" w:space="0" w:color="auto"/>
              <w:left w:val="single" w:sz="6" w:space="0" w:color="auto"/>
              <w:bottom w:val="single" w:sz="6" w:space="0" w:color="auto"/>
              <w:right w:val="single" w:sz="6" w:space="0" w:color="auto"/>
            </w:tcBorders>
            <w:shd w:val="clear" w:color="auto" w:fill="auto"/>
            <w:vAlign w:val="center"/>
          </w:tcPr>
          <w:p w14:paraId="453E14B7" w14:textId="77777777" w:rsidR="000E40F4" w:rsidRPr="00280896" w:rsidRDefault="000E40F4" w:rsidP="00FD0109">
            <w:pPr>
              <w:pStyle w:val="TblTxtCenter"/>
            </w:pPr>
            <w:r>
              <w:t>3</w:t>
            </w:r>
          </w:p>
        </w:tc>
        <w:tc>
          <w:tcPr>
            <w:tcW w:w="1030" w:type="dxa"/>
            <w:tcBorders>
              <w:top w:val="single" w:sz="6" w:space="0" w:color="auto"/>
              <w:left w:val="single" w:sz="6" w:space="0" w:color="auto"/>
              <w:bottom w:val="single" w:sz="6" w:space="0" w:color="auto"/>
              <w:right w:val="single" w:sz="6" w:space="0" w:color="auto"/>
            </w:tcBorders>
            <w:shd w:val="clear" w:color="auto" w:fill="auto"/>
            <w:vAlign w:val="center"/>
          </w:tcPr>
          <w:p w14:paraId="79AD7C88" w14:textId="77777777" w:rsidR="000E40F4" w:rsidRDefault="000E40F4" w:rsidP="00FD0109">
            <w:pPr>
              <w:pStyle w:val="TblTxtCenter"/>
            </w:pPr>
            <w:r>
              <w:t>&lt;1</w:t>
            </w:r>
          </w:p>
        </w:tc>
        <w:tc>
          <w:tcPr>
            <w:tcW w:w="1030" w:type="dxa"/>
            <w:tcBorders>
              <w:top w:val="single" w:sz="6" w:space="0" w:color="auto"/>
              <w:left w:val="single" w:sz="6" w:space="0" w:color="auto"/>
              <w:bottom w:val="single" w:sz="6" w:space="0" w:color="auto"/>
              <w:right w:val="single" w:sz="6" w:space="0" w:color="auto"/>
            </w:tcBorders>
            <w:shd w:val="clear" w:color="auto" w:fill="auto"/>
            <w:vAlign w:val="center"/>
          </w:tcPr>
          <w:p w14:paraId="0F8F5543" w14:textId="77777777" w:rsidR="000E40F4" w:rsidRPr="00374CB0" w:rsidRDefault="000E40F4" w:rsidP="00FD0109">
            <w:pPr>
              <w:pStyle w:val="TblTxtCenter"/>
            </w:pPr>
            <w:r>
              <w:t>&lt;1</w:t>
            </w:r>
          </w:p>
        </w:tc>
        <w:tc>
          <w:tcPr>
            <w:tcW w:w="1030" w:type="dxa"/>
            <w:tcBorders>
              <w:top w:val="single" w:sz="6" w:space="0" w:color="auto"/>
              <w:left w:val="single" w:sz="6" w:space="0" w:color="auto"/>
              <w:bottom w:val="single" w:sz="6" w:space="0" w:color="auto"/>
            </w:tcBorders>
            <w:shd w:val="clear" w:color="auto" w:fill="auto"/>
            <w:vAlign w:val="center"/>
          </w:tcPr>
          <w:p w14:paraId="08C69587" w14:textId="77777777" w:rsidR="000E40F4" w:rsidRPr="00374CB0" w:rsidRDefault="000E40F4" w:rsidP="00FD0109">
            <w:pPr>
              <w:pStyle w:val="TblTxtCenter"/>
            </w:pPr>
            <w:r>
              <w:t>&lt;1</w:t>
            </w:r>
          </w:p>
        </w:tc>
      </w:tr>
      <w:tr w:rsidR="000E40F4" w:rsidRPr="006F1801" w14:paraId="7FA9EDC6" w14:textId="77777777" w:rsidTr="00883261">
        <w:trPr>
          <w:trHeight w:val="214"/>
          <w:jc w:val="center"/>
        </w:trPr>
        <w:tc>
          <w:tcPr>
            <w:tcW w:w="3240" w:type="dxa"/>
            <w:tcBorders>
              <w:top w:val="single" w:sz="6" w:space="0" w:color="auto"/>
              <w:bottom w:val="single" w:sz="6" w:space="0" w:color="auto"/>
              <w:right w:val="single" w:sz="12" w:space="0" w:color="auto"/>
            </w:tcBorders>
            <w:shd w:val="clear" w:color="auto" w:fill="auto"/>
          </w:tcPr>
          <w:p w14:paraId="05DB4188" w14:textId="77777777" w:rsidR="000E40F4" w:rsidRDefault="000E40F4" w:rsidP="00FD0109">
            <w:pPr>
              <w:pStyle w:val="TblTxt"/>
            </w:pPr>
            <w:r w:rsidRPr="0055116F">
              <w:t>Site Preparation &amp; Building Construction</w:t>
            </w:r>
          </w:p>
        </w:tc>
        <w:tc>
          <w:tcPr>
            <w:tcW w:w="1030" w:type="dxa"/>
            <w:tcBorders>
              <w:top w:val="single" w:sz="6" w:space="0" w:color="auto"/>
              <w:left w:val="single" w:sz="12" w:space="0" w:color="auto"/>
              <w:bottom w:val="single" w:sz="6" w:space="0" w:color="auto"/>
              <w:right w:val="single" w:sz="6" w:space="0" w:color="auto"/>
            </w:tcBorders>
            <w:shd w:val="clear" w:color="auto" w:fill="auto"/>
            <w:vAlign w:val="center"/>
          </w:tcPr>
          <w:p w14:paraId="476DC48A" w14:textId="77777777" w:rsidR="000E40F4" w:rsidRPr="00280896" w:rsidRDefault="000E40F4" w:rsidP="00FD0109">
            <w:pPr>
              <w:pStyle w:val="TblTxtCenter"/>
            </w:pPr>
            <w:r>
              <w:t>1</w:t>
            </w:r>
          </w:p>
        </w:tc>
        <w:tc>
          <w:tcPr>
            <w:tcW w:w="1030" w:type="dxa"/>
            <w:tcBorders>
              <w:top w:val="single" w:sz="6" w:space="0" w:color="auto"/>
              <w:left w:val="single" w:sz="6" w:space="0" w:color="auto"/>
              <w:bottom w:val="single" w:sz="6" w:space="0" w:color="auto"/>
              <w:right w:val="single" w:sz="6" w:space="0" w:color="auto"/>
            </w:tcBorders>
            <w:shd w:val="clear" w:color="auto" w:fill="auto"/>
            <w:vAlign w:val="center"/>
          </w:tcPr>
          <w:p w14:paraId="5919BC92" w14:textId="77777777" w:rsidR="000E40F4" w:rsidRPr="00280896" w:rsidRDefault="000E40F4" w:rsidP="00FD0109">
            <w:pPr>
              <w:pStyle w:val="TblTxtCenter"/>
            </w:pPr>
            <w:r>
              <w:t>13</w:t>
            </w:r>
          </w:p>
        </w:tc>
        <w:tc>
          <w:tcPr>
            <w:tcW w:w="1030" w:type="dxa"/>
            <w:tcBorders>
              <w:top w:val="single" w:sz="6" w:space="0" w:color="auto"/>
              <w:left w:val="single" w:sz="6" w:space="0" w:color="auto"/>
              <w:bottom w:val="single" w:sz="6" w:space="0" w:color="auto"/>
              <w:right w:val="single" w:sz="6" w:space="0" w:color="auto"/>
            </w:tcBorders>
            <w:shd w:val="clear" w:color="auto" w:fill="auto"/>
            <w:vAlign w:val="center"/>
          </w:tcPr>
          <w:p w14:paraId="4B641018" w14:textId="77777777" w:rsidR="000E40F4" w:rsidRPr="00280896" w:rsidRDefault="000E40F4" w:rsidP="00FD0109">
            <w:pPr>
              <w:pStyle w:val="TblTxtCenter"/>
            </w:pPr>
            <w:r>
              <w:t>18</w:t>
            </w:r>
          </w:p>
        </w:tc>
        <w:tc>
          <w:tcPr>
            <w:tcW w:w="1030" w:type="dxa"/>
            <w:tcBorders>
              <w:top w:val="single" w:sz="6" w:space="0" w:color="auto"/>
              <w:left w:val="single" w:sz="6" w:space="0" w:color="auto"/>
              <w:bottom w:val="single" w:sz="6" w:space="0" w:color="auto"/>
              <w:right w:val="single" w:sz="6" w:space="0" w:color="auto"/>
            </w:tcBorders>
            <w:shd w:val="clear" w:color="auto" w:fill="auto"/>
            <w:vAlign w:val="center"/>
          </w:tcPr>
          <w:p w14:paraId="58CA4780" w14:textId="77777777" w:rsidR="000E40F4" w:rsidRDefault="000E40F4" w:rsidP="00FD0109">
            <w:pPr>
              <w:pStyle w:val="TblTxtCenter"/>
            </w:pPr>
            <w:r>
              <w:t>&lt;1</w:t>
            </w:r>
          </w:p>
        </w:tc>
        <w:tc>
          <w:tcPr>
            <w:tcW w:w="1030" w:type="dxa"/>
            <w:tcBorders>
              <w:top w:val="single" w:sz="6" w:space="0" w:color="auto"/>
              <w:left w:val="single" w:sz="6" w:space="0" w:color="auto"/>
              <w:bottom w:val="single" w:sz="6" w:space="0" w:color="auto"/>
              <w:right w:val="single" w:sz="6" w:space="0" w:color="auto"/>
            </w:tcBorders>
            <w:shd w:val="clear" w:color="auto" w:fill="auto"/>
            <w:vAlign w:val="center"/>
          </w:tcPr>
          <w:p w14:paraId="6325F115" w14:textId="77777777" w:rsidR="000E40F4" w:rsidRPr="00374CB0" w:rsidRDefault="000E40F4" w:rsidP="00FD0109">
            <w:pPr>
              <w:pStyle w:val="TblTxtCenter"/>
            </w:pPr>
            <w:r>
              <w:t>2</w:t>
            </w:r>
          </w:p>
        </w:tc>
        <w:tc>
          <w:tcPr>
            <w:tcW w:w="1030" w:type="dxa"/>
            <w:tcBorders>
              <w:top w:val="single" w:sz="6" w:space="0" w:color="auto"/>
              <w:left w:val="single" w:sz="6" w:space="0" w:color="auto"/>
              <w:bottom w:val="single" w:sz="6" w:space="0" w:color="auto"/>
            </w:tcBorders>
            <w:shd w:val="clear" w:color="auto" w:fill="auto"/>
            <w:vAlign w:val="center"/>
          </w:tcPr>
          <w:p w14:paraId="419EAEEF" w14:textId="77777777" w:rsidR="000E40F4" w:rsidRPr="00374CB0" w:rsidRDefault="000E40F4" w:rsidP="00FD0109">
            <w:pPr>
              <w:pStyle w:val="TblTxtCenter"/>
            </w:pPr>
            <w:r>
              <w:t>1</w:t>
            </w:r>
          </w:p>
        </w:tc>
      </w:tr>
      <w:tr w:rsidR="000E40F4" w:rsidRPr="006F1801" w14:paraId="646CA650" w14:textId="77777777" w:rsidTr="00883261">
        <w:trPr>
          <w:trHeight w:val="214"/>
          <w:jc w:val="center"/>
        </w:trPr>
        <w:tc>
          <w:tcPr>
            <w:tcW w:w="3240" w:type="dxa"/>
            <w:tcBorders>
              <w:top w:val="single" w:sz="6" w:space="0" w:color="auto"/>
              <w:bottom w:val="single" w:sz="6" w:space="0" w:color="auto"/>
              <w:right w:val="single" w:sz="12" w:space="0" w:color="auto"/>
            </w:tcBorders>
            <w:shd w:val="clear" w:color="auto" w:fill="auto"/>
          </w:tcPr>
          <w:p w14:paraId="3513B4CC" w14:textId="77777777" w:rsidR="000E40F4" w:rsidRDefault="000E40F4" w:rsidP="00FD0109">
            <w:pPr>
              <w:pStyle w:val="TblTxt"/>
            </w:pPr>
            <w:r w:rsidRPr="0055116F">
              <w:t>Site Preparation, Building Construction, &amp; Rough Grading</w:t>
            </w:r>
          </w:p>
        </w:tc>
        <w:tc>
          <w:tcPr>
            <w:tcW w:w="1030" w:type="dxa"/>
            <w:tcBorders>
              <w:top w:val="single" w:sz="6" w:space="0" w:color="auto"/>
              <w:left w:val="single" w:sz="12" w:space="0" w:color="auto"/>
              <w:bottom w:val="single" w:sz="6" w:space="0" w:color="auto"/>
              <w:right w:val="single" w:sz="6" w:space="0" w:color="auto"/>
            </w:tcBorders>
            <w:shd w:val="clear" w:color="auto" w:fill="auto"/>
            <w:vAlign w:val="center"/>
          </w:tcPr>
          <w:p w14:paraId="500BD74A" w14:textId="77777777" w:rsidR="000E40F4" w:rsidRPr="00280896" w:rsidRDefault="000E40F4" w:rsidP="00FD0109">
            <w:pPr>
              <w:pStyle w:val="TblTxtCenter"/>
            </w:pPr>
            <w:r>
              <w:t>7</w:t>
            </w:r>
          </w:p>
        </w:tc>
        <w:tc>
          <w:tcPr>
            <w:tcW w:w="1030" w:type="dxa"/>
            <w:tcBorders>
              <w:top w:val="single" w:sz="6" w:space="0" w:color="auto"/>
              <w:left w:val="single" w:sz="6" w:space="0" w:color="auto"/>
              <w:bottom w:val="single" w:sz="6" w:space="0" w:color="auto"/>
              <w:right w:val="single" w:sz="6" w:space="0" w:color="auto"/>
            </w:tcBorders>
            <w:shd w:val="clear" w:color="auto" w:fill="auto"/>
            <w:vAlign w:val="center"/>
          </w:tcPr>
          <w:p w14:paraId="714F2246" w14:textId="77777777" w:rsidR="000E40F4" w:rsidRPr="00280896" w:rsidRDefault="000E40F4" w:rsidP="00FD0109">
            <w:pPr>
              <w:pStyle w:val="TblTxtCenter"/>
            </w:pPr>
            <w:r>
              <w:t>89</w:t>
            </w:r>
          </w:p>
        </w:tc>
        <w:tc>
          <w:tcPr>
            <w:tcW w:w="1030" w:type="dxa"/>
            <w:tcBorders>
              <w:top w:val="single" w:sz="6" w:space="0" w:color="auto"/>
              <w:left w:val="single" w:sz="6" w:space="0" w:color="auto"/>
              <w:bottom w:val="single" w:sz="6" w:space="0" w:color="auto"/>
              <w:right w:val="single" w:sz="6" w:space="0" w:color="auto"/>
            </w:tcBorders>
            <w:shd w:val="clear" w:color="auto" w:fill="auto"/>
            <w:vAlign w:val="center"/>
          </w:tcPr>
          <w:p w14:paraId="03E2C2F5" w14:textId="77777777" w:rsidR="000E40F4" w:rsidRPr="00280896" w:rsidRDefault="000E40F4" w:rsidP="00FD0109">
            <w:pPr>
              <w:pStyle w:val="TblTxtCenter"/>
            </w:pPr>
            <w:r>
              <w:t>57</w:t>
            </w:r>
          </w:p>
        </w:tc>
        <w:tc>
          <w:tcPr>
            <w:tcW w:w="1030" w:type="dxa"/>
            <w:tcBorders>
              <w:top w:val="single" w:sz="6" w:space="0" w:color="auto"/>
              <w:left w:val="single" w:sz="6" w:space="0" w:color="auto"/>
              <w:bottom w:val="single" w:sz="6" w:space="0" w:color="auto"/>
              <w:right w:val="single" w:sz="6" w:space="0" w:color="auto"/>
            </w:tcBorders>
            <w:shd w:val="clear" w:color="auto" w:fill="auto"/>
            <w:vAlign w:val="center"/>
          </w:tcPr>
          <w:p w14:paraId="2D5DD74B" w14:textId="77777777" w:rsidR="000E40F4" w:rsidRDefault="000E40F4" w:rsidP="00FD0109">
            <w:pPr>
              <w:pStyle w:val="TblTxtCenter"/>
            </w:pPr>
            <w:r>
              <w:t>&lt;1</w:t>
            </w:r>
          </w:p>
        </w:tc>
        <w:tc>
          <w:tcPr>
            <w:tcW w:w="1030" w:type="dxa"/>
            <w:tcBorders>
              <w:top w:val="single" w:sz="6" w:space="0" w:color="auto"/>
              <w:left w:val="single" w:sz="6" w:space="0" w:color="auto"/>
              <w:bottom w:val="single" w:sz="6" w:space="0" w:color="auto"/>
              <w:right w:val="single" w:sz="6" w:space="0" w:color="auto"/>
            </w:tcBorders>
            <w:shd w:val="clear" w:color="auto" w:fill="auto"/>
            <w:vAlign w:val="center"/>
          </w:tcPr>
          <w:p w14:paraId="04192B1F" w14:textId="77777777" w:rsidR="000E40F4" w:rsidRPr="00374CB0" w:rsidRDefault="000E40F4" w:rsidP="00FD0109">
            <w:pPr>
              <w:pStyle w:val="TblTxtCenter"/>
            </w:pPr>
            <w:r>
              <w:t>8</w:t>
            </w:r>
          </w:p>
        </w:tc>
        <w:tc>
          <w:tcPr>
            <w:tcW w:w="1030" w:type="dxa"/>
            <w:tcBorders>
              <w:top w:val="single" w:sz="6" w:space="0" w:color="auto"/>
              <w:left w:val="single" w:sz="6" w:space="0" w:color="auto"/>
              <w:bottom w:val="single" w:sz="6" w:space="0" w:color="auto"/>
            </w:tcBorders>
            <w:shd w:val="clear" w:color="auto" w:fill="auto"/>
            <w:vAlign w:val="center"/>
          </w:tcPr>
          <w:p w14:paraId="5497F3B1" w14:textId="77777777" w:rsidR="000E40F4" w:rsidRPr="00374CB0" w:rsidRDefault="000E40F4" w:rsidP="00FD0109">
            <w:pPr>
              <w:pStyle w:val="TblTxtCenter"/>
            </w:pPr>
            <w:r>
              <w:t>4</w:t>
            </w:r>
          </w:p>
        </w:tc>
      </w:tr>
      <w:tr w:rsidR="000E40F4" w:rsidRPr="006F1801" w14:paraId="2EEC625D" w14:textId="77777777" w:rsidTr="00883261">
        <w:trPr>
          <w:trHeight w:val="214"/>
          <w:jc w:val="center"/>
        </w:trPr>
        <w:tc>
          <w:tcPr>
            <w:tcW w:w="3240" w:type="dxa"/>
            <w:tcBorders>
              <w:top w:val="single" w:sz="6" w:space="0" w:color="auto"/>
              <w:bottom w:val="single" w:sz="6" w:space="0" w:color="auto"/>
              <w:right w:val="single" w:sz="12" w:space="0" w:color="auto"/>
            </w:tcBorders>
            <w:shd w:val="clear" w:color="auto" w:fill="auto"/>
          </w:tcPr>
          <w:p w14:paraId="3735432C" w14:textId="77777777" w:rsidR="000E40F4" w:rsidRDefault="000E40F4" w:rsidP="00FD0109">
            <w:pPr>
              <w:pStyle w:val="TblTxt"/>
            </w:pPr>
            <w:r w:rsidRPr="0055116F">
              <w:t>Building Construction &amp; Rough Grading</w:t>
            </w:r>
          </w:p>
        </w:tc>
        <w:tc>
          <w:tcPr>
            <w:tcW w:w="1030" w:type="dxa"/>
            <w:tcBorders>
              <w:top w:val="single" w:sz="6" w:space="0" w:color="auto"/>
              <w:left w:val="single" w:sz="12" w:space="0" w:color="auto"/>
              <w:bottom w:val="single" w:sz="6" w:space="0" w:color="auto"/>
              <w:right w:val="single" w:sz="6" w:space="0" w:color="auto"/>
            </w:tcBorders>
            <w:shd w:val="clear" w:color="auto" w:fill="auto"/>
            <w:vAlign w:val="center"/>
          </w:tcPr>
          <w:p w14:paraId="115ECF58" w14:textId="77777777" w:rsidR="000E40F4" w:rsidRPr="00280896" w:rsidRDefault="000E40F4" w:rsidP="00FD0109">
            <w:pPr>
              <w:pStyle w:val="TblTxtCenter"/>
            </w:pPr>
            <w:r>
              <w:t>6</w:t>
            </w:r>
          </w:p>
        </w:tc>
        <w:tc>
          <w:tcPr>
            <w:tcW w:w="1030" w:type="dxa"/>
            <w:tcBorders>
              <w:top w:val="single" w:sz="6" w:space="0" w:color="auto"/>
              <w:left w:val="single" w:sz="6" w:space="0" w:color="auto"/>
              <w:bottom w:val="single" w:sz="6" w:space="0" w:color="auto"/>
              <w:right w:val="single" w:sz="6" w:space="0" w:color="auto"/>
            </w:tcBorders>
            <w:shd w:val="clear" w:color="auto" w:fill="auto"/>
            <w:vAlign w:val="center"/>
          </w:tcPr>
          <w:p w14:paraId="7D452D12" w14:textId="77777777" w:rsidR="000E40F4" w:rsidRPr="00280896" w:rsidRDefault="000E40F4" w:rsidP="00FD0109">
            <w:pPr>
              <w:pStyle w:val="TblTxtCenter"/>
            </w:pPr>
            <w:r>
              <w:t>85</w:t>
            </w:r>
          </w:p>
        </w:tc>
        <w:tc>
          <w:tcPr>
            <w:tcW w:w="1030" w:type="dxa"/>
            <w:tcBorders>
              <w:top w:val="single" w:sz="6" w:space="0" w:color="auto"/>
              <w:left w:val="single" w:sz="6" w:space="0" w:color="auto"/>
              <w:bottom w:val="single" w:sz="6" w:space="0" w:color="auto"/>
              <w:right w:val="single" w:sz="6" w:space="0" w:color="auto"/>
            </w:tcBorders>
            <w:shd w:val="clear" w:color="auto" w:fill="auto"/>
            <w:vAlign w:val="center"/>
          </w:tcPr>
          <w:p w14:paraId="61DEFE07" w14:textId="77777777" w:rsidR="000E40F4" w:rsidRPr="00280896" w:rsidRDefault="000E40F4" w:rsidP="00FD0109">
            <w:pPr>
              <w:pStyle w:val="TblTxtCenter"/>
            </w:pPr>
            <w:r>
              <w:t>54</w:t>
            </w:r>
          </w:p>
        </w:tc>
        <w:tc>
          <w:tcPr>
            <w:tcW w:w="1030" w:type="dxa"/>
            <w:tcBorders>
              <w:top w:val="single" w:sz="6" w:space="0" w:color="auto"/>
              <w:left w:val="single" w:sz="6" w:space="0" w:color="auto"/>
              <w:bottom w:val="single" w:sz="6" w:space="0" w:color="auto"/>
              <w:right w:val="single" w:sz="6" w:space="0" w:color="auto"/>
            </w:tcBorders>
            <w:shd w:val="clear" w:color="auto" w:fill="auto"/>
            <w:vAlign w:val="center"/>
          </w:tcPr>
          <w:p w14:paraId="42C4415D" w14:textId="77777777" w:rsidR="000E40F4" w:rsidRDefault="000E40F4" w:rsidP="00FD0109">
            <w:pPr>
              <w:pStyle w:val="TblTxtCenter"/>
            </w:pPr>
            <w:r>
              <w:t>&lt;1</w:t>
            </w:r>
          </w:p>
        </w:tc>
        <w:tc>
          <w:tcPr>
            <w:tcW w:w="1030" w:type="dxa"/>
            <w:tcBorders>
              <w:top w:val="single" w:sz="6" w:space="0" w:color="auto"/>
              <w:left w:val="single" w:sz="6" w:space="0" w:color="auto"/>
              <w:bottom w:val="single" w:sz="6" w:space="0" w:color="auto"/>
              <w:right w:val="single" w:sz="6" w:space="0" w:color="auto"/>
            </w:tcBorders>
            <w:shd w:val="clear" w:color="auto" w:fill="auto"/>
            <w:vAlign w:val="center"/>
          </w:tcPr>
          <w:p w14:paraId="7E0C590F" w14:textId="77777777" w:rsidR="000E40F4" w:rsidRPr="00374CB0" w:rsidRDefault="000E40F4" w:rsidP="00FD0109">
            <w:pPr>
              <w:pStyle w:val="TblTxtCenter"/>
            </w:pPr>
            <w:r>
              <w:t>8</w:t>
            </w:r>
          </w:p>
        </w:tc>
        <w:tc>
          <w:tcPr>
            <w:tcW w:w="1030" w:type="dxa"/>
            <w:tcBorders>
              <w:top w:val="single" w:sz="6" w:space="0" w:color="auto"/>
              <w:left w:val="single" w:sz="6" w:space="0" w:color="auto"/>
              <w:bottom w:val="single" w:sz="6" w:space="0" w:color="auto"/>
            </w:tcBorders>
            <w:shd w:val="clear" w:color="auto" w:fill="auto"/>
            <w:vAlign w:val="center"/>
          </w:tcPr>
          <w:p w14:paraId="3AC19135" w14:textId="77777777" w:rsidR="000E40F4" w:rsidRPr="00374CB0" w:rsidRDefault="000E40F4" w:rsidP="00FD0109">
            <w:pPr>
              <w:pStyle w:val="TblTxtCenter"/>
            </w:pPr>
            <w:r>
              <w:t>3</w:t>
            </w:r>
          </w:p>
        </w:tc>
      </w:tr>
      <w:tr w:rsidR="000E40F4" w:rsidRPr="006F1801" w14:paraId="05323A4D" w14:textId="77777777" w:rsidTr="00883261">
        <w:trPr>
          <w:trHeight w:val="214"/>
          <w:jc w:val="center"/>
        </w:trPr>
        <w:tc>
          <w:tcPr>
            <w:tcW w:w="3240" w:type="dxa"/>
            <w:tcBorders>
              <w:top w:val="single" w:sz="6" w:space="0" w:color="auto"/>
              <w:bottom w:val="single" w:sz="6" w:space="0" w:color="auto"/>
              <w:right w:val="single" w:sz="12" w:space="0" w:color="auto"/>
            </w:tcBorders>
            <w:shd w:val="clear" w:color="auto" w:fill="auto"/>
          </w:tcPr>
          <w:p w14:paraId="3D8667E5" w14:textId="77777777" w:rsidR="000E40F4" w:rsidRDefault="000E40F4" w:rsidP="00FD0109">
            <w:pPr>
              <w:pStyle w:val="TblTxt"/>
            </w:pPr>
            <w:r w:rsidRPr="0055116F">
              <w:t>Building Construction, Rough Grading, &amp; Utility Trenching</w:t>
            </w:r>
          </w:p>
        </w:tc>
        <w:tc>
          <w:tcPr>
            <w:tcW w:w="1030" w:type="dxa"/>
            <w:tcBorders>
              <w:top w:val="single" w:sz="6" w:space="0" w:color="auto"/>
              <w:left w:val="single" w:sz="12" w:space="0" w:color="auto"/>
              <w:bottom w:val="single" w:sz="6" w:space="0" w:color="auto"/>
              <w:right w:val="single" w:sz="6" w:space="0" w:color="auto"/>
            </w:tcBorders>
            <w:shd w:val="clear" w:color="auto" w:fill="auto"/>
            <w:vAlign w:val="center"/>
          </w:tcPr>
          <w:p w14:paraId="684C9B6C" w14:textId="77777777" w:rsidR="000E40F4" w:rsidRPr="00280896" w:rsidRDefault="000E40F4" w:rsidP="00FD0109">
            <w:pPr>
              <w:pStyle w:val="TblTxtCenter"/>
            </w:pPr>
            <w:r>
              <w:t>6</w:t>
            </w:r>
          </w:p>
        </w:tc>
        <w:tc>
          <w:tcPr>
            <w:tcW w:w="1030" w:type="dxa"/>
            <w:tcBorders>
              <w:top w:val="single" w:sz="6" w:space="0" w:color="auto"/>
              <w:left w:val="single" w:sz="6" w:space="0" w:color="auto"/>
              <w:bottom w:val="single" w:sz="6" w:space="0" w:color="auto"/>
              <w:right w:val="single" w:sz="6" w:space="0" w:color="auto"/>
            </w:tcBorders>
            <w:shd w:val="clear" w:color="auto" w:fill="auto"/>
            <w:vAlign w:val="center"/>
          </w:tcPr>
          <w:p w14:paraId="5DF37944" w14:textId="77777777" w:rsidR="000E40F4" w:rsidRPr="00280896" w:rsidRDefault="000E40F4" w:rsidP="00FD0109">
            <w:pPr>
              <w:pStyle w:val="TblTxtCenter"/>
            </w:pPr>
            <w:r>
              <w:t>88</w:t>
            </w:r>
          </w:p>
        </w:tc>
        <w:tc>
          <w:tcPr>
            <w:tcW w:w="1030" w:type="dxa"/>
            <w:tcBorders>
              <w:top w:val="single" w:sz="6" w:space="0" w:color="auto"/>
              <w:left w:val="single" w:sz="6" w:space="0" w:color="auto"/>
              <w:bottom w:val="single" w:sz="6" w:space="0" w:color="auto"/>
              <w:right w:val="single" w:sz="6" w:space="0" w:color="auto"/>
            </w:tcBorders>
            <w:shd w:val="clear" w:color="auto" w:fill="auto"/>
            <w:vAlign w:val="center"/>
          </w:tcPr>
          <w:p w14:paraId="60800948" w14:textId="77777777" w:rsidR="000E40F4" w:rsidRPr="00280896" w:rsidRDefault="000E40F4" w:rsidP="00FD0109">
            <w:pPr>
              <w:pStyle w:val="TblTxtCenter"/>
            </w:pPr>
            <w:r>
              <w:t>57</w:t>
            </w:r>
          </w:p>
        </w:tc>
        <w:tc>
          <w:tcPr>
            <w:tcW w:w="1030" w:type="dxa"/>
            <w:tcBorders>
              <w:top w:val="single" w:sz="6" w:space="0" w:color="auto"/>
              <w:left w:val="single" w:sz="6" w:space="0" w:color="auto"/>
              <w:bottom w:val="single" w:sz="6" w:space="0" w:color="auto"/>
              <w:right w:val="single" w:sz="6" w:space="0" w:color="auto"/>
            </w:tcBorders>
            <w:shd w:val="clear" w:color="auto" w:fill="auto"/>
            <w:vAlign w:val="center"/>
          </w:tcPr>
          <w:p w14:paraId="2AF0F85B" w14:textId="77777777" w:rsidR="000E40F4" w:rsidRDefault="000E40F4" w:rsidP="00FD0109">
            <w:pPr>
              <w:pStyle w:val="TblTxtCenter"/>
            </w:pPr>
            <w:r>
              <w:t>&lt;1</w:t>
            </w:r>
          </w:p>
        </w:tc>
        <w:tc>
          <w:tcPr>
            <w:tcW w:w="1030" w:type="dxa"/>
            <w:tcBorders>
              <w:top w:val="single" w:sz="6" w:space="0" w:color="auto"/>
              <w:left w:val="single" w:sz="6" w:space="0" w:color="auto"/>
              <w:bottom w:val="single" w:sz="6" w:space="0" w:color="auto"/>
              <w:right w:val="single" w:sz="6" w:space="0" w:color="auto"/>
            </w:tcBorders>
            <w:shd w:val="clear" w:color="auto" w:fill="auto"/>
            <w:vAlign w:val="center"/>
          </w:tcPr>
          <w:p w14:paraId="797495CB" w14:textId="77777777" w:rsidR="000E40F4" w:rsidRPr="00374CB0" w:rsidRDefault="000E40F4" w:rsidP="00FD0109">
            <w:pPr>
              <w:pStyle w:val="TblTxtCenter"/>
            </w:pPr>
            <w:r>
              <w:t>8</w:t>
            </w:r>
          </w:p>
        </w:tc>
        <w:tc>
          <w:tcPr>
            <w:tcW w:w="1030" w:type="dxa"/>
            <w:tcBorders>
              <w:top w:val="single" w:sz="6" w:space="0" w:color="auto"/>
              <w:left w:val="single" w:sz="6" w:space="0" w:color="auto"/>
              <w:bottom w:val="single" w:sz="6" w:space="0" w:color="auto"/>
            </w:tcBorders>
            <w:shd w:val="clear" w:color="auto" w:fill="auto"/>
            <w:vAlign w:val="center"/>
          </w:tcPr>
          <w:p w14:paraId="08A38BAE" w14:textId="77777777" w:rsidR="000E40F4" w:rsidRPr="00374CB0" w:rsidRDefault="000E40F4" w:rsidP="00FD0109">
            <w:pPr>
              <w:pStyle w:val="TblTxtCenter"/>
            </w:pPr>
            <w:r>
              <w:t>4</w:t>
            </w:r>
          </w:p>
        </w:tc>
      </w:tr>
      <w:tr w:rsidR="000E40F4" w:rsidRPr="006F1801" w14:paraId="02D01153" w14:textId="77777777" w:rsidTr="00883261">
        <w:trPr>
          <w:trHeight w:val="214"/>
          <w:jc w:val="center"/>
        </w:trPr>
        <w:tc>
          <w:tcPr>
            <w:tcW w:w="3240" w:type="dxa"/>
            <w:tcBorders>
              <w:top w:val="single" w:sz="6" w:space="0" w:color="auto"/>
              <w:bottom w:val="single" w:sz="6" w:space="0" w:color="auto"/>
              <w:right w:val="single" w:sz="12" w:space="0" w:color="auto"/>
            </w:tcBorders>
            <w:shd w:val="clear" w:color="auto" w:fill="auto"/>
          </w:tcPr>
          <w:p w14:paraId="72F35644" w14:textId="77777777" w:rsidR="000E40F4" w:rsidRDefault="000E40F4" w:rsidP="00FD0109">
            <w:pPr>
              <w:pStyle w:val="TblTxt"/>
            </w:pPr>
            <w:r w:rsidRPr="0055116F">
              <w:t>Building Construction &amp; Utility Trenching</w:t>
            </w:r>
          </w:p>
        </w:tc>
        <w:tc>
          <w:tcPr>
            <w:tcW w:w="1030" w:type="dxa"/>
            <w:tcBorders>
              <w:top w:val="single" w:sz="6" w:space="0" w:color="auto"/>
              <w:left w:val="single" w:sz="12" w:space="0" w:color="auto"/>
              <w:bottom w:val="single" w:sz="6" w:space="0" w:color="auto"/>
              <w:right w:val="single" w:sz="6" w:space="0" w:color="auto"/>
            </w:tcBorders>
            <w:shd w:val="clear" w:color="auto" w:fill="auto"/>
            <w:vAlign w:val="center"/>
          </w:tcPr>
          <w:p w14:paraId="7C4154AD" w14:textId="77777777" w:rsidR="000E40F4" w:rsidRPr="00280896" w:rsidRDefault="000E40F4" w:rsidP="00FD0109">
            <w:pPr>
              <w:pStyle w:val="TblTxtCenter"/>
            </w:pPr>
            <w:r>
              <w:t>1</w:t>
            </w:r>
          </w:p>
        </w:tc>
        <w:tc>
          <w:tcPr>
            <w:tcW w:w="1030" w:type="dxa"/>
            <w:tcBorders>
              <w:top w:val="single" w:sz="6" w:space="0" w:color="auto"/>
              <w:left w:val="single" w:sz="6" w:space="0" w:color="auto"/>
              <w:bottom w:val="single" w:sz="6" w:space="0" w:color="auto"/>
              <w:right w:val="single" w:sz="6" w:space="0" w:color="auto"/>
            </w:tcBorders>
            <w:shd w:val="clear" w:color="auto" w:fill="auto"/>
            <w:vAlign w:val="center"/>
          </w:tcPr>
          <w:p w14:paraId="715A794A" w14:textId="77777777" w:rsidR="000E40F4" w:rsidRPr="00280896" w:rsidRDefault="000E40F4" w:rsidP="00FD0109">
            <w:pPr>
              <w:pStyle w:val="TblTxtCenter"/>
            </w:pPr>
            <w:r>
              <w:t>11</w:t>
            </w:r>
          </w:p>
        </w:tc>
        <w:tc>
          <w:tcPr>
            <w:tcW w:w="1030" w:type="dxa"/>
            <w:tcBorders>
              <w:top w:val="single" w:sz="6" w:space="0" w:color="auto"/>
              <w:left w:val="single" w:sz="6" w:space="0" w:color="auto"/>
              <w:bottom w:val="single" w:sz="6" w:space="0" w:color="auto"/>
              <w:right w:val="single" w:sz="6" w:space="0" w:color="auto"/>
            </w:tcBorders>
            <w:shd w:val="clear" w:color="auto" w:fill="auto"/>
            <w:vAlign w:val="center"/>
          </w:tcPr>
          <w:p w14:paraId="36EC033F" w14:textId="77777777" w:rsidR="000E40F4" w:rsidRPr="00280896" w:rsidRDefault="000E40F4" w:rsidP="00FD0109">
            <w:pPr>
              <w:pStyle w:val="TblTxtCenter"/>
            </w:pPr>
            <w:r>
              <w:t>18</w:t>
            </w:r>
          </w:p>
        </w:tc>
        <w:tc>
          <w:tcPr>
            <w:tcW w:w="1030" w:type="dxa"/>
            <w:tcBorders>
              <w:top w:val="single" w:sz="6" w:space="0" w:color="auto"/>
              <w:left w:val="single" w:sz="6" w:space="0" w:color="auto"/>
              <w:bottom w:val="single" w:sz="6" w:space="0" w:color="auto"/>
              <w:right w:val="single" w:sz="6" w:space="0" w:color="auto"/>
            </w:tcBorders>
            <w:shd w:val="clear" w:color="auto" w:fill="auto"/>
            <w:vAlign w:val="center"/>
          </w:tcPr>
          <w:p w14:paraId="17454901" w14:textId="77777777" w:rsidR="000E40F4" w:rsidRDefault="000E40F4" w:rsidP="00FD0109">
            <w:pPr>
              <w:pStyle w:val="TblTxtCenter"/>
            </w:pPr>
            <w:r>
              <w:t>&lt;1</w:t>
            </w:r>
          </w:p>
        </w:tc>
        <w:tc>
          <w:tcPr>
            <w:tcW w:w="1030" w:type="dxa"/>
            <w:tcBorders>
              <w:top w:val="single" w:sz="6" w:space="0" w:color="auto"/>
              <w:left w:val="single" w:sz="6" w:space="0" w:color="auto"/>
              <w:bottom w:val="single" w:sz="6" w:space="0" w:color="auto"/>
              <w:right w:val="single" w:sz="6" w:space="0" w:color="auto"/>
            </w:tcBorders>
            <w:shd w:val="clear" w:color="auto" w:fill="auto"/>
            <w:vAlign w:val="center"/>
          </w:tcPr>
          <w:p w14:paraId="580E58EB" w14:textId="77777777" w:rsidR="000E40F4" w:rsidRPr="00374CB0" w:rsidRDefault="000E40F4" w:rsidP="00FD0109">
            <w:pPr>
              <w:pStyle w:val="TblTxtCenter"/>
            </w:pPr>
            <w:r>
              <w:t>2</w:t>
            </w:r>
          </w:p>
        </w:tc>
        <w:tc>
          <w:tcPr>
            <w:tcW w:w="1030" w:type="dxa"/>
            <w:tcBorders>
              <w:top w:val="single" w:sz="6" w:space="0" w:color="auto"/>
              <w:left w:val="single" w:sz="6" w:space="0" w:color="auto"/>
              <w:bottom w:val="single" w:sz="6" w:space="0" w:color="auto"/>
            </w:tcBorders>
            <w:shd w:val="clear" w:color="auto" w:fill="auto"/>
            <w:vAlign w:val="center"/>
          </w:tcPr>
          <w:p w14:paraId="397619FF" w14:textId="77777777" w:rsidR="000E40F4" w:rsidRPr="00374CB0" w:rsidRDefault="000E40F4" w:rsidP="00FD0109">
            <w:pPr>
              <w:pStyle w:val="TblTxtCenter"/>
            </w:pPr>
            <w:r>
              <w:t>1</w:t>
            </w:r>
          </w:p>
        </w:tc>
      </w:tr>
      <w:tr w:rsidR="000E40F4" w:rsidRPr="006F1801" w14:paraId="733B7E3F" w14:textId="77777777" w:rsidTr="00883261">
        <w:trPr>
          <w:trHeight w:val="214"/>
          <w:jc w:val="center"/>
        </w:trPr>
        <w:tc>
          <w:tcPr>
            <w:tcW w:w="3240" w:type="dxa"/>
            <w:tcBorders>
              <w:top w:val="single" w:sz="6" w:space="0" w:color="auto"/>
              <w:bottom w:val="single" w:sz="6" w:space="0" w:color="auto"/>
              <w:right w:val="single" w:sz="12" w:space="0" w:color="auto"/>
            </w:tcBorders>
            <w:shd w:val="clear" w:color="auto" w:fill="auto"/>
          </w:tcPr>
          <w:p w14:paraId="03354DC9" w14:textId="77777777" w:rsidR="000E40F4" w:rsidRDefault="000E40F4" w:rsidP="00FD0109">
            <w:pPr>
              <w:pStyle w:val="TblTxt"/>
            </w:pPr>
            <w:r w:rsidRPr="0055116F">
              <w:t>Building Construction</w:t>
            </w:r>
          </w:p>
        </w:tc>
        <w:tc>
          <w:tcPr>
            <w:tcW w:w="1030" w:type="dxa"/>
            <w:tcBorders>
              <w:top w:val="single" w:sz="6" w:space="0" w:color="auto"/>
              <w:left w:val="single" w:sz="12" w:space="0" w:color="auto"/>
              <w:bottom w:val="single" w:sz="6" w:space="0" w:color="auto"/>
              <w:right w:val="single" w:sz="6" w:space="0" w:color="auto"/>
            </w:tcBorders>
            <w:shd w:val="clear" w:color="auto" w:fill="auto"/>
            <w:vAlign w:val="center"/>
          </w:tcPr>
          <w:p w14:paraId="2EF5C714" w14:textId="77777777" w:rsidR="000E40F4" w:rsidRPr="00280896" w:rsidRDefault="000E40F4" w:rsidP="00FD0109">
            <w:pPr>
              <w:pStyle w:val="TblTxtCenter"/>
            </w:pPr>
            <w:r>
              <w:t>1</w:t>
            </w:r>
          </w:p>
        </w:tc>
        <w:tc>
          <w:tcPr>
            <w:tcW w:w="1030" w:type="dxa"/>
            <w:tcBorders>
              <w:top w:val="single" w:sz="6" w:space="0" w:color="auto"/>
              <w:left w:val="single" w:sz="6" w:space="0" w:color="auto"/>
              <w:bottom w:val="single" w:sz="6" w:space="0" w:color="auto"/>
              <w:right w:val="single" w:sz="6" w:space="0" w:color="auto"/>
            </w:tcBorders>
            <w:shd w:val="clear" w:color="auto" w:fill="auto"/>
            <w:vAlign w:val="center"/>
          </w:tcPr>
          <w:p w14:paraId="25E31770" w14:textId="77777777" w:rsidR="000E40F4" w:rsidRPr="00280896" w:rsidRDefault="000E40F4" w:rsidP="00FD0109">
            <w:pPr>
              <w:pStyle w:val="TblTxtCenter"/>
            </w:pPr>
            <w:r>
              <w:t>9</w:t>
            </w:r>
          </w:p>
        </w:tc>
        <w:tc>
          <w:tcPr>
            <w:tcW w:w="1030" w:type="dxa"/>
            <w:tcBorders>
              <w:top w:val="single" w:sz="6" w:space="0" w:color="auto"/>
              <w:left w:val="single" w:sz="6" w:space="0" w:color="auto"/>
              <w:bottom w:val="single" w:sz="6" w:space="0" w:color="auto"/>
              <w:right w:val="single" w:sz="6" w:space="0" w:color="auto"/>
            </w:tcBorders>
            <w:shd w:val="clear" w:color="auto" w:fill="auto"/>
            <w:vAlign w:val="center"/>
          </w:tcPr>
          <w:p w14:paraId="1406F955" w14:textId="77777777" w:rsidR="000E40F4" w:rsidRPr="00280896" w:rsidRDefault="000E40F4" w:rsidP="00FD0109">
            <w:pPr>
              <w:pStyle w:val="TblTxtCenter"/>
            </w:pPr>
            <w:r>
              <w:t>14</w:t>
            </w:r>
          </w:p>
        </w:tc>
        <w:tc>
          <w:tcPr>
            <w:tcW w:w="1030" w:type="dxa"/>
            <w:tcBorders>
              <w:top w:val="single" w:sz="6" w:space="0" w:color="auto"/>
              <w:left w:val="single" w:sz="6" w:space="0" w:color="auto"/>
              <w:bottom w:val="single" w:sz="6" w:space="0" w:color="auto"/>
              <w:right w:val="single" w:sz="6" w:space="0" w:color="auto"/>
            </w:tcBorders>
            <w:shd w:val="clear" w:color="auto" w:fill="auto"/>
            <w:vAlign w:val="center"/>
          </w:tcPr>
          <w:p w14:paraId="6A97FCF4" w14:textId="77777777" w:rsidR="000E40F4" w:rsidRDefault="000E40F4" w:rsidP="00FD0109">
            <w:pPr>
              <w:pStyle w:val="TblTxtCenter"/>
            </w:pPr>
            <w:r>
              <w:t>&lt;1</w:t>
            </w:r>
          </w:p>
        </w:tc>
        <w:tc>
          <w:tcPr>
            <w:tcW w:w="1030" w:type="dxa"/>
            <w:tcBorders>
              <w:top w:val="single" w:sz="6" w:space="0" w:color="auto"/>
              <w:left w:val="single" w:sz="6" w:space="0" w:color="auto"/>
              <w:bottom w:val="single" w:sz="6" w:space="0" w:color="auto"/>
              <w:right w:val="single" w:sz="6" w:space="0" w:color="auto"/>
            </w:tcBorders>
            <w:shd w:val="clear" w:color="auto" w:fill="auto"/>
            <w:vAlign w:val="center"/>
          </w:tcPr>
          <w:p w14:paraId="63D01CFE" w14:textId="77777777" w:rsidR="000E40F4" w:rsidRPr="00374CB0" w:rsidRDefault="000E40F4" w:rsidP="00FD0109">
            <w:pPr>
              <w:pStyle w:val="TblTxtCenter"/>
            </w:pPr>
            <w:r>
              <w:t>2</w:t>
            </w:r>
          </w:p>
        </w:tc>
        <w:tc>
          <w:tcPr>
            <w:tcW w:w="1030" w:type="dxa"/>
            <w:tcBorders>
              <w:top w:val="single" w:sz="6" w:space="0" w:color="auto"/>
              <w:left w:val="single" w:sz="6" w:space="0" w:color="auto"/>
              <w:bottom w:val="single" w:sz="6" w:space="0" w:color="auto"/>
            </w:tcBorders>
            <w:shd w:val="clear" w:color="auto" w:fill="auto"/>
            <w:vAlign w:val="center"/>
          </w:tcPr>
          <w:p w14:paraId="41F51BE2" w14:textId="77777777" w:rsidR="000E40F4" w:rsidRPr="00374CB0" w:rsidRDefault="000E40F4" w:rsidP="00FD0109">
            <w:pPr>
              <w:pStyle w:val="TblTxtCenter"/>
            </w:pPr>
            <w:r>
              <w:t>1</w:t>
            </w:r>
          </w:p>
        </w:tc>
      </w:tr>
      <w:tr w:rsidR="000E40F4" w:rsidRPr="006F1801" w14:paraId="253059C1" w14:textId="77777777" w:rsidTr="00883261">
        <w:trPr>
          <w:trHeight w:val="214"/>
          <w:jc w:val="center"/>
        </w:trPr>
        <w:tc>
          <w:tcPr>
            <w:tcW w:w="3240" w:type="dxa"/>
            <w:tcBorders>
              <w:top w:val="single" w:sz="6" w:space="0" w:color="auto"/>
              <w:bottom w:val="single" w:sz="6" w:space="0" w:color="auto"/>
              <w:right w:val="single" w:sz="12" w:space="0" w:color="auto"/>
            </w:tcBorders>
            <w:shd w:val="clear" w:color="auto" w:fill="auto"/>
          </w:tcPr>
          <w:p w14:paraId="4C672C39" w14:textId="77777777" w:rsidR="000E40F4" w:rsidRDefault="000E40F4" w:rsidP="00FD0109">
            <w:pPr>
              <w:pStyle w:val="TblTxt"/>
            </w:pPr>
            <w:r w:rsidRPr="0055116F">
              <w:t>Building Construction &amp; Fine Grading</w:t>
            </w:r>
          </w:p>
        </w:tc>
        <w:tc>
          <w:tcPr>
            <w:tcW w:w="1030" w:type="dxa"/>
            <w:tcBorders>
              <w:top w:val="single" w:sz="6" w:space="0" w:color="auto"/>
              <w:left w:val="single" w:sz="12" w:space="0" w:color="auto"/>
              <w:bottom w:val="single" w:sz="6" w:space="0" w:color="auto"/>
              <w:right w:val="single" w:sz="6" w:space="0" w:color="auto"/>
            </w:tcBorders>
            <w:shd w:val="clear" w:color="auto" w:fill="auto"/>
            <w:vAlign w:val="center"/>
          </w:tcPr>
          <w:p w14:paraId="2D1871EE" w14:textId="77777777" w:rsidR="000E40F4" w:rsidRPr="00280896" w:rsidRDefault="000E40F4" w:rsidP="00FD0109">
            <w:pPr>
              <w:pStyle w:val="TblTxtCenter"/>
            </w:pPr>
            <w:r>
              <w:t>1</w:t>
            </w:r>
          </w:p>
        </w:tc>
        <w:tc>
          <w:tcPr>
            <w:tcW w:w="1030" w:type="dxa"/>
            <w:tcBorders>
              <w:top w:val="single" w:sz="6" w:space="0" w:color="auto"/>
              <w:left w:val="single" w:sz="6" w:space="0" w:color="auto"/>
              <w:bottom w:val="single" w:sz="6" w:space="0" w:color="auto"/>
              <w:right w:val="single" w:sz="6" w:space="0" w:color="auto"/>
            </w:tcBorders>
            <w:shd w:val="clear" w:color="auto" w:fill="auto"/>
            <w:vAlign w:val="center"/>
          </w:tcPr>
          <w:p w14:paraId="1DD78E88" w14:textId="77777777" w:rsidR="000E40F4" w:rsidRPr="00280896" w:rsidRDefault="000E40F4" w:rsidP="00FD0109">
            <w:pPr>
              <w:pStyle w:val="TblTxtCenter"/>
            </w:pPr>
            <w:r>
              <w:t>11</w:t>
            </w:r>
          </w:p>
        </w:tc>
        <w:tc>
          <w:tcPr>
            <w:tcW w:w="1030" w:type="dxa"/>
            <w:tcBorders>
              <w:top w:val="single" w:sz="6" w:space="0" w:color="auto"/>
              <w:left w:val="single" w:sz="6" w:space="0" w:color="auto"/>
              <w:bottom w:val="single" w:sz="6" w:space="0" w:color="auto"/>
              <w:right w:val="single" w:sz="6" w:space="0" w:color="auto"/>
            </w:tcBorders>
            <w:shd w:val="clear" w:color="auto" w:fill="auto"/>
            <w:vAlign w:val="center"/>
          </w:tcPr>
          <w:p w14:paraId="7183AD6D" w14:textId="77777777" w:rsidR="000E40F4" w:rsidRPr="00280896" w:rsidRDefault="000E40F4" w:rsidP="00FD0109">
            <w:pPr>
              <w:pStyle w:val="TblTxtCenter"/>
            </w:pPr>
            <w:r>
              <w:t>17</w:t>
            </w:r>
          </w:p>
        </w:tc>
        <w:tc>
          <w:tcPr>
            <w:tcW w:w="1030" w:type="dxa"/>
            <w:tcBorders>
              <w:top w:val="single" w:sz="6" w:space="0" w:color="auto"/>
              <w:left w:val="single" w:sz="6" w:space="0" w:color="auto"/>
              <w:bottom w:val="single" w:sz="6" w:space="0" w:color="auto"/>
              <w:right w:val="single" w:sz="6" w:space="0" w:color="auto"/>
            </w:tcBorders>
            <w:shd w:val="clear" w:color="auto" w:fill="auto"/>
            <w:vAlign w:val="center"/>
          </w:tcPr>
          <w:p w14:paraId="63A12D60" w14:textId="77777777" w:rsidR="000E40F4" w:rsidRDefault="000E40F4" w:rsidP="00FD0109">
            <w:pPr>
              <w:pStyle w:val="TblTxtCenter"/>
            </w:pPr>
            <w:r>
              <w:t>&lt;1</w:t>
            </w:r>
          </w:p>
        </w:tc>
        <w:tc>
          <w:tcPr>
            <w:tcW w:w="1030" w:type="dxa"/>
            <w:tcBorders>
              <w:top w:val="single" w:sz="6" w:space="0" w:color="auto"/>
              <w:left w:val="single" w:sz="6" w:space="0" w:color="auto"/>
              <w:bottom w:val="single" w:sz="6" w:space="0" w:color="auto"/>
              <w:right w:val="single" w:sz="6" w:space="0" w:color="auto"/>
            </w:tcBorders>
            <w:shd w:val="clear" w:color="auto" w:fill="auto"/>
            <w:vAlign w:val="center"/>
          </w:tcPr>
          <w:p w14:paraId="3956A29A" w14:textId="77777777" w:rsidR="000E40F4" w:rsidRPr="00374CB0" w:rsidRDefault="000E40F4" w:rsidP="00FD0109">
            <w:pPr>
              <w:pStyle w:val="TblTxtCenter"/>
            </w:pPr>
            <w:r>
              <w:t>2</w:t>
            </w:r>
          </w:p>
        </w:tc>
        <w:tc>
          <w:tcPr>
            <w:tcW w:w="1030" w:type="dxa"/>
            <w:tcBorders>
              <w:top w:val="single" w:sz="6" w:space="0" w:color="auto"/>
              <w:left w:val="single" w:sz="6" w:space="0" w:color="auto"/>
              <w:bottom w:val="single" w:sz="6" w:space="0" w:color="auto"/>
            </w:tcBorders>
            <w:shd w:val="clear" w:color="auto" w:fill="auto"/>
            <w:vAlign w:val="center"/>
          </w:tcPr>
          <w:p w14:paraId="4BA8C8E8" w14:textId="77777777" w:rsidR="000E40F4" w:rsidRPr="00374CB0" w:rsidRDefault="000E40F4" w:rsidP="00FD0109">
            <w:pPr>
              <w:pStyle w:val="TblTxtCenter"/>
            </w:pPr>
            <w:r>
              <w:t>1</w:t>
            </w:r>
          </w:p>
        </w:tc>
      </w:tr>
      <w:tr w:rsidR="000E40F4" w:rsidRPr="006F1801" w14:paraId="0739B7A0" w14:textId="77777777" w:rsidTr="00883261">
        <w:trPr>
          <w:trHeight w:val="214"/>
          <w:jc w:val="center"/>
        </w:trPr>
        <w:tc>
          <w:tcPr>
            <w:tcW w:w="3240" w:type="dxa"/>
            <w:tcBorders>
              <w:top w:val="single" w:sz="6" w:space="0" w:color="auto"/>
              <w:bottom w:val="single" w:sz="6" w:space="0" w:color="auto"/>
              <w:right w:val="single" w:sz="12" w:space="0" w:color="auto"/>
            </w:tcBorders>
            <w:shd w:val="clear" w:color="auto" w:fill="auto"/>
          </w:tcPr>
          <w:p w14:paraId="4AF0030D" w14:textId="77777777" w:rsidR="000E40F4" w:rsidRDefault="000E40F4" w:rsidP="00FD0109">
            <w:pPr>
              <w:pStyle w:val="TblTxt"/>
            </w:pPr>
            <w:r w:rsidRPr="0055116F">
              <w:t>Building Construction &amp; Architectural Coating</w:t>
            </w:r>
          </w:p>
        </w:tc>
        <w:tc>
          <w:tcPr>
            <w:tcW w:w="1030" w:type="dxa"/>
            <w:tcBorders>
              <w:top w:val="single" w:sz="6" w:space="0" w:color="auto"/>
              <w:left w:val="single" w:sz="12" w:space="0" w:color="auto"/>
              <w:bottom w:val="single" w:sz="6" w:space="0" w:color="auto"/>
              <w:right w:val="single" w:sz="6" w:space="0" w:color="auto"/>
            </w:tcBorders>
            <w:shd w:val="clear" w:color="auto" w:fill="auto"/>
            <w:vAlign w:val="center"/>
          </w:tcPr>
          <w:p w14:paraId="74B1DD91" w14:textId="77777777" w:rsidR="000E40F4" w:rsidRPr="00280896" w:rsidRDefault="000E40F4" w:rsidP="00FD0109">
            <w:pPr>
              <w:pStyle w:val="TblTxtCenter"/>
            </w:pPr>
            <w:r>
              <w:t>60</w:t>
            </w:r>
          </w:p>
        </w:tc>
        <w:tc>
          <w:tcPr>
            <w:tcW w:w="1030" w:type="dxa"/>
            <w:tcBorders>
              <w:top w:val="single" w:sz="6" w:space="0" w:color="auto"/>
              <w:left w:val="single" w:sz="6" w:space="0" w:color="auto"/>
              <w:bottom w:val="single" w:sz="6" w:space="0" w:color="auto"/>
              <w:right w:val="single" w:sz="6" w:space="0" w:color="auto"/>
            </w:tcBorders>
            <w:shd w:val="clear" w:color="auto" w:fill="auto"/>
            <w:vAlign w:val="center"/>
          </w:tcPr>
          <w:p w14:paraId="668DE754" w14:textId="77777777" w:rsidR="000E40F4" w:rsidRPr="00280896" w:rsidRDefault="000E40F4" w:rsidP="00FD0109">
            <w:pPr>
              <w:pStyle w:val="TblTxtCenter"/>
            </w:pPr>
            <w:r>
              <w:t>12</w:t>
            </w:r>
          </w:p>
        </w:tc>
        <w:tc>
          <w:tcPr>
            <w:tcW w:w="1030" w:type="dxa"/>
            <w:tcBorders>
              <w:top w:val="single" w:sz="6" w:space="0" w:color="auto"/>
              <w:left w:val="single" w:sz="6" w:space="0" w:color="auto"/>
              <w:bottom w:val="single" w:sz="6" w:space="0" w:color="auto"/>
              <w:right w:val="single" w:sz="6" w:space="0" w:color="auto"/>
            </w:tcBorders>
            <w:shd w:val="clear" w:color="auto" w:fill="auto"/>
            <w:vAlign w:val="center"/>
          </w:tcPr>
          <w:p w14:paraId="6CF071D5" w14:textId="77777777" w:rsidR="000E40F4" w:rsidRPr="00280896" w:rsidRDefault="000E40F4" w:rsidP="00FD0109">
            <w:pPr>
              <w:pStyle w:val="TblTxtCenter"/>
            </w:pPr>
            <w:r>
              <w:t>21</w:t>
            </w:r>
          </w:p>
        </w:tc>
        <w:tc>
          <w:tcPr>
            <w:tcW w:w="1030" w:type="dxa"/>
            <w:tcBorders>
              <w:top w:val="single" w:sz="6" w:space="0" w:color="auto"/>
              <w:left w:val="single" w:sz="6" w:space="0" w:color="auto"/>
              <w:bottom w:val="single" w:sz="6" w:space="0" w:color="auto"/>
              <w:right w:val="single" w:sz="6" w:space="0" w:color="auto"/>
            </w:tcBorders>
            <w:shd w:val="clear" w:color="auto" w:fill="auto"/>
            <w:vAlign w:val="center"/>
          </w:tcPr>
          <w:p w14:paraId="5F4BDCEE" w14:textId="77777777" w:rsidR="000E40F4" w:rsidRDefault="000E40F4" w:rsidP="00FD0109">
            <w:pPr>
              <w:pStyle w:val="TblTxtCenter"/>
            </w:pPr>
            <w:r>
              <w:t>&lt;1</w:t>
            </w:r>
          </w:p>
        </w:tc>
        <w:tc>
          <w:tcPr>
            <w:tcW w:w="1030" w:type="dxa"/>
            <w:tcBorders>
              <w:top w:val="single" w:sz="6" w:space="0" w:color="auto"/>
              <w:left w:val="single" w:sz="6" w:space="0" w:color="auto"/>
              <w:bottom w:val="single" w:sz="6" w:space="0" w:color="auto"/>
              <w:right w:val="single" w:sz="6" w:space="0" w:color="auto"/>
            </w:tcBorders>
            <w:shd w:val="clear" w:color="auto" w:fill="auto"/>
            <w:vAlign w:val="center"/>
          </w:tcPr>
          <w:p w14:paraId="7C678DAB" w14:textId="77777777" w:rsidR="000E40F4" w:rsidRPr="00374CB0" w:rsidRDefault="000E40F4" w:rsidP="00FD0109">
            <w:pPr>
              <w:pStyle w:val="TblTxtCenter"/>
            </w:pPr>
            <w:r>
              <w:t>2</w:t>
            </w:r>
          </w:p>
        </w:tc>
        <w:tc>
          <w:tcPr>
            <w:tcW w:w="1030" w:type="dxa"/>
            <w:tcBorders>
              <w:top w:val="single" w:sz="6" w:space="0" w:color="auto"/>
              <w:left w:val="single" w:sz="6" w:space="0" w:color="auto"/>
              <w:bottom w:val="single" w:sz="6" w:space="0" w:color="auto"/>
            </w:tcBorders>
            <w:shd w:val="clear" w:color="auto" w:fill="auto"/>
            <w:vAlign w:val="center"/>
          </w:tcPr>
          <w:p w14:paraId="2BB2D8F3" w14:textId="77777777" w:rsidR="000E40F4" w:rsidRPr="00374CB0" w:rsidRDefault="000E40F4" w:rsidP="00FD0109">
            <w:pPr>
              <w:pStyle w:val="TblTxtCenter"/>
            </w:pPr>
            <w:r>
              <w:t>1</w:t>
            </w:r>
          </w:p>
        </w:tc>
      </w:tr>
      <w:tr w:rsidR="000E40F4" w:rsidRPr="006F1801" w14:paraId="02BE674C" w14:textId="77777777" w:rsidTr="00883261">
        <w:trPr>
          <w:trHeight w:val="214"/>
          <w:jc w:val="center"/>
        </w:trPr>
        <w:tc>
          <w:tcPr>
            <w:tcW w:w="3240" w:type="dxa"/>
            <w:tcBorders>
              <w:top w:val="single" w:sz="6" w:space="0" w:color="auto"/>
              <w:bottom w:val="single" w:sz="6" w:space="0" w:color="auto"/>
              <w:right w:val="single" w:sz="12" w:space="0" w:color="auto"/>
            </w:tcBorders>
            <w:shd w:val="clear" w:color="auto" w:fill="auto"/>
          </w:tcPr>
          <w:p w14:paraId="4C462454" w14:textId="77777777" w:rsidR="000E40F4" w:rsidRDefault="000E40F4" w:rsidP="00FD0109">
            <w:pPr>
              <w:pStyle w:val="TblTxt"/>
            </w:pPr>
            <w:r w:rsidRPr="0055116F">
              <w:t>Building Construction &amp; Finishing/Landscaping</w:t>
            </w:r>
          </w:p>
        </w:tc>
        <w:tc>
          <w:tcPr>
            <w:tcW w:w="1030" w:type="dxa"/>
            <w:tcBorders>
              <w:top w:val="single" w:sz="6" w:space="0" w:color="auto"/>
              <w:left w:val="single" w:sz="12" w:space="0" w:color="auto"/>
              <w:bottom w:val="single" w:sz="6" w:space="0" w:color="auto"/>
              <w:right w:val="single" w:sz="6" w:space="0" w:color="auto"/>
            </w:tcBorders>
            <w:shd w:val="clear" w:color="auto" w:fill="auto"/>
            <w:vAlign w:val="center"/>
          </w:tcPr>
          <w:p w14:paraId="39EC94FD" w14:textId="77777777" w:rsidR="000E40F4" w:rsidRPr="00B944F0" w:rsidRDefault="000E40F4" w:rsidP="00FD0109">
            <w:pPr>
              <w:pStyle w:val="TblTxtCenter"/>
            </w:pPr>
            <w:r w:rsidRPr="00B944F0">
              <w:t>1</w:t>
            </w:r>
          </w:p>
        </w:tc>
        <w:tc>
          <w:tcPr>
            <w:tcW w:w="1030" w:type="dxa"/>
            <w:tcBorders>
              <w:top w:val="single" w:sz="6" w:space="0" w:color="auto"/>
              <w:left w:val="single" w:sz="6" w:space="0" w:color="auto"/>
              <w:bottom w:val="single" w:sz="6" w:space="0" w:color="auto"/>
              <w:right w:val="single" w:sz="6" w:space="0" w:color="auto"/>
            </w:tcBorders>
            <w:shd w:val="clear" w:color="auto" w:fill="auto"/>
            <w:vAlign w:val="center"/>
          </w:tcPr>
          <w:p w14:paraId="441C8C05" w14:textId="77777777" w:rsidR="000E40F4" w:rsidRPr="00B944F0" w:rsidRDefault="000E40F4" w:rsidP="00FD0109">
            <w:pPr>
              <w:pStyle w:val="TblTxtCenter"/>
            </w:pPr>
            <w:r w:rsidRPr="00B944F0">
              <w:t>10</w:t>
            </w:r>
          </w:p>
        </w:tc>
        <w:tc>
          <w:tcPr>
            <w:tcW w:w="1030" w:type="dxa"/>
            <w:tcBorders>
              <w:top w:val="single" w:sz="6" w:space="0" w:color="auto"/>
              <w:left w:val="single" w:sz="6" w:space="0" w:color="auto"/>
              <w:bottom w:val="single" w:sz="6" w:space="0" w:color="auto"/>
              <w:right w:val="single" w:sz="6" w:space="0" w:color="auto"/>
            </w:tcBorders>
            <w:shd w:val="clear" w:color="auto" w:fill="auto"/>
            <w:vAlign w:val="center"/>
          </w:tcPr>
          <w:p w14:paraId="16347B0E" w14:textId="77777777" w:rsidR="000E40F4" w:rsidRPr="00B944F0" w:rsidRDefault="000E40F4" w:rsidP="00FD0109">
            <w:pPr>
              <w:pStyle w:val="TblTxtCenter"/>
            </w:pPr>
            <w:r w:rsidRPr="00B944F0">
              <w:t>16</w:t>
            </w:r>
          </w:p>
        </w:tc>
        <w:tc>
          <w:tcPr>
            <w:tcW w:w="1030" w:type="dxa"/>
            <w:tcBorders>
              <w:top w:val="single" w:sz="6" w:space="0" w:color="auto"/>
              <w:left w:val="single" w:sz="6" w:space="0" w:color="auto"/>
              <w:bottom w:val="single" w:sz="6" w:space="0" w:color="auto"/>
              <w:right w:val="single" w:sz="6" w:space="0" w:color="auto"/>
            </w:tcBorders>
            <w:shd w:val="clear" w:color="auto" w:fill="auto"/>
            <w:vAlign w:val="center"/>
          </w:tcPr>
          <w:p w14:paraId="76617663" w14:textId="77777777" w:rsidR="000E40F4" w:rsidRPr="00B944F0" w:rsidRDefault="000E40F4" w:rsidP="00FD0109">
            <w:pPr>
              <w:pStyle w:val="TblTxtCenter"/>
            </w:pPr>
            <w:r w:rsidRPr="00B944F0">
              <w:t>&lt;1</w:t>
            </w:r>
          </w:p>
        </w:tc>
        <w:tc>
          <w:tcPr>
            <w:tcW w:w="1030" w:type="dxa"/>
            <w:tcBorders>
              <w:top w:val="single" w:sz="6" w:space="0" w:color="auto"/>
              <w:left w:val="single" w:sz="6" w:space="0" w:color="auto"/>
              <w:bottom w:val="single" w:sz="6" w:space="0" w:color="auto"/>
              <w:right w:val="single" w:sz="6" w:space="0" w:color="auto"/>
            </w:tcBorders>
            <w:shd w:val="clear" w:color="auto" w:fill="auto"/>
            <w:vAlign w:val="center"/>
          </w:tcPr>
          <w:p w14:paraId="1407BDE9" w14:textId="77777777" w:rsidR="000E40F4" w:rsidRPr="00B944F0" w:rsidRDefault="000E40F4" w:rsidP="00FD0109">
            <w:pPr>
              <w:pStyle w:val="TblTxtCenter"/>
            </w:pPr>
            <w:r w:rsidRPr="00B944F0">
              <w:t>2</w:t>
            </w:r>
          </w:p>
        </w:tc>
        <w:tc>
          <w:tcPr>
            <w:tcW w:w="1030" w:type="dxa"/>
            <w:tcBorders>
              <w:top w:val="single" w:sz="6" w:space="0" w:color="auto"/>
              <w:left w:val="single" w:sz="6" w:space="0" w:color="auto"/>
              <w:bottom w:val="single" w:sz="6" w:space="0" w:color="auto"/>
            </w:tcBorders>
            <w:shd w:val="clear" w:color="auto" w:fill="auto"/>
            <w:vAlign w:val="center"/>
          </w:tcPr>
          <w:p w14:paraId="080D568F" w14:textId="77777777" w:rsidR="000E40F4" w:rsidRPr="00B944F0" w:rsidRDefault="000E40F4" w:rsidP="00FD0109">
            <w:pPr>
              <w:pStyle w:val="TblTxtCenter"/>
            </w:pPr>
            <w:r w:rsidRPr="00B944F0">
              <w:t>1</w:t>
            </w:r>
          </w:p>
        </w:tc>
      </w:tr>
      <w:tr w:rsidR="000E40F4" w:rsidRPr="006F1801" w14:paraId="78EA3D05" w14:textId="77777777" w:rsidTr="00883261">
        <w:trPr>
          <w:trHeight w:val="214"/>
          <w:jc w:val="center"/>
        </w:trPr>
        <w:tc>
          <w:tcPr>
            <w:tcW w:w="3240" w:type="dxa"/>
            <w:tcBorders>
              <w:top w:val="single" w:sz="6" w:space="0" w:color="auto"/>
              <w:bottom w:val="single" w:sz="6" w:space="0" w:color="auto"/>
              <w:right w:val="single" w:sz="12" w:space="0" w:color="auto"/>
            </w:tcBorders>
            <w:shd w:val="clear" w:color="auto" w:fill="auto"/>
          </w:tcPr>
          <w:p w14:paraId="5D8D7CB0" w14:textId="77777777" w:rsidR="000E40F4" w:rsidRDefault="000E40F4" w:rsidP="00FD0109">
            <w:pPr>
              <w:pStyle w:val="TblTxt"/>
            </w:pPr>
            <w:r w:rsidRPr="0055116F">
              <w:t>Finishing/Landscaping</w:t>
            </w:r>
          </w:p>
        </w:tc>
        <w:tc>
          <w:tcPr>
            <w:tcW w:w="1030" w:type="dxa"/>
            <w:tcBorders>
              <w:top w:val="single" w:sz="6" w:space="0" w:color="auto"/>
              <w:left w:val="single" w:sz="12" w:space="0" w:color="auto"/>
              <w:bottom w:val="single" w:sz="6" w:space="0" w:color="auto"/>
              <w:right w:val="single" w:sz="6" w:space="0" w:color="auto"/>
            </w:tcBorders>
            <w:shd w:val="clear" w:color="auto" w:fill="auto"/>
            <w:vAlign w:val="center"/>
          </w:tcPr>
          <w:p w14:paraId="17F560FB" w14:textId="77777777" w:rsidR="000E40F4" w:rsidRPr="00280896" w:rsidRDefault="000E40F4" w:rsidP="00FD0109">
            <w:pPr>
              <w:pStyle w:val="TblTxtCenter"/>
            </w:pPr>
            <w:r>
              <w:t>&lt;1</w:t>
            </w:r>
          </w:p>
        </w:tc>
        <w:tc>
          <w:tcPr>
            <w:tcW w:w="1030" w:type="dxa"/>
            <w:tcBorders>
              <w:top w:val="single" w:sz="6" w:space="0" w:color="auto"/>
              <w:left w:val="single" w:sz="6" w:space="0" w:color="auto"/>
              <w:bottom w:val="single" w:sz="6" w:space="0" w:color="auto"/>
              <w:right w:val="single" w:sz="6" w:space="0" w:color="auto"/>
            </w:tcBorders>
            <w:shd w:val="clear" w:color="auto" w:fill="auto"/>
            <w:vAlign w:val="center"/>
          </w:tcPr>
          <w:p w14:paraId="3B963D06" w14:textId="77777777" w:rsidR="000E40F4" w:rsidRPr="00280896" w:rsidRDefault="000E40F4" w:rsidP="00FD0109">
            <w:pPr>
              <w:pStyle w:val="TblTxtCenter"/>
            </w:pPr>
            <w:r>
              <w:t>1</w:t>
            </w:r>
          </w:p>
        </w:tc>
        <w:tc>
          <w:tcPr>
            <w:tcW w:w="1030" w:type="dxa"/>
            <w:tcBorders>
              <w:top w:val="single" w:sz="6" w:space="0" w:color="auto"/>
              <w:left w:val="single" w:sz="6" w:space="0" w:color="auto"/>
              <w:bottom w:val="single" w:sz="6" w:space="0" w:color="auto"/>
              <w:right w:val="single" w:sz="6" w:space="0" w:color="auto"/>
            </w:tcBorders>
            <w:shd w:val="clear" w:color="auto" w:fill="auto"/>
            <w:vAlign w:val="center"/>
          </w:tcPr>
          <w:p w14:paraId="0DAFDFBB" w14:textId="77777777" w:rsidR="000E40F4" w:rsidRPr="00280896" w:rsidRDefault="000E40F4" w:rsidP="00FD0109">
            <w:pPr>
              <w:pStyle w:val="TblTxtCenter"/>
            </w:pPr>
            <w:r>
              <w:t>2</w:t>
            </w:r>
          </w:p>
        </w:tc>
        <w:tc>
          <w:tcPr>
            <w:tcW w:w="1030" w:type="dxa"/>
            <w:tcBorders>
              <w:top w:val="single" w:sz="6" w:space="0" w:color="auto"/>
              <w:left w:val="single" w:sz="6" w:space="0" w:color="auto"/>
              <w:bottom w:val="single" w:sz="6" w:space="0" w:color="auto"/>
              <w:right w:val="single" w:sz="6" w:space="0" w:color="auto"/>
            </w:tcBorders>
            <w:shd w:val="clear" w:color="auto" w:fill="auto"/>
            <w:vAlign w:val="center"/>
          </w:tcPr>
          <w:p w14:paraId="2F26C687" w14:textId="77777777" w:rsidR="000E40F4" w:rsidRDefault="000E40F4" w:rsidP="00FD0109">
            <w:pPr>
              <w:pStyle w:val="TblTxtCenter"/>
            </w:pPr>
            <w:r>
              <w:t>&lt;1</w:t>
            </w:r>
          </w:p>
        </w:tc>
        <w:tc>
          <w:tcPr>
            <w:tcW w:w="1030" w:type="dxa"/>
            <w:tcBorders>
              <w:top w:val="single" w:sz="6" w:space="0" w:color="auto"/>
              <w:left w:val="single" w:sz="6" w:space="0" w:color="auto"/>
              <w:bottom w:val="single" w:sz="6" w:space="0" w:color="auto"/>
              <w:right w:val="single" w:sz="6" w:space="0" w:color="auto"/>
            </w:tcBorders>
            <w:shd w:val="clear" w:color="auto" w:fill="auto"/>
            <w:vAlign w:val="center"/>
          </w:tcPr>
          <w:p w14:paraId="7D9AE85B" w14:textId="77777777" w:rsidR="000E40F4" w:rsidRPr="00374CB0" w:rsidRDefault="000E40F4" w:rsidP="00FD0109">
            <w:pPr>
              <w:pStyle w:val="TblTxtCenter"/>
            </w:pPr>
            <w:r>
              <w:t>&lt;1</w:t>
            </w:r>
          </w:p>
        </w:tc>
        <w:tc>
          <w:tcPr>
            <w:tcW w:w="1030" w:type="dxa"/>
            <w:tcBorders>
              <w:top w:val="single" w:sz="6" w:space="0" w:color="auto"/>
              <w:left w:val="single" w:sz="6" w:space="0" w:color="auto"/>
              <w:bottom w:val="single" w:sz="6" w:space="0" w:color="auto"/>
            </w:tcBorders>
            <w:shd w:val="clear" w:color="auto" w:fill="auto"/>
            <w:vAlign w:val="center"/>
          </w:tcPr>
          <w:p w14:paraId="3AD0D78E" w14:textId="77777777" w:rsidR="000E40F4" w:rsidRPr="00374CB0" w:rsidRDefault="000E40F4" w:rsidP="00FD0109">
            <w:pPr>
              <w:pStyle w:val="TblTxtCenter"/>
            </w:pPr>
            <w:r>
              <w:t>&lt;1</w:t>
            </w:r>
          </w:p>
        </w:tc>
      </w:tr>
      <w:tr w:rsidR="000E40F4" w:rsidRPr="006F1801" w14:paraId="0A4C6BD2" w14:textId="77777777" w:rsidTr="00883261">
        <w:trPr>
          <w:trHeight w:val="214"/>
          <w:jc w:val="center"/>
        </w:trPr>
        <w:tc>
          <w:tcPr>
            <w:tcW w:w="3240" w:type="dxa"/>
            <w:tcBorders>
              <w:top w:val="single" w:sz="12" w:space="0" w:color="auto"/>
              <w:bottom w:val="single" w:sz="12" w:space="0" w:color="auto"/>
              <w:right w:val="single" w:sz="12" w:space="0" w:color="auto"/>
            </w:tcBorders>
            <w:shd w:val="clear" w:color="auto" w:fill="auto"/>
            <w:vAlign w:val="center"/>
          </w:tcPr>
          <w:p w14:paraId="4D33F23C" w14:textId="77777777" w:rsidR="000E40F4" w:rsidRPr="00490368" w:rsidRDefault="000E40F4" w:rsidP="00FD0109">
            <w:pPr>
              <w:pStyle w:val="TblTxt"/>
              <w:jc w:val="right"/>
              <w:rPr>
                <w:b/>
                <w:bCs/>
              </w:rPr>
            </w:pPr>
            <w:r w:rsidRPr="00490368">
              <w:rPr>
                <w:b/>
                <w:bCs/>
              </w:rPr>
              <w:t>Maximum Daily Emissions</w:t>
            </w:r>
          </w:p>
        </w:tc>
        <w:tc>
          <w:tcPr>
            <w:tcW w:w="1030" w:type="dxa"/>
            <w:tcBorders>
              <w:top w:val="single" w:sz="12" w:space="0" w:color="auto"/>
              <w:left w:val="single" w:sz="12" w:space="0" w:color="auto"/>
              <w:bottom w:val="single" w:sz="12" w:space="0" w:color="auto"/>
              <w:right w:val="single" w:sz="6" w:space="0" w:color="auto"/>
            </w:tcBorders>
            <w:shd w:val="clear" w:color="auto" w:fill="auto"/>
          </w:tcPr>
          <w:p w14:paraId="5CE0C6BB" w14:textId="77777777" w:rsidR="000E40F4" w:rsidRPr="00490368" w:rsidRDefault="000E40F4" w:rsidP="00FD0109">
            <w:pPr>
              <w:pStyle w:val="TblTxtCenter"/>
              <w:rPr>
                <w:b/>
                <w:bCs/>
              </w:rPr>
            </w:pPr>
            <w:r w:rsidRPr="00490368">
              <w:rPr>
                <w:b/>
                <w:bCs/>
              </w:rPr>
              <w:t>60</w:t>
            </w:r>
          </w:p>
        </w:tc>
        <w:tc>
          <w:tcPr>
            <w:tcW w:w="1030" w:type="dxa"/>
            <w:tcBorders>
              <w:top w:val="single" w:sz="12" w:space="0" w:color="auto"/>
              <w:left w:val="single" w:sz="6" w:space="0" w:color="auto"/>
              <w:bottom w:val="single" w:sz="12" w:space="0" w:color="auto"/>
              <w:right w:val="single" w:sz="6" w:space="0" w:color="auto"/>
            </w:tcBorders>
            <w:shd w:val="clear" w:color="auto" w:fill="auto"/>
          </w:tcPr>
          <w:p w14:paraId="3634D318" w14:textId="77777777" w:rsidR="000E40F4" w:rsidRPr="00490368" w:rsidRDefault="000E40F4" w:rsidP="00FD0109">
            <w:pPr>
              <w:pStyle w:val="TblTxtCenter"/>
              <w:rPr>
                <w:b/>
                <w:bCs/>
              </w:rPr>
            </w:pPr>
            <w:r w:rsidRPr="00490368">
              <w:rPr>
                <w:b/>
                <w:bCs/>
              </w:rPr>
              <w:t>89</w:t>
            </w:r>
          </w:p>
        </w:tc>
        <w:tc>
          <w:tcPr>
            <w:tcW w:w="1030" w:type="dxa"/>
            <w:tcBorders>
              <w:top w:val="single" w:sz="12" w:space="0" w:color="auto"/>
              <w:left w:val="single" w:sz="6" w:space="0" w:color="auto"/>
              <w:bottom w:val="single" w:sz="12" w:space="0" w:color="auto"/>
              <w:right w:val="single" w:sz="6" w:space="0" w:color="auto"/>
            </w:tcBorders>
            <w:shd w:val="clear" w:color="auto" w:fill="auto"/>
          </w:tcPr>
          <w:p w14:paraId="23930D6C" w14:textId="77777777" w:rsidR="000E40F4" w:rsidRPr="00490368" w:rsidRDefault="000E40F4" w:rsidP="00FD0109">
            <w:pPr>
              <w:pStyle w:val="TblTxtCenter"/>
              <w:rPr>
                <w:b/>
                <w:bCs/>
              </w:rPr>
            </w:pPr>
            <w:r w:rsidRPr="00490368">
              <w:rPr>
                <w:b/>
                <w:bCs/>
              </w:rPr>
              <w:t>57</w:t>
            </w:r>
          </w:p>
        </w:tc>
        <w:tc>
          <w:tcPr>
            <w:tcW w:w="1030" w:type="dxa"/>
            <w:tcBorders>
              <w:top w:val="single" w:sz="12" w:space="0" w:color="auto"/>
              <w:left w:val="single" w:sz="6" w:space="0" w:color="auto"/>
              <w:bottom w:val="single" w:sz="12" w:space="0" w:color="auto"/>
              <w:right w:val="single" w:sz="6" w:space="0" w:color="auto"/>
            </w:tcBorders>
            <w:shd w:val="clear" w:color="auto" w:fill="auto"/>
          </w:tcPr>
          <w:p w14:paraId="5B76A992" w14:textId="77777777" w:rsidR="000E40F4" w:rsidRPr="00490368" w:rsidRDefault="000E40F4" w:rsidP="00FD0109">
            <w:pPr>
              <w:pStyle w:val="TblTxtCenter"/>
              <w:rPr>
                <w:b/>
                <w:bCs/>
              </w:rPr>
            </w:pPr>
            <w:r w:rsidRPr="00490368">
              <w:rPr>
                <w:b/>
                <w:bCs/>
              </w:rPr>
              <w:t>&lt;1</w:t>
            </w:r>
          </w:p>
        </w:tc>
        <w:tc>
          <w:tcPr>
            <w:tcW w:w="1030" w:type="dxa"/>
            <w:tcBorders>
              <w:top w:val="single" w:sz="12" w:space="0" w:color="auto"/>
              <w:left w:val="single" w:sz="6" w:space="0" w:color="auto"/>
              <w:bottom w:val="single" w:sz="12" w:space="0" w:color="auto"/>
              <w:right w:val="single" w:sz="6" w:space="0" w:color="auto"/>
            </w:tcBorders>
            <w:shd w:val="clear" w:color="auto" w:fill="auto"/>
          </w:tcPr>
          <w:p w14:paraId="72542EDC" w14:textId="77777777" w:rsidR="000E40F4" w:rsidRPr="00490368" w:rsidRDefault="000E40F4" w:rsidP="00FD0109">
            <w:pPr>
              <w:pStyle w:val="TblTxtCenter"/>
              <w:rPr>
                <w:b/>
                <w:bCs/>
              </w:rPr>
            </w:pPr>
            <w:r w:rsidRPr="00490368">
              <w:rPr>
                <w:b/>
                <w:bCs/>
              </w:rPr>
              <w:t>8</w:t>
            </w:r>
          </w:p>
        </w:tc>
        <w:tc>
          <w:tcPr>
            <w:tcW w:w="1030" w:type="dxa"/>
            <w:tcBorders>
              <w:top w:val="single" w:sz="12" w:space="0" w:color="auto"/>
              <w:left w:val="single" w:sz="6" w:space="0" w:color="auto"/>
              <w:bottom w:val="single" w:sz="12" w:space="0" w:color="auto"/>
            </w:tcBorders>
            <w:shd w:val="clear" w:color="auto" w:fill="auto"/>
          </w:tcPr>
          <w:p w14:paraId="2296B28C" w14:textId="77777777" w:rsidR="000E40F4" w:rsidRPr="00490368" w:rsidRDefault="000E40F4" w:rsidP="00FD0109">
            <w:pPr>
              <w:pStyle w:val="TblTxtCenter"/>
              <w:rPr>
                <w:b/>
                <w:bCs/>
              </w:rPr>
            </w:pPr>
            <w:r w:rsidRPr="00490368">
              <w:rPr>
                <w:b/>
                <w:bCs/>
              </w:rPr>
              <w:t>4</w:t>
            </w:r>
          </w:p>
        </w:tc>
      </w:tr>
      <w:tr w:rsidR="000E40F4" w:rsidRPr="006F1801" w14:paraId="30D645F2" w14:textId="77777777" w:rsidTr="00883261">
        <w:trPr>
          <w:trHeight w:val="214"/>
          <w:jc w:val="center"/>
        </w:trPr>
        <w:tc>
          <w:tcPr>
            <w:tcW w:w="3240" w:type="dxa"/>
            <w:tcBorders>
              <w:top w:val="single" w:sz="12" w:space="0" w:color="auto"/>
              <w:bottom w:val="single" w:sz="6" w:space="0" w:color="auto"/>
              <w:right w:val="single" w:sz="12" w:space="0" w:color="auto"/>
            </w:tcBorders>
            <w:shd w:val="clear" w:color="auto" w:fill="auto"/>
            <w:vAlign w:val="center"/>
          </w:tcPr>
          <w:p w14:paraId="30D10B4A" w14:textId="77777777" w:rsidR="000E40F4" w:rsidRPr="00CB7F06" w:rsidRDefault="000E40F4" w:rsidP="00FD0109">
            <w:pPr>
              <w:pStyle w:val="TblTxt"/>
            </w:pPr>
            <w:r w:rsidRPr="00CB7F06">
              <w:t>South Coast AQMD Regional Significance Thresholds</w:t>
            </w:r>
          </w:p>
        </w:tc>
        <w:tc>
          <w:tcPr>
            <w:tcW w:w="1030" w:type="dxa"/>
            <w:tcBorders>
              <w:top w:val="single" w:sz="12" w:space="0" w:color="auto"/>
              <w:left w:val="single" w:sz="12" w:space="0" w:color="auto"/>
              <w:bottom w:val="single" w:sz="6" w:space="0" w:color="auto"/>
              <w:right w:val="single" w:sz="6" w:space="0" w:color="auto"/>
            </w:tcBorders>
            <w:shd w:val="clear" w:color="auto" w:fill="auto"/>
            <w:vAlign w:val="center"/>
          </w:tcPr>
          <w:p w14:paraId="5EAAF1F8" w14:textId="77777777" w:rsidR="000E40F4" w:rsidRPr="00CB7F06" w:rsidRDefault="000E40F4" w:rsidP="00FD0109">
            <w:pPr>
              <w:pStyle w:val="TblTxtCenter"/>
            </w:pPr>
            <w:r w:rsidRPr="00CB7F06">
              <w:t>75</w:t>
            </w:r>
          </w:p>
        </w:tc>
        <w:tc>
          <w:tcPr>
            <w:tcW w:w="1030" w:type="dxa"/>
            <w:tcBorders>
              <w:top w:val="single" w:sz="12" w:space="0" w:color="auto"/>
              <w:left w:val="single" w:sz="6" w:space="0" w:color="auto"/>
              <w:bottom w:val="single" w:sz="6" w:space="0" w:color="auto"/>
              <w:right w:val="single" w:sz="6" w:space="0" w:color="auto"/>
            </w:tcBorders>
            <w:shd w:val="clear" w:color="auto" w:fill="auto"/>
            <w:vAlign w:val="center"/>
          </w:tcPr>
          <w:p w14:paraId="5F1199FF" w14:textId="77777777" w:rsidR="000E40F4" w:rsidRPr="00CB7F06" w:rsidRDefault="000E40F4" w:rsidP="00FD0109">
            <w:pPr>
              <w:pStyle w:val="TblTxtCenter"/>
            </w:pPr>
            <w:r w:rsidRPr="00CB7F06">
              <w:t>100</w:t>
            </w:r>
          </w:p>
        </w:tc>
        <w:tc>
          <w:tcPr>
            <w:tcW w:w="1030" w:type="dxa"/>
            <w:tcBorders>
              <w:top w:val="single" w:sz="12" w:space="0" w:color="auto"/>
              <w:left w:val="single" w:sz="6" w:space="0" w:color="auto"/>
              <w:bottom w:val="single" w:sz="6" w:space="0" w:color="auto"/>
              <w:right w:val="single" w:sz="6" w:space="0" w:color="auto"/>
            </w:tcBorders>
            <w:shd w:val="clear" w:color="auto" w:fill="auto"/>
            <w:vAlign w:val="center"/>
          </w:tcPr>
          <w:p w14:paraId="414DC2D9" w14:textId="77777777" w:rsidR="000E40F4" w:rsidRPr="00CB7F06" w:rsidRDefault="000E40F4" w:rsidP="00FD0109">
            <w:pPr>
              <w:pStyle w:val="TblTxtCenter"/>
            </w:pPr>
            <w:r w:rsidRPr="00CB7F06">
              <w:t>550</w:t>
            </w:r>
          </w:p>
        </w:tc>
        <w:tc>
          <w:tcPr>
            <w:tcW w:w="1030" w:type="dxa"/>
            <w:tcBorders>
              <w:top w:val="single" w:sz="12" w:space="0" w:color="auto"/>
              <w:left w:val="single" w:sz="6" w:space="0" w:color="auto"/>
              <w:bottom w:val="single" w:sz="6" w:space="0" w:color="auto"/>
              <w:right w:val="single" w:sz="6" w:space="0" w:color="auto"/>
            </w:tcBorders>
            <w:shd w:val="clear" w:color="auto" w:fill="auto"/>
            <w:vAlign w:val="center"/>
          </w:tcPr>
          <w:p w14:paraId="5F38D84B" w14:textId="77777777" w:rsidR="000E40F4" w:rsidRPr="00CB7F06" w:rsidRDefault="000E40F4" w:rsidP="00FD0109">
            <w:pPr>
              <w:pStyle w:val="TblTxtCenter"/>
            </w:pPr>
            <w:r w:rsidRPr="00CB7F06">
              <w:t>150</w:t>
            </w:r>
          </w:p>
        </w:tc>
        <w:tc>
          <w:tcPr>
            <w:tcW w:w="1030" w:type="dxa"/>
            <w:tcBorders>
              <w:top w:val="single" w:sz="12" w:space="0" w:color="auto"/>
              <w:left w:val="single" w:sz="6" w:space="0" w:color="auto"/>
              <w:bottom w:val="single" w:sz="6" w:space="0" w:color="auto"/>
              <w:right w:val="single" w:sz="6" w:space="0" w:color="auto"/>
            </w:tcBorders>
            <w:shd w:val="clear" w:color="auto" w:fill="auto"/>
            <w:vAlign w:val="center"/>
          </w:tcPr>
          <w:p w14:paraId="22CEB0CE" w14:textId="77777777" w:rsidR="000E40F4" w:rsidRPr="00CB7F06" w:rsidRDefault="000E40F4" w:rsidP="00FD0109">
            <w:pPr>
              <w:pStyle w:val="TblTxtCenter"/>
            </w:pPr>
            <w:r w:rsidRPr="00CB7F06">
              <w:t>150</w:t>
            </w:r>
          </w:p>
        </w:tc>
        <w:tc>
          <w:tcPr>
            <w:tcW w:w="1030" w:type="dxa"/>
            <w:tcBorders>
              <w:top w:val="single" w:sz="12" w:space="0" w:color="auto"/>
              <w:left w:val="single" w:sz="6" w:space="0" w:color="auto"/>
              <w:bottom w:val="single" w:sz="6" w:space="0" w:color="auto"/>
            </w:tcBorders>
            <w:shd w:val="clear" w:color="auto" w:fill="auto"/>
            <w:vAlign w:val="center"/>
          </w:tcPr>
          <w:p w14:paraId="6E619677" w14:textId="77777777" w:rsidR="000E40F4" w:rsidRPr="00CB7F06" w:rsidRDefault="000E40F4" w:rsidP="00FD0109">
            <w:pPr>
              <w:pStyle w:val="TblTxtCenter"/>
            </w:pPr>
            <w:r w:rsidRPr="00CB7F06">
              <w:t>55</w:t>
            </w:r>
          </w:p>
        </w:tc>
      </w:tr>
      <w:tr w:rsidR="000E40F4" w:rsidRPr="006F1801" w14:paraId="1795BE4A" w14:textId="77777777" w:rsidTr="00883261">
        <w:trPr>
          <w:jc w:val="center"/>
        </w:trPr>
        <w:tc>
          <w:tcPr>
            <w:tcW w:w="3240" w:type="dxa"/>
            <w:tcBorders>
              <w:top w:val="single" w:sz="6" w:space="0" w:color="auto"/>
              <w:bottom w:val="single" w:sz="12" w:space="0" w:color="auto"/>
              <w:right w:val="single" w:sz="12" w:space="0" w:color="auto"/>
            </w:tcBorders>
            <w:vAlign w:val="center"/>
          </w:tcPr>
          <w:p w14:paraId="2746325A" w14:textId="77777777" w:rsidR="000E40F4" w:rsidRPr="00CB7F06" w:rsidRDefault="000E40F4" w:rsidP="00FD0109">
            <w:pPr>
              <w:pStyle w:val="TblTxt"/>
              <w:jc w:val="right"/>
              <w:rPr>
                <w:b/>
                <w:bCs/>
              </w:rPr>
            </w:pPr>
            <w:r w:rsidRPr="00CB7F06">
              <w:rPr>
                <w:b/>
                <w:bCs/>
              </w:rPr>
              <w:t>Exceeds Threshold?</w:t>
            </w:r>
          </w:p>
        </w:tc>
        <w:tc>
          <w:tcPr>
            <w:tcW w:w="1030" w:type="dxa"/>
            <w:tcBorders>
              <w:top w:val="single" w:sz="6" w:space="0" w:color="auto"/>
              <w:left w:val="single" w:sz="12" w:space="0" w:color="auto"/>
              <w:bottom w:val="single" w:sz="12" w:space="0" w:color="auto"/>
              <w:right w:val="single" w:sz="6" w:space="0" w:color="auto"/>
            </w:tcBorders>
            <w:vAlign w:val="center"/>
          </w:tcPr>
          <w:p w14:paraId="4B066D94" w14:textId="77777777" w:rsidR="000E40F4" w:rsidRPr="00CB7F06" w:rsidRDefault="000E40F4" w:rsidP="00FD0109">
            <w:pPr>
              <w:pStyle w:val="TblTxtCenter"/>
              <w:rPr>
                <w:b/>
                <w:bCs/>
              </w:rPr>
            </w:pPr>
            <w:r w:rsidRPr="00CB7F06">
              <w:rPr>
                <w:b/>
                <w:bCs/>
              </w:rPr>
              <w:t>No</w:t>
            </w:r>
          </w:p>
        </w:tc>
        <w:tc>
          <w:tcPr>
            <w:tcW w:w="1030" w:type="dxa"/>
            <w:tcBorders>
              <w:top w:val="single" w:sz="6" w:space="0" w:color="auto"/>
              <w:left w:val="single" w:sz="6" w:space="0" w:color="auto"/>
              <w:bottom w:val="single" w:sz="12" w:space="0" w:color="auto"/>
              <w:right w:val="single" w:sz="6" w:space="0" w:color="auto"/>
            </w:tcBorders>
            <w:vAlign w:val="center"/>
          </w:tcPr>
          <w:p w14:paraId="50A69A29" w14:textId="77777777" w:rsidR="000E40F4" w:rsidRPr="00CB7F06" w:rsidRDefault="000E40F4" w:rsidP="00FD0109">
            <w:pPr>
              <w:pStyle w:val="TblTxtCenter"/>
              <w:rPr>
                <w:b/>
                <w:bCs/>
              </w:rPr>
            </w:pPr>
            <w:r w:rsidRPr="00CB7F06">
              <w:rPr>
                <w:b/>
                <w:bCs/>
              </w:rPr>
              <w:t>No</w:t>
            </w:r>
          </w:p>
        </w:tc>
        <w:tc>
          <w:tcPr>
            <w:tcW w:w="1030" w:type="dxa"/>
            <w:tcBorders>
              <w:top w:val="single" w:sz="6" w:space="0" w:color="auto"/>
              <w:left w:val="single" w:sz="6" w:space="0" w:color="auto"/>
              <w:bottom w:val="single" w:sz="12" w:space="0" w:color="auto"/>
              <w:right w:val="single" w:sz="6" w:space="0" w:color="auto"/>
            </w:tcBorders>
            <w:vAlign w:val="center"/>
          </w:tcPr>
          <w:p w14:paraId="2274F71B" w14:textId="77777777" w:rsidR="000E40F4" w:rsidRPr="00CB7F06" w:rsidRDefault="000E40F4" w:rsidP="00FD0109">
            <w:pPr>
              <w:pStyle w:val="TblTxtCenter"/>
              <w:rPr>
                <w:b/>
                <w:bCs/>
              </w:rPr>
            </w:pPr>
            <w:r w:rsidRPr="00CB7F06">
              <w:rPr>
                <w:b/>
                <w:bCs/>
              </w:rPr>
              <w:t>No</w:t>
            </w:r>
          </w:p>
        </w:tc>
        <w:tc>
          <w:tcPr>
            <w:tcW w:w="1030" w:type="dxa"/>
            <w:tcBorders>
              <w:top w:val="single" w:sz="6" w:space="0" w:color="auto"/>
              <w:left w:val="single" w:sz="6" w:space="0" w:color="auto"/>
              <w:bottom w:val="single" w:sz="12" w:space="0" w:color="auto"/>
              <w:right w:val="single" w:sz="6" w:space="0" w:color="auto"/>
            </w:tcBorders>
            <w:vAlign w:val="center"/>
          </w:tcPr>
          <w:p w14:paraId="7C3882F9" w14:textId="77777777" w:rsidR="000E40F4" w:rsidRPr="00CB7F06" w:rsidRDefault="000E40F4" w:rsidP="00FD0109">
            <w:pPr>
              <w:pStyle w:val="TblTxtCenter"/>
              <w:rPr>
                <w:b/>
                <w:bCs/>
              </w:rPr>
            </w:pPr>
            <w:r w:rsidRPr="00CB7F06">
              <w:rPr>
                <w:b/>
                <w:bCs/>
              </w:rPr>
              <w:t>No</w:t>
            </w:r>
          </w:p>
        </w:tc>
        <w:tc>
          <w:tcPr>
            <w:tcW w:w="1030" w:type="dxa"/>
            <w:tcBorders>
              <w:top w:val="single" w:sz="6" w:space="0" w:color="auto"/>
              <w:left w:val="single" w:sz="6" w:space="0" w:color="auto"/>
              <w:bottom w:val="single" w:sz="12" w:space="0" w:color="auto"/>
              <w:right w:val="single" w:sz="6" w:space="0" w:color="auto"/>
            </w:tcBorders>
            <w:shd w:val="clear" w:color="auto" w:fill="auto"/>
            <w:vAlign w:val="center"/>
          </w:tcPr>
          <w:p w14:paraId="1F058531" w14:textId="77777777" w:rsidR="000E40F4" w:rsidRPr="00CB7F06" w:rsidRDefault="000E40F4" w:rsidP="00FD0109">
            <w:pPr>
              <w:pStyle w:val="TblTxtCenter"/>
              <w:rPr>
                <w:b/>
                <w:bCs/>
              </w:rPr>
            </w:pPr>
            <w:r w:rsidRPr="00CB7F06">
              <w:rPr>
                <w:b/>
                <w:bCs/>
              </w:rPr>
              <w:t>No</w:t>
            </w:r>
          </w:p>
        </w:tc>
        <w:tc>
          <w:tcPr>
            <w:tcW w:w="1030" w:type="dxa"/>
            <w:tcBorders>
              <w:top w:val="single" w:sz="6" w:space="0" w:color="auto"/>
              <w:left w:val="single" w:sz="6" w:space="0" w:color="auto"/>
              <w:bottom w:val="single" w:sz="12" w:space="0" w:color="auto"/>
            </w:tcBorders>
            <w:shd w:val="clear" w:color="auto" w:fill="auto"/>
            <w:vAlign w:val="center"/>
          </w:tcPr>
          <w:p w14:paraId="31D370A9" w14:textId="77777777" w:rsidR="000E40F4" w:rsidRPr="00CB7F06" w:rsidRDefault="000E40F4" w:rsidP="00FD0109">
            <w:pPr>
              <w:pStyle w:val="TblTxtCenter"/>
              <w:rPr>
                <w:b/>
                <w:bCs/>
              </w:rPr>
            </w:pPr>
            <w:r w:rsidRPr="00CB7F06">
              <w:rPr>
                <w:b/>
                <w:bCs/>
              </w:rPr>
              <w:t>No</w:t>
            </w:r>
          </w:p>
        </w:tc>
      </w:tr>
      <w:tr w:rsidR="000E40F4" w:rsidRPr="006F1801" w14:paraId="0F5FE532" w14:textId="77777777" w:rsidTr="00FD0109">
        <w:trPr>
          <w:trHeight w:val="1144"/>
          <w:jc w:val="center"/>
        </w:trPr>
        <w:tc>
          <w:tcPr>
            <w:tcW w:w="9420" w:type="dxa"/>
            <w:gridSpan w:val="7"/>
            <w:tcBorders>
              <w:top w:val="single" w:sz="12" w:space="0" w:color="auto"/>
              <w:bottom w:val="single" w:sz="12" w:space="0" w:color="auto"/>
            </w:tcBorders>
          </w:tcPr>
          <w:p w14:paraId="66B1EDE1" w14:textId="77777777" w:rsidR="000E40F4" w:rsidRPr="006F1801" w:rsidRDefault="000E40F4" w:rsidP="00FD0109">
            <w:pPr>
              <w:pStyle w:val="Tblnote"/>
            </w:pPr>
            <w:r w:rsidRPr="006F1801">
              <w:t xml:space="preserve">Source: CalEEMod Version </w:t>
            </w:r>
            <w:r>
              <w:t>2020.4.0</w:t>
            </w:r>
          </w:p>
          <w:p w14:paraId="52FFB823" w14:textId="77777777" w:rsidR="000E40F4" w:rsidRPr="006F1801" w:rsidRDefault="000E40F4" w:rsidP="00FD0109">
            <w:pPr>
              <w:pStyle w:val="Tblnote"/>
            </w:pPr>
            <w:r w:rsidRPr="006F1801">
              <w:t xml:space="preserve">Notes: Totals may not </w:t>
            </w:r>
            <w:r>
              <w:t>equal</w:t>
            </w:r>
            <w:r w:rsidRPr="006F1801">
              <w:t xml:space="preserve"> 100 percent due to rounding.</w:t>
            </w:r>
          </w:p>
          <w:p w14:paraId="37480A08" w14:textId="77777777" w:rsidR="000E40F4" w:rsidRPr="006F1801" w:rsidRDefault="000E40F4" w:rsidP="00FD0109">
            <w:pPr>
              <w:pStyle w:val="Tblnote"/>
            </w:pPr>
            <w:r w:rsidRPr="002D595E">
              <w:rPr>
                <w:vertAlign w:val="superscript"/>
              </w:rPr>
              <w:t>1</w:t>
            </w:r>
            <w:r w:rsidRPr="002D595E">
              <w:rPr>
                <w:vertAlign w:val="superscript"/>
              </w:rPr>
              <w:tab/>
            </w:r>
            <w:r w:rsidRPr="002D595E">
              <w:t xml:space="preserve">Construction phasing and equipment </w:t>
            </w:r>
            <w:r>
              <w:t>are</w:t>
            </w:r>
            <w:r w:rsidRPr="002D595E">
              <w:t xml:space="preserve"> based on the preliminary information for the</w:t>
            </w:r>
            <w:r w:rsidRPr="002D595E">
              <w:rPr>
                <w:color w:val="FF0000"/>
              </w:rPr>
              <w:t xml:space="preserve"> </w:t>
            </w:r>
            <w:r w:rsidRPr="002D595E">
              <w:t>project</w:t>
            </w:r>
            <w:r w:rsidRPr="003D029E">
              <w:t xml:space="preserve"> provided by the </w:t>
            </w:r>
            <w:r>
              <w:t>applicant</w:t>
            </w:r>
            <w:r w:rsidRPr="006F1801">
              <w:t xml:space="preserve">. Where specific information regarding proposed project-related construction activities was not available, construction assumptions were based on CalEEMod defaults, which are based on construction surveys conducted by </w:t>
            </w:r>
            <w:r>
              <w:t>South Coast AQMD</w:t>
            </w:r>
            <w:r w:rsidRPr="006F1801">
              <w:t xml:space="preserve"> of construction equipment and phasing for comparable projects.</w:t>
            </w:r>
          </w:p>
          <w:p w14:paraId="71058339" w14:textId="29FF9D95" w:rsidR="002023E0" w:rsidRPr="00C85DF8" w:rsidRDefault="000E40F4" w:rsidP="00FD0109">
            <w:pPr>
              <w:pStyle w:val="Tblnote"/>
            </w:pPr>
            <w:r w:rsidRPr="006F1801">
              <w:rPr>
                <w:vertAlign w:val="superscript"/>
              </w:rPr>
              <w:t>2</w:t>
            </w:r>
            <w:r w:rsidRPr="006F1801">
              <w:rPr>
                <w:vertAlign w:val="superscript"/>
              </w:rPr>
              <w:tab/>
            </w:r>
            <w:r w:rsidR="002023E0">
              <w:t xml:space="preserve">The proposed project may start construction in April 2022. While the emissions modeling is based on a February 2022 start date, a later start date </w:t>
            </w:r>
            <w:r w:rsidR="00B66095">
              <w:t xml:space="preserve">in April 2022 </w:t>
            </w:r>
            <w:r w:rsidR="002023E0">
              <w:t xml:space="preserve">would </w:t>
            </w:r>
            <w:r w:rsidR="009718C6">
              <w:t xml:space="preserve">result in either the same emissions results or slightly lower emissions than what is shown in this table. In general, </w:t>
            </w:r>
            <w:r w:rsidR="00974748">
              <w:t xml:space="preserve">on-road and off-road </w:t>
            </w:r>
            <w:r w:rsidR="009718C6">
              <w:t>emissions data utilized in CalEEMod</w:t>
            </w:r>
            <w:r w:rsidR="00974748">
              <w:t xml:space="preserve"> decrease with each passing calendar year to account for stricter emissions standards and</w:t>
            </w:r>
            <w:r w:rsidR="00A418B0">
              <w:t>/or</w:t>
            </w:r>
            <w:r w:rsidR="00974748">
              <w:t xml:space="preserve"> replacement of older vehicles and equipment with newer</w:t>
            </w:r>
            <w:r w:rsidR="00A418B0">
              <w:t xml:space="preserve"> and cleaner units.</w:t>
            </w:r>
          </w:p>
          <w:p w14:paraId="61B59D49" w14:textId="4A243AAA" w:rsidR="000E40F4" w:rsidRPr="006F1801" w:rsidRDefault="002023E0" w:rsidP="00FD0109">
            <w:pPr>
              <w:pStyle w:val="Tblnote"/>
            </w:pPr>
            <w:r>
              <w:rPr>
                <w:vertAlign w:val="superscript"/>
              </w:rPr>
              <w:t>3</w:t>
            </w:r>
            <w:r w:rsidR="00295F9A">
              <w:rPr>
                <w:vertAlign w:val="superscript"/>
              </w:rPr>
              <w:tab/>
            </w:r>
            <w:r>
              <w:rPr>
                <w:vertAlign w:val="superscript"/>
              </w:rPr>
              <w:t xml:space="preserve"> </w:t>
            </w:r>
            <w:r w:rsidR="000E40F4" w:rsidRPr="006F1801">
              <w:t xml:space="preserve">Includes implementation of fugitive dust control measures under </w:t>
            </w:r>
            <w:r w:rsidR="000E40F4">
              <w:t>South Coast AQMD</w:t>
            </w:r>
            <w:r w:rsidR="000E40F4" w:rsidRPr="006F1801">
              <w:t xml:space="preserve"> Rule 403, including watering disturbed areas a minimum of two times per day, reducing speed limit to 15 miles per hour on unpaved surfaces, replacing ground cover quickly, and street sweeping with Rule 1186</w:t>
            </w:r>
            <w:r w:rsidR="000E40F4">
              <w:t>–</w:t>
            </w:r>
            <w:r w:rsidR="000E40F4" w:rsidRPr="006F1801">
              <w:t xml:space="preserve">compliant sweepers. </w:t>
            </w:r>
          </w:p>
        </w:tc>
      </w:tr>
    </w:tbl>
    <w:p w14:paraId="6CE86350" w14:textId="77777777" w:rsidR="000E40F4" w:rsidRDefault="000E40F4" w:rsidP="000E40F4">
      <w:pPr>
        <w:pStyle w:val="MitigationText"/>
        <w:ind w:left="0" w:firstLine="0"/>
      </w:pPr>
    </w:p>
    <w:p w14:paraId="2A36DE16" w14:textId="77777777" w:rsidR="000E40F4" w:rsidRPr="006F1801" w:rsidRDefault="000E40F4" w:rsidP="000E40F4">
      <w:pPr>
        <w:pStyle w:val="Heading5"/>
      </w:pPr>
      <w:r w:rsidRPr="006F1801">
        <w:t>Regional Long-Term Operation-Phase Impacts</w:t>
      </w:r>
    </w:p>
    <w:p w14:paraId="15F2CCBC" w14:textId="77777777" w:rsidR="000E40F4" w:rsidRPr="00365A7B" w:rsidRDefault="000E40F4" w:rsidP="000E40F4">
      <w:pPr>
        <w:spacing w:line="276" w:lineRule="auto"/>
        <w:jc w:val="both"/>
        <w:rPr>
          <w:color w:val="4F81BD" w:themeColor="accent1"/>
        </w:rPr>
      </w:pPr>
      <w:r w:rsidRPr="004E3169">
        <w:t xml:space="preserve">Typical long-term air pollutant emissions are generated by area sources (e.g., landscape fuel use, aerosols, architectural coatings, and asphalt pavement), energy </w:t>
      </w:r>
      <w:r w:rsidRPr="007549A2">
        <w:t>use (natural gas), and mobile sources (i.e., on-road vehicles). The proposed project would result in</w:t>
      </w:r>
      <w:r>
        <w:t xml:space="preserve"> warehousing and manufacturing space, which would replace the existing industrial use on-site</w:t>
      </w:r>
      <w:r w:rsidRPr="007549A2">
        <w:t xml:space="preserve">. </w:t>
      </w:r>
      <w:r w:rsidR="002970D3">
        <w:t>It is anticipated that the proposed uses could generate</w:t>
      </w:r>
      <w:r w:rsidR="0057292D">
        <w:t xml:space="preserve"> a total of</w:t>
      </w:r>
      <w:r w:rsidR="002970D3">
        <w:t xml:space="preserve"> up to 65 truck trips per day consisting of 28 trips from 2- and 3-axle trucks and 37 trips from 4-axle tr</w:t>
      </w:r>
      <w:r w:rsidR="002970D3" w:rsidRPr="002970D3">
        <w:t>ucks</w:t>
      </w:r>
      <w:r w:rsidR="0057292D">
        <w:t>. The net increase in truck trips could be up to 43 trips consisting of 17 trips from 2 and 3-axle trucks, and 26 trips from 4-axle trucks</w:t>
      </w:r>
      <w:r w:rsidR="002970D3" w:rsidRPr="002970D3">
        <w:t xml:space="preserve"> (see Appendix I).</w:t>
      </w:r>
      <w:r w:rsidR="002970D3">
        <w:t xml:space="preserve"> Furthermore, modeling accounts for the use of </w:t>
      </w:r>
      <w:r w:rsidR="002970D3" w:rsidRPr="00FD1900">
        <w:t xml:space="preserve">5 diesel-powered forklifts </w:t>
      </w:r>
      <w:r w:rsidR="002970D3">
        <w:t xml:space="preserve">and </w:t>
      </w:r>
      <w:r w:rsidR="002970D3" w:rsidRPr="00FD1900">
        <w:t xml:space="preserve">10 diesel-powered yard trucks </w:t>
      </w:r>
      <w:r w:rsidR="002970D3">
        <w:t>at 7 hours per unit per day.</w:t>
      </w:r>
      <w:r w:rsidR="002970D3">
        <w:rPr>
          <w:rStyle w:val="FootnoteReference"/>
        </w:rPr>
        <w:footnoteReference w:id="5"/>
      </w:r>
      <w:r w:rsidR="002970D3">
        <w:t xml:space="preserve"> </w:t>
      </w:r>
      <w:r w:rsidRPr="00BC13F4">
        <w:t>As</w:t>
      </w:r>
      <w:r w:rsidRPr="004E3169">
        <w:t xml:space="preserve"> shown </w:t>
      </w:r>
      <w:r w:rsidRPr="00BB7329">
        <w:t>in Table 5, the</w:t>
      </w:r>
      <w:r>
        <w:t xml:space="preserve"> proposed project would not generate net operation-related emissions that </w:t>
      </w:r>
      <w:r w:rsidRPr="004E3169">
        <w:t xml:space="preserve">would exceed the </w:t>
      </w:r>
      <w:r w:rsidRPr="007549A2">
        <w:t>South Coast AQMD regional operation-phase significance thresholds. Therefore</w:t>
      </w:r>
      <w:r w:rsidRPr="004E3169">
        <w:t>, impacts to the regional air quality associated with operation of the project would be less than significant.</w:t>
      </w:r>
      <w:r>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170"/>
        <w:gridCol w:w="1170"/>
        <w:gridCol w:w="1080"/>
        <w:gridCol w:w="990"/>
        <w:gridCol w:w="990"/>
        <w:gridCol w:w="990"/>
      </w:tblGrid>
      <w:tr w:rsidR="000E40F4" w:rsidRPr="0051796E" w14:paraId="3A2ACECD" w14:textId="77777777" w:rsidTr="00FD0109">
        <w:trPr>
          <w:trHeight w:val="20"/>
          <w:jc w:val="center"/>
        </w:trPr>
        <w:tc>
          <w:tcPr>
            <w:tcW w:w="9360" w:type="dxa"/>
            <w:gridSpan w:val="7"/>
            <w:tcBorders>
              <w:top w:val="nil"/>
              <w:left w:val="nil"/>
              <w:right w:val="nil"/>
            </w:tcBorders>
            <w:vAlign w:val="bottom"/>
          </w:tcPr>
          <w:p w14:paraId="1EA4FA80" w14:textId="77777777" w:rsidR="000E40F4" w:rsidRPr="0051796E" w:rsidRDefault="000E40F4" w:rsidP="00C9306F">
            <w:pPr>
              <w:pStyle w:val="TblTitles"/>
              <w:pageBreakBefore/>
            </w:pPr>
            <w:bookmarkStart w:id="117" w:name="_Hlk23262228"/>
            <w:bookmarkStart w:id="118" w:name="_Toc90882251"/>
            <w:r w:rsidRPr="0051796E">
              <w:t xml:space="preserve">Table </w:t>
            </w:r>
            <w:r>
              <w:t>5</w:t>
            </w:r>
            <w:r w:rsidRPr="0051796E">
              <w:tab/>
              <w:t>Maximum Daily Regional Operation Emissions</w:t>
            </w:r>
            <w:bookmarkEnd w:id="118"/>
            <w:r w:rsidRPr="0051796E">
              <w:t xml:space="preserve"> </w:t>
            </w:r>
          </w:p>
        </w:tc>
      </w:tr>
      <w:tr w:rsidR="000E40F4" w:rsidRPr="0051796E" w14:paraId="7CC801E5" w14:textId="77777777" w:rsidTr="00FD0109">
        <w:trPr>
          <w:trHeight w:val="40"/>
          <w:jc w:val="center"/>
        </w:trPr>
        <w:tc>
          <w:tcPr>
            <w:tcW w:w="2970" w:type="dxa"/>
            <w:vMerge w:val="restart"/>
            <w:tcBorders>
              <w:top w:val="single" w:sz="12" w:space="0" w:color="auto"/>
              <w:left w:val="nil"/>
              <w:right w:val="single" w:sz="12" w:space="0" w:color="auto"/>
            </w:tcBorders>
            <w:vAlign w:val="bottom"/>
          </w:tcPr>
          <w:p w14:paraId="174C6132" w14:textId="77777777" w:rsidR="000E40F4" w:rsidRPr="0051796E" w:rsidRDefault="000E40F4" w:rsidP="00FD0109">
            <w:pPr>
              <w:pStyle w:val="TblColumnHeads"/>
              <w:rPr>
                <w:szCs w:val="16"/>
              </w:rPr>
            </w:pPr>
            <w:r w:rsidRPr="0051796E">
              <w:rPr>
                <w:szCs w:val="16"/>
              </w:rPr>
              <w:t>Source</w:t>
            </w:r>
          </w:p>
        </w:tc>
        <w:tc>
          <w:tcPr>
            <w:tcW w:w="6390" w:type="dxa"/>
            <w:gridSpan w:val="6"/>
            <w:tcBorders>
              <w:top w:val="single" w:sz="12" w:space="0" w:color="auto"/>
              <w:left w:val="single" w:sz="12" w:space="0" w:color="auto"/>
              <w:bottom w:val="single" w:sz="4" w:space="0" w:color="auto"/>
              <w:right w:val="nil"/>
            </w:tcBorders>
            <w:vAlign w:val="bottom"/>
          </w:tcPr>
          <w:p w14:paraId="68398305" w14:textId="77777777" w:rsidR="000E40F4" w:rsidRPr="0051796E" w:rsidRDefault="000E40F4" w:rsidP="00FD0109">
            <w:pPr>
              <w:pStyle w:val="TblColumnHeads"/>
              <w:rPr>
                <w:szCs w:val="16"/>
              </w:rPr>
            </w:pPr>
            <w:r w:rsidRPr="0051796E">
              <w:rPr>
                <w:szCs w:val="16"/>
              </w:rPr>
              <w:t xml:space="preserve">Pollutants </w:t>
            </w:r>
          </w:p>
          <w:p w14:paraId="01643814" w14:textId="77777777" w:rsidR="000E40F4" w:rsidRPr="0051796E" w:rsidRDefault="000E40F4" w:rsidP="00FD0109">
            <w:pPr>
              <w:pStyle w:val="TblColumnHeads"/>
              <w:rPr>
                <w:szCs w:val="16"/>
              </w:rPr>
            </w:pPr>
            <w:r w:rsidRPr="0051796E">
              <w:rPr>
                <w:szCs w:val="16"/>
              </w:rPr>
              <w:t xml:space="preserve"> (lbs/day)</w:t>
            </w:r>
          </w:p>
        </w:tc>
      </w:tr>
      <w:tr w:rsidR="000E40F4" w:rsidRPr="0051796E" w14:paraId="3EA4616E" w14:textId="77777777" w:rsidTr="00FD0109">
        <w:trPr>
          <w:trHeight w:val="40"/>
          <w:jc w:val="center"/>
        </w:trPr>
        <w:tc>
          <w:tcPr>
            <w:tcW w:w="2970" w:type="dxa"/>
            <w:vMerge/>
            <w:tcBorders>
              <w:left w:val="nil"/>
              <w:bottom w:val="single" w:sz="12" w:space="0" w:color="auto"/>
              <w:right w:val="single" w:sz="12" w:space="0" w:color="auto"/>
            </w:tcBorders>
            <w:vAlign w:val="bottom"/>
          </w:tcPr>
          <w:p w14:paraId="1FFDBBF6" w14:textId="77777777" w:rsidR="000E40F4" w:rsidRPr="0051796E" w:rsidRDefault="000E40F4" w:rsidP="00FD0109">
            <w:pPr>
              <w:pStyle w:val="TblColumnHeads"/>
              <w:rPr>
                <w:szCs w:val="16"/>
              </w:rPr>
            </w:pPr>
          </w:p>
        </w:tc>
        <w:tc>
          <w:tcPr>
            <w:tcW w:w="1170" w:type="dxa"/>
            <w:tcBorders>
              <w:top w:val="single" w:sz="4" w:space="0" w:color="auto"/>
              <w:left w:val="single" w:sz="12" w:space="0" w:color="auto"/>
              <w:bottom w:val="single" w:sz="12" w:space="0" w:color="auto"/>
              <w:right w:val="nil"/>
            </w:tcBorders>
            <w:vAlign w:val="center"/>
          </w:tcPr>
          <w:p w14:paraId="64207E7E" w14:textId="77777777" w:rsidR="000E40F4" w:rsidRPr="0051796E" w:rsidRDefault="000E40F4" w:rsidP="00FD0109">
            <w:pPr>
              <w:pStyle w:val="TblColumnHeads"/>
              <w:rPr>
                <w:szCs w:val="16"/>
              </w:rPr>
            </w:pPr>
            <w:r w:rsidRPr="0051796E">
              <w:rPr>
                <w:szCs w:val="16"/>
              </w:rPr>
              <w:t>VOC</w:t>
            </w:r>
          </w:p>
        </w:tc>
        <w:tc>
          <w:tcPr>
            <w:tcW w:w="1170" w:type="dxa"/>
            <w:tcBorders>
              <w:top w:val="single" w:sz="4" w:space="0" w:color="auto"/>
              <w:bottom w:val="single" w:sz="12" w:space="0" w:color="auto"/>
              <w:right w:val="nil"/>
            </w:tcBorders>
            <w:vAlign w:val="center"/>
          </w:tcPr>
          <w:p w14:paraId="4DA19578" w14:textId="77777777" w:rsidR="000E40F4" w:rsidRPr="0051796E" w:rsidRDefault="000E40F4" w:rsidP="00FD0109">
            <w:pPr>
              <w:pStyle w:val="TblColumnHeads"/>
              <w:rPr>
                <w:szCs w:val="16"/>
              </w:rPr>
            </w:pPr>
            <w:r w:rsidRPr="0051796E">
              <w:rPr>
                <w:szCs w:val="16"/>
              </w:rPr>
              <w:t>NO</w:t>
            </w:r>
            <w:r w:rsidRPr="0051796E">
              <w:rPr>
                <w:szCs w:val="16"/>
                <w:vertAlign w:val="subscript"/>
              </w:rPr>
              <w:t>x</w:t>
            </w:r>
          </w:p>
        </w:tc>
        <w:tc>
          <w:tcPr>
            <w:tcW w:w="1080" w:type="dxa"/>
            <w:tcBorders>
              <w:top w:val="single" w:sz="4" w:space="0" w:color="auto"/>
              <w:bottom w:val="single" w:sz="12" w:space="0" w:color="auto"/>
              <w:right w:val="nil"/>
            </w:tcBorders>
            <w:vAlign w:val="center"/>
          </w:tcPr>
          <w:p w14:paraId="4AEFF36F" w14:textId="77777777" w:rsidR="000E40F4" w:rsidRPr="0051796E" w:rsidRDefault="000E40F4" w:rsidP="00FD0109">
            <w:pPr>
              <w:pStyle w:val="TblColumnHeads"/>
              <w:rPr>
                <w:szCs w:val="16"/>
              </w:rPr>
            </w:pPr>
            <w:r w:rsidRPr="0051796E">
              <w:rPr>
                <w:rFonts w:cs="Arial"/>
                <w:szCs w:val="16"/>
              </w:rPr>
              <w:t>CO</w:t>
            </w:r>
          </w:p>
        </w:tc>
        <w:tc>
          <w:tcPr>
            <w:tcW w:w="990" w:type="dxa"/>
            <w:tcBorders>
              <w:top w:val="single" w:sz="4" w:space="0" w:color="auto"/>
              <w:bottom w:val="single" w:sz="12" w:space="0" w:color="auto"/>
              <w:right w:val="nil"/>
            </w:tcBorders>
            <w:vAlign w:val="center"/>
          </w:tcPr>
          <w:p w14:paraId="725AD72B" w14:textId="77777777" w:rsidR="000E40F4" w:rsidRPr="0051796E" w:rsidRDefault="000E40F4" w:rsidP="00FD0109">
            <w:pPr>
              <w:pStyle w:val="TblColumnHeads"/>
              <w:rPr>
                <w:szCs w:val="16"/>
              </w:rPr>
            </w:pPr>
            <w:r w:rsidRPr="0051796E">
              <w:rPr>
                <w:rFonts w:cs="Arial"/>
                <w:szCs w:val="16"/>
              </w:rPr>
              <w:t>SO</w:t>
            </w:r>
            <w:r w:rsidRPr="0051796E">
              <w:rPr>
                <w:rFonts w:cs="Arial"/>
                <w:szCs w:val="16"/>
                <w:vertAlign w:val="subscript"/>
              </w:rPr>
              <w:t>2</w:t>
            </w:r>
          </w:p>
        </w:tc>
        <w:tc>
          <w:tcPr>
            <w:tcW w:w="990" w:type="dxa"/>
            <w:tcBorders>
              <w:top w:val="single" w:sz="4" w:space="0" w:color="auto"/>
              <w:bottom w:val="single" w:sz="12" w:space="0" w:color="auto"/>
              <w:right w:val="nil"/>
            </w:tcBorders>
            <w:vAlign w:val="center"/>
          </w:tcPr>
          <w:p w14:paraId="21FD7167" w14:textId="77777777" w:rsidR="000E40F4" w:rsidRPr="0051796E" w:rsidRDefault="000E40F4" w:rsidP="00FD0109">
            <w:pPr>
              <w:pStyle w:val="TblColumnHeads"/>
              <w:rPr>
                <w:szCs w:val="16"/>
                <w:vertAlign w:val="superscript"/>
              </w:rPr>
            </w:pPr>
            <w:r w:rsidRPr="0051796E">
              <w:rPr>
                <w:szCs w:val="16"/>
              </w:rPr>
              <w:t>PM</w:t>
            </w:r>
            <w:r w:rsidRPr="0051796E">
              <w:rPr>
                <w:szCs w:val="16"/>
                <w:vertAlign w:val="subscript"/>
              </w:rPr>
              <w:t>10</w:t>
            </w:r>
          </w:p>
        </w:tc>
        <w:tc>
          <w:tcPr>
            <w:tcW w:w="990" w:type="dxa"/>
            <w:tcBorders>
              <w:top w:val="single" w:sz="4" w:space="0" w:color="auto"/>
              <w:bottom w:val="single" w:sz="12" w:space="0" w:color="auto"/>
              <w:right w:val="nil"/>
            </w:tcBorders>
            <w:vAlign w:val="center"/>
          </w:tcPr>
          <w:p w14:paraId="12F43BBC" w14:textId="77777777" w:rsidR="000E40F4" w:rsidRPr="0051796E" w:rsidRDefault="000E40F4" w:rsidP="00FD0109">
            <w:pPr>
              <w:pStyle w:val="TblColumnHeads"/>
              <w:rPr>
                <w:szCs w:val="16"/>
                <w:vertAlign w:val="superscript"/>
              </w:rPr>
            </w:pPr>
            <w:r w:rsidRPr="0051796E">
              <w:rPr>
                <w:szCs w:val="16"/>
              </w:rPr>
              <w:t>PM</w:t>
            </w:r>
            <w:r w:rsidRPr="0051796E">
              <w:rPr>
                <w:szCs w:val="16"/>
                <w:vertAlign w:val="subscript"/>
              </w:rPr>
              <w:t>2.</w:t>
            </w:r>
            <w:r>
              <w:rPr>
                <w:szCs w:val="16"/>
                <w:vertAlign w:val="subscript"/>
              </w:rPr>
              <w:t>5</w:t>
            </w:r>
          </w:p>
        </w:tc>
      </w:tr>
      <w:tr w:rsidR="000E40F4" w:rsidRPr="0051796E" w:rsidDel="00880BD1" w14:paraId="0508E29C" w14:textId="77777777" w:rsidTr="00FD0109">
        <w:trPr>
          <w:jc w:val="center"/>
        </w:trPr>
        <w:tc>
          <w:tcPr>
            <w:tcW w:w="2970" w:type="dxa"/>
            <w:tcBorders>
              <w:top w:val="single" w:sz="12" w:space="0" w:color="auto"/>
              <w:left w:val="nil"/>
              <w:right w:val="nil"/>
            </w:tcBorders>
            <w:shd w:val="clear" w:color="auto" w:fill="D9D9D9" w:themeFill="background1" w:themeFillShade="D9"/>
          </w:tcPr>
          <w:p w14:paraId="433A9366" w14:textId="77777777" w:rsidR="000E40F4" w:rsidRPr="0051796E" w:rsidRDefault="00FB604B" w:rsidP="00FD0109">
            <w:pPr>
              <w:pStyle w:val="TblTxtBold"/>
              <w:rPr>
                <w:szCs w:val="18"/>
                <w:vertAlign w:val="superscript"/>
              </w:rPr>
            </w:pPr>
            <w:r>
              <w:t>Former</w:t>
            </w:r>
            <w:r w:rsidRPr="0051796E">
              <w:t xml:space="preserve"> </w:t>
            </w:r>
            <w:r w:rsidR="000E40F4" w:rsidRPr="0051796E">
              <w:t>Land Use Emissions</w:t>
            </w:r>
          </w:p>
        </w:tc>
        <w:tc>
          <w:tcPr>
            <w:tcW w:w="1170" w:type="dxa"/>
            <w:tcBorders>
              <w:top w:val="single" w:sz="12" w:space="0" w:color="auto"/>
              <w:left w:val="nil"/>
              <w:right w:val="nil"/>
            </w:tcBorders>
            <w:shd w:val="clear" w:color="auto" w:fill="D9D9D9" w:themeFill="background1" w:themeFillShade="D9"/>
            <w:vAlign w:val="center"/>
          </w:tcPr>
          <w:p w14:paraId="3935931C" w14:textId="77777777" w:rsidR="000E40F4" w:rsidRPr="0051796E" w:rsidDel="00880BD1" w:rsidRDefault="000E40F4" w:rsidP="00FD0109">
            <w:pPr>
              <w:pStyle w:val="TblTxtCenter"/>
              <w:rPr>
                <w:bCs/>
                <w:szCs w:val="18"/>
              </w:rPr>
            </w:pPr>
          </w:p>
        </w:tc>
        <w:tc>
          <w:tcPr>
            <w:tcW w:w="1170" w:type="dxa"/>
            <w:tcBorders>
              <w:top w:val="single" w:sz="12" w:space="0" w:color="auto"/>
              <w:left w:val="nil"/>
              <w:right w:val="nil"/>
            </w:tcBorders>
            <w:shd w:val="clear" w:color="auto" w:fill="D9D9D9" w:themeFill="background1" w:themeFillShade="D9"/>
            <w:vAlign w:val="center"/>
          </w:tcPr>
          <w:p w14:paraId="575977F4" w14:textId="77777777" w:rsidR="000E40F4" w:rsidRPr="0051796E" w:rsidDel="00880BD1" w:rsidRDefault="000E40F4" w:rsidP="00FD0109">
            <w:pPr>
              <w:pStyle w:val="TblTxtCenter"/>
              <w:rPr>
                <w:bCs/>
                <w:szCs w:val="18"/>
              </w:rPr>
            </w:pPr>
          </w:p>
        </w:tc>
        <w:tc>
          <w:tcPr>
            <w:tcW w:w="1080" w:type="dxa"/>
            <w:tcBorders>
              <w:top w:val="single" w:sz="12" w:space="0" w:color="auto"/>
              <w:left w:val="nil"/>
              <w:right w:val="nil"/>
            </w:tcBorders>
            <w:shd w:val="clear" w:color="auto" w:fill="D9D9D9" w:themeFill="background1" w:themeFillShade="D9"/>
            <w:vAlign w:val="center"/>
          </w:tcPr>
          <w:p w14:paraId="1E5BC33B" w14:textId="77777777" w:rsidR="000E40F4" w:rsidRPr="0051796E" w:rsidDel="00880BD1" w:rsidRDefault="000E40F4" w:rsidP="00FD0109">
            <w:pPr>
              <w:pStyle w:val="TblTxtCenter"/>
              <w:rPr>
                <w:bCs/>
                <w:szCs w:val="18"/>
              </w:rPr>
            </w:pPr>
          </w:p>
        </w:tc>
        <w:tc>
          <w:tcPr>
            <w:tcW w:w="990" w:type="dxa"/>
            <w:tcBorders>
              <w:top w:val="single" w:sz="12" w:space="0" w:color="auto"/>
              <w:left w:val="nil"/>
              <w:right w:val="nil"/>
            </w:tcBorders>
            <w:shd w:val="clear" w:color="auto" w:fill="D9D9D9" w:themeFill="background1" w:themeFillShade="D9"/>
            <w:vAlign w:val="center"/>
          </w:tcPr>
          <w:p w14:paraId="415D5E03" w14:textId="77777777" w:rsidR="000E40F4" w:rsidRPr="0051796E" w:rsidDel="00880BD1" w:rsidRDefault="000E40F4" w:rsidP="00FD0109">
            <w:pPr>
              <w:pStyle w:val="TblTxtCenter"/>
              <w:rPr>
                <w:bCs/>
                <w:szCs w:val="18"/>
              </w:rPr>
            </w:pPr>
          </w:p>
        </w:tc>
        <w:tc>
          <w:tcPr>
            <w:tcW w:w="990" w:type="dxa"/>
            <w:tcBorders>
              <w:top w:val="single" w:sz="12" w:space="0" w:color="auto"/>
              <w:left w:val="nil"/>
              <w:right w:val="nil"/>
            </w:tcBorders>
            <w:shd w:val="clear" w:color="auto" w:fill="D9D9D9" w:themeFill="background1" w:themeFillShade="D9"/>
            <w:vAlign w:val="center"/>
          </w:tcPr>
          <w:p w14:paraId="35EC800B" w14:textId="77777777" w:rsidR="000E40F4" w:rsidRPr="0051796E" w:rsidDel="00880BD1" w:rsidRDefault="000E40F4" w:rsidP="00FD0109">
            <w:pPr>
              <w:pStyle w:val="TblTxtCenter"/>
              <w:rPr>
                <w:bCs/>
                <w:szCs w:val="18"/>
              </w:rPr>
            </w:pPr>
          </w:p>
        </w:tc>
        <w:tc>
          <w:tcPr>
            <w:tcW w:w="990" w:type="dxa"/>
            <w:tcBorders>
              <w:top w:val="single" w:sz="12" w:space="0" w:color="auto"/>
              <w:left w:val="nil"/>
              <w:right w:val="nil"/>
            </w:tcBorders>
            <w:shd w:val="clear" w:color="auto" w:fill="D9D9D9" w:themeFill="background1" w:themeFillShade="D9"/>
            <w:vAlign w:val="center"/>
          </w:tcPr>
          <w:p w14:paraId="4CF8EF80" w14:textId="77777777" w:rsidR="000E40F4" w:rsidRPr="0051796E" w:rsidDel="00880BD1" w:rsidRDefault="000E40F4" w:rsidP="00FD0109">
            <w:pPr>
              <w:pStyle w:val="TblTxtCenter"/>
              <w:rPr>
                <w:bCs/>
                <w:szCs w:val="18"/>
              </w:rPr>
            </w:pPr>
          </w:p>
        </w:tc>
      </w:tr>
      <w:tr w:rsidR="000E40F4" w:rsidRPr="0051796E" w14:paraId="210D581A" w14:textId="77777777" w:rsidTr="00FD0109">
        <w:trPr>
          <w:jc w:val="center"/>
        </w:trPr>
        <w:tc>
          <w:tcPr>
            <w:tcW w:w="2970" w:type="dxa"/>
            <w:tcBorders>
              <w:left w:val="nil"/>
              <w:right w:val="single" w:sz="12" w:space="0" w:color="auto"/>
            </w:tcBorders>
          </w:tcPr>
          <w:p w14:paraId="40EA3DBC" w14:textId="77777777" w:rsidR="000E40F4" w:rsidRPr="0051796E" w:rsidRDefault="000E40F4" w:rsidP="00FD0109">
            <w:pPr>
              <w:rPr>
                <w:rFonts w:ascii="Arial Narrow" w:hAnsi="Arial Narrow" w:cs="Calibri"/>
                <w:sz w:val="18"/>
                <w:szCs w:val="18"/>
              </w:rPr>
            </w:pPr>
            <w:r w:rsidRPr="0051796E">
              <w:rPr>
                <w:rFonts w:ascii="Arial Narrow" w:hAnsi="Arial Narrow" w:cs="Calibri"/>
                <w:sz w:val="18"/>
                <w:szCs w:val="18"/>
              </w:rPr>
              <w:t>Area</w:t>
            </w:r>
          </w:p>
        </w:tc>
        <w:tc>
          <w:tcPr>
            <w:tcW w:w="1170" w:type="dxa"/>
            <w:tcBorders>
              <w:left w:val="single" w:sz="12" w:space="0" w:color="auto"/>
              <w:right w:val="nil"/>
            </w:tcBorders>
          </w:tcPr>
          <w:p w14:paraId="754F1E93" w14:textId="77777777" w:rsidR="000E40F4" w:rsidRPr="0051796E" w:rsidRDefault="000E40F4" w:rsidP="00FD0109">
            <w:pPr>
              <w:pStyle w:val="TblTxtCenter"/>
              <w:rPr>
                <w:bCs/>
                <w:szCs w:val="18"/>
              </w:rPr>
            </w:pPr>
            <w:r w:rsidRPr="0051796E">
              <w:rPr>
                <w:bCs/>
                <w:szCs w:val="18"/>
              </w:rPr>
              <w:t>1</w:t>
            </w:r>
          </w:p>
        </w:tc>
        <w:tc>
          <w:tcPr>
            <w:tcW w:w="1170" w:type="dxa"/>
            <w:tcBorders>
              <w:right w:val="nil"/>
            </w:tcBorders>
          </w:tcPr>
          <w:p w14:paraId="7754DFF7" w14:textId="77777777" w:rsidR="000E40F4" w:rsidRPr="0051796E" w:rsidRDefault="000E40F4" w:rsidP="00FD0109">
            <w:pPr>
              <w:pStyle w:val="TblTxtCenter"/>
            </w:pPr>
            <w:r w:rsidRPr="0051796E">
              <w:t>&lt;1</w:t>
            </w:r>
          </w:p>
        </w:tc>
        <w:tc>
          <w:tcPr>
            <w:tcW w:w="1080" w:type="dxa"/>
            <w:tcBorders>
              <w:right w:val="nil"/>
            </w:tcBorders>
          </w:tcPr>
          <w:p w14:paraId="0E20FC99" w14:textId="77777777" w:rsidR="000E40F4" w:rsidRPr="0051796E" w:rsidRDefault="000E40F4" w:rsidP="00FD0109">
            <w:pPr>
              <w:pStyle w:val="TblTxtCenter"/>
            </w:pPr>
            <w:r w:rsidRPr="0051796E">
              <w:t>&lt;1</w:t>
            </w:r>
          </w:p>
        </w:tc>
        <w:tc>
          <w:tcPr>
            <w:tcW w:w="990" w:type="dxa"/>
            <w:tcBorders>
              <w:right w:val="nil"/>
            </w:tcBorders>
          </w:tcPr>
          <w:p w14:paraId="2287226C" w14:textId="77777777" w:rsidR="000E40F4" w:rsidRPr="0051796E" w:rsidRDefault="000E40F4" w:rsidP="00FD0109">
            <w:pPr>
              <w:pStyle w:val="TblTxtCenter"/>
            </w:pPr>
            <w:r w:rsidRPr="0051796E">
              <w:t>&lt;1</w:t>
            </w:r>
          </w:p>
        </w:tc>
        <w:tc>
          <w:tcPr>
            <w:tcW w:w="990" w:type="dxa"/>
            <w:tcBorders>
              <w:right w:val="nil"/>
            </w:tcBorders>
          </w:tcPr>
          <w:p w14:paraId="35403C7C" w14:textId="77777777" w:rsidR="000E40F4" w:rsidRPr="0051796E" w:rsidRDefault="000E40F4" w:rsidP="00FD0109">
            <w:pPr>
              <w:pStyle w:val="TblTxtCenter"/>
            </w:pPr>
            <w:r w:rsidRPr="0051796E">
              <w:t>&lt;1</w:t>
            </w:r>
          </w:p>
        </w:tc>
        <w:tc>
          <w:tcPr>
            <w:tcW w:w="990" w:type="dxa"/>
            <w:tcBorders>
              <w:right w:val="nil"/>
            </w:tcBorders>
          </w:tcPr>
          <w:p w14:paraId="7C5D442C" w14:textId="77777777" w:rsidR="000E40F4" w:rsidRPr="0051796E" w:rsidRDefault="000E40F4" w:rsidP="00FD0109">
            <w:pPr>
              <w:pStyle w:val="TblTxtCenter"/>
            </w:pPr>
            <w:r w:rsidRPr="0051796E">
              <w:t>&lt;1</w:t>
            </w:r>
          </w:p>
        </w:tc>
      </w:tr>
      <w:tr w:rsidR="000E40F4" w:rsidRPr="0051796E" w14:paraId="7432424F" w14:textId="77777777" w:rsidTr="00FD0109">
        <w:trPr>
          <w:jc w:val="center"/>
        </w:trPr>
        <w:tc>
          <w:tcPr>
            <w:tcW w:w="2970" w:type="dxa"/>
            <w:tcBorders>
              <w:left w:val="nil"/>
              <w:right w:val="single" w:sz="12" w:space="0" w:color="auto"/>
            </w:tcBorders>
          </w:tcPr>
          <w:p w14:paraId="17F9AAB3" w14:textId="77777777" w:rsidR="000E40F4" w:rsidRPr="00BB00BB" w:rsidRDefault="000E40F4" w:rsidP="00FD0109">
            <w:pPr>
              <w:rPr>
                <w:rFonts w:ascii="Arial Narrow" w:hAnsi="Arial Narrow" w:cs="Calibri"/>
                <w:sz w:val="18"/>
                <w:szCs w:val="18"/>
                <w:vertAlign w:val="superscript"/>
              </w:rPr>
            </w:pPr>
            <w:r w:rsidRPr="0051796E">
              <w:rPr>
                <w:rFonts w:ascii="Arial Narrow" w:hAnsi="Arial Narrow" w:cs="Calibri"/>
                <w:sz w:val="18"/>
                <w:szCs w:val="18"/>
              </w:rPr>
              <w:t>Energy</w:t>
            </w:r>
            <w:r>
              <w:rPr>
                <w:rFonts w:ascii="Arial Narrow" w:hAnsi="Arial Narrow" w:cs="Calibri"/>
                <w:sz w:val="18"/>
                <w:szCs w:val="18"/>
                <w:vertAlign w:val="superscript"/>
              </w:rPr>
              <w:t>1</w:t>
            </w:r>
          </w:p>
        </w:tc>
        <w:tc>
          <w:tcPr>
            <w:tcW w:w="1170" w:type="dxa"/>
            <w:tcBorders>
              <w:left w:val="single" w:sz="12" w:space="0" w:color="auto"/>
              <w:right w:val="nil"/>
            </w:tcBorders>
          </w:tcPr>
          <w:p w14:paraId="601652EB" w14:textId="77777777" w:rsidR="000E40F4" w:rsidRPr="0051796E" w:rsidRDefault="000E40F4" w:rsidP="00FD0109">
            <w:pPr>
              <w:pStyle w:val="TblTxtCenter"/>
            </w:pPr>
            <w:r w:rsidRPr="0051796E">
              <w:t>&lt;1</w:t>
            </w:r>
          </w:p>
        </w:tc>
        <w:tc>
          <w:tcPr>
            <w:tcW w:w="1170" w:type="dxa"/>
            <w:tcBorders>
              <w:right w:val="nil"/>
            </w:tcBorders>
          </w:tcPr>
          <w:p w14:paraId="5377DC8F" w14:textId="77777777" w:rsidR="000E40F4" w:rsidRPr="0051796E" w:rsidRDefault="000E40F4" w:rsidP="00FD0109">
            <w:pPr>
              <w:pStyle w:val="TblTxtCenter"/>
            </w:pPr>
            <w:r w:rsidRPr="0051796E">
              <w:t>&lt;1</w:t>
            </w:r>
          </w:p>
        </w:tc>
        <w:tc>
          <w:tcPr>
            <w:tcW w:w="1080" w:type="dxa"/>
            <w:tcBorders>
              <w:right w:val="nil"/>
            </w:tcBorders>
          </w:tcPr>
          <w:p w14:paraId="385535F6" w14:textId="77777777" w:rsidR="000E40F4" w:rsidRPr="0051796E" w:rsidRDefault="000E40F4" w:rsidP="00FD0109">
            <w:pPr>
              <w:pStyle w:val="TblTxtCenter"/>
            </w:pPr>
            <w:r w:rsidRPr="0051796E">
              <w:t>&lt;1</w:t>
            </w:r>
          </w:p>
        </w:tc>
        <w:tc>
          <w:tcPr>
            <w:tcW w:w="990" w:type="dxa"/>
            <w:tcBorders>
              <w:right w:val="nil"/>
            </w:tcBorders>
          </w:tcPr>
          <w:p w14:paraId="3803FA4E" w14:textId="77777777" w:rsidR="000E40F4" w:rsidRPr="0051796E" w:rsidRDefault="000E40F4" w:rsidP="00FD0109">
            <w:pPr>
              <w:pStyle w:val="TblTxtCenter"/>
            </w:pPr>
            <w:r w:rsidRPr="0051796E">
              <w:t>&lt;1</w:t>
            </w:r>
          </w:p>
        </w:tc>
        <w:tc>
          <w:tcPr>
            <w:tcW w:w="990" w:type="dxa"/>
            <w:tcBorders>
              <w:right w:val="nil"/>
            </w:tcBorders>
          </w:tcPr>
          <w:p w14:paraId="0BA6574F" w14:textId="77777777" w:rsidR="000E40F4" w:rsidRPr="0051796E" w:rsidRDefault="000E40F4" w:rsidP="00FD0109">
            <w:pPr>
              <w:pStyle w:val="TblTxtCenter"/>
            </w:pPr>
            <w:r w:rsidRPr="0051796E">
              <w:t>&lt;1</w:t>
            </w:r>
          </w:p>
        </w:tc>
        <w:tc>
          <w:tcPr>
            <w:tcW w:w="990" w:type="dxa"/>
            <w:tcBorders>
              <w:right w:val="nil"/>
            </w:tcBorders>
          </w:tcPr>
          <w:p w14:paraId="0770246E" w14:textId="77777777" w:rsidR="000E40F4" w:rsidRPr="0051796E" w:rsidRDefault="000E40F4" w:rsidP="00FD0109">
            <w:pPr>
              <w:pStyle w:val="TblTxtCenter"/>
            </w:pPr>
            <w:r w:rsidRPr="0051796E">
              <w:t>&lt;1</w:t>
            </w:r>
          </w:p>
        </w:tc>
      </w:tr>
      <w:tr w:rsidR="000E40F4" w:rsidRPr="0051796E" w14:paraId="7A20F732" w14:textId="77777777" w:rsidTr="00FD0109">
        <w:trPr>
          <w:jc w:val="center"/>
        </w:trPr>
        <w:tc>
          <w:tcPr>
            <w:tcW w:w="2970" w:type="dxa"/>
            <w:tcBorders>
              <w:left w:val="nil"/>
              <w:right w:val="single" w:sz="12" w:space="0" w:color="auto"/>
            </w:tcBorders>
          </w:tcPr>
          <w:p w14:paraId="4726D34D" w14:textId="77777777" w:rsidR="000E40F4" w:rsidRPr="00BB00BB" w:rsidRDefault="000E40F4" w:rsidP="00FD0109">
            <w:pPr>
              <w:rPr>
                <w:rFonts w:ascii="Arial Narrow" w:hAnsi="Arial Narrow" w:cs="Calibri"/>
                <w:sz w:val="18"/>
                <w:szCs w:val="18"/>
                <w:vertAlign w:val="superscript"/>
              </w:rPr>
            </w:pPr>
            <w:r w:rsidRPr="0051796E">
              <w:rPr>
                <w:rFonts w:ascii="Arial Narrow" w:hAnsi="Arial Narrow" w:cs="Calibri"/>
                <w:sz w:val="18"/>
                <w:szCs w:val="18"/>
              </w:rPr>
              <w:t>Mobile – Passenger Vehicles</w:t>
            </w:r>
            <w:r>
              <w:rPr>
                <w:rFonts w:ascii="Arial Narrow" w:hAnsi="Arial Narrow" w:cs="Calibri"/>
                <w:sz w:val="18"/>
                <w:szCs w:val="18"/>
                <w:vertAlign w:val="superscript"/>
              </w:rPr>
              <w:t>2</w:t>
            </w:r>
          </w:p>
        </w:tc>
        <w:tc>
          <w:tcPr>
            <w:tcW w:w="1170" w:type="dxa"/>
            <w:tcBorders>
              <w:left w:val="single" w:sz="12" w:space="0" w:color="auto"/>
              <w:right w:val="nil"/>
            </w:tcBorders>
          </w:tcPr>
          <w:p w14:paraId="3784FB87" w14:textId="77777777" w:rsidR="000E40F4" w:rsidRPr="0051796E" w:rsidRDefault="000E40F4" w:rsidP="00FD0109">
            <w:pPr>
              <w:pStyle w:val="TblTxtCenter"/>
            </w:pPr>
            <w:r w:rsidRPr="0051796E">
              <w:t>&lt;1</w:t>
            </w:r>
          </w:p>
        </w:tc>
        <w:tc>
          <w:tcPr>
            <w:tcW w:w="1170" w:type="dxa"/>
            <w:tcBorders>
              <w:right w:val="nil"/>
            </w:tcBorders>
          </w:tcPr>
          <w:p w14:paraId="03B2399F" w14:textId="77777777" w:rsidR="000E40F4" w:rsidRPr="0051796E" w:rsidRDefault="000E40F4" w:rsidP="00FD0109">
            <w:pPr>
              <w:pStyle w:val="TblTxtCenter"/>
            </w:pPr>
            <w:r w:rsidRPr="0051796E">
              <w:t>&lt;1</w:t>
            </w:r>
          </w:p>
        </w:tc>
        <w:tc>
          <w:tcPr>
            <w:tcW w:w="1080" w:type="dxa"/>
            <w:tcBorders>
              <w:right w:val="nil"/>
            </w:tcBorders>
          </w:tcPr>
          <w:p w14:paraId="6759387D" w14:textId="77777777" w:rsidR="000E40F4" w:rsidRPr="0051796E" w:rsidRDefault="000E40F4" w:rsidP="00FD0109">
            <w:pPr>
              <w:pStyle w:val="TblTxtCenter"/>
            </w:pPr>
            <w:r w:rsidRPr="0051796E">
              <w:t>4</w:t>
            </w:r>
          </w:p>
        </w:tc>
        <w:tc>
          <w:tcPr>
            <w:tcW w:w="990" w:type="dxa"/>
            <w:tcBorders>
              <w:right w:val="nil"/>
            </w:tcBorders>
          </w:tcPr>
          <w:p w14:paraId="64D9084C" w14:textId="77777777" w:rsidR="000E40F4" w:rsidRPr="0051796E" w:rsidRDefault="000E40F4" w:rsidP="00FD0109">
            <w:pPr>
              <w:pStyle w:val="TblTxtCenter"/>
            </w:pPr>
            <w:r w:rsidRPr="0051796E">
              <w:t>&lt;1</w:t>
            </w:r>
          </w:p>
        </w:tc>
        <w:tc>
          <w:tcPr>
            <w:tcW w:w="990" w:type="dxa"/>
            <w:tcBorders>
              <w:right w:val="nil"/>
            </w:tcBorders>
          </w:tcPr>
          <w:p w14:paraId="7520333B" w14:textId="77777777" w:rsidR="000E40F4" w:rsidRPr="0051796E" w:rsidRDefault="000E40F4" w:rsidP="00FD0109">
            <w:pPr>
              <w:pStyle w:val="TblTxtCenter"/>
            </w:pPr>
            <w:r w:rsidRPr="0051796E">
              <w:t>1</w:t>
            </w:r>
          </w:p>
        </w:tc>
        <w:tc>
          <w:tcPr>
            <w:tcW w:w="990" w:type="dxa"/>
            <w:tcBorders>
              <w:right w:val="nil"/>
            </w:tcBorders>
          </w:tcPr>
          <w:p w14:paraId="6F5A66A7" w14:textId="77777777" w:rsidR="000E40F4" w:rsidRPr="0051796E" w:rsidRDefault="000E40F4" w:rsidP="00FD0109">
            <w:pPr>
              <w:pStyle w:val="TblTxtCenter"/>
            </w:pPr>
            <w:r w:rsidRPr="0051796E">
              <w:t>&lt;1</w:t>
            </w:r>
          </w:p>
        </w:tc>
      </w:tr>
      <w:tr w:rsidR="000E40F4" w:rsidRPr="0051796E" w14:paraId="0CAEB08D" w14:textId="77777777" w:rsidTr="00FD0109">
        <w:trPr>
          <w:jc w:val="center"/>
        </w:trPr>
        <w:tc>
          <w:tcPr>
            <w:tcW w:w="2970" w:type="dxa"/>
            <w:tcBorders>
              <w:left w:val="nil"/>
              <w:right w:val="single" w:sz="12" w:space="0" w:color="auto"/>
            </w:tcBorders>
          </w:tcPr>
          <w:p w14:paraId="5DB833F8" w14:textId="77777777" w:rsidR="000E40F4" w:rsidRPr="00BB00BB" w:rsidRDefault="000E40F4" w:rsidP="00FD0109">
            <w:pPr>
              <w:rPr>
                <w:rFonts w:ascii="Arial Narrow" w:hAnsi="Arial Narrow" w:cs="Calibri"/>
                <w:sz w:val="18"/>
                <w:szCs w:val="18"/>
                <w:vertAlign w:val="superscript"/>
              </w:rPr>
            </w:pPr>
            <w:r w:rsidRPr="0051796E">
              <w:rPr>
                <w:rFonts w:ascii="Arial Narrow" w:hAnsi="Arial Narrow" w:cs="Calibri"/>
                <w:sz w:val="18"/>
                <w:szCs w:val="18"/>
              </w:rPr>
              <w:t>Mobile – Trucks</w:t>
            </w:r>
            <w:r>
              <w:rPr>
                <w:rFonts w:ascii="Arial Narrow" w:hAnsi="Arial Narrow" w:cs="Calibri"/>
                <w:sz w:val="18"/>
                <w:szCs w:val="18"/>
                <w:vertAlign w:val="superscript"/>
              </w:rPr>
              <w:t>3</w:t>
            </w:r>
          </w:p>
        </w:tc>
        <w:tc>
          <w:tcPr>
            <w:tcW w:w="1170" w:type="dxa"/>
            <w:tcBorders>
              <w:left w:val="single" w:sz="12" w:space="0" w:color="auto"/>
              <w:right w:val="nil"/>
            </w:tcBorders>
          </w:tcPr>
          <w:p w14:paraId="7EAEA634" w14:textId="77777777" w:rsidR="000E40F4" w:rsidRPr="0051796E" w:rsidRDefault="000E40F4" w:rsidP="00FD0109">
            <w:pPr>
              <w:pStyle w:val="TblTxtCenter"/>
            </w:pPr>
            <w:r w:rsidRPr="0051796E">
              <w:t>&lt;1</w:t>
            </w:r>
          </w:p>
        </w:tc>
        <w:tc>
          <w:tcPr>
            <w:tcW w:w="1170" w:type="dxa"/>
            <w:tcBorders>
              <w:right w:val="nil"/>
            </w:tcBorders>
          </w:tcPr>
          <w:p w14:paraId="0D2B156D" w14:textId="77777777" w:rsidR="000E40F4" w:rsidRPr="0051796E" w:rsidRDefault="000E40F4" w:rsidP="00FD0109">
            <w:pPr>
              <w:pStyle w:val="TblTxtCenter"/>
            </w:pPr>
            <w:r w:rsidRPr="0051796E">
              <w:t>5</w:t>
            </w:r>
          </w:p>
        </w:tc>
        <w:tc>
          <w:tcPr>
            <w:tcW w:w="1080" w:type="dxa"/>
            <w:tcBorders>
              <w:right w:val="nil"/>
            </w:tcBorders>
          </w:tcPr>
          <w:p w14:paraId="48E1A5E1" w14:textId="77777777" w:rsidR="000E40F4" w:rsidRPr="0051796E" w:rsidRDefault="000E40F4" w:rsidP="00FD0109">
            <w:pPr>
              <w:pStyle w:val="TblTxtCenter"/>
            </w:pPr>
            <w:r w:rsidRPr="0051796E">
              <w:t>1</w:t>
            </w:r>
          </w:p>
        </w:tc>
        <w:tc>
          <w:tcPr>
            <w:tcW w:w="990" w:type="dxa"/>
            <w:tcBorders>
              <w:right w:val="nil"/>
            </w:tcBorders>
          </w:tcPr>
          <w:p w14:paraId="13A573D2" w14:textId="77777777" w:rsidR="000E40F4" w:rsidRPr="0051796E" w:rsidRDefault="000E40F4" w:rsidP="00FD0109">
            <w:pPr>
              <w:pStyle w:val="TblTxtCenter"/>
            </w:pPr>
            <w:r w:rsidRPr="0051796E">
              <w:t>&lt;1</w:t>
            </w:r>
          </w:p>
        </w:tc>
        <w:tc>
          <w:tcPr>
            <w:tcW w:w="990" w:type="dxa"/>
            <w:tcBorders>
              <w:right w:val="nil"/>
            </w:tcBorders>
          </w:tcPr>
          <w:p w14:paraId="4D58F2EA" w14:textId="77777777" w:rsidR="000E40F4" w:rsidRPr="0051796E" w:rsidRDefault="000E40F4" w:rsidP="00FD0109">
            <w:pPr>
              <w:pStyle w:val="TblTxtCenter"/>
            </w:pPr>
            <w:r w:rsidRPr="0051796E">
              <w:t>1</w:t>
            </w:r>
          </w:p>
        </w:tc>
        <w:tc>
          <w:tcPr>
            <w:tcW w:w="990" w:type="dxa"/>
            <w:tcBorders>
              <w:right w:val="nil"/>
            </w:tcBorders>
          </w:tcPr>
          <w:p w14:paraId="686BDA9D" w14:textId="77777777" w:rsidR="000E40F4" w:rsidRPr="0051796E" w:rsidRDefault="000E40F4" w:rsidP="00FD0109">
            <w:pPr>
              <w:pStyle w:val="TblTxtCenter"/>
            </w:pPr>
            <w:r w:rsidRPr="0051796E">
              <w:t>&lt;1</w:t>
            </w:r>
          </w:p>
        </w:tc>
      </w:tr>
      <w:tr w:rsidR="000E40F4" w:rsidRPr="0051796E" w14:paraId="1355A6C8" w14:textId="77777777" w:rsidTr="00FD0109">
        <w:trPr>
          <w:jc w:val="center"/>
        </w:trPr>
        <w:tc>
          <w:tcPr>
            <w:tcW w:w="2970" w:type="dxa"/>
            <w:tcBorders>
              <w:left w:val="nil"/>
              <w:bottom w:val="single" w:sz="12" w:space="0" w:color="auto"/>
              <w:right w:val="single" w:sz="12" w:space="0" w:color="auto"/>
            </w:tcBorders>
          </w:tcPr>
          <w:p w14:paraId="24B7B9D6" w14:textId="77777777" w:rsidR="000E40F4" w:rsidRPr="00490368" w:rsidRDefault="000E40F4" w:rsidP="00FD0109">
            <w:pPr>
              <w:jc w:val="right"/>
              <w:rPr>
                <w:rFonts w:ascii="Arial Narrow" w:hAnsi="Arial Narrow" w:cs="Calibri"/>
                <w:b/>
                <w:bCs/>
                <w:sz w:val="18"/>
                <w:szCs w:val="18"/>
              </w:rPr>
            </w:pPr>
            <w:r w:rsidRPr="00490368">
              <w:rPr>
                <w:rFonts w:ascii="Arial Narrow" w:hAnsi="Arial Narrow" w:cs="Calibri"/>
                <w:b/>
                <w:bCs/>
                <w:sz w:val="18"/>
                <w:szCs w:val="18"/>
              </w:rPr>
              <w:t>Total Maximum Daily Emissions</w:t>
            </w:r>
          </w:p>
        </w:tc>
        <w:tc>
          <w:tcPr>
            <w:tcW w:w="1170" w:type="dxa"/>
            <w:tcBorders>
              <w:left w:val="single" w:sz="12" w:space="0" w:color="auto"/>
              <w:bottom w:val="single" w:sz="12" w:space="0" w:color="auto"/>
              <w:right w:val="nil"/>
            </w:tcBorders>
          </w:tcPr>
          <w:p w14:paraId="37610B74" w14:textId="77777777" w:rsidR="000E40F4" w:rsidRPr="00490368" w:rsidRDefault="000E40F4" w:rsidP="00FD0109">
            <w:pPr>
              <w:pStyle w:val="TblTxtCenter"/>
              <w:rPr>
                <w:b/>
                <w:bCs/>
              </w:rPr>
            </w:pPr>
            <w:r w:rsidRPr="00490368">
              <w:rPr>
                <w:b/>
                <w:bCs/>
              </w:rPr>
              <w:t>2</w:t>
            </w:r>
          </w:p>
        </w:tc>
        <w:tc>
          <w:tcPr>
            <w:tcW w:w="1170" w:type="dxa"/>
            <w:tcBorders>
              <w:bottom w:val="single" w:sz="12" w:space="0" w:color="auto"/>
              <w:right w:val="nil"/>
            </w:tcBorders>
          </w:tcPr>
          <w:p w14:paraId="21012A46" w14:textId="77777777" w:rsidR="000E40F4" w:rsidRPr="00490368" w:rsidRDefault="000E40F4" w:rsidP="00FD0109">
            <w:pPr>
              <w:pStyle w:val="TblTxtCenter"/>
              <w:rPr>
                <w:b/>
                <w:bCs/>
              </w:rPr>
            </w:pPr>
            <w:r w:rsidRPr="00490368">
              <w:rPr>
                <w:b/>
                <w:bCs/>
              </w:rPr>
              <w:t>5</w:t>
            </w:r>
          </w:p>
        </w:tc>
        <w:tc>
          <w:tcPr>
            <w:tcW w:w="1080" w:type="dxa"/>
            <w:tcBorders>
              <w:bottom w:val="single" w:sz="12" w:space="0" w:color="auto"/>
              <w:right w:val="nil"/>
            </w:tcBorders>
          </w:tcPr>
          <w:p w14:paraId="44BF7DB2" w14:textId="77777777" w:rsidR="000E40F4" w:rsidRPr="00490368" w:rsidRDefault="000E40F4" w:rsidP="00FD0109">
            <w:pPr>
              <w:pStyle w:val="TblTxtCenter"/>
              <w:rPr>
                <w:b/>
                <w:bCs/>
              </w:rPr>
            </w:pPr>
            <w:r w:rsidRPr="00490368">
              <w:rPr>
                <w:b/>
                <w:bCs/>
              </w:rPr>
              <w:t>5</w:t>
            </w:r>
          </w:p>
        </w:tc>
        <w:tc>
          <w:tcPr>
            <w:tcW w:w="990" w:type="dxa"/>
            <w:tcBorders>
              <w:bottom w:val="single" w:sz="12" w:space="0" w:color="auto"/>
              <w:right w:val="nil"/>
            </w:tcBorders>
          </w:tcPr>
          <w:p w14:paraId="0145ED56" w14:textId="77777777" w:rsidR="000E40F4" w:rsidRPr="00490368" w:rsidRDefault="000E40F4" w:rsidP="00FD0109">
            <w:pPr>
              <w:pStyle w:val="TblTxtCenter"/>
              <w:rPr>
                <w:b/>
                <w:bCs/>
              </w:rPr>
            </w:pPr>
            <w:r w:rsidRPr="00490368">
              <w:rPr>
                <w:b/>
                <w:bCs/>
              </w:rPr>
              <w:t>&lt;1</w:t>
            </w:r>
          </w:p>
        </w:tc>
        <w:tc>
          <w:tcPr>
            <w:tcW w:w="990" w:type="dxa"/>
            <w:tcBorders>
              <w:bottom w:val="single" w:sz="12" w:space="0" w:color="auto"/>
              <w:right w:val="nil"/>
            </w:tcBorders>
          </w:tcPr>
          <w:p w14:paraId="72AE9D48" w14:textId="77777777" w:rsidR="000E40F4" w:rsidRPr="00490368" w:rsidRDefault="000E40F4" w:rsidP="00FD0109">
            <w:pPr>
              <w:pStyle w:val="TblTxtCenter"/>
              <w:rPr>
                <w:b/>
                <w:bCs/>
              </w:rPr>
            </w:pPr>
            <w:r w:rsidRPr="00490368">
              <w:rPr>
                <w:b/>
                <w:bCs/>
              </w:rPr>
              <w:t>2</w:t>
            </w:r>
          </w:p>
        </w:tc>
        <w:tc>
          <w:tcPr>
            <w:tcW w:w="990" w:type="dxa"/>
            <w:tcBorders>
              <w:bottom w:val="single" w:sz="12" w:space="0" w:color="auto"/>
              <w:right w:val="nil"/>
            </w:tcBorders>
          </w:tcPr>
          <w:p w14:paraId="2FD4D755" w14:textId="77777777" w:rsidR="000E40F4" w:rsidRPr="00490368" w:rsidRDefault="000E40F4" w:rsidP="00FD0109">
            <w:pPr>
              <w:pStyle w:val="TblTxtCenter"/>
              <w:rPr>
                <w:b/>
                <w:bCs/>
              </w:rPr>
            </w:pPr>
            <w:r w:rsidRPr="00490368">
              <w:rPr>
                <w:b/>
                <w:bCs/>
              </w:rPr>
              <w:t>1</w:t>
            </w:r>
          </w:p>
        </w:tc>
      </w:tr>
      <w:tr w:rsidR="000E40F4" w:rsidRPr="0051796E" w14:paraId="10E29A9C" w14:textId="77777777" w:rsidTr="00FD0109">
        <w:trPr>
          <w:jc w:val="center"/>
        </w:trPr>
        <w:tc>
          <w:tcPr>
            <w:tcW w:w="2970" w:type="dxa"/>
            <w:tcBorders>
              <w:top w:val="single" w:sz="12" w:space="0" w:color="auto"/>
              <w:left w:val="nil"/>
              <w:right w:val="nil"/>
            </w:tcBorders>
            <w:shd w:val="clear" w:color="auto" w:fill="D9D9D9" w:themeFill="background1" w:themeFillShade="D9"/>
          </w:tcPr>
          <w:p w14:paraId="57EC0465" w14:textId="77777777" w:rsidR="000E40F4" w:rsidRPr="0051796E" w:rsidRDefault="000E40F4" w:rsidP="00FD0109">
            <w:pPr>
              <w:rPr>
                <w:rFonts w:ascii="Arial Narrow" w:hAnsi="Arial Narrow" w:cs="Calibri"/>
                <w:b/>
                <w:bCs/>
                <w:sz w:val="18"/>
                <w:szCs w:val="18"/>
              </w:rPr>
            </w:pPr>
            <w:r w:rsidRPr="0051796E">
              <w:rPr>
                <w:rFonts w:ascii="Arial Narrow" w:hAnsi="Arial Narrow" w:cs="Calibri"/>
                <w:b/>
                <w:bCs/>
                <w:sz w:val="18"/>
                <w:szCs w:val="18"/>
              </w:rPr>
              <w:t>Proposed Project Emissions</w:t>
            </w:r>
          </w:p>
        </w:tc>
        <w:tc>
          <w:tcPr>
            <w:tcW w:w="1170" w:type="dxa"/>
            <w:tcBorders>
              <w:top w:val="single" w:sz="12" w:space="0" w:color="auto"/>
              <w:left w:val="nil"/>
              <w:right w:val="nil"/>
            </w:tcBorders>
            <w:shd w:val="clear" w:color="auto" w:fill="D9D9D9" w:themeFill="background1" w:themeFillShade="D9"/>
          </w:tcPr>
          <w:p w14:paraId="14718A4F" w14:textId="77777777" w:rsidR="000E40F4" w:rsidRPr="0051796E" w:rsidRDefault="000E40F4" w:rsidP="00FD0109">
            <w:pPr>
              <w:pStyle w:val="TblTxtCenter"/>
            </w:pPr>
          </w:p>
        </w:tc>
        <w:tc>
          <w:tcPr>
            <w:tcW w:w="1170" w:type="dxa"/>
            <w:tcBorders>
              <w:top w:val="single" w:sz="12" w:space="0" w:color="auto"/>
              <w:left w:val="nil"/>
              <w:right w:val="nil"/>
            </w:tcBorders>
            <w:shd w:val="clear" w:color="auto" w:fill="D9D9D9" w:themeFill="background1" w:themeFillShade="D9"/>
          </w:tcPr>
          <w:p w14:paraId="62D3B697" w14:textId="77777777" w:rsidR="000E40F4" w:rsidRPr="0051796E" w:rsidRDefault="000E40F4" w:rsidP="00FD0109">
            <w:pPr>
              <w:pStyle w:val="TblTxtCenter"/>
            </w:pPr>
          </w:p>
        </w:tc>
        <w:tc>
          <w:tcPr>
            <w:tcW w:w="1080" w:type="dxa"/>
            <w:tcBorders>
              <w:top w:val="single" w:sz="12" w:space="0" w:color="auto"/>
              <w:left w:val="nil"/>
              <w:right w:val="nil"/>
            </w:tcBorders>
            <w:shd w:val="clear" w:color="auto" w:fill="D9D9D9" w:themeFill="background1" w:themeFillShade="D9"/>
          </w:tcPr>
          <w:p w14:paraId="6F109A0A" w14:textId="77777777" w:rsidR="000E40F4" w:rsidRPr="0051796E" w:rsidRDefault="000E40F4" w:rsidP="00FD0109">
            <w:pPr>
              <w:pStyle w:val="TblTxtCenter"/>
            </w:pPr>
          </w:p>
        </w:tc>
        <w:tc>
          <w:tcPr>
            <w:tcW w:w="990" w:type="dxa"/>
            <w:tcBorders>
              <w:top w:val="single" w:sz="12" w:space="0" w:color="auto"/>
              <w:left w:val="nil"/>
              <w:right w:val="nil"/>
            </w:tcBorders>
            <w:shd w:val="clear" w:color="auto" w:fill="D9D9D9" w:themeFill="background1" w:themeFillShade="D9"/>
          </w:tcPr>
          <w:p w14:paraId="6AF27401" w14:textId="77777777" w:rsidR="000E40F4" w:rsidRPr="0051796E" w:rsidRDefault="000E40F4" w:rsidP="00FD0109">
            <w:pPr>
              <w:pStyle w:val="TblTxtCenter"/>
            </w:pPr>
          </w:p>
        </w:tc>
        <w:tc>
          <w:tcPr>
            <w:tcW w:w="990" w:type="dxa"/>
            <w:tcBorders>
              <w:top w:val="single" w:sz="12" w:space="0" w:color="auto"/>
              <w:left w:val="nil"/>
              <w:right w:val="nil"/>
            </w:tcBorders>
            <w:shd w:val="clear" w:color="auto" w:fill="D9D9D9" w:themeFill="background1" w:themeFillShade="D9"/>
          </w:tcPr>
          <w:p w14:paraId="72594CA9" w14:textId="77777777" w:rsidR="000E40F4" w:rsidRPr="0051796E" w:rsidRDefault="000E40F4" w:rsidP="00FD0109">
            <w:pPr>
              <w:pStyle w:val="TblTxtCenter"/>
            </w:pPr>
          </w:p>
        </w:tc>
        <w:tc>
          <w:tcPr>
            <w:tcW w:w="990" w:type="dxa"/>
            <w:tcBorders>
              <w:top w:val="single" w:sz="12" w:space="0" w:color="auto"/>
              <w:left w:val="nil"/>
              <w:right w:val="nil"/>
            </w:tcBorders>
            <w:shd w:val="clear" w:color="auto" w:fill="D9D9D9" w:themeFill="background1" w:themeFillShade="D9"/>
          </w:tcPr>
          <w:p w14:paraId="66DEEACD" w14:textId="77777777" w:rsidR="000E40F4" w:rsidRPr="0051796E" w:rsidRDefault="000E40F4" w:rsidP="00FD0109">
            <w:pPr>
              <w:pStyle w:val="TblTxtCenter"/>
            </w:pPr>
          </w:p>
        </w:tc>
      </w:tr>
      <w:tr w:rsidR="000E40F4" w:rsidRPr="0051796E" w14:paraId="5485C589" w14:textId="77777777" w:rsidTr="00FD0109">
        <w:trPr>
          <w:jc w:val="center"/>
        </w:trPr>
        <w:tc>
          <w:tcPr>
            <w:tcW w:w="2970" w:type="dxa"/>
            <w:tcBorders>
              <w:left w:val="nil"/>
              <w:right w:val="single" w:sz="12" w:space="0" w:color="auto"/>
            </w:tcBorders>
          </w:tcPr>
          <w:p w14:paraId="605207DF" w14:textId="77777777" w:rsidR="000E40F4" w:rsidRPr="0051796E" w:rsidRDefault="000E40F4" w:rsidP="00FD0109">
            <w:pPr>
              <w:rPr>
                <w:rFonts w:ascii="Arial Narrow" w:hAnsi="Arial Narrow" w:cs="Calibri"/>
                <w:sz w:val="18"/>
                <w:szCs w:val="18"/>
              </w:rPr>
            </w:pPr>
            <w:r w:rsidRPr="0051796E">
              <w:rPr>
                <w:rFonts w:ascii="Arial Narrow" w:hAnsi="Arial Narrow" w:cs="Calibri"/>
                <w:sz w:val="18"/>
                <w:szCs w:val="18"/>
              </w:rPr>
              <w:t>Area</w:t>
            </w:r>
          </w:p>
        </w:tc>
        <w:tc>
          <w:tcPr>
            <w:tcW w:w="1170" w:type="dxa"/>
            <w:tcBorders>
              <w:left w:val="single" w:sz="12" w:space="0" w:color="auto"/>
              <w:right w:val="nil"/>
            </w:tcBorders>
          </w:tcPr>
          <w:p w14:paraId="4604CE81" w14:textId="77777777" w:rsidR="000E40F4" w:rsidRPr="0051796E" w:rsidRDefault="000E40F4" w:rsidP="00FD0109">
            <w:pPr>
              <w:pStyle w:val="TblTxtCenter"/>
            </w:pPr>
            <w:r>
              <w:t>3</w:t>
            </w:r>
          </w:p>
        </w:tc>
        <w:tc>
          <w:tcPr>
            <w:tcW w:w="1170" w:type="dxa"/>
            <w:tcBorders>
              <w:right w:val="nil"/>
            </w:tcBorders>
          </w:tcPr>
          <w:p w14:paraId="4172F232" w14:textId="77777777" w:rsidR="000E40F4" w:rsidRPr="0051796E" w:rsidRDefault="000E40F4" w:rsidP="00FD0109">
            <w:pPr>
              <w:pStyle w:val="TblTxtCenter"/>
            </w:pPr>
            <w:r>
              <w:t>&lt;1</w:t>
            </w:r>
          </w:p>
        </w:tc>
        <w:tc>
          <w:tcPr>
            <w:tcW w:w="1080" w:type="dxa"/>
            <w:tcBorders>
              <w:right w:val="nil"/>
            </w:tcBorders>
          </w:tcPr>
          <w:p w14:paraId="71C23F01" w14:textId="77777777" w:rsidR="000E40F4" w:rsidRPr="0051796E" w:rsidRDefault="000E40F4" w:rsidP="00FD0109">
            <w:pPr>
              <w:pStyle w:val="TblTxtCenter"/>
            </w:pPr>
            <w:r>
              <w:t>&lt;1</w:t>
            </w:r>
          </w:p>
        </w:tc>
        <w:tc>
          <w:tcPr>
            <w:tcW w:w="990" w:type="dxa"/>
            <w:tcBorders>
              <w:right w:val="nil"/>
            </w:tcBorders>
          </w:tcPr>
          <w:p w14:paraId="43F7F735" w14:textId="77777777" w:rsidR="000E40F4" w:rsidRPr="0051796E" w:rsidRDefault="000E40F4" w:rsidP="00FD0109">
            <w:pPr>
              <w:pStyle w:val="TblTxtCenter"/>
            </w:pPr>
            <w:r>
              <w:t>0</w:t>
            </w:r>
          </w:p>
        </w:tc>
        <w:tc>
          <w:tcPr>
            <w:tcW w:w="990" w:type="dxa"/>
            <w:tcBorders>
              <w:right w:val="nil"/>
            </w:tcBorders>
          </w:tcPr>
          <w:p w14:paraId="1AD3912F" w14:textId="77777777" w:rsidR="000E40F4" w:rsidRPr="0051796E" w:rsidRDefault="000E40F4" w:rsidP="00FD0109">
            <w:pPr>
              <w:pStyle w:val="TblTxtCenter"/>
            </w:pPr>
            <w:r>
              <w:t>&lt;1</w:t>
            </w:r>
          </w:p>
        </w:tc>
        <w:tc>
          <w:tcPr>
            <w:tcW w:w="990" w:type="dxa"/>
            <w:tcBorders>
              <w:right w:val="nil"/>
            </w:tcBorders>
          </w:tcPr>
          <w:p w14:paraId="41758540" w14:textId="77777777" w:rsidR="000E40F4" w:rsidRPr="0051796E" w:rsidRDefault="000E40F4" w:rsidP="00FD0109">
            <w:pPr>
              <w:pStyle w:val="TblTxtCenter"/>
            </w:pPr>
            <w:r>
              <w:t>&lt;1</w:t>
            </w:r>
          </w:p>
        </w:tc>
      </w:tr>
      <w:tr w:rsidR="000E40F4" w:rsidRPr="0051796E" w14:paraId="159D8798" w14:textId="77777777" w:rsidTr="00FD0109">
        <w:trPr>
          <w:jc w:val="center"/>
        </w:trPr>
        <w:tc>
          <w:tcPr>
            <w:tcW w:w="2970" w:type="dxa"/>
            <w:tcBorders>
              <w:left w:val="nil"/>
              <w:right w:val="single" w:sz="12" w:space="0" w:color="auto"/>
            </w:tcBorders>
          </w:tcPr>
          <w:p w14:paraId="2AF7F814" w14:textId="77777777" w:rsidR="000E40F4" w:rsidRPr="0051796E" w:rsidRDefault="000E40F4" w:rsidP="00FD0109">
            <w:pPr>
              <w:rPr>
                <w:rFonts w:ascii="Arial Narrow" w:hAnsi="Arial Narrow" w:cs="Calibri"/>
                <w:sz w:val="18"/>
                <w:szCs w:val="18"/>
              </w:rPr>
            </w:pPr>
            <w:r w:rsidRPr="0051796E">
              <w:rPr>
                <w:rFonts w:ascii="Arial Narrow" w:hAnsi="Arial Narrow" w:cs="Calibri"/>
                <w:sz w:val="18"/>
                <w:szCs w:val="18"/>
              </w:rPr>
              <w:t>Energy</w:t>
            </w:r>
          </w:p>
        </w:tc>
        <w:tc>
          <w:tcPr>
            <w:tcW w:w="1170" w:type="dxa"/>
            <w:tcBorders>
              <w:left w:val="single" w:sz="12" w:space="0" w:color="auto"/>
              <w:right w:val="nil"/>
            </w:tcBorders>
          </w:tcPr>
          <w:p w14:paraId="05F4F2E8" w14:textId="77777777" w:rsidR="000E40F4" w:rsidRPr="0051796E" w:rsidRDefault="000E40F4" w:rsidP="00FD0109">
            <w:pPr>
              <w:pStyle w:val="TblTxtCenter"/>
            </w:pPr>
            <w:r>
              <w:t>&lt;1</w:t>
            </w:r>
          </w:p>
        </w:tc>
        <w:tc>
          <w:tcPr>
            <w:tcW w:w="1170" w:type="dxa"/>
            <w:tcBorders>
              <w:right w:val="nil"/>
            </w:tcBorders>
          </w:tcPr>
          <w:p w14:paraId="21176761" w14:textId="77777777" w:rsidR="000E40F4" w:rsidRPr="0051796E" w:rsidRDefault="000E40F4" w:rsidP="00FD0109">
            <w:pPr>
              <w:pStyle w:val="TblTxtCenter"/>
            </w:pPr>
            <w:r>
              <w:t>&lt;1</w:t>
            </w:r>
          </w:p>
        </w:tc>
        <w:tc>
          <w:tcPr>
            <w:tcW w:w="1080" w:type="dxa"/>
            <w:tcBorders>
              <w:right w:val="nil"/>
            </w:tcBorders>
          </w:tcPr>
          <w:p w14:paraId="19E5B774" w14:textId="77777777" w:rsidR="000E40F4" w:rsidRPr="0051796E" w:rsidRDefault="000E40F4" w:rsidP="00FD0109">
            <w:pPr>
              <w:pStyle w:val="TblTxtCenter"/>
            </w:pPr>
            <w:r>
              <w:t>&lt;1</w:t>
            </w:r>
          </w:p>
        </w:tc>
        <w:tc>
          <w:tcPr>
            <w:tcW w:w="990" w:type="dxa"/>
            <w:tcBorders>
              <w:right w:val="nil"/>
            </w:tcBorders>
          </w:tcPr>
          <w:p w14:paraId="1CBB8DFF" w14:textId="77777777" w:rsidR="000E40F4" w:rsidRPr="0051796E" w:rsidRDefault="000E40F4" w:rsidP="00FD0109">
            <w:pPr>
              <w:pStyle w:val="TblTxtCenter"/>
            </w:pPr>
            <w:r>
              <w:t>&lt;1</w:t>
            </w:r>
          </w:p>
        </w:tc>
        <w:tc>
          <w:tcPr>
            <w:tcW w:w="990" w:type="dxa"/>
            <w:tcBorders>
              <w:right w:val="nil"/>
            </w:tcBorders>
          </w:tcPr>
          <w:p w14:paraId="62433398" w14:textId="77777777" w:rsidR="000E40F4" w:rsidRPr="0051796E" w:rsidRDefault="000E40F4" w:rsidP="00FD0109">
            <w:pPr>
              <w:pStyle w:val="TblTxtCenter"/>
            </w:pPr>
            <w:r>
              <w:t>&lt;1</w:t>
            </w:r>
          </w:p>
        </w:tc>
        <w:tc>
          <w:tcPr>
            <w:tcW w:w="990" w:type="dxa"/>
            <w:tcBorders>
              <w:right w:val="nil"/>
            </w:tcBorders>
          </w:tcPr>
          <w:p w14:paraId="471F44C1" w14:textId="77777777" w:rsidR="000E40F4" w:rsidRPr="0051796E" w:rsidRDefault="000E40F4" w:rsidP="00FD0109">
            <w:pPr>
              <w:pStyle w:val="TblTxtCenter"/>
            </w:pPr>
            <w:r>
              <w:t>&lt;1</w:t>
            </w:r>
          </w:p>
        </w:tc>
      </w:tr>
      <w:tr w:rsidR="000E40F4" w:rsidRPr="0051796E" w14:paraId="28D9B615" w14:textId="77777777" w:rsidTr="00FD0109">
        <w:trPr>
          <w:jc w:val="center"/>
        </w:trPr>
        <w:tc>
          <w:tcPr>
            <w:tcW w:w="2970" w:type="dxa"/>
            <w:tcBorders>
              <w:left w:val="nil"/>
              <w:right w:val="single" w:sz="12" w:space="0" w:color="auto"/>
            </w:tcBorders>
          </w:tcPr>
          <w:p w14:paraId="57677FC6" w14:textId="77777777" w:rsidR="000E40F4" w:rsidRPr="0051796E" w:rsidRDefault="000E40F4" w:rsidP="00FD0109">
            <w:pPr>
              <w:rPr>
                <w:rFonts w:ascii="Arial Narrow" w:hAnsi="Arial Narrow" w:cs="Calibri"/>
                <w:sz w:val="18"/>
                <w:szCs w:val="18"/>
                <w:vertAlign w:val="superscript"/>
              </w:rPr>
            </w:pPr>
            <w:r w:rsidRPr="0051796E">
              <w:rPr>
                <w:rFonts w:ascii="Arial Narrow" w:hAnsi="Arial Narrow" w:cs="Calibri"/>
                <w:sz w:val="18"/>
                <w:szCs w:val="18"/>
              </w:rPr>
              <w:t>Mobile – Passenger Vehicle</w:t>
            </w:r>
            <w:r>
              <w:rPr>
                <w:rFonts w:ascii="Arial Narrow" w:hAnsi="Arial Narrow" w:cs="Calibri"/>
                <w:sz w:val="18"/>
                <w:szCs w:val="18"/>
                <w:vertAlign w:val="superscript"/>
              </w:rPr>
              <w:t>4</w:t>
            </w:r>
          </w:p>
        </w:tc>
        <w:tc>
          <w:tcPr>
            <w:tcW w:w="1170" w:type="dxa"/>
            <w:tcBorders>
              <w:left w:val="single" w:sz="12" w:space="0" w:color="auto"/>
              <w:right w:val="nil"/>
            </w:tcBorders>
          </w:tcPr>
          <w:p w14:paraId="389DB98E" w14:textId="77777777" w:rsidR="000E40F4" w:rsidRPr="0051796E" w:rsidRDefault="000E40F4" w:rsidP="00FD0109">
            <w:pPr>
              <w:pStyle w:val="TblTxtCenter"/>
              <w:rPr>
                <w:bCs/>
                <w:szCs w:val="18"/>
              </w:rPr>
            </w:pPr>
            <w:r>
              <w:rPr>
                <w:bCs/>
                <w:szCs w:val="18"/>
              </w:rPr>
              <w:t>1</w:t>
            </w:r>
          </w:p>
        </w:tc>
        <w:tc>
          <w:tcPr>
            <w:tcW w:w="1170" w:type="dxa"/>
            <w:tcBorders>
              <w:right w:val="nil"/>
            </w:tcBorders>
          </w:tcPr>
          <w:p w14:paraId="15E44246" w14:textId="77777777" w:rsidR="000E40F4" w:rsidRPr="0051796E" w:rsidRDefault="000E40F4" w:rsidP="00FD0109">
            <w:pPr>
              <w:pStyle w:val="TblTxtCenter"/>
            </w:pPr>
            <w:r>
              <w:t>1</w:t>
            </w:r>
          </w:p>
        </w:tc>
        <w:tc>
          <w:tcPr>
            <w:tcW w:w="1080" w:type="dxa"/>
            <w:tcBorders>
              <w:right w:val="nil"/>
            </w:tcBorders>
          </w:tcPr>
          <w:p w14:paraId="70CF280E" w14:textId="77777777" w:rsidR="000E40F4" w:rsidRPr="0051796E" w:rsidRDefault="000E40F4" w:rsidP="00FD0109">
            <w:pPr>
              <w:pStyle w:val="TblTxtCenter"/>
            </w:pPr>
            <w:r>
              <w:t>8</w:t>
            </w:r>
          </w:p>
        </w:tc>
        <w:tc>
          <w:tcPr>
            <w:tcW w:w="990" w:type="dxa"/>
            <w:tcBorders>
              <w:right w:val="nil"/>
            </w:tcBorders>
          </w:tcPr>
          <w:p w14:paraId="56409CDE" w14:textId="77777777" w:rsidR="000E40F4" w:rsidRPr="0051796E" w:rsidRDefault="000E40F4" w:rsidP="00FD0109">
            <w:pPr>
              <w:pStyle w:val="TblTxtCenter"/>
            </w:pPr>
            <w:r>
              <w:t>&lt;1</w:t>
            </w:r>
          </w:p>
        </w:tc>
        <w:tc>
          <w:tcPr>
            <w:tcW w:w="990" w:type="dxa"/>
            <w:tcBorders>
              <w:right w:val="nil"/>
            </w:tcBorders>
          </w:tcPr>
          <w:p w14:paraId="07CECD30" w14:textId="77777777" w:rsidR="000E40F4" w:rsidRPr="0051796E" w:rsidRDefault="000E40F4" w:rsidP="00FD0109">
            <w:pPr>
              <w:pStyle w:val="TblTxtCenter"/>
            </w:pPr>
            <w:r>
              <w:t>2</w:t>
            </w:r>
          </w:p>
        </w:tc>
        <w:tc>
          <w:tcPr>
            <w:tcW w:w="990" w:type="dxa"/>
            <w:tcBorders>
              <w:right w:val="nil"/>
            </w:tcBorders>
          </w:tcPr>
          <w:p w14:paraId="23A26A6E" w14:textId="77777777" w:rsidR="000E40F4" w:rsidRPr="0051796E" w:rsidRDefault="000E40F4" w:rsidP="00FD0109">
            <w:pPr>
              <w:pStyle w:val="TblTxtCenter"/>
            </w:pPr>
            <w:r>
              <w:t>&lt;1</w:t>
            </w:r>
          </w:p>
        </w:tc>
      </w:tr>
      <w:tr w:rsidR="000E40F4" w:rsidRPr="0051796E" w14:paraId="12520182" w14:textId="77777777" w:rsidTr="00FD0109">
        <w:trPr>
          <w:jc w:val="center"/>
        </w:trPr>
        <w:tc>
          <w:tcPr>
            <w:tcW w:w="2970" w:type="dxa"/>
            <w:tcBorders>
              <w:left w:val="nil"/>
              <w:bottom w:val="single" w:sz="4" w:space="0" w:color="auto"/>
              <w:right w:val="single" w:sz="12" w:space="0" w:color="auto"/>
            </w:tcBorders>
          </w:tcPr>
          <w:p w14:paraId="432B1F57" w14:textId="77777777" w:rsidR="000E40F4" w:rsidRPr="0051796E" w:rsidRDefault="000E40F4" w:rsidP="00FD0109">
            <w:pPr>
              <w:rPr>
                <w:rFonts w:ascii="Arial Narrow" w:hAnsi="Arial Narrow" w:cs="Calibri"/>
                <w:sz w:val="18"/>
                <w:szCs w:val="18"/>
              </w:rPr>
            </w:pPr>
            <w:r w:rsidRPr="0051796E">
              <w:rPr>
                <w:rFonts w:ascii="Arial Narrow" w:hAnsi="Arial Narrow" w:cs="Calibri"/>
                <w:sz w:val="18"/>
                <w:szCs w:val="18"/>
              </w:rPr>
              <w:t>Mobile – Trucks</w:t>
            </w:r>
            <w:r>
              <w:rPr>
                <w:rFonts w:ascii="Arial Narrow" w:hAnsi="Arial Narrow" w:cs="Calibri"/>
                <w:sz w:val="18"/>
                <w:szCs w:val="18"/>
                <w:vertAlign w:val="superscript"/>
              </w:rPr>
              <w:t>5</w:t>
            </w:r>
          </w:p>
        </w:tc>
        <w:tc>
          <w:tcPr>
            <w:tcW w:w="1170" w:type="dxa"/>
            <w:tcBorders>
              <w:left w:val="single" w:sz="12" w:space="0" w:color="auto"/>
              <w:bottom w:val="single" w:sz="4" w:space="0" w:color="auto"/>
              <w:right w:val="nil"/>
            </w:tcBorders>
          </w:tcPr>
          <w:p w14:paraId="685E3308" w14:textId="77777777" w:rsidR="000E40F4" w:rsidRPr="0051796E" w:rsidRDefault="000E40F4" w:rsidP="00FD0109">
            <w:pPr>
              <w:pStyle w:val="TblTxtCenter"/>
            </w:pPr>
            <w:r>
              <w:t>&lt;1</w:t>
            </w:r>
          </w:p>
        </w:tc>
        <w:tc>
          <w:tcPr>
            <w:tcW w:w="1170" w:type="dxa"/>
            <w:tcBorders>
              <w:bottom w:val="single" w:sz="4" w:space="0" w:color="auto"/>
              <w:right w:val="nil"/>
            </w:tcBorders>
          </w:tcPr>
          <w:p w14:paraId="00D89F5D" w14:textId="77777777" w:rsidR="000E40F4" w:rsidRPr="0051796E" w:rsidRDefault="000E40F4" w:rsidP="00FD0109">
            <w:pPr>
              <w:pStyle w:val="TblTxtCenter"/>
            </w:pPr>
            <w:r>
              <w:t>16</w:t>
            </w:r>
          </w:p>
        </w:tc>
        <w:tc>
          <w:tcPr>
            <w:tcW w:w="1080" w:type="dxa"/>
            <w:tcBorders>
              <w:bottom w:val="single" w:sz="4" w:space="0" w:color="auto"/>
              <w:right w:val="nil"/>
            </w:tcBorders>
          </w:tcPr>
          <w:p w14:paraId="11666404" w14:textId="77777777" w:rsidR="000E40F4" w:rsidRPr="0051796E" w:rsidRDefault="000E40F4" w:rsidP="00FD0109">
            <w:pPr>
              <w:pStyle w:val="TblTxtCenter"/>
            </w:pPr>
            <w:r>
              <w:t>4</w:t>
            </w:r>
          </w:p>
        </w:tc>
        <w:tc>
          <w:tcPr>
            <w:tcW w:w="990" w:type="dxa"/>
            <w:tcBorders>
              <w:bottom w:val="single" w:sz="4" w:space="0" w:color="auto"/>
              <w:right w:val="nil"/>
            </w:tcBorders>
          </w:tcPr>
          <w:p w14:paraId="2017ADE5" w14:textId="77777777" w:rsidR="000E40F4" w:rsidRPr="0051796E" w:rsidRDefault="000E40F4" w:rsidP="00FD0109">
            <w:pPr>
              <w:pStyle w:val="TblTxtCenter"/>
            </w:pPr>
            <w:r>
              <w:t>&lt;1</w:t>
            </w:r>
          </w:p>
        </w:tc>
        <w:tc>
          <w:tcPr>
            <w:tcW w:w="990" w:type="dxa"/>
            <w:tcBorders>
              <w:bottom w:val="single" w:sz="4" w:space="0" w:color="auto"/>
              <w:right w:val="nil"/>
            </w:tcBorders>
          </w:tcPr>
          <w:p w14:paraId="4776F143" w14:textId="77777777" w:rsidR="000E40F4" w:rsidRPr="0051796E" w:rsidRDefault="000E40F4" w:rsidP="00FD0109">
            <w:pPr>
              <w:pStyle w:val="TblTxtCenter"/>
            </w:pPr>
            <w:r>
              <w:t>3</w:t>
            </w:r>
          </w:p>
        </w:tc>
        <w:tc>
          <w:tcPr>
            <w:tcW w:w="990" w:type="dxa"/>
            <w:tcBorders>
              <w:bottom w:val="single" w:sz="4" w:space="0" w:color="auto"/>
              <w:right w:val="nil"/>
            </w:tcBorders>
          </w:tcPr>
          <w:p w14:paraId="391268FA" w14:textId="77777777" w:rsidR="000E40F4" w:rsidRPr="0051796E" w:rsidRDefault="000E40F4" w:rsidP="00FD0109">
            <w:pPr>
              <w:pStyle w:val="TblTxtCenter"/>
            </w:pPr>
            <w:r>
              <w:t>1</w:t>
            </w:r>
          </w:p>
        </w:tc>
      </w:tr>
      <w:tr w:rsidR="000E40F4" w:rsidRPr="0051796E" w14:paraId="60BB568C" w14:textId="77777777" w:rsidTr="00FD0109">
        <w:trPr>
          <w:jc w:val="center"/>
        </w:trPr>
        <w:tc>
          <w:tcPr>
            <w:tcW w:w="2970" w:type="dxa"/>
            <w:tcBorders>
              <w:left w:val="nil"/>
              <w:bottom w:val="single" w:sz="4" w:space="0" w:color="auto"/>
              <w:right w:val="single" w:sz="12" w:space="0" w:color="auto"/>
            </w:tcBorders>
          </w:tcPr>
          <w:p w14:paraId="6F10A507" w14:textId="77777777" w:rsidR="000E40F4" w:rsidRPr="0051796E" w:rsidRDefault="000E40F4" w:rsidP="00FD0109">
            <w:pPr>
              <w:rPr>
                <w:rFonts w:ascii="Arial Narrow" w:hAnsi="Arial Narrow" w:cs="Calibri"/>
                <w:sz w:val="18"/>
                <w:szCs w:val="18"/>
                <w:vertAlign w:val="superscript"/>
              </w:rPr>
            </w:pPr>
            <w:r w:rsidRPr="0051796E">
              <w:rPr>
                <w:rFonts w:ascii="Arial Narrow" w:hAnsi="Arial Narrow" w:cs="Calibri"/>
                <w:sz w:val="18"/>
                <w:szCs w:val="18"/>
              </w:rPr>
              <w:t>Off-Road Equipment</w:t>
            </w:r>
            <w:r>
              <w:rPr>
                <w:rFonts w:ascii="Arial Narrow" w:hAnsi="Arial Narrow" w:cs="Calibri"/>
                <w:sz w:val="18"/>
                <w:szCs w:val="18"/>
                <w:vertAlign w:val="superscript"/>
              </w:rPr>
              <w:t>6</w:t>
            </w:r>
          </w:p>
        </w:tc>
        <w:tc>
          <w:tcPr>
            <w:tcW w:w="1170" w:type="dxa"/>
            <w:tcBorders>
              <w:left w:val="single" w:sz="12" w:space="0" w:color="auto"/>
              <w:bottom w:val="single" w:sz="4" w:space="0" w:color="auto"/>
              <w:right w:val="nil"/>
            </w:tcBorders>
          </w:tcPr>
          <w:p w14:paraId="6C97DE59" w14:textId="77777777" w:rsidR="000E40F4" w:rsidRPr="0051796E" w:rsidRDefault="000E40F4" w:rsidP="00FD0109">
            <w:pPr>
              <w:pStyle w:val="TblTxtCenter"/>
            </w:pPr>
            <w:r>
              <w:t>1</w:t>
            </w:r>
          </w:p>
        </w:tc>
        <w:tc>
          <w:tcPr>
            <w:tcW w:w="1170" w:type="dxa"/>
            <w:tcBorders>
              <w:bottom w:val="single" w:sz="4" w:space="0" w:color="auto"/>
              <w:right w:val="nil"/>
            </w:tcBorders>
          </w:tcPr>
          <w:p w14:paraId="1939F040" w14:textId="77777777" w:rsidR="000E40F4" w:rsidRPr="0051796E" w:rsidRDefault="000E40F4" w:rsidP="00FD0109">
            <w:pPr>
              <w:pStyle w:val="TblTxtCenter"/>
            </w:pPr>
            <w:r>
              <w:t>6</w:t>
            </w:r>
          </w:p>
        </w:tc>
        <w:tc>
          <w:tcPr>
            <w:tcW w:w="1080" w:type="dxa"/>
            <w:tcBorders>
              <w:bottom w:val="single" w:sz="4" w:space="0" w:color="auto"/>
              <w:right w:val="nil"/>
            </w:tcBorders>
          </w:tcPr>
          <w:p w14:paraId="5EC27AB9" w14:textId="77777777" w:rsidR="000E40F4" w:rsidRPr="0051796E" w:rsidRDefault="000E40F4" w:rsidP="00FD0109">
            <w:pPr>
              <w:pStyle w:val="TblTxtCenter"/>
            </w:pPr>
            <w:r>
              <w:t>36</w:t>
            </w:r>
          </w:p>
        </w:tc>
        <w:tc>
          <w:tcPr>
            <w:tcW w:w="990" w:type="dxa"/>
            <w:tcBorders>
              <w:bottom w:val="single" w:sz="4" w:space="0" w:color="auto"/>
              <w:right w:val="nil"/>
            </w:tcBorders>
          </w:tcPr>
          <w:p w14:paraId="65EB033D" w14:textId="77777777" w:rsidR="000E40F4" w:rsidRPr="0051796E" w:rsidRDefault="000E40F4" w:rsidP="00FD0109">
            <w:pPr>
              <w:pStyle w:val="TblTxtCenter"/>
            </w:pPr>
            <w:r>
              <w:t>&lt;1</w:t>
            </w:r>
          </w:p>
        </w:tc>
        <w:tc>
          <w:tcPr>
            <w:tcW w:w="990" w:type="dxa"/>
            <w:tcBorders>
              <w:bottom w:val="single" w:sz="4" w:space="0" w:color="auto"/>
              <w:right w:val="nil"/>
            </w:tcBorders>
          </w:tcPr>
          <w:p w14:paraId="03E83AEB" w14:textId="77777777" w:rsidR="000E40F4" w:rsidRPr="0051796E" w:rsidRDefault="000E40F4" w:rsidP="00FD0109">
            <w:pPr>
              <w:pStyle w:val="TblTxtCenter"/>
            </w:pPr>
            <w:r>
              <w:t>&lt;1</w:t>
            </w:r>
          </w:p>
        </w:tc>
        <w:tc>
          <w:tcPr>
            <w:tcW w:w="990" w:type="dxa"/>
            <w:tcBorders>
              <w:bottom w:val="single" w:sz="4" w:space="0" w:color="auto"/>
              <w:right w:val="nil"/>
            </w:tcBorders>
          </w:tcPr>
          <w:p w14:paraId="7F28F13B" w14:textId="77777777" w:rsidR="000E40F4" w:rsidRPr="0051796E" w:rsidRDefault="000E40F4" w:rsidP="00FD0109">
            <w:pPr>
              <w:pStyle w:val="TblTxtCenter"/>
            </w:pPr>
            <w:r>
              <w:t>&lt;1</w:t>
            </w:r>
          </w:p>
        </w:tc>
      </w:tr>
      <w:tr w:rsidR="000E40F4" w:rsidRPr="0051796E" w14:paraId="07F1593D" w14:textId="77777777" w:rsidTr="00FD0109">
        <w:trPr>
          <w:jc w:val="center"/>
        </w:trPr>
        <w:tc>
          <w:tcPr>
            <w:tcW w:w="2970" w:type="dxa"/>
            <w:tcBorders>
              <w:top w:val="single" w:sz="4" w:space="0" w:color="auto"/>
              <w:left w:val="nil"/>
              <w:bottom w:val="single" w:sz="12" w:space="0" w:color="auto"/>
              <w:right w:val="single" w:sz="12" w:space="0" w:color="auto"/>
            </w:tcBorders>
          </w:tcPr>
          <w:p w14:paraId="0DF42B47" w14:textId="77777777" w:rsidR="000E40F4" w:rsidRPr="00490368" w:rsidRDefault="000E40F4" w:rsidP="00FD0109">
            <w:pPr>
              <w:pStyle w:val="TblTxt"/>
              <w:jc w:val="right"/>
              <w:rPr>
                <w:rFonts w:cs="Calibri"/>
                <w:b/>
                <w:bCs/>
                <w:szCs w:val="18"/>
              </w:rPr>
            </w:pPr>
            <w:r w:rsidRPr="00490368">
              <w:rPr>
                <w:rFonts w:cs="Calibri"/>
                <w:b/>
                <w:bCs/>
                <w:szCs w:val="18"/>
              </w:rPr>
              <w:t>Total Maximum Daily Emissions</w:t>
            </w:r>
          </w:p>
        </w:tc>
        <w:tc>
          <w:tcPr>
            <w:tcW w:w="1170" w:type="dxa"/>
            <w:tcBorders>
              <w:top w:val="single" w:sz="4" w:space="0" w:color="auto"/>
              <w:left w:val="single" w:sz="12" w:space="0" w:color="auto"/>
              <w:bottom w:val="single" w:sz="12" w:space="0" w:color="auto"/>
              <w:right w:val="nil"/>
            </w:tcBorders>
          </w:tcPr>
          <w:p w14:paraId="6B2D0447" w14:textId="77777777" w:rsidR="000E40F4" w:rsidRPr="00490368" w:rsidRDefault="000E40F4" w:rsidP="00FD0109">
            <w:pPr>
              <w:pStyle w:val="TblTxtCenter"/>
              <w:rPr>
                <w:b/>
                <w:bCs/>
              </w:rPr>
            </w:pPr>
            <w:r w:rsidRPr="00490368">
              <w:rPr>
                <w:b/>
                <w:bCs/>
              </w:rPr>
              <w:t>5</w:t>
            </w:r>
          </w:p>
        </w:tc>
        <w:tc>
          <w:tcPr>
            <w:tcW w:w="1170" w:type="dxa"/>
            <w:tcBorders>
              <w:top w:val="single" w:sz="4" w:space="0" w:color="auto"/>
              <w:bottom w:val="single" w:sz="12" w:space="0" w:color="auto"/>
              <w:right w:val="nil"/>
            </w:tcBorders>
          </w:tcPr>
          <w:p w14:paraId="390A0E8E" w14:textId="77777777" w:rsidR="000E40F4" w:rsidRPr="00490368" w:rsidRDefault="000E40F4" w:rsidP="00FD0109">
            <w:pPr>
              <w:pStyle w:val="TblTxtCenter"/>
              <w:rPr>
                <w:b/>
                <w:bCs/>
              </w:rPr>
            </w:pPr>
            <w:r w:rsidRPr="00490368">
              <w:rPr>
                <w:b/>
                <w:bCs/>
              </w:rPr>
              <w:t>23</w:t>
            </w:r>
          </w:p>
        </w:tc>
        <w:tc>
          <w:tcPr>
            <w:tcW w:w="1080" w:type="dxa"/>
            <w:tcBorders>
              <w:top w:val="single" w:sz="4" w:space="0" w:color="auto"/>
              <w:bottom w:val="single" w:sz="12" w:space="0" w:color="auto"/>
              <w:right w:val="nil"/>
            </w:tcBorders>
          </w:tcPr>
          <w:p w14:paraId="51DD33AE" w14:textId="77777777" w:rsidR="000E40F4" w:rsidRPr="00490368" w:rsidRDefault="000E40F4" w:rsidP="00FD0109">
            <w:pPr>
              <w:pStyle w:val="TblTxtCenter"/>
              <w:rPr>
                <w:b/>
                <w:bCs/>
              </w:rPr>
            </w:pPr>
            <w:r w:rsidRPr="00490368">
              <w:rPr>
                <w:b/>
                <w:bCs/>
              </w:rPr>
              <w:t>48</w:t>
            </w:r>
          </w:p>
        </w:tc>
        <w:tc>
          <w:tcPr>
            <w:tcW w:w="990" w:type="dxa"/>
            <w:tcBorders>
              <w:top w:val="single" w:sz="4" w:space="0" w:color="auto"/>
              <w:bottom w:val="single" w:sz="12" w:space="0" w:color="auto"/>
              <w:right w:val="nil"/>
            </w:tcBorders>
          </w:tcPr>
          <w:p w14:paraId="2E1468BD" w14:textId="77777777" w:rsidR="000E40F4" w:rsidRPr="00490368" w:rsidRDefault="000E40F4" w:rsidP="00FD0109">
            <w:pPr>
              <w:pStyle w:val="TblTxtCenter"/>
              <w:rPr>
                <w:b/>
                <w:bCs/>
              </w:rPr>
            </w:pPr>
            <w:r w:rsidRPr="00490368">
              <w:rPr>
                <w:b/>
                <w:bCs/>
              </w:rPr>
              <w:t>&lt;1</w:t>
            </w:r>
          </w:p>
        </w:tc>
        <w:tc>
          <w:tcPr>
            <w:tcW w:w="990" w:type="dxa"/>
            <w:tcBorders>
              <w:top w:val="single" w:sz="4" w:space="0" w:color="auto"/>
              <w:bottom w:val="single" w:sz="12" w:space="0" w:color="auto"/>
              <w:right w:val="nil"/>
            </w:tcBorders>
          </w:tcPr>
          <w:p w14:paraId="6002DBEC" w14:textId="77777777" w:rsidR="000E40F4" w:rsidRPr="00490368" w:rsidRDefault="000E40F4" w:rsidP="00FD0109">
            <w:pPr>
              <w:pStyle w:val="TblTxtCenter"/>
              <w:rPr>
                <w:b/>
                <w:bCs/>
              </w:rPr>
            </w:pPr>
            <w:r w:rsidRPr="00490368">
              <w:rPr>
                <w:b/>
                <w:bCs/>
              </w:rPr>
              <w:t>5</w:t>
            </w:r>
          </w:p>
        </w:tc>
        <w:tc>
          <w:tcPr>
            <w:tcW w:w="990" w:type="dxa"/>
            <w:tcBorders>
              <w:top w:val="single" w:sz="4" w:space="0" w:color="auto"/>
              <w:bottom w:val="single" w:sz="12" w:space="0" w:color="auto"/>
              <w:right w:val="nil"/>
            </w:tcBorders>
          </w:tcPr>
          <w:p w14:paraId="68BBCE97" w14:textId="77777777" w:rsidR="000E40F4" w:rsidRPr="00490368" w:rsidRDefault="000E40F4" w:rsidP="00FD0109">
            <w:pPr>
              <w:pStyle w:val="TblTxtCenter"/>
              <w:rPr>
                <w:b/>
                <w:bCs/>
              </w:rPr>
            </w:pPr>
            <w:r w:rsidRPr="00490368">
              <w:rPr>
                <w:b/>
                <w:bCs/>
              </w:rPr>
              <w:t>2</w:t>
            </w:r>
          </w:p>
        </w:tc>
      </w:tr>
      <w:tr w:rsidR="000E40F4" w:rsidRPr="0051796E" w14:paraId="7E250952" w14:textId="77777777" w:rsidTr="00FD0109">
        <w:trPr>
          <w:jc w:val="center"/>
        </w:trPr>
        <w:tc>
          <w:tcPr>
            <w:tcW w:w="2970" w:type="dxa"/>
            <w:tcBorders>
              <w:top w:val="single" w:sz="12" w:space="0" w:color="auto"/>
              <w:left w:val="nil"/>
              <w:bottom w:val="single" w:sz="2" w:space="0" w:color="auto"/>
              <w:right w:val="nil"/>
            </w:tcBorders>
            <w:shd w:val="clear" w:color="auto" w:fill="D9D9D9" w:themeFill="background1" w:themeFillShade="D9"/>
          </w:tcPr>
          <w:p w14:paraId="50F93F98" w14:textId="77777777" w:rsidR="000E40F4" w:rsidRPr="0051796E" w:rsidRDefault="000E40F4" w:rsidP="00FD0109">
            <w:pPr>
              <w:pStyle w:val="TblTxt"/>
              <w:rPr>
                <w:rFonts w:cs="Calibri"/>
                <w:b/>
                <w:bCs/>
                <w:szCs w:val="18"/>
              </w:rPr>
            </w:pPr>
            <w:r w:rsidRPr="0051796E">
              <w:rPr>
                <w:rFonts w:cs="Calibri"/>
                <w:b/>
                <w:bCs/>
                <w:szCs w:val="18"/>
              </w:rPr>
              <w:t>Net Change</w:t>
            </w:r>
          </w:p>
        </w:tc>
        <w:tc>
          <w:tcPr>
            <w:tcW w:w="1170" w:type="dxa"/>
            <w:tcBorders>
              <w:top w:val="single" w:sz="12" w:space="0" w:color="auto"/>
              <w:left w:val="nil"/>
              <w:bottom w:val="single" w:sz="2" w:space="0" w:color="auto"/>
              <w:right w:val="nil"/>
            </w:tcBorders>
            <w:shd w:val="clear" w:color="auto" w:fill="D9D9D9" w:themeFill="background1" w:themeFillShade="D9"/>
          </w:tcPr>
          <w:p w14:paraId="05097A2C" w14:textId="77777777" w:rsidR="000E40F4" w:rsidRPr="0051796E" w:rsidRDefault="000E40F4" w:rsidP="00FD0109">
            <w:pPr>
              <w:pStyle w:val="TblTxtCenter"/>
              <w:rPr>
                <w:b/>
                <w:bCs/>
              </w:rPr>
            </w:pPr>
          </w:p>
        </w:tc>
        <w:tc>
          <w:tcPr>
            <w:tcW w:w="1170" w:type="dxa"/>
            <w:tcBorders>
              <w:top w:val="single" w:sz="12" w:space="0" w:color="auto"/>
              <w:left w:val="nil"/>
              <w:bottom w:val="single" w:sz="2" w:space="0" w:color="auto"/>
              <w:right w:val="nil"/>
            </w:tcBorders>
            <w:shd w:val="clear" w:color="auto" w:fill="D9D9D9" w:themeFill="background1" w:themeFillShade="D9"/>
          </w:tcPr>
          <w:p w14:paraId="57A09631" w14:textId="77777777" w:rsidR="000E40F4" w:rsidRPr="0051796E" w:rsidRDefault="000E40F4" w:rsidP="00FD0109">
            <w:pPr>
              <w:pStyle w:val="TblTxtCenter"/>
              <w:rPr>
                <w:b/>
                <w:bCs/>
              </w:rPr>
            </w:pPr>
          </w:p>
        </w:tc>
        <w:tc>
          <w:tcPr>
            <w:tcW w:w="1080" w:type="dxa"/>
            <w:tcBorders>
              <w:top w:val="single" w:sz="12" w:space="0" w:color="auto"/>
              <w:left w:val="nil"/>
              <w:bottom w:val="single" w:sz="2" w:space="0" w:color="auto"/>
              <w:right w:val="nil"/>
            </w:tcBorders>
            <w:shd w:val="clear" w:color="auto" w:fill="D9D9D9" w:themeFill="background1" w:themeFillShade="D9"/>
          </w:tcPr>
          <w:p w14:paraId="46AEB615" w14:textId="77777777" w:rsidR="000E40F4" w:rsidRPr="0051796E" w:rsidRDefault="000E40F4" w:rsidP="00FD0109">
            <w:pPr>
              <w:pStyle w:val="TblTxtCenter"/>
              <w:rPr>
                <w:b/>
                <w:bCs/>
              </w:rPr>
            </w:pPr>
          </w:p>
        </w:tc>
        <w:tc>
          <w:tcPr>
            <w:tcW w:w="990" w:type="dxa"/>
            <w:tcBorders>
              <w:top w:val="single" w:sz="12" w:space="0" w:color="auto"/>
              <w:left w:val="nil"/>
              <w:bottom w:val="single" w:sz="2" w:space="0" w:color="auto"/>
              <w:right w:val="nil"/>
            </w:tcBorders>
            <w:shd w:val="clear" w:color="auto" w:fill="D9D9D9" w:themeFill="background1" w:themeFillShade="D9"/>
          </w:tcPr>
          <w:p w14:paraId="378C2D21" w14:textId="77777777" w:rsidR="000E40F4" w:rsidRPr="0051796E" w:rsidRDefault="000E40F4" w:rsidP="00FD0109">
            <w:pPr>
              <w:pStyle w:val="TblTxtCenter"/>
              <w:rPr>
                <w:b/>
                <w:bCs/>
              </w:rPr>
            </w:pPr>
          </w:p>
        </w:tc>
        <w:tc>
          <w:tcPr>
            <w:tcW w:w="990" w:type="dxa"/>
            <w:tcBorders>
              <w:top w:val="single" w:sz="12" w:space="0" w:color="auto"/>
              <w:left w:val="nil"/>
              <w:bottom w:val="single" w:sz="2" w:space="0" w:color="auto"/>
              <w:right w:val="nil"/>
            </w:tcBorders>
            <w:shd w:val="clear" w:color="auto" w:fill="D9D9D9" w:themeFill="background1" w:themeFillShade="D9"/>
          </w:tcPr>
          <w:p w14:paraId="17AC1B3D" w14:textId="77777777" w:rsidR="000E40F4" w:rsidRPr="0051796E" w:rsidRDefault="000E40F4" w:rsidP="00FD0109">
            <w:pPr>
              <w:pStyle w:val="TblTxtCenter"/>
              <w:rPr>
                <w:b/>
                <w:bCs/>
              </w:rPr>
            </w:pPr>
          </w:p>
        </w:tc>
        <w:tc>
          <w:tcPr>
            <w:tcW w:w="990" w:type="dxa"/>
            <w:tcBorders>
              <w:top w:val="single" w:sz="12" w:space="0" w:color="auto"/>
              <w:left w:val="nil"/>
              <w:bottom w:val="single" w:sz="2" w:space="0" w:color="auto"/>
              <w:right w:val="nil"/>
            </w:tcBorders>
            <w:shd w:val="clear" w:color="auto" w:fill="D9D9D9" w:themeFill="background1" w:themeFillShade="D9"/>
          </w:tcPr>
          <w:p w14:paraId="409DBB3E" w14:textId="77777777" w:rsidR="000E40F4" w:rsidRPr="0051796E" w:rsidRDefault="000E40F4" w:rsidP="00FD0109">
            <w:pPr>
              <w:pStyle w:val="TblTxtCenter"/>
              <w:rPr>
                <w:b/>
                <w:bCs/>
              </w:rPr>
            </w:pPr>
          </w:p>
        </w:tc>
      </w:tr>
      <w:tr w:rsidR="000E40F4" w:rsidRPr="0051796E" w14:paraId="11CD63EA" w14:textId="77777777" w:rsidTr="00FD0109">
        <w:trPr>
          <w:jc w:val="center"/>
        </w:trPr>
        <w:tc>
          <w:tcPr>
            <w:tcW w:w="2970" w:type="dxa"/>
            <w:tcBorders>
              <w:top w:val="single" w:sz="2" w:space="0" w:color="auto"/>
              <w:left w:val="nil"/>
              <w:bottom w:val="single" w:sz="12" w:space="0" w:color="auto"/>
              <w:right w:val="single" w:sz="12" w:space="0" w:color="auto"/>
            </w:tcBorders>
          </w:tcPr>
          <w:p w14:paraId="6DE379C9" w14:textId="77777777" w:rsidR="000E40F4" w:rsidRPr="00490368" w:rsidRDefault="000E40F4" w:rsidP="00FD0109">
            <w:pPr>
              <w:pStyle w:val="TblTxt"/>
              <w:jc w:val="right"/>
              <w:rPr>
                <w:rFonts w:cs="Calibri"/>
                <w:b/>
                <w:bCs/>
                <w:szCs w:val="18"/>
              </w:rPr>
            </w:pPr>
            <w:r w:rsidRPr="00490368">
              <w:rPr>
                <w:b/>
                <w:bCs/>
              </w:rPr>
              <w:t>Total Maximum Daily Emissions</w:t>
            </w:r>
          </w:p>
        </w:tc>
        <w:tc>
          <w:tcPr>
            <w:tcW w:w="1170" w:type="dxa"/>
            <w:tcBorders>
              <w:top w:val="single" w:sz="2" w:space="0" w:color="auto"/>
              <w:left w:val="single" w:sz="12" w:space="0" w:color="auto"/>
              <w:bottom w:val="single" w:sz="12" w:space="0" w:color="auto"/>
              <w:right w:val="nil"/>
            </w:tcBorders>
          </w:tcPr>
          <w:p w14:paraId="4AC3FC8B" w14:textId="77777777" w:rsidR="000E40F4" w:rsidRPr="00490368" w:rsidRDefault="000E40F4" w:rsidP="00FD0109">
            <w:pPr>
              <w:pStyle w:val="TblTxtCenter"/>
              <w:rPr>
                <w:b/>
                <w:bCs/>
              </w:rPr>
            </w:pPr>
            <w:r w:rsidRPr="00490368">
              <w:rPr>
                <w:b/>
                <w:bCs/>
              </w:rPr>
              <w:t>3</w:t>
            </w:r>
          </w:p>
        </w:tc>
        <w:tc>
          <w:tcPr>
            <w:tcW w:w="1170" w:type="dxa"/>
            <w:tcBorders>
              <w:top w:val="single" w:sz="2" w:space="0" w:color="auto"/>
              <w:bottom w:val="single" w:sz="12" w:space="0" w:color="auto"/>
              <w:right w:val="nil"/>
            </w:tcBorders>
          </w:tcPr>
          <w:p w14:paraId="5BBC4952" w14:textId="77777777" w:rsidR="000E40F4" w:rsidRPr="00490368" w:rsidRDefault="000E40F4" w:rsidP="00FD0109">
            <w:pPr>
              <w:pStyle w:val="TblTxtCenter"/>
              <w:rPr>
                <w:b/>
                <w:bCs/>
              </w:rPr>
            </w:pPr>
            <w:r w:rsidRPr="00490368">
              <w:rPr>
                <w:b/>
                <w:bCs/>
              </w:rPr>
              <w:t>18</w:t>
            </w:r>
          </w:p>
        </w:tc>
        <w:tc>
          <w:tcPr>
            <w:tcW w:w="1080" w:type="dxa"/>
            <w:tcBorders>
              <w:top w:val="single" w:sz="2" w:space="0" w:color="auto"/>
              <w:bottom w:val="single" w:sz="12" w:space="0" w:color="auto"/>
              <w:right w:val="nil"/>
            </w:tcBorders>
          </w:tcPr>
          <w:p w14:paraId="6155AD0C" w14:textId="77777777" w:rsidR="000E40F4" w:rsidRPr="00490368" w:rsidRDefault="000E40F4" w:rsidP="00FD0109">
            <w:pPr>
              <w:pStyle w:val="TblTxtCenter"/>
              <w:rPr>
                <w:b/>
                <w:bCs/>
              </w:rPr>
            </w:pPr>
            <w:r w:rsidRPr="00490368">
              <w:rPr>
                <w:b/>
                <w:bCs/>
              </w:rPr>
              <w:t>43</w:t>
            </w:r>
          </w:p>
        </w:tc>
        <w:tc>
          <w:tcPr>
            <w:tcW w:w="990" w:type="dxa"/>
            <w:tcBorders>
              <w:top w:val="single" w:sz="2" w:space="0" w:color="auto"/>
              <w:bottom w:val="single" w:sz="12" w:space="0" w:color="auto"/>
              <w:right w:val="nil"/>
            </w:tcBorders>
          </w:tcPr>
          <w:p w14:paraId="2EDC9288" w14:textId="77777777" w:rsidR="000E40F4" w:rsidRPr="00490368" w:rsidRDefault="000E40F4" w:rsidP="00FD0109">
            <w:pPr>
              <w:pStyle w:val="TblTxtCenter"/>
              <w:rPr>
                <w:b/>
                <w:bCs/>
              </w:rPr>
            </w:pPr>
            <w:r w:rsidRPr="00490368">
              <w:rPr>
                <w:b/>
                <w:bCs/>
              </w:rPr>
              <w:t>&lt;1</w:t>
            </w:r>
          </w:p>
        </w:tc>
        <w:tc>
          <w:tcPr>
            <w:tcW w:w="990" w:type="dxa"/>
            <w:tcBorders>
              <w:top w:val="single" w:sz="2" w:space="0" w:color="auto"/>
              <w:bottom w:val="single" w:sz="12" w:space="0" w:color="auto"/>
              <w:right w:val="nil"/>
            </w:tcBorders>
          </w:tcPr>
          <w:p w14:paraId="5EEE37D5" w14:textId="77777777" w:rsidR="000E40F4" w:rsidRPr="00490368" w:rsidRDefault="000E40F4" w:rsidP="00FD0109">
            <w:pPr>
              <w:pStyle w:val="TblTxtCenter"/>
              <w:rPr>
                <w:b/>
                <w:bCs/>
              </w:rPr>
            </w:pPr>
            <w:r w:rsidRPr="00490368">
              <w:rPr>
                <w:b/>
                <w:bCs/>
              </w:rPr>
              <w:t>3</w:t>
            </w:r>
          </w:p>
        </w:tc>
        <w:tc>
          <w:tcPr>
            <w:tcW w:w="990" w:type="dxa"/>
            <w:tcBorders>
              <w:top w:val="single" w:sz="2" w:space="0" w:color="auto"/>
              <w:bottom w:val="single" w:sz="12" w:space="0" w:color="auto"/>
              <w:right w:val="nil"/>
            </w:tcBorders>
          </w:tcPr>
          <w:p w14:paraId="73E0CAB4" w14:textId="77777777" w:rsidR="000E40F4" w:rsidRPr="00490368" w:rsidRDefault="000E40F4" w:rsidP="00FD0109">
            <w:pPr>
              <w:pStyle w:val="TblTxtCenter"/>
              <w:rPr>
                <w:b/>
                <w:bCs/>
              </w:rPr>
            </w:pPr>
            <w:r w:rsidRPr="00490368">
              <w:rPr>
                <w:b/>
                <w:bCs/>
              </w:rPr>
              <w:t>1</w:t>
            </w:r>
          </w:p>
        </w:tc>
      </w:tr>
      <w:tr w:rsidR="000E40F4" w:rsidRPr="0051796E" w14:paraId="4BBE5C2A" w14:textId="77777777" w:rsidTr="00FD0109">
        <w:trPr>
          <w:jc w:val="center"/>
        </w:trPr>
        <w:tc>
          <w:tcPr>
            <w:tcW w:w="2970" w:type="dxa"/>
            <w:tcBorders>
              <w:top w:val="single" w:sz="12" w:space="0" w:color="auto"/>
              <w:left w:val="nil"/>
              <w:bottom w:val="single" w:sz="4" w:space="0" w:color="auto"/>
              <w:right w:val="single" w:sz="12" w:space="0" w:color="auto"/>
            </w:tcBorders>
            <w:shd w:val="clear" w:color="auto" w:fill="auto"/>
          </w:tcPr>
          <w:p w14:paraId="0F7EB9B0" w14:textId="77777777" w:rsidR="000E40F4" w:rsidRPr="00CB7F06" w:rsidRDefault="000E40F4" w:rsidP="00FD0109">
            <w:pPr>
              <w:pStyle w:val="TblTxt"/>
              <w:rPr>
                <w:bCs/>
                <w:szCs w:val="18"/>
              </w:rPr>
            </w:pPr>
            <w:r w:rsidRPr="00CB7F06">
              <w:rPr>
                <w:bCs/>
                <w:szCs w:val="18"/>
              </w:rPr>
              <w:t>South Coast AQMD Regional Threshold</w:t>
            </w:r>
            <w:r>
              <w:rPr>
                <w:bCs/>
                <w:szCs w:val="18"/>
              </w:rPr>
              <w:t>s</w:t>
            </w:r>
          </w:p>
        </w:tc>
        <w:tc>
          <w:tcPr>
            <w:tcW w:w="1170" w:type="dxa"/>
            <w:tcBorders>
              <w:top w:val="single" w:sz="12" w:space="0" w:color="auto"/>
              <w:left w:val="single" w:sz="12" w:space="0" w:color="auto"/>
              <w:bottom w:val="single" w:sz="4" w:space="0" w:color="auto"/>
              <w:right w:val="nil"/>
            </w:tcBorders>
            <w:shd w:val="clear" w:color="auto" w:fill="auto"/>
            <w:vAlign w:val="center"/>
          </w:tcPr>
          <w:p w14:paraId="0BA658D3" w14:textId="77777777" w:rsidR="000E40F4" w:rsidRPr="00CB7F06" w:rsidRDefault="000E40F4" w:rsidP="00FD0109">
            <w:pPr>
              <w:pStyle w:val="TblTxtCenter"/>
              <w:rPr>
                <w:bCs/>
                <w:szCs w:val="18"/>
              </w:rPr>
            </w:pPr>
            <w:r w:rsidRPr="00CB7F06">
              <w:rPr>
                <w:bCs/>
                <w:szCs w:val="18"/>
              </w:rPr>
              <w:t>55</w:t>
            </w:r>
          </w:p>
        </w:tc>
        <w:tc>
          <w:tcPr>
            <w:tcW w:w="1170" w:type="dxa"/>
            <w:tcBorders>
              <w:top w:val="single" w:sz="12" w:space="0" w:color="auto"/>
              <w:bottom w:val="single" w:sz="4" w:space="0" w:color="auto"/>
              <w:right w:val="nil"/>
            </w:tcBorders>
            <w:shd w:val="clear" w:color="auto" w:fill="auto"/>
            <w:vAlign w:val="center"/>
          </w:tcPr>
          <w:p w14:paraId="07AA5FDC" w14:textId="77777777" w:rsidR="000E40F4" w:rsidRPr="00CB7F06" w:rsidRDefault="000E40F4" w:rsidP="00FD0109">
            <w:pPr>
              <w:pStyle w:val="TblTxtCenter"/>
              <w:rPr>
                <w:bCs/>
                <w:szCs w:val="18"/>
              </w:rPr>
            </w:pPr>
            <w:r w:rsidRPr="00CB7F06">
              <w:rPr>
                <w:bCs/>
                <w:szCs w:val="18"/>
              </w:rPr>
              <w:t>55</w:t>
            </w:r>
          </w:p>
        </w:tc>
        <w:tc>
          <w:tcPr>
            <w:tcW w:w="1080" w:type="dxa"/>
            <w:tcBorders>
              <w:top w:val="single" w:sz="12" w:space="0" w:color="auto"/>
              <w:bottom w:val="single" w:sz="4" w:space="0" w:color="auto"/>
              <w:right w:val="nil"/>
            </w:tcBorders>
            <w:shd w:val="clear" w:color="auto" w:fill="auto"/>
            <w:vAlign w:val="center"/>
          </w:tcPr>
          <w:p w14:paraId="2E2C4028" w14:textId="77777777" w:rsidR="000E40F4" w:rsidRPr="00CB7F06" w:rsidRDefault="000E40F4" w:rsidP="00FD0109">
            <w:pPr>
              <w:pStyle w:val="TblTxtCenter"/>
              <w:rPr>
                <w:bCs/>
                <w:szCs w:val="18"/>
              </w:rPr>
            </w:pPr>
            <w:r w:rsidRPr="00CB7F06">
              <w:rPr>
                <w:bCs/>
                <w:szCs w:val="18"/>
              </w:rPr>
              <w:t>550</w:t>
            </w:r>
          </w:p>
        </w:tc>
        <w:tc>
          <w:tcPr>
            <w:tcW w:w="990" w:type="dxa"/>
            <w:tcBorders>
              <w:top w:val="single" w:sz="12" w:space="0" w:color="auto"/>
              <w:bottom w:val="single" w:sz="4" w:space="0" w:color="auto"/>
              <w:right w:val="nil"/>
            </w:tcBorders>
            <w:shd w:val="clear" w:color="auto" w:fill="auto"/>
            <w:vAlign w:val="center"/>
          </w:tcPr>
          <w:p w14:paraId="72A61213" w14:textId="77777777" w:rsidR="000E40F4" w:rsidRPr="00CB7F06" w:rsidRDefault="000E40F4" w:rsidP="00FD0109">
            <w:pPr>
              <w:pStyle w:val="TblTxtCenter"/>
              <w:rPr>
                <w:bCs/>
                <w:szCs w:val="18"/>
              </w:rPr>
            </w:pPr>
            <w:r w:rsidRPr="00CB7F06">
              <w:rPr>
                <w:bCs/>
                <w:szCs w:val="18"/>
              </w:rPr>
              <w:t>150</w:t>
            </w:r>
          </w:p>
        </w:tc>
        <w:tc>
          <w:tcPr>
            <w:tcW w:w="990" w:type="dxa"/>
            <w:tcBorders>
              <w:top w:val="single" w:sz="12" w:space="0" w:color="auto"/>
              <w:bottom w:val="single" w:sz="4" w:space="0" w:color="auto"/>
              <w:right w:val="nil"/>
            </w:tcBorders>
            <w:shd w:val="clear" w:color="auto" w:fill="auto"/>
            <w:vAlign w:val="center"/>
          </w:tcPr>
          <w:p w14:paraId="6810510B" w14:textId="77777777" w:rsidR="000E40F4" w:rsidRPr="00CB7F06" w:rsidRDefault="000E40F4" w:rsidP="00FD0109">
            <w:pPr>
              <w:pStyle w:val="TblTxtCenter"/>
              <w:rPr>
                <w:bCs/>
                <w:szCs w:val="18"/>
              </w:rPr>
            </w:pPr>
            <w:r w:rsidRPr="00CB7F06">
              <w:rPr>
                <w:bCs/>
                <w:szCs w:val="18"/>
              </w:rPr>
              <w:t>150</w:t>
            </w:r>
          </w:p>
        </w:tc>
        <w:tc>
          <w:tcPr>
            <w:tcW w:w="990" w:type="dxa"/>
            <w:tcBorders>
              <w:top w:val="single" w:sz="12" w:space="0" w:color="auto"/>
              <w:bottom w:val="single" w:sz="4" w:space="0" w:color="auto"/>
              <w:right w:val="nil"/>
            </w:tcBorders>
            <w:shd w:val="clear" w:color="auto" w:fill="auto"/>
            <w:vAlign w:val="center"/>
          </w:tcPr>
          <w:p w14:paraId="550213CC" w14:textId="77777777" w:rsidR="000E40F4" w:rsidRPr="00CB7F06" w:rsidRDefault="000E40F4" w:rsidP="00FD0109">
            <w:pPr>
              <w:pStyle w:val="TblTxtCenter"/>
              <w:rPr>
                <w:bCs/>
                <w:szCs w:val="18"/>
              </w:rPr>
            </w:pPr>
            <w:r w:rsidRPr="00CB7F06">
              <w:rPr>
                <w:bCs/>
                <w:szCs w:val="18"/>
              </w:rPr>
              <w:t>55</w:t>
            </w:r>
          </w:p>
        </w:tc>
      </w:tr>
      <w:tr w:rsidR="000E40F4" w:rsidRPr="0051796E" w14:paraId="257837C1" w14:textId="77777777" w:rsidTr="00FD0109">
        <w:trPr>
          <w:jc w:val="center"/>
        </w:trPr>
        <w:tc>
          <w:tcPr>
            <w:tcW w:w="2970" w:type="dxa"/>
            <w:tcBorders>
              <w:left w:val="nil"/>
              <w:bottom w:val="single" w:sz="4" w:space="0" w:color="auto"/>
              <w:right w:val="single" w:sz="12" w:space="0" w:color="auto"/>
            </w:tcBorders>
          </w:tcPr>
          <w:p w14:paraId="60E2960A" w14:textId="77777777" w:rsidR="000E40F4" w:rsidRPr="0051796E" w:rsidRDefault="000E40F4" w:rsidP="00FD0109">
            <w:pPr>
              <w:pStyle w:val="TblTxt"/>
              <w:jc w:val="right"/>
              <w:rPr>
                <w:b/>
                <w:szCs w:val="18"/>
                <w:vertAlign w:val="superscript"/>
              </w:rPr>
            </w:pPr>
            <w:r w:rsidRPr="0051796E">
              <w:rPr>
                <w:b/>
                <w:szCs w:val="18"/>
              </w:rPr>
              <w:t>Exceeds Threshold?</w:t>
            </w:r>
          </w:p>
        </w:tc>
        <w:tc>
          <w:tcPr>
            <w:tcW w:w="1170" w:type="dxa"/>
            <w:tcBorders>
              <w:left w:val="single" w:sz="12" w:space="0" w:color="auto"/>
              <w:bottom w:val="single" w:sz="4" w:space="0" w:color="auto"/>
              <w:right w:val="nil"/>
            </w:tcBorders>
            <w:vAlign w:val="center"/>
          </w:tcPr>
          <w:p w14:paraId="6FA2F537" w14:textId="77777777" w:rsidR="000E40F4" w:rsidRPr="00CB7F06" w:rsidRDefault="000E40F4" w:rsidP="00FD0109">
            <w:pPr>
              <w:pStyle w:val="TblTxtCenter"/>
              <w:rPr>
                <w:b/>
                <w:szCs w:val="18"/>
              </w:rPr>
            </w:pPr>
            <w:r w:rsidRPr="00CB7F06">
              <w:rPr>
                <w:b/>
                <w:szCs w:val="18"/>
              </w:rPr>
              <w:t>No</w:t>
            </w:r>
          </w:p>
        </w:tc>
        <w:tc>
          <w:tcPr>
            <w:tcW w:w="1170" w:type="dxa"/>
            <w:tcBorders>
              <w:bottom w:val="single" w:sz="4" w:space="0" w:color="auto"/>
              <w:right w:val="nil"/>
            </w:tcBorders>
            <w:vAlign w:val="center"/>
          </w:tcPr>
          <w:p w14:paraId="59A63B49" w14:textId="77777777" w:rsidR="000E40F4" w:rsidRPr="00CB7F06" w:rsidRDefault="000E40F4" w:rsidP="00FD0109">
            <w:pPr>
              <w:pStyle w:val="TblTxtCenter"/>
              <w:rPr>
                <w:b/>
                <w:szCs w:val="18"/>
              </w:rPr>
            </w:pPr>
            <w:r w:rsidRPr="00CB7F06">
              <w:rPr>
                <w:b/>
                <w:szCs w:val="18"/>
              </w:rPr>
              <w:t>No</w:t>
            </w:r>
          </w:p>
        </w:tc>
        <w:tc>
          <w:tcPr>
            <w:tcW w:w="1080" w:type="dxa"/>
            <w:tcBorders>
              <w:bottom w:val="single" w:sz="4" w:space="0" w:color="auto"/>
              <w:right w:val="nil"/>
            </w:tcBorders>
            <w:vAlign w:val="center"/>
          </w:tcPr>
          <w:p w14:paraId="593D468B" w14:textId="77777777" w:rsidR="000E40F4" w:rsidRPr="00CB7F06" w:rsidRDefault="000E40F4" w:rsidP="00FD0109">
            <w:pPr>
              <w:pStyle w:val="TblTxtCenter"/>
              <w:rPr>
                <w:b/>
                <w:szCs w:val="18"/>
              </w:rPr>
            </w:pPr>
            <w:r w:rsidRPr="00CB7F06">
              <w:rPr>
                <w:b/>
                <w:szCs w:val="18"/>
              </w:rPr>
              <w:t>No</w:t>
            </w:r>
          </w:p>
        </w:tc>
        <w:tc>
          <w:tcPr>
            <w:tcW w:w="990" w:type="dxa"/>
            <w:tcBorders>
              <w:bottom w:val="single" w:sz="4" w:space="0" w:color="auto"/>
              <w:right w:val="nil"/>
            </w:tcBorders>
            <w:vAlign w:val="center"/>
          </w:tcPr>
          <w:p w14:paraId="1EC83956" w14:textId="77777777" w:rsidR="000E40F4" w:rsidRPr="00CB7F06" w:rsidRDefault="000E40F4" w:rsidP="00FD0109">
            <w:pPr>
              <w:pStyle w:val="TblTxtCenter"/>
              <w:rPr>
                <w:b/>
                <w:szCs w:val="18"/>
              </w:rPr>
            </w:pPr>
            <w:r w:rsidRPr="00CB7F06">
              <w:rPr>
                <w:b/>
                <w:szCs w:val="18"/>
              </w:rPr>
              <w:t>No</w:t>
            </w:r>
          </w:p>
        </w:tc>
        <w:tc>
          <w:tcPr>
            <w:tcW w:w="990" w:type="dxa"/>
            <w:tcBorders>
              <w:bottom w:val="single" w:sz="4" w:space="0" w:color="auto"/>
              <w:right w:val="nil"/>
            </w:tcBorders>
            <w:vAlign w:val="center"/>
          </w:tcPr>
          <w:p w14:paraId="024C4EDE" w14:textId="77777777" w:rsidR="000E40F4" w:rsidRPr="00CB7F06" w:rsidRDefault="000E40F4" w:rsidP="00FD0109">
            <w:pPr>
              <w:pStyle w:val="TblTxtCenter"/>
              <w:rPr>
                <w:b/>
                <w:szCs w:val="18"/>
              </w:rPr>
            </w:pPr>
            <w:r w:rsidRPr="00CB7F06">
              <w:rPr>
                <w:b/>
                <w:szCs w:val="18"/>
              </w:rPr>
              <w:t>No</w:t>
            </w:r>
          </w:p>
        </w:tc>
        <w:tc>
          <w:tcPr>
            <w:tcW w:w="990" w:type="dxa"/>
            <w:tcBorders>
              <w:bottom w:val="single" w:sz="4" w:space="0" w:color="auto"/>
              <w:right w:val="nil"/>
            </w:tcBorders>
            <w:vAlign w:val="center"/>
          </w:tcPr>
          <w:p w14:paraId="447A5E15" w14:textId="77777777" w:rsidR="000E40F4" w:rsidRPr="00CB7F06" w:rsidRDefault="000E40F4" w:rsidP="00FD0109">
            <w:pPr>
              <w:pStyle w:val="TblTxtCenter"/>
              <w:rPr>
                <w:b/>
                <w:szCs w:val="18"/>
              </w:rPr>
            </w:pPr>
            <w:r w:rsidRPr="00CB7F06">
              <w:rPr>
                <w:b/>
                <w:szCs w:val="18"/>
              </w:rPr>
              <w:t>No</w:t>
            </w:r>
          </w:p>
        </w:tc>
      </w:tr>
      <w:tr w:rsidR="000E40F4" w:rsidRPr="00AF30C5" w14:paraId="2662A868" w14:textId="77777777" w:rsidTr="00FD0109">
        <w:trPr>
          <w:trHeight w:val="807"/>
          <w:jc w:val="center"/>
        </w:trPr>
        <w:tc>
          <w:tcPr>
            <w:tcW w:w="9360" w:type="dxa"/>
            <w:gridSpan w:val="7"/>
            <w:tcBorders>
              <w:top w:val="single" w:sz="12" w:space="0" w:color="auto"/>
              <w:left w:val="nil"/>
              <w:bottom w:val="single" w:sz="12" w:space="0" w:color="auto"/>
              <w:right w:val="nil"/>
            </w:tcBorders>
            <w:vAlign w:val="center"/>
          </w:tcPr>
          <w:p w14:paraId="0FFFB5B7" w14:textId="77777777" w:rsidR="000E40F4" w:rsidRPr="00A418B0" w:rsidRDefault="000E40F4" w:rsidP="00883261">
            <w:pPr>
              <w:pStyle w:val="Tblnote"/>
            </w:pPr>
            <w:r w:rsidRPr="00A418B0">
              <w:t xml:space="preserve">Source: CalEEMod Version 2020.4.0. Highest winter or summer emissions report. </w:t>
            </w:r>
          </w:p>
          <w:p w14:paraId="5FEAF5B6" w14:textId="77777777" w:rsidR="000E40F4" w:rsidRPr="00A418B0" w:rsidRDefault="000E40F4" w:rsidP="00A418B0">
            <w:pPr>
              <w:pStyle w:val="Tblnote"/>
            </w:pPr>
            <w:r w:rsidRPr="00A418B0">
              <w:t xml:space="preserve">Notes: lbs: Pounds. </w:t>
            </w:r>
          </w:p>
          <w:p w14:paraId="53E124DA" w14:textId="77777777" w:rsidR="000E40F4" w:rsidRPr="00BC13F4" w:rsidRDefault="000E40F4" w:rsidP="00A418B0">
            <w:pPr>
              <w:pStyle w:val="Tblnote"/>
              <w:rPr>
                <w:rFonts w:eastAsia="Batang"/>
                <w:szCs w:val="15"/>
              </w:rPr>
            </w:pPr>
            <w:r w:rsidRPr="003D7B74">
              <w:rPr>
                <w:rFonts w:eastAsia="Batang"/>
                <w:szCs w:val="15"/>
                <w:vertAlign w:val="superscript"/>
              </w:rPr>
              <w:t>1</w:t>
            </w:r>
            <w:r w:rsidRPr="003D7B74">
              <w:rPr>
                <w:rFonts w:eastAsia="Batang"/>
                <w:szCs w:val="15"/>
              </w:rPr>
              <w:t xml:space="preserve"> </w:t>
            </w:r>
            <w:r w:rsidR="00883261">
              <w:rPr>
                <w:rFonts w:eastAsia="Batang"/>
                <w:szCs w:val="15"/>
              </w:rPr>
              <w:tab/>
            </w:r>
            <w:r w:rsidRPr="003D7B74">
              <w:rPr>
                <w:rFonts w:eastAsia="Batang"/>
                <w:szCs w:val="15"/>
              </w:rPr>
              <w:t xml:space="preserve">For purposes of this analysis, the default CalEEMod </w:t>
            </w:r>
            <w:r w:rsidRPr="00BC13F4">
              <w:rPr>
                <w:rFonts w:eastAsia="Batang"/>
                <w:szCs w:val="15"/>
              </w:rPr>
              <w:t>historical energy rates, which are based on the 2005 Building Energy Standards, are utilized.</w:t>
            </w:r>
          </w:p>
          <w:p w14:paraId="7F4FA1F2" w14:textId="77777777" w:rsidR="000E40F4" w:rsidRPr="00BC13F4" w:rsidRDefault="000E40F4" w:rsidP="00A418B0">
            <w:pPr>
              <w:pStyle w:val="Tblnote"/>
              <w:rPr>
                <w:rFonts w:eastAsia="Batang"/>
                <w:szCs w:val="15"/>
              </w:rPr>
            </w:pPr>
            <w:r w:rsidRPr="00BC13F4">
              <w:rPr>
                <w:rFonts w:eastAsia="Batang"/>
                <w:szCs w:val="15"/>
                <w:vertAlign w:val="superscript"/>
              </w:rPr>
              <w:t>2</w:t>
            </w:r>
            <w:r w:rsidRPr="00BC13F4">
              <w:rPr>
                <w:rFonts w:eastAsia="Batang"/>
                <w:szCs w:val="15"/>
              </w:rPr>
              <w:t xml:space="preserve"> </w:t>
            </w:r>
            <w:r w:rsidR="00883261">
              <w:rPr>
                <w:rFonts w:eastAsia="Batang"/>
                <w:szCs w:val="15"/>
              </w:rPr>
              <w:tab/>
            </w:r>
            <w:r w:rsidRPr="00BC13F4">
              <w:rPr>
                <w:rFonts w:eastAsia="Batang"/>
                <w:szCs w:val="15"/>
              </w:rPr>
              <w:t xml:space="preserve">Based on trip generation data provided by Urban Crossroads (see Appendix </w:t>
            </w:r>
            <w:r>
              <w:rPr>
                <w:rFonts w:eastAsia="Batang"/>
                <w:szCs w:val="15"/>
              </w:rPr>
              <w:t>I</w:t>
            </w:r>
            <w:r w:rsidRPr="00BC13F4">
              <w:rPr>
                <w:rFonts w:eastAsia="Batang"/>
                <w:szCs w:val="15"/>
              </w:rPr>
              <w:t>) and CalEEMod default calendar year 2021 emissions data and trip lengths.</w:t>
            </w:r>
          </w:p>
          <w:p w14:paraId="2D04D08E" w14:textId="77777777" w:rsidR="000E40F4" w:rsidRPr="003D7B74" w:rsidRDefault="000E40F4" w:rsidP="00883261">
            <w:pPr>
              <w:pStyle w:val="TblSourcesNotes"/>
            </w:pPr>
            <w:r w:rsidRPr="00BC13F4">
              <w:rPr>
                <w:vertAlign w:val="superscript"/>
              </w:rPr>
              <w:t>3</w:t>
            </w:r>
            <w:r w:rsidRPr="00BC13F4">
              <w:t xml:space="preserve"> </w:t>
            </w:r>
            <w:r w:rsidR="00883261">
              <w:tab/>
            </w:r>
            <w:r w:rsidRPr="00BC13F4">
              <w:t xml:space="preserve">Based on </w:t>
            </w:r>
            <w:r w:rsidRPr="00BC13F4">
              <w:rPr>
                <w:rFonts w:eastAsia="Batang"/>
                <w:szCs w:val="15"/>
              </w:rPr>
              <w:t xml:space="preserve">trip generation data provided by Urban Crossroads (see Appendix </w:t>
            </w:r>
            <w:r>
              <w:rPr>
                <w:rFonts w:eastAsia="Batang"/>
                <w:szCs w:val="15"/>
              </w:rPr>
              <w:t>I</w:t>
            </w:r>
            <w:r w:rsidRPr="00BC13F4">
              <w:rPr>
                <w:rFonts w:eastAsia="Batang"/>
                <w:szCs w:val="15"/>
              </w:rPr>
              <w:t xml:space="preserve">) and </w:t>
            </w:r>
            <w:r w:rsidRPr="00BC13F4">
              <w:t>Ca</w:t>
            </w:r>
            <w:r>
              <w:t>l</w:t>
            </w:r>
            <w:r w:rsidRPr="00BC13F4">
              <w:t>EEMod default calendar year 2021 emission rates. Utilizes an average trip length of 39.9 miles per trip, which is derived from the SCAG’s Heavy-Duty Truck Regional Travel Demand model and represents the average class 8 truck trip distance within the SoCAB (South Coast AQMD 2021).</w:t>
            </w:r>
          </w:p>
          <w:p w14:paraId="2CC19301" w14:textId="77777777" w:rsidR="000E40F4" w:rsidRDefault="000E40F4" w:rsidP="00A418B0">
            <w:pPr>
              <w:pStyle w:val="Tblnote"/>
              <w:rPr>
                <w:rFonts w:eastAsia="Batang"/>
                <w:szCs w:val="15"/>
              </w:rPr>
            </w:pPr>
            <w:r w:rsidRPr="00DF350A">
              <w:rPr>
                <w:vertAlign w:val="superscript"/>
              </w:rPr>
              <w:t>4</w:t>
            </w:r>
            <w:r>
              <w:rPr>
                <w:vertAlign w:val="superscript"/>
              </w:rPr>
              <w:t xml:space="preserve"> </w:t>
            </w:r>
            <w:r w:rsidR="00883261">
              <w:rPr>
                <w:vertAlign w:val="superscript"/>
              </w:rPr>
              <w:tab/>
            </w:r>
            <w:r w:rsidRPr="00DF350A">
              <w:rPr>
                <w:rFonts w:eastAsia="Batang"/>
                <w:szCs w:val="15"/>
              </w:rPr>
              <w:t>Based</w:t>
            </w:r>
            <w:r w:rsidRPr="003D7B74">
              <w:rPr>
                <w:rFonts w:eastAsia="Batang"/>
                <w:szCs w:val="15"/>
              </w:rPr>
              <w:t xml:space="preserve"> on</w:t>
            </w:r>
            <w:r>
              <w:rPr>
                <w:rFonts w:eastAsia="Batang"/>
                <w:szCs w:val="15"/>
              </w:rPr>
              <w:t xml:space="preserve"> CalEEMod default</w:t>
            </w:r>
            <w:r w:rsidRPr="003D7B74">
              <w:rPr>
                <w:rFonts w:eastAsia="Batang"/>
                <w:szCs w:val="15"/>
              </w:rPr>
              <w:t xml:space="preserve"> </w:t>
            </w:r>
            <w:r>
              <w:rPr>
                <w:rFonts w:eastAsia="Batang"/>
                <w:szCs w:val="15"/>
              </w:rPr>
              <w:t xml:space="preserve">calendar year 2022 </w:t>
            </w:r>
            <w:r w:rsidRPr="003D7B74">
              <w:rPr>
                <w:rFonts w:eastAsia="Batang"/>
                <w:szCs w:val="15"/>
              </w:rPr>
              <w:t>emissions data</w:t>
            </w:r>
            <w:r>
              <w:rPr>
                <w:rFonts w:eastAsia="Batang"/>
                <w:szCs w:val="15"/>
              </w:rPr>
              <w:t xml:space="preserve"> and trip lengths.</w:t>
            </w:r>
          </w:p>
          <w:p w14:paraId="193168C7" w14:textId="77777777" w:rsidR="000E40F4" w:rsidRPr="003D7B74" w:rsidRDefault="000E40F4" w:rsidP="00883261">
            <w:pPr>
              <w:pStyle w:val="TblSourcesNotes"/>
            </w:pPr>
            <w:r>
              <w:rPr>
                <w:vertAlign w:val="superscript"/>
              </w:rPr>
              <w:t>5</w:t>
            </w:r>
            <w:r w:rsidRPr="003D7B74">
              <w:t xml:space="preserve"> </w:t>
            </w:r>
            <w:r w:rsidR="00883261">
              <w:tab/>
            </w:r>
            <w:r w:rsidRPr="003D7B74">
              <w:t>Based on Ca</w:t>
            </w:r>
            <w:r>
              <w:t>l</w:t>
            </w:r>
            <w:r w:rsidRPr="003D7B74">
              <w:t>EEMod default calendar year 202</w:t>
            </w:r>
            <w:r>
              <w:t>2</w:t>
            </w:r>
            <w:r w:rsidRPr="003D7B74">
              <w:t xml:space="preserve"> emission rates. </w:t>
            </w:r>
            <w:r>
              <w:t>Utilizes an average trip length of 39.9 miles per trip, which is derived from the SCAG’s Heavy-Duty Truck Regional Travel Demand model and represents the average class 8 truck trip distance within the SoCAB (South Coast AQMD 2021).</w:t>
            </w:r>
          </w:p>
          <w:p w14:paraId="178D64D9" w14:textId="77777777" w:rsidR="000E40F4" w:rsidRPr="00BB00BB" w:rsidRDefault="000E40F4" w:rsidP="00A418B0">
            <w:pPr>
              <w:pStyle w:val="Tblnote"/>
            </w:pPr>
            <w:r>
              <w:rPr>
                <w:vertAlign w:val="superscript"/>
              </w:rPr>
              <w:t>6</w:t>
            </w:r>
            <w:r w:rsidRPr="00FD1900">
              <w:t xml:space="preserve"> </w:t>
            </w:r>
            <w:r w:rsidR="00883261">
              <w:tab/>
            </w:r>
            <w:r>
              <w:t>B</w:t>
            </w:r>
            <w:r w:rsidRPr="00FD1900">
              <w:t xml:space="preserve">ased on operation of 5 diesel-powered forklifts </w:t>
            </w:r>
            <w:r>
              <w:t xml:space="preserve">and </w:t>
            </w:r>
            <w:r w:rsidRPr="00FD1900">
              <w:t xml:space="preserve">10 diesel-powered yard trucks </w:t>
            </w:r>
            <w:r>
              <w:t xml:space="preserve">at 7 hours per unit per day. Utilizes </w:t>
            </w:r>
            <w:r w:rsidRPr="00FD1900">
              <w:t xml:space="preserve">OFFROAD2017 v 1.0.1 </w:t>
            </w:r>
            <w:r>
              <w:t>calendar year 2022 emissions</w:t>
            </w:r>
            <w:r w:rsidRPr="00FD1900">
              <w:t xml:space="preserve"> data for a </w:t>
            </w:r>
            <w:r>
              <w:t>100-horsepower</w:t>
            </w:r>
            <w:r w:rsidRPr="00FD1900">
              <w:t xml:space="preserve"> forklift and </w:t>
            </w:r>
            <w:r>
              <w:t>175-horsepower</w:t>
            </w:r>
            <w:r w:rsidRPr="00FD1900">
              <w:t xml:space="preserve"> yard tractor.</w:t>
            </w:r>
          </w:p>
        </w:tc>
      </w:tr>
      <w:bookmarkEnd w:id="117"/>
    </w:tbl>
    <w:p w14:paraId="31E373E0" w14:textId="77777777" w:rsidR="000E40F4" w:rsidRPr="006F1801" w:rsidRDefault="000E40F4" w:rsidP="000E40F4">
      <w:pPr>
        <w:pStyle w:val="BodyText"/>
      </w:pPr>
    </w:p>
    <w:p w14:paraId="7DE126E5" w14:textId="77777777" w:rsidR="000E40F4" w:rsidRDefault="000E40F4" w:rsidP="000E40F4">
      <w:pPr>
        <w:pStyle w:val="List"/>
      </w:pPr>
      <w:r>
        <w:t>Expose sensitive receptors to substantial pollutant concentrations?</w:t>
      </w:r>
    </w:p>
    <w:p w14:paraId="419E2D2E" w14:textId="77777777" w:rsidR="000E40F4" w:rsidRDefault="000E40F4" w:rsidP="000E40F4">
      <w:pPr>
        <w:pStyle w:val="BodyText"/>
      </w:pPr>
      <w:r w:rsidRPr="00655D6B">
        <w:rPr>
          <w:rStyle w:val="BodyTextBoldChar"/>
        </w:rPr>
        <w:t xml:space="preserve">Less Than Significant Impact. </w:t>
      </w:r>
      <w:r w:rsidRPr="006F1801">
        <w:t>The following describes changes in localized impacts from short-term construction activities and long-term operation of the proposed project.</w:t>
      </w:r>
      <w:r>
        <w:t xml:space="preserve"> </w:t>
      </w:r>
    </w:p>
    <w:p w14:paraId="6C381FA4" w14:textId="77777777" w:rsidR="000E40F4" w:rsidRPr="006F1801" w:rsidRDefault="000E40F4" w:rsidP="000E40F4">
      <w:pPr>
        <w:pStyle w:val="Heading5"/>
      </w:pPr>
      <w:r w:rsidRPr="006F1801">
        <w:t>Construction</w:t>
      </w:r>
    </w:p>
    <w:p w14:paraId="4022BFED" w14:textId="77777777" w:rsidR="000E40F4" w:rsidRDefault="000E40F4" w:rsidP="000E40F4">
      <w:pPr>
        <w:pStyle w:val="Heading6"/>
      </w:pPr>
      <w:r w:rsidRPr="006F1801">
        <w:t>Localized Construction Impacts</w:t>
      </w:r>
    </w:p>
    <w:p w14:paraId="1029CFED" w14:textId="77777777" w:rsidR="000E40F4" w:rsidRPr="006F1801" w:rsidRDefault="000E40F4" w:rsidP="00F1091F">
      <w:pPr>
        <w:pStyle w:val="BodyText"/>
        <w:spacing w:line="264" w:lineRule="auto"/>
      </w:pPr>
      <w:r w:rsidRPr="006F1801">
        <w:t xml:space="preserve">A project could expose sensitive receptors to elevated pollutant concentrations during construction activities if it would cause or contribute significantly to elevated levels. Unlike the mass of construction emissions shown in the regional emissions </w:t>
      </w:r>
      <w:r w:rsidRPr="00BB7329">
        <w:t>analysis in Table 4</w:t>
      </w:r>
      <w:r>
        <w:t>,</w:t>
      </w:r>
      <w:r w:rsidRPr="00BB7329">
        <w:t xml:space="preserve"> which</w:t>
      </w:r>
      <w:r w:rsidRPr="006F1801">
        <w:t xml:space="preserve"> </w:t>
      </w:r>
      <w:r>
        <w:t>is</w:t>
      </w:r>
      <w:r w:rsidRPr="006F1801">
        <w:t xml:space="preserve"> described in pounds per day, localized concentrations refer to an amount of pollutant in a volume of air (ppm or µg/m</w:t>
      </w:r>
      <w:r w:rsidRPr="006F1801">
        <w:rPr>
          <w:vertAlign w:val="superscript"/>
        </w:rPr>
        <w:t>3</w:t>
      </w:r>
      <w:r w:rsidRPr="006F1801">
        <w:t xml:space="preserve">) and can be correlated to potential health effects. </w:t>
      </w:r>
      <w:r>
        <w:t>The screening-level l</w:t>
      </w:r>
      <w:r w:rsidRPr="006F1801">
        <w:t>ocalized significance thresholds (LST) are the amount of project-related emissions at which localized concentrations (ppm or µg/m</w:t>
      </w:r>
      <w:r w:rsidRPr="006F1801">
        <w:rPr>
          <w:vertAlign w:val="superscript"/>
        </w:rPr>
        <w:t>3</w:t>
      </w:r>
      <w:r w:rsidRPr="006F1801">
        <w:t xml:space="preserve">) could exceed the </w:t>
      </w:r>
      <w:r>
        <w:t xml:space="preserve">California </w:t>
      </w:r>
      <w:r w:rsidRPr="006F1801">
        <w:t>AAQS for criteria air pollutants for which the SoCAB is designated nonattainment</w:t>
      </w:r>
      <w:r>
        <w:t xml:space="preserve">; they </w:t>
      </w:r>
      <w:r w:rsidRPr="006F1801">
        <w:t xml:space="preserve">are based on the proposed project site size and distance to the nearest sensitive receptor. </w:t>
      </w:r>
      <w:r>
        <w:t>T</w:t>
      </w:r>
      <w:r w:rsidRPr="006F1801">
        <w:t xml:space="preserve">he California AAQS are the most stringent AAQS to provide a margin of safety in the protection of the public health and welfare. </w:t>
      </w:r>
      <w:r>
        <w:t xml:space="preserve">The screening-level </w:t>
      </w:r>
      <w:r w:rsidRPr="006F1801">
        <w:t>LSTs are designed to protect sensitive receptor</w:t>
      </w:r>
      <w:r>
        <w:t>s</w:t>
      </w:r>
      <w:r w:rsidRPr="006F1801">
        <w:t xml:space="preserve"> most susceptible to further respiratory distress, such as asthmatics, the elderly, very young children, people already weakened by other disease or illness, and persons engaged in strenuous work or exercise.</w:t>
      </w:r>
    </w:p>
    <w:p w14:paraId="2F1A6EFF" w14:textId="77777777" w:rsidR="000E40F4" w:rsidRPr="00BB7329" w:rsidRDefault="000E40F4" w:rsidP="00F1091F">
      <w:pPr>
        <w:pStyle w:val="BodyText"/>
        <w:spacing w:line="264" w:lineRule="auto"/>
      </w:pPr>
      <w:r w:rsidRPr="00F2713A">
        <w:t xml:space="preserve">Air </w:t>
      </w:r>
      <w:r w:rsidRPr="00BB7329">
        <w:t>pollutant emissions generated by construction activities are anticipated to cause temporary increases in air pollutant concentrations. Table 6 shows the maximum daily construction emissions (pounds per day) generated during on-site construction activities compared with the South Coast AQMD’s screening-level LSTs. As shown in the table, the construction of the proposed project would not generate construction-related on-site emissions that would exceed the screening-level LSTs. Therefore, impacts would be less than significant.</w:t>
      </w:r>
    </w:p>
    <w:tbl>
      <w:tblPr>
        <w:tblW w:w="9246" w:type="dxa"/>
        <w:jc w:val="center"/>
        <w:tblBorders>
          <w:top w:val="single" w:sz="12" w:space="0" w:color="auto"/>
          <w:bottom w:val="single" w:sz="12" w:space="0" w:color="auto"/>
          <w:insideH w:val="single" w:sz="8"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3960"/>
        <w:gridCol w:w="1161"/>
        <w:gridCol w:w="1375"/>
        <w:gridCol w:w="1375"/>
        <w:gridCol w:w="1375"/>
      </w:tblGrid>
      <w:tr w:rsidR="00883261" w:rsidRPr="00F40149" w14:paraId="1F2828D8" w14:textId="77777777" w:rsidTr="00883261">
        <w:trPr>
          <w:trHeight w:val="208"/>
          <w:tblHeader/>
          <w:jc w:val="center"/>
        </w:trPr>
        <w:tc>
          <w:tcPr>
            <w:tcW w:w="9246" w:type="dxa"/>
            <w:gridSpan w:val="5"/>
            <w:tcBorders>
              <w:top w:val="nil"/>
              <w:bottom w:val="single" w:sz="12" w:space="0" w:color="auto"/>
            </w:tcBorders>
          </w:tcPr>
          <w:p w14:paraId="2420F372" w14:textId="77777777" w:rsidR="00883261" w:rsidRPr="00CF2E49" w:rsidRDefault="00883261" w:rsidP="00FD0109">
            <w:pPr>
              <w:pStyle w:val="TblTitles"/>
            </w:pPr>
            <w:bookmarkStart w:id="119" w:name="_Toc487297897"/>
            <w:bookmarkStart w:id="120" w:name="_Toc90882252"/>
            <w:r w:rsidRPr="00BB7329">
              <w:t>Table 6</w:t>
            </w:r>
            <w:r w:rsidRPr="00BB7329">
              <w:tab/>
            </w:r>
            <w:bookmarkEnd w:id="119"/>
            <w:r w:rsidRPr="00BB7329">
              <w:t>Maximum Daily On-Site Localized Construction Emissions</w:t>
            </w:r>
            <w:bookmarkEnd w:id="120"/>
          </w:p>
        </w:tc>
      </w:tr>
      <w:tr w:rsidR="000E40F4" w:rsidRPr="00F40149" w14:paraId="518FFE93" w14:textId="77777777" w:rsidTr="00F1091F">
        <w:trPr>
          <w:trHeight w:val="154"/>
          <w:jc w:val="center"/>
        </w:trPr>
        <w:tc>
          <w:tcPr>
            <w:tcW w:w="3960" w:type="dxa"/>
            <w:vMerge w:val="restart"/>
            <w:tcBorders>
              <w:right w:val="single" w:sz="12" w:space="0" w:color="auto"/>
            </w:tcBorders>
            <w:vAlign w:val="bottom"/>
          </w:tcPr>
          <w:p w14:paraId="62B3A46F" w14:textId="77777777" w:rsidR="000E40F4" w:rsidRPr="00D61E7F" w:rsidRDefault="000E40F4" w:rsidP="00FD0109">
            <w:pPr>
              <w:pStyle w:val="TblColumnHeads"/>
            </w:pPr>
            <w:bookmarkStart w:id="121" w:name="_Hlk9602246"/>
            <w:r>
              <w:t>Construction Activity</w:t>
            </w:r>
          </w:p>
        </w:tc>
        <w:tc>
          <w:tcPr>
            <w:tcW w:w="5286" w:type="dxa"/>
            <w:gridSpan w:val="4"/>
            <w:tcBorders>
              <w:top w:val="single" w:sz="12" w:space="0" w:color="auto"/>
              <w:left w:val="single" w:sz="12" w:space="0" w:color="auto"/>
              <w:bottom w:val="single" w:sz="6" w:space="0" w:color="auto"/>
            </w:tcBorders>
            <w:vAlign w:val="bottom"/>
          </w:tcPr>
          <w:p w14:paraId="20B8187C" w14:textId="3AE52D19" w:rsidR="000E40F4" w:rsidRPr="00F40149" w:rsidRDefault="000E40F4" w:rsidP="00FD0109">
            <w:pPr>
              <w:pStyle w:val="TblColumnHeads"/>
              <w:rPr>
                <w:vertAlign w:val="superscript"/>
              </w:rPr>
            </w:pPr>
            <w:r w:rsidRPr="00F40149">
              <w:t>Pollutants</w:t>
            </w:r>
            <w:r>
              <w:t xml:space="preserve"> </w:t>
            </w:r>
            <w:r w:rsidRPr="00F40149">
              <w:t>(lbs/day)</w:t>
            </w:r>
            <w:r w:rsidRPr="00F40149">
              <w:rPr>
                <w:vertAlign w:val="superscript"/>
              </w:rPr>
              <w:t>1</w:t>
            </w:r>
            <w:r w:rsidR="00A418B0">
              <w:rPr>
                <w:vertAlign w:val="superscript"/>
              </w:rPr>
              <w:t>,2</w:t>
            </w:r>
          </w:p>
        </w:tc>
      </w:tr>
      <w:tr w:rsidR="000E40F4" w:rsidRPr="00F40149" w14:paraId="0D5F451A" w14:textId="77777777" w:rsidTr="00F1091F">
        <w:trPr>
          <w:trHeight w:val="154"/>
          <w:jc w:val="center"/>
        </w:trPr>
        <w:tc>
          <w:tcPr>
            <w:tcW w:w="3960" w:type="dxa"/>
            <w:vMerge/>
            <w:tcBorders>
              <w:bottom w:val="single" w:sz="12" w:space="0" w:color="auto"/>
              <w:right w:val="single" w:sz="12" w:space="0" w:color="auto"/>
            </w:tcBorders>
          </w:tcPr>
          <w:p w14:paraId="1C2629B7" w14:textId="77777777" w:rsidR="000E40F4" w:rsidRPr="00F40149" w:rsidRDefault="000E40F4" w:rsidP="00FD0109">
            <w:pPr>
              <w:pStyle w:val="TblColumnHeads"/>
            </w:pPr>
          </w:p>
        </w:tc>
        <w:tc>
          <w:tcPr>
            <w:tcW w:w="1161" w:type="dxa"/>
            <w:tcBorders>
              <w:top w:val="single" w:sz="6" w:space="0" w:color="auto"/>
              <w:left w:val="single" w:sz="12" w:space="0" w:color="auto"/>
              <w:bottom w:val="single" w:sz="12" w:space="0" w:color="auto"/>
              <w:right w:val="single" w:sz="6" w:space="0" w:color="auto"/>
            </w:tcBorders>
            <w:vAlign w:val="bottom"/>
          </w:tcPr>
          <w:p w14:paraId="7F1B22ED" w14:textId="77777777" w:rsidR="000E40F4" w:rsidRPr="00F40149" w:rsidRDefault="000E40F4" w:rsidP="00FD0109">
            <w:pPr>
              <w:pStyle w:val="TblColumnHeads"/>
              <w:rPr>
                <w:vertAlign w:val="superscript"/>
              </w:rPr>
            </w:pPr>
            <w:r w:rsidRPr="00F40149">
              <w:t>NO</w:t>
            </w:r>
            <w:r w:rsidRPr="00F40149">
              <w:rPr>
                <w:vertAlign w:val="subscript"/>
              </w:rPr>
              <w:t>X</w:t>
            </w:r>
          </w:p>
        </w:tc>
        <w:tc>
          <w:tcPr>
            <w:tcW w:w="1375" w:type="dxa"/>
            <w:tcBorders>
              <w:top w:val="single" w:sz="6" w:space="0" w:color="auto"/>
              <w:left w:val="single" w:sz="6" w:space="0" w:color="auto"/>
              <w:bottom w:val="single" w:sz="12" w:space="0" w:color="auto"/>
              <w:right w:val="single" w:sz="6" w:space="0" w:color="auto"/>
            </w:tcBorders>
            <w:vAlign w:val="bottom"/>
          </w:tcPr>
          <w:p w14:paraId="4F17C8F2" w14:textId="77777777" w:rsidR="000E40F4" w:rsidRPr="00F40149" w:rsidRDefault="000E40F4" w:rsidP="00FD0109">
            <w:pPr>
              <w:pStyle w:val="TblColumnHeads"/>
              <w:rPr>
                <w:vertAlign w:val="superscript"/>
              </w:rPr>
            </w:pPr>
            <w:r w:rsidRPr="00F40149">
              <w:t>CO</w:t>
            </w:r>
          </w:p>
        </w:tc>
        <w:tc>
          <w:tcPr>
            <w:tcW w:w="1375" w:type="dxa"/>
            <w:tcBorders>
              <w:top w:val="single" w:sz="6" w:space="0" w:color="auto"/>
              <w:left w:val="single" w:sz="6" w:space="0" w:color="auto"/>
              <w:bottom w:val="single" w:sz="12" w:space="0" w:color="auto"/>
            </w:tcBorders>
            <w:vAlign w:val="bottom"/>
          </w:tcPr>
          <w:p w14:paraId="5E84C6A7" w14:textId="36952AC5" w:rsidR="000E40F4" w:rsidRPr="00F40149" w:rsidRDefault="00A418B0" w:rsidP="00FD0109">
            <w:pPr>
              <w:pStyle w:val="TblColumnHeads"/>
              <w:rPr>
                <w:vertAlign w:val="superscript"/>
              </w:rPr>
            </w:pPr>
            <w:r w:rsidRPr="00F40149">
              <w:t>PM</w:t>
            </w:r>
            <w:r w:rsidRPr="00F40149">
              <w:rPr>
                <w:vertAlign w:val="subscript"/>
              </w:rPr>
              <w:t>10</w:t>
            </w:r>
            <w:r>
              <w:rPr>
                <w:vertAlign w:val="superscript"/>
              </w:rPr>
              <w:t>3</w:t>
            </w:r>
          </w:p>
        </w:tc>
        <w:tc>
          <w:tcPr>
            <w:tcW w:w="1375" w:type="dxa"/>
            <w:tcBorders>
              <w:top w:val="single" w:sz="6" w:space="0" w:color="auto"/>
              <w:left w:val="single" w:sz="6" w:space="0" w:color="auto"/>
              <w:bottom w:val="single" w:sz="12" w:space="0" w:color="auto"/>
            </w:tcBorders>
            <w:vAlign w:val="bottom"/>
          </w:tcPr>
          <w:p w14:paraId="26C5CD3C" w14:textId="1D4097E4" w:rsidR="000E40F4" w:rsidRPr="00F40149" w:rsidRDefault="000E40F4" w:rsidP="00FD0109">
            <w:pPr>
              <w:pStyle w:val="TblColumnHeads"/>
              <w:rPr>
                <w:vertAlign w:val="superscript"/>
              </w:rPr>
            </w:pPr>
            <w:r w:rsidRPr="00F40149">
              <w:t>PM</w:t>
            </w:r>
            <w:r w:rsidRPr="00F40149">
              <w:rPr>
                <w:vertAlign w:val="subscript"/>
              </w:rPr>
              <w:t>2.</w:t>
            </w:r>
            <w:r w:rsidR="00A418B0" w:rsidRPr="00F40149">
              <w:rPr>
                <w:vertAlign w:val="subscript"/>
              </w:rPr>
              <w:t>5</w:t>
            </w:r>
            <w:r w:rsidR="00A418B0">
              <w:rPr>
                <w:vertAlign w:val="superscript"/>
              </w:rPr>
              <w:t>3</w:t>
            </w:r>
          </w:p>
        </w:tc>
      </w:tr>
      <w:tr w:rsidR="000E40F4" w:rsidRPr="00F40149" w14:paraId="29D9C061" w14:textId="77777777" w:rsidTr="00F1091F">
        <w:trPr>
          <w:trHeight w:val="33"/>
          <w:jc w:val="center"/>
        </w:trPr>
        <w:tc>
          <w:tcPr>
            <w:tcW w:w="3960" w:type="dxa"/>
            <w:tcBorders>
              <w:top w:val="single" w:sz="12" w:space="0" w:color="auto"/>
              <w:bottom w:val="single" w:sz="4" w:space="0" w:color="auto"/>
              <w:right w:val="single" w:sz="12" w:space="0" w:color="auto"/>
            </w:tcBorders>
            <w:shd w:val="clear" w:color="auto" w:fill="D9D9D9" w:themeFill="background1" w:themeFillShade="D9"/>
            <w:vAlign w:val="center"/>
          </w:tcPr>
          <w:p w14:paraId="1AEAA2CE" w14:textId="77777777" w:rsidR="000E40F4" w:rsidRPr="00F40149" w:rsidRDefault="000E40F4" w:rsidP="00FD0109">
            <w:pPr>
              <w:pStyle w:val="TblTxt1"/>
              <w:ind w:left="0" w:firstLine="0"/>
              <w:rPr>
                <w:b/>
              </w:rPr>
            </w:pPr>
            <w:r>
              <w:rPr>
                <w:b/>
              </w:rPr>
              <w:t>South Coast AQMD</w:t>
            </w:r>
            <w:r w:rsidRPr="00F40149">
              <w:rPr>
                <w:b/>
              </w:rPr>
              <w:t xml:space="preserve"> ≤1.00-Acre </w:t>
            </w:r>
            <w:r>
              <w:rPr>
                <w:b/>
              </w:rPr>
              <w:t xml:space="preserve">Screening-Level </w:t>
            </w:r>
            <w:r w:rsidRPr="00F40149">
              <w:rPr>
                <w:b/>
              </w:rPr>
              <w:t>LST</w:t>
            </w:r>
          </w:p>
        </w:tc>
        <w:tc>
          <w:tcPr>
            <w:tcW w:w="1161" w:type="dxa"/>
            <w:tcBorders>
              <w:top w:val="single" w:sz="12" w:space="0" w:color="auto"/>
              <w:left w:val="single" w:sz="12" w:space="0" w:color="auto"/>
              <w:bottom w:val="single" w:sz="4" w:space="0" w:color="auto"/>
              <w:right w:val="single" w:sz="6" w:space="0" w:color="auto"/>
            </w:tcBorders>
            <w:shd w:val="clear" w:color="auto" w:fill="D9D9D9" w:themeFill="background1" w:themeFillShade="D9"/>
            <w:vAlign w:val="center"/>
          </w:tcPr>
          <w:p w14:paraId="367480B1" w14:textId="77777777" w:rsidR="000E40F4" w:rsidRPr="006079CF" w:rsidDel="00ED7C21" w:rsidRDefault="000E40F4" w:rsidP="00FD0109">
            <w:pPr>
              <w:pStyle w:val="TblTxtCenter"/>
            </w:pPr>
            <w:r>
              <w:t>89</w:t>
            </w:r>
          </w:p>
        </w:tc>
        <w:tc>
          <w:tcPr>
            <w:tcW w:w="1375" w:type="dxa"/>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14:paraId="2E79E78F" w14:textId="77777777" w:rsidR="000E40F4" w:rsidRPr="006079CF" w:rsidDel="00ED7C21" w:rsidRDefault="000E40F4" w:rsidP="00FD0109">
            <w:pPr>
              <w:pStyle w:val="TblTxtCenter"/>
            </w:pPr>
            <w:r>
              <w:t>623</w:t>
            </w:r>
          </w:p>
        </w:tc>
        <w:tc>
          <w:tcPr>
            <w:tcW w:w="1375" w:type="dxa"/>
            <w:tcBorders>
              <w:top w:val="single" w:sz="12" w:space="0" w:color="auto"/>
              <w:left w:val="single" w:sz="6" w:space="0" w:color="auto"/>
              <w:bottom w:val="single" w:sz="4" w:space="0" w:color="auto"/>
            </w:tcBorders>
            <w:shd w:val="clear" w:color="auto" w:fill="D9D9D9" w:themeFill="background1" w:themeFillShade="D9"/>
            <w:vAlign w:val="center"/>
          </w:tcPr>
          <w:p w14:paraId="15B529F3" w14:textId="77777777" w:rsidR="000E40F4" w:rsidRPr="006079CF" w:rsidDel="00ED7C21" w:rsidRDefault="000E40F4" w:rsidP="00FD0109">
            <w:pPr>
              <w:pStyle w:val="TblTxtCenter"/>
            </w:pPr>
            <w:r>
              <w:t>62</w:t>
            </w:r>
          </w:p>
        </w:tc>
        <w:tc>
          <w:tcPr>
            <w:tcW w:w="1375" w:type="dxa"/>
            <w:tcBorders>
              <w:top w:val="single" w:sz="12" w:space="0" w:color="auto"/>
              <w:left w:val="single" w:sz="6" w:space="0" w:color="auto"/>
              <w:bottom w:val="single" w:sz="4" w:space="0" w:color="auto"/>
            </w:tcBorders>
            <w:shd w:val="clear" w:color="auto" w:fill="D9D9D9" w:themeFill="background1" w:themeFillShade="D9"/>
            <w:vAlign w:val="center"/>
          </w:tcPr>
          <w:p w14:paraId="62171050" w14:textId="77777777" w:rsidR="000E40F4" w:rsidRPr="006079CF" w:rsidDel="00ED7C21" w:rsidRDefault="000E40F4" w:rsidP="00FD0109">
            <w:pPr>
              <w:pStyle w:val="TblTxtCenter"/>
            </w:pPr>
            <w:r>
              <w:t>18</w:t>
            </w:r>
          </w:p>
        </w:tc>
      </w:tr>
      <w:tr w:rsidR="000E40F4" w:rsidRPr="00F40149" w14:paraId="5B451930" w14:textId="77777777" w:rsidTr="00F1091F">
        <w:trPr>
          <w:trHeight w:val="33"/>
          <w:jc w:val="center"/>
        </w:trPr>
        <w:tc>
          <w:tcPr>
            <w:tcW w:w="3960" w:type="dxa"/>
            <w:tcBorders>
              <w:top w:val="single" w:sz="4" w:space="0" w:color="auto"/>
              <w:bottom w:val="single" w:sz="6" w:space="0" w:color="auto"/>
              <w:right w:val="single" w:sz="12" w:space="0" w:color="auto"/>
            </w:tcBorders>
            <w:vAlign w:val="bottom"/>
          </w:tcPr>
          <w:p w14:paraId="21B6119F" w14:textId="77777777" w:rsidR="000E40F4" w:rsidRPr="00A23DF9" w:rsidRDefault="000E40F4" w:rsidP="00FD0109">
            <w:pPr>
              <w:pStyle w:val="TblTxtCenter"/>
              <w:jc w:val="left"/>
            </w:pPr>
            <w:r>
              <w:t>Building Demolition</w:t>
            </w:r>
          </w:p>
        </w:tc>
        <w:tc>
          <w:tcPr>
            <w:tcW w:w="1161" w:type="dxa"/>
            <w:tcBorders>
              <w:top w:val="single" w:sz="4" w:space="0" w:color="auto"/>
              <w:left w:val="single" w:sz="12" w:space="0" w:color="auto"/>
              <w:bottom w:val="single" w:sz="6" w:space="0" w:color="auto"/>
              <w:right w:val="single" w:sz="6" w:space="0" w:color="auto"/>
            </w:tcBorders>
            <w:vAlign w:val="center"/>
          </w:tcPr>
          <w:p w14:paraId="60CEC612" w14:textId="77777777" w:rsidR="000E40F4" w:rsidRPr="006079CF" w:rsidRDefault="000E40F4" w:rsidP="00FD0109">
            <w:pPr>
              <w:pStyle w:val="TblTxtCenter"/>
            </w:pPr>
            <w:r>
              <w:t>3</w:t>
            </w:r>
          </w:p>
        </w:tc>
        <w:tc>
          <w:tcPr>
            <w:tcW w:w="1375" w:type="dxa"/>
            <w:tcBorders>
              <w:top w:val="single" w:sz="4" w:space="0" w:color="auto"/>
              <w:left w:val="single" w:sz="6" w:space="0" w:color="auto"/>
              <w:bottom w:val="single" w:sz="6" w:space="0" w:color="auto"/>
              <w:right w:val="single" w:sz="6" w:space="0" w:color="auto"/>
            </w:tcBorders>
            <w:vAlign w:val="center"/>
          </w:tcPr>
          <w:p w14:paraId="77917B0D" w14:textId="77777777" w:rsidR="000E40F4" w:rsidRPr="006079CF" w:rsidRDefault="000E40F4" w:rsidP="00FD0109">
            <w:pPr>
              <w:pStyle w:val="TblTxtCenter"/>
            </w:pPr>
            <w:r>
              <w:t>4</w:t>
            </w:r>
          </w:p>
        </w:tc>
        <w:tc>
          <w:tcPr>
            <w:tcW w:w="1375" w:type="dxa"/>
            <w:tcBorders>
              <w:top w:val="single" w:sz="4" w:space="0" w:color="auto"/>
              <w:left w:val="single" w:sz="6" w:space="0" w:color="auto"/>
              <w:bottom w:val="single" w:sz="6" w:space="0" w:color="auto"/>
            </w:tcBorders>
            <w:vAlign w:val="center"/>
          </w:tcPr>
          <w:p w14:paraId="232A8BC0" w14:textId="77777777" w:rsidR="000E40F4" w:rsidRPr="006079CF" w:rsidRDefault="000E40F4" w:rsidP="00FD0109">
            <w:pPr>
              <w:pStyle w:val="TblTxtCenter"/>
            </w:pPr>
            <w:r>
              <w:t>&lt;1</w:t>
            </w:r>
          </w:p>
        </w:tc>
        <w:tc>
          <w:tcPr>
            <w:tcW w:w="1375" w:type="dxa"/>
            <w:tcBorders>
              <w:top w:val="single" w:sz="4" w:space="0" w:color="auto"/>
              <w:left w:val="single" w:sz="6" w:space="0" w:color="auto"/>
              <w:bottom w:val="single" w:sz="6" w:space="0" w:color="auto"/>
            </w:tcBorders>
            <w:vAlign w:val="center"/>
          </w:tcPr>
          <w:p w14:paraId="323FF920" w14:textId="77777777" w:rsidR="000E40F4" w:rsidRPr="006079CF" w:rsidRDefault="000E40F4" w:rsidP="00FD0109">
            <w:pPr>
              <w:pStyle w:val="TblTxtCenter"/>
            </w:pPr>
            <w:r>
              <w:t>&lt;1</w:t>
            </w:r>
          </w:p>
        </w:tc>
      </w:tr>
      <w:tr w:rsidR="000E40F4" w:rsidRPr="00F40149" w14:paraId="22858B3E" w14:textId="77777777" w:rsidTr="00F1091F">
        <w:trPr>
          <w:trHeight w:val="33"/>
          <w:jc w:val="center"/>
        </w:trPr>
        <w:tc>
          <w:tcPr>
            <w:tcW w:w="3960" w:type="dxa"/>
            <w:tcBorders>
              <w:top w:val="single" w:sz="6" w:space="0" w:color="auto"/>
              <w:bottom w:val="single" w:sz="6" w:space="0" w:color="auto"/>
              <w:right w:val="single" w:sz="12" w:space="0" w:color="auto"/>
            </w:tcBorders>
            <w:vAlign w:val="bottom"/>
          </w:tcPr>
          <w:p w14:paraId="04E43B1B" w14:textId="77777777" w:rsidR="000E40F4" w:rsidRPr="00A23DF9" w:rsidRDefault="000E40F4" w:rsidP="00FD0109">
            <w:pPr>
              <w:pStyle w:val="TblTxtCenter"/>
              <w:jc w:val="left"/>
            </w:pPr>
            <w:r>
              <w:t>Building Demolition &amp; Asphalt Demolition</w:t>
            </w:r>
          </w:p>
        </w:tc>
        <w:tc>
          <w:tcPr>
            <w:tcW w:w="1161" w:type="dxa"/>
            <w:tcBorders>
              <w:top w:val="single" w:sz="6" w:space="0" w:color="auto"/>
              <w:left w:val="single" w:sz="12" w:space="0" w:color="auto"/>
              <w:bottom w:val="single" w:sz="6" w:space="0" w:color="auto"/>
              <w:right w:val="single" w:sz="6" w:space="0" w:color="auto"/>
            </w:tcBorders>
            <w:shd w:val="clear" w:color="auto" w:fill="auto"/>
            <w:vAlign w:val="center"/>
          </w:tcPr>
          <w:p w14:paraId="42BC272B" w14:textId="77777777" w:rsidR="000E40F4" w:rsidRPr="006079CF" w:rsidRDefault="000E40F4" w:rsidP="00FD0109">
            <w:pPr>
              <w:pStyle w:val="TblTxtCenter"/>
            </w:pPr>
            <w:r>
              <w:t>6</w:t>
            </w:r>
          </w:p>
        </w:tc>
        <w:tc>
          <w:tcPr>
            <w:tcW w:w="1375" w:type="dxa"/>
            <w:tcBorders>
              <w:top w:val="single" w:sz="6" w:space="0" w:color="auto"/>
              <w:left w:val="single" w:sz="6" w:space="0" w:color="auto"/>
              <w:bottom w:val="single" w:sz="6" w:space="0" w:color="auto"/>
              <w:right w:val="single" w:sz="6" w:space="0" w:color="auto"/>
            </w:tcBorders>
            <w:shd w:val="clear" w:color="auto" w:fill="auto"/>
            <w:vAlign w:val="center"/>
          </w:tcPr>
          <w:p w14:paraId="4737647A" w14:textId="77777777" w:rsidR="000E40F4" w:rsidRPr="006079CF" w:rsidRDefault="000E40F4" w:rsidP="00FD0109">
            <w:pPr>
              <w:pStyle w:val="TblTxtCenter"/>
            </w:pPr>
            <w:r>
              <w:t>8</w:t>
            </w:r>
          </w:p>
        </w:tc>
        <w:tc>
          <w:tcPr>
            <w:tcW w:w="1375" w:type="dxa"/>
            <w:tcBorders>
              <w:top w:val="single" w:sz="6" w:space="0" w:color="auto"/>
              <w:left w:val="single" w:sz="6" w:space="0" w:color="auto"/>
              <w:bottom w:val="single" w:sz="6" w:space="0" w:color="auto"/>
            </w:tcBorders>
            <w:shd w:val="clear" w:color="auto" w:fill="auto"/>
            <w:vAlign w:val="center"/>
          </w:tcPr>
          <w:p w14:paraId="33167D94" w14:textId="77777777" w:rsidR="000E40F4" w:rsidRPr="006079CF" w:rsidRDefault="000E40F4" w:rsidP="00FD0109">
            <w:pPr>
              <w:pStyle w:val="TblTxtCenter"/>
            </w:pPr>
            <w:r>
              <w:t>2</w:t>
            </w:r>
          </w:p>
        </w:tc>
        <w:tc>
          <w:tcPr>
            <w:tcW w:w="1375" w:type="dxa"/>
            <w:tcBorders>
              <w:top w:val="single" w:sz="6" w:space="0" w:color="auto"/>
              <w:left w:val="single" w:sz="6" w:space="0" w:color="auto"/>
              <w:bottom w:val="single" w:sz="6" w:space="0" w:color="auto"/>
            </w:tcBorders>
            <w:shd w:val="clear" w:color="auto" w:fill="auto"/>
            <w:vAlign w:val="center"/>
          </w:tcPr>
          <w:p w14:paraId="00DC67C4" w14:textId="77777777" w:rsidR="000E40F4" w:rsidRPr="006079CF" w:rsidRDefault="000E40F4" w:rsidP="00FD0109">
            <w:pPr>
              <w:pStyle w:val="TblTxtCenter"/>
            </w:pPr>
            <w:r>
              <w:t>&lt;1</w:t>
            </w:r>
          </w:p>
        </w:tc>
      </w:tr>
      <w:tr w:rsidR="000E40F4" w:rsidRPr="00F40149" w14:paraId="3522D570" w14:textId="77777777" w:rsidTr="00F1091F">
        <w:trPr>
          <w:trHeight w:val="33"/>
          <w:jc w:val="center"/>
        </w:trPr>
        <w:tc>
          <w:tcPr>
            <w:tcW w:w="3960" w:type="dxa"/>
            <w:tcBorders>
              <w:top w:val="single" w:sz="6" w:space="0" w:color="auto"/>
              <w:bottom w:val="single" w:sz="6" w:space="0" w:color="auto"/>
              <w:right w:val="single" w:sz="12" w:space="0" w:color="auto"/>
            </w:tcBorders>
            <w:vAlign w:val="bottom"/>
          </w:tcPr>
          <w:p w14:paraId="783B9679" w14:textId="77777777" w:rsidR="000E40F4" w:rsidRDefault="000E40F4" w:rsidP="00FD0109">
            <w:pPr>
              <w:pStyle w:val="TblTxtCenter"/>
              <w:jc w:val="left"/>
            </w:pPr>
            <w:r>
              <w:t>Site Preparation</w:t>
            </w:r>
          </w:p>
        </w:tc>
        <w:tc>
          <w:tcPr>
            <w:tcW w:w="1161" w:type="dxa"/>
            <w:tcBorders>
              <w:top w:val="single" w:sz="6" w:space="0" w:color="auto"/>
              <w:left w:val="single" w:sz="12" w:space="0" w:color="auto"/>
              <w:bottom w:val="single" w:sz="6" w:space="0" w:color="auto"/>
              <w:right w:val="single" w:sz="6" w:space="0" w:color="auto"/>
            </w:tcBorders>
            <w:shd w:val="clear" w:color="auto" w:fill="auto"/>
            <w:vAlign w:val="center"/>
          </w:tcPr>
          <w:p w14:paraId="21089A34" w14:textId="77777777" w:rsidR="000E40F4" w:rsidRDefault="000E40F4" w:rsidP="00FD0109">
            <w:pPr>
              <w:pStyle w:val="TblTxtCenter"/>
            </w:pPr>
            <w:r>
              <w:t>4</w:t>
            </w:r>
          </w:p>
        </w:tc>
        <w:tc>
          <w:tcPr>
            <w:tcW w:w="1375" w:type="dxa"/>
            <w:tcBorders>
              <w:top w:val="single" w:sz="6" w:space="0" w:color="auto"/>
              <w:left w:val="single" w:sz="6" w:space="0" w:color="auto"/>
              <w:bottom w:val="single" w:sz="6" w:space="0" w:color="auto"/>
              <w:right w:val="single" w:sz="6" w:space="0" w:color="auto"/>
            </w:tcBorders>
            <w:shd w:val="clear" w:color="auto" w:fill="auto"/>
            <w:vAlign w:val="center"/>
          </w:tcPr>
          <w:p w14:paraId="621090E2" w14:textId="77777777" w:rsidR="000E40F4" w:rsidRDefault="000E40F4" w:rsidP="00FD0109">
            <w:pPr>
              <w:pStyle w:val="TblTxtCenter"/>
            </w:pPr>
            <w:r>
              <w:t>3</w:t>
            </w:r>
          </w:p>
        </w:tc>
        <w:tc>
          <w:tcPr>
            <w:tcW w:w="1375" w:type="dxa"/>
            <w:tcBorders>
              <w:top w:val="single" w:sz="6" w:space="0" w:color="auto"/>
              <w:left w:val="single" w:sz="6" w:space="0" w:color="auto"/>
              <w:bottom w:val="single" w:sz="6" w:space="0" w:color="auto"/>
            </w:tcBorders>
            <w:shd w:val="clear" w:color="auto" w:fill="auto"/>
            <w:vAlign w:val="center"/>
          </w:tcPr>
          <w:p w14:paraId="30931FB2" w14:textId="77777777" w:rsidR="000E40F4" w:rsidRDefault="000E40F4" w:rsidP="00FD0109">
            <w:pPr>
              <w:pStyle w:val="TblTxtCenter"/>
            </w:pPr>
            <w:r>
              <w:t>&lt;1</w:t>
            </w:r>
          </w:p>
        </w:tc>
        <w:tc>
          <w:tcPr>
            <w:tcW w:w="1375" w:type="dxa"/>
            <w:tcBorders>
              <w:top w:val="single" w:sz="6" w:space="0" w:color="auto"/>
              <w:left w:val="single" w:sz="6" w:space="0" w:color="auto"/>
              <w:bottom w:val="single" w:sz="6" w:space="0" w:color="auto"/>
            </w:tcBorders>
            <w:shd w:val="clear" w:color="auto" w:fill="auto"/>
            <w:vAlign w:val="center"/>
          </w:tcPr>
          <w:p w14:paraId="1733B13B" w14:textId="77777777" w:rsidR="000E40F4" w:rsidRDefault="000E40F4" w:rsidP="00FD0109">
            <w:pPr>
              <w:pStyle w:val="TblTxtCenter"/>
            </w:pPr>
            <w:r>
              <w:t>&lt;1</w:t>
            </w:r>
          </w:p>
        </w:tc>
      </w:tr>
      <w:tr w:rsidR="000E40F4" w:rsidRPr="00F40149" w14:paraId="2607A8FB" w14:textId="77777777" w:rsidTr="00F1091F">
        <w:trPr>
          <w:trHeight w:val="33"/>
          <w:jc w:val="center"/>
        </w:trPr>
        <w:tc>
          <w:tcPr>
            <w:tcW w:w="3960" w:type="dxa"/>
            <w:tcBorders>
              <w:top w:val="single" w:sz="6" w:space="0" w:color="auto"/>
              <w:bottom w:val="single" w:sz="6" w:space="0" w:color="auto"/>
              <w:right w:val="single" w:sz="12" w:space="0" w:color="auto"/>
            </w:tcBorders>
            <w:vAlign w:val="bottom"/>
          </w:tcPr>
          <w:p w14:paraId="1462FB96" w14:textId="77777777" w:rsidR="000E40F4" w:rsidRDefault="000E40F4" w:rsidP="00FD0109">
            <w:pPr>
              <w:pStyle w:val="TblTxtCenter"/>
              <w:jc w:val="left"/>
            </w:pPr>
            <w:r>
              <w:t>Site Preparation &amp; Building Construction</w:t>
            </w:r>
          </w:p>
        </w:tc>
        <w:tc>
          <w:tcPr>
            <w:tcW w:w="1161" w:type="dxa"/>
            <w:tcBorders>
              <w:top w:val="single" w:sz="6" w:space="0" w:color="auto"/>
              <w:left w:val="single" w:sz="12" w:space="0" w:color="auto"/>
              <w:bottom w:val="single" w:sz="6" w:space="0" w:color="auto"/>
              <w:right w:val="single" w:sz="6" w:space="0" w:color="auto"/>
            </w:tcBorders>
            <w:shd w:val="clear" w:color="auto" w:fill="auto"/>
            <w:vAlign w:val="center"/>
          </w:tcPr>
          <w:p w14:paraId="345A716D" w14:textId="77777777" w:rsidR="000E40F4" w:rsidRDefault="000E40F4" w:rsidP="00FD0109">
            <w:pPr>
              <w:pStyle w:val="TblTxtCenter"/>
            </w:pPr>
            <w:r>
              <w:t>10</w:t>
            </w:r>
          </w:p>
        </w:tc>
        <w:tc>
          <w:tcPr>
            <w:tcW w:w="1375" w:type="dxa"/>
            <w:tcBorders>
              <w:top w:val="single" w:sz="6" w:space="0" w:color="auto"/>
              <w:left w:val="single" w:sz="6" w:space="0" w:color="auto"/>
              <w:bottom w:val="single" w:sz="6" w:space="0" w:color="auto"/>
              <w:right w:val="single" w:sz="6" w:space="0" w:color="auto"/>
            </w:tcBorders>
            <w:shd w:val="clear" w:color="auto" w:fill="auto"/>
            <w:vAlign w:val="center"/>
          </w:tcPr>
          <w:p w14:paraId="0CBE2477" w14:textId="77777777" w:rsidR="000E40F4" w:rsidRDefault="000E40F4" w:rsidP="00FD0109">
            <w:pPr>
              <w:pStyle w:val="TblTxtCenter"/>
            </w:pPr>
            <w:r>
              <w:t>13</w:t>
            </w:r>
          </w:p>
        </w:tc>
        <w:tc>
          <w:tcPr>
            <w:tcW w:w="1375" w:type="dxa"/>
            <w:tcBorders>
              <w:top w:val="single" w:sz="6" w:space="0" w:color="auto"/>
              <w:left w:val="single" w:sz="6" w:space="0" w:color="auto"/>
              <w:bottom w:val="single" w:sz="6" w:space="0" w:color="auto"/>
            </w:tcBorders>
            <w:shd w:val="clear" w:color="auto" w:fill="auto"/>
            <w:vAlign w:val="center"/>
          </w:tcPr>
          <w:p w14:paraId="75898FBE" w14:textId="77777777" w:rsidR="000E40F4" w:rsidRDefault="000E40F4" w:rsidP="00FD0109">
            <w:pPr>
              <w:pStyle w:val="TblTxtCenter"/>
            </w:pPr>
            <w:r>
              <w:t>1</w:t>
            </w:r>
          </w:p>
        </w:tc>
        <w:tc>
          <w:tcPr>
            <w:tcW w:w="1375" w:type="dxa"/>
            <w:tcBorders>
              <w:top w:val="single" w:sz="6" w:space="0" w:color="auto"/>
              <w:left w:val="single" w:sz="6" w:space="0" w:color="auto"/>
              <w:bottom w:val="single" w:sz="6" w:space="0" w:color="auto"/>
            </w:tcBorders>
            <w:shd w:val="clear" w:color="auto" w:fill="auto"/>
            <w:vAlign w:val="center"/>
          </w:tcPr>
          <w:p w14:paraId="395C53CD" w14:textId="77777777" w:rsidR="000E40F4" w:rsidRDefault="000E40F4" w:rsidP="00FD0109">
            <w:pPr>
              <w:pStyle w:val="TblTxtCenter"/>
            </w:pPr>
            <w:r>
              <w:t>&lt;1</w:t>
            </w:r>
          </w:p>
        </w:tc>
      </w:tr>
      <w:tr w:rsidR="000E40F4" w:rsidRPr="00F40149" w14:paraId="60097F63" w14:textId="77777777" w:rsidTr="00F1091F">
        <w:trPr>
          <w:trHeight w:val="33"/>
          <w:jc w:val="center"/>
        </w:trPr>
        <w:tc>
          <w:tcPr>
            <w:tcW w:w="3960" w:type="dxa"/>
            <w:tcBorders>
              <w:top w:val="single" w:sz="6" w:space="0" w:color="auto"/>
              <w:bottom w:val="single" w:sz="6" w:space="0" w:color="auto"/>
              <w:right w:val="single" w:sz="12" w:space="0" w:color="auto"/>
            </w:tcBorders>
            <w:vAlign w:val="bottom"/>
          </w:tcPr>
          <w:p w14:paraId="0EEA5FEE" w14:textId="77777777" w:rsidR="000E40F4" w:rsidRDefault="000E40F4" w:rsidP="00FD0109">
            <w:pPr>
              <w:pStyle w:val="TblTxtCenter"/>
              <w:jc w:val="left"/>
            </w:pPr>
            <w:r>
              <w:t>Building Construction &amp; Utility Trenching</w:t>
            </w:r>
          </w:p>
        </w:tc>
        <w:tc>
          <w:tcPr>
            <w:tcW w:w="1161" w:type="dxa"/>
            <w:tcBorders>
              <w:top w:val="single" w:sz="6" w:space="0" w:color="auto"/>
              <w:left w:val="single" w:sz="12" w:space="0" w:color="auto"/>
              <w:bottom w:val="single" w:sz="6" w:space="0" w:color="auto"/>
              <w:right w:val="single" w:sz="6" w:space="0" w:color="auto"/>
            </w:tcBorders>
            <w:shd w:val="clear" w:color="auto" w:fill="auto"/>
            <w:vAlign w:val="center"/>
          </w:tcPr>
          <w:p w14:paraId="506EF085" w14:textId="77777777" w:rsidR="000E40F4" w:rsidRDefault="000E40F4" w:rsidP="00FD0109">
            <w:pPr>
              <w:pStyle w:val="TblTxtCenter"/>
            </w:pPr>
            <w:r>
              <w:t>9</w:t>
            </w:r>
          </w:p>
        </w:tc>
        <w:tc>
          <w:tcPr>
            <w:tcW w:w="1375" w:type="dxa"/>
            <w:tcBorders>
              <w:top w:val="single" w:sz="6" w:space="0" w:color="auto"/>
              <w:left w:val="single" w:sz="6" w:space="0" w:color="auto"/>
              <w:bottom w:val="single" w:sz="6" w:space="0" w:color="auto"/>
              <w:right w:val="single" w:sz="6" w:space="0" w:color="auto"/>
            </w:tcBorders>
            <w:shd w:val="clear" w:color="auto" w:fill="auto"/>
            <w:vAlign w:val="center"/>
          </w:tcPr>
          <w:p w14:paraId="4B0E0DF6" w14:textId="77777777" w:rsidR="000E40F4" w:rsidRDefault="000E40F4" w:rsidP="00FD0109">
            <w:pPr>
              <w:pStyle w:val="TblTxtCenter"/>
            </w:pPr>
            <w:r>
              <w:t>13</w:t>
            </w:r>
          </w:p>
        </w:tc>
        <w:tc>
          <w:tcPr>
            <w:tcW w:w="1375" w:type="dxa"/>
            <w:tcBorders>
              <w:top w:val="single" w:sz="6" w:space="0" w:color="auto"/>
              <w:left w:val="single" w:sz="6" w:space="0" w:color="auto"/>
              <w:bottom w:val="single" w:sz="6" w:space="0" w:color="auto"/>
            </w:tcBorders>
            <w:shd w:val="clear" w:color="auto" w:fill="auto"/>
            <w:vAlign w:val="center"/>
          </w:tcPr>
          <w:p w14:paraId="753A6291" w14:textId="77777777" w:rsidR="000E40F4" w:rsidRDefault="000E40F4" w:rsidP="00FD0109">
            <w:pPr>
              <w:pStyle w:val="TblTxtCenter"/>
            </w:pPr>
            <w:r>
              <w:t>&lt;1</w:t>
            </w:r>
          </w:p>
        </w:tc>
        <w:tc>
          <w:tcPr>
            <w:tcW w:w="1375" w:type="dxa"/>
            <w:tcBorders>
              <w:top w:val="single" w:sz="6" w:space="0" w:color="auto"/>
              <w:left w:val="single" w:sz="6" w:space="0" w:color="auto"/>
              <w:bottom w:val="single" w:sz="6" w:space="0" w:color="auto"/>
            </w:tcBorders>
            <w:shd w:val="clear" w:color="auto" w:fill="auto"/>
            <w:vAlign w:val="center"/>
          </w:tcPr>
          <w:p w14:paraId="5BE44A76" w14:textId="77777777" w:rsidR="000E40F4" w:rsidRDefault="000E40F4" w:rsidP="00FD0109">
            <w:pPr>
              <w:pStyle w:val="TblTxtCenter"/>
            </w:pPr>
            <w:r>
              <w:t>&lt;1</w:t>
            </w:r>
          </w:p>
        </w:tc>
      </w:tr>
      <w:tr w:rsidR="000E40F4" w:rsidRPr="00F40149" w14:paraId="11D9AE8E" w14:textId="77777777" w:rsidTr="00F1091F">
        <w:trPr>
          <w:trHeight w:val="33"/>
          <w:jc w:val="center"/>
        </w:trPr>
        <w:tc>
          <w:tcPr>
            <w:tcW w:w="3960" w:type="dxa"/>
            <w:tcBorders>
              <w:top w:val="single" w:sz="6" w:space="0" w:color="auto"/>
              <w:bottom w:val="single" w:sz="6" w:space="0" w:color="auto"/>
              <w:right w:val="single" w:sz="12" w:space="0" w:color="auto"/>
            </w:tcBorders>
            <w:vAlign w:val="bottom"/>
          </w:tcPr>
          <w:p w14:paraId="6768CFBB" w14:textId="77777777" w:rsidR="000E40F4" w:rsidRDefault="000E40F4" w:rsidP="00FD0109">
            <w:pPr>
              <w:pStyle w:val="TblTxtCenter"/>
              <w:jc w:val="left"/>
            </w:pPr>
            <w:r>
              <w:t>Building Construction</w:t>
            </w:r>
          </w:p>
        </w:tc>
        <w:tc>
          <w:tcPr>
            <w:tcW w:w="1161" w:type="dxa"/>
            <w:tcBorders>
              <w:top w:val="single" w:sz="6" w:space="0" w:color="auto"/>
              <w:left w:val="single" w:sz="12" w:space="0" w:color="auto"/>
              <w:bottom w:val="single" w:sz="6" w:space="0" w:color="auto"/>
              <w:right w:val="single" w:sz="6" w:space="0" w:color="auto"/>
            </w:tcBorders>
            <w:shd w:val="clear" w:color="auto" w:fill="auto"/>
            <w:vAlign w:val="center"/>
          </w:tcPr>
          <w:p w14:paraId="3AF61FD0" w14:textId="77777777" w:rsidR="000E40F4" w:rsidRDefault="000E40F4" w:rsidP="00FD0109">
            <w:pPr>
              <w:pStyle w:val="TblTxtCenter"/>
            </w:pPr>
            <w:r>
              <w:t>7</w:t>
            </w:r>
          </w:p>
        </w:tc>
        <w:tc>
          <w:tcPr>
            <w:tcW w:w="1375" w:type="dxa"/>
            <w:tcBorders>
              <w:top w:val="single" w:sz="6" w:space="0" w:color="auto"/>
              <w:left w:val="single" w:sz="6" w:space="0" w:color="auto"/>
              <w:bottom w:val="single" w:sz="6" w:space="0" w:color="auto"/>
              <w:right w:val="single" w:sz="6" w:space="0" w:color="auto"/>
            </w:tcBorders>
            <w:shd w:val="clear" w:color="auto" w:fill="auto"/>
            <w:vAlign w:val="center"/>
          </w:tcPr>
          <w:p w14:paraId="0F2F311A" w14:textId="77777777" w:rsidR="000E40F4" w:rsidRDefault="000E40F4" w:rsidP="00FD0109">
            <w:pPr>
              <w:pStyle w:val="TblTxtCenter"/>
            </w:pPr>
            <w:r>
              <w:t>10</w:t>
            </w:r>
          </w:p>
        </w:tc>
        <w:tc>
          <w:tcPr>
            <w:tcW w:w="1375" w:type="dxa"/>
            <w:tcBorders>
              <w:top w:val="single" w:sz="6" w:space="0" w:color="auto"/>
              <w:left w:val="single" w:sz="6" w:space="0" w:color="auto"/>
              <w:bottom w:val="single" w:sz="6" w:space="0" w:color="auto"/>
            </w:tcBorders>
            <w:shd w:val="clear" w:color="auto" w:fill="auto"/>
            <w:vAlign w:val="center"/>
          </w:tcPr>
          <w:p w14:paraId="207B7150" w14:textId="77777777" w:rsidR="000E40F4" w:rsidRDefault="000E40F4" w:rsidP="00FD0109">
            <w:pPr>
              <w:pStyle w:val="TblTxtCenter"/>
            </w:pPr>
            <w:r>
              <w:t>&lt;1</w:t>
            </w:r>
          </w:p>
        </w:tc>
        <w:tc>
          <w:tcPr>
            <w:tcW w:w="1375" w:type="dxa"/>
            <w:tcBorders>
              <w:top w:val="single" w:sz="6" w:space="0" w:color="auto"/>
              <w:left w:val="single" w:sz="6" w:space="0" w:color="auto"/>
              <w:bottom w:val="single" w:sz="6" w:space="0" w:color="auto"/>
            </w:tcBorders>
            <w:shd w:val="clear" w:color="auto" w:fill="auto"/>
            <w:vAlign w:val="center"/>
          </w:tcPr>
          <w:p w14:paraId="3AB6CCC0" w14:textId="77777777" w:rsidR="000E40F4" w:rsidRDefault="000E40F4" w:rsidP="00FD0109">
            <w:pPr>
              <w:pStyle w:val="TblTxtCenter"/>
            </w:pPr>
            <w:r>
              <w:t>&lt;1</w:t>
            </w:r>
          </w:p>
        </w:tc>
      </w:tr>
      <w:tr w:rsidR="000E40F4" w:rsidRPr="00F40149" w14:paraId="73D96F1D" w14:textId="77777777" w:rsidTr="00F1091F">
        <w:trPr>
          <w:trHeight w:val="33"/>
          <w:jc w:val="center"/>
        </w:trPr>
        <w:tc>
          <w:tcPr>
            <w:tcW w:w="3960" w:type="dxa"/>
            <w:tcBorders>
              <w:top w:val="single" w:sz="6" w:space="0" w:color="auto"/>
              <w:bottom w:val="single" w:sz="6" w:space="0" w:color="auto"/>
              <w:right w:val="single" w:sz="12" w:space="0" w:color="auto"/>
            </w:tcBorders>
            <w:vAlign w:val="bottom"/>
          </w:tcPr>
          <w:p w14:paraId="670A3807" w14:textId="77777777" w:rsidR="000E40F4" w:rsidRDefault="000E40F4" w:rsidP="00FD0109">
            <w:pPr>
              <w:pStyle w:val="TblTxtCenter"/>
              <w:jc w:val="left"/>
            </w:pPr>
            <w:r>
              <w:t>Building Construction &amp; Fine Grading</w:t>
            </w:r>
          </w:p>
        </w:tc>
        <w:tc>
          <w:tcPr>
            <w:tcW w:w="1161" w:type="dxa"/>
            <w:tcBorders>
              <w:top w:val="single" w:sz="6" w:space="0" w:color="auto"/>
              <w:left w:val="single" w:sz="12" w:space="0" w:color="auto"/>
              <w:bottom w:val="single" w:sz="6" w:space="0" w:color="auto"/>
              <w:right w:val="single" w:sz="6" w:space="0" w:color="auto"/>
            </w:tcBorders>
            <w:shd w:val="clear" w:color="auto" w:fill="auto"/>
            <w:vAlign w:val="center"/>
          </w:tcPr>
          <w:p w14:paraId="0E145876" w14:textId="77777777" w:rsidR="000E40F4" w:rsidRDefault="000E40F4" w:rsidP="00FD0109">
            <w:pPr>
              <w:pStyle w:val="TblTxtCenter"/>
            </w:pPr>
            <w:r>
              <w:t>9</w:t>
            </w:r>
          </w:p>
        </w:tc>
        <w:tc>
          <w:tcPr>
            <w:tcW w:w="1375" w:type="dxa"/>
            <w:tcBorders>
              <w:top w:val="single" w:sz="6" w:space="0" w:color="auto"/>
              <w:left w:val="single" w:sz="6" w:space="0" w:color="auto"/>
              <w:bottom w:val="single" w:sz="6" w:space="0" w:color="auto"/>
              <w:right w:val="single" w:sz="6" w:space="0" w:color="auto"/>
            </w:tcBorders>
            <w:shd w:val="clear" w:color="auto" w:fill="auto"/>
            <w:vAlign w:val="center"/>
          </w:tcPr>
          <w:p w14:paraId="3D925A45" w14:textId="77777777" w:rsidR="000E40F4" w:rsidRDefault="000E40F4" w:rsidP="00FD0109">
            <w:pPr>
              <w:pStyle w:val="TblTxtCenter"/>
            </w:pPr>
            <w:r>
              <w:t>13</w:t>
            </w:r>
          </w:p>
        </w:tc>
        <w:tc>
          <w:tcPr>
            <w:tcW w:w="1375" w:type="dxa"/>
            <w:tcBorders>
              <w:top w:val="single" w:sz="6" w:space="0" w:color="auto"/>
              <w:left w:val="single" w:sz="6" w:space="0" w:color="auto"/>
              <w:bottom w:val="single" w:sz="6" w:space="0" w:color="auto"/>
            </w:tcBorders>
            <w:shd w:val="clear" w:color="auto" w:fill="auto"/>
            <w:vAlign w:val="center"/>
          </w:tcPr>
          <w:p w14:paraId="329DD3C5" w14:textId="77777777" w:rsidR="000E40F4" w:rsidRDefault="000E40F4" w:rsidP="00FD0109">
            <w:pPr>
              <w:pStyle w:val="TblTxtCenter"/>
            </w:pPr>
            <w:r>
              <w:t>&lt;1</w:t>
            </w:r>
          </w:p>
        </w:tc>
        <w:tc>
          <w:tcPr>
            <w:tcW w:w="1375" w:type="dxa"/>
            <w:tcBorders>
              <w:top w:val="single" w:sz="6" w:space="0" w:color="auto"/>
              <w:left w:val="single" w:sz="6" w:space="0" w:color="auto"/>
              <w:bottom w:val="single" w:sz="6" w:space="0" w:color="auto"/>
            </w:tcBorders>
            <w:shd w:val="clear" w:color="auto" w:fill="auto"/>
            <w:vAlign w:val="center"/>
          </w:tcPr>
          <w:p w14:paraId="6BD20A13" w14:textId="77777777" w:rsidR="000E40F4" w:rsidRDefault="000E40F4" w:rsidP="00FD0109">
            <w:pPr>
              <w:pStyle w:val="TblTxtCenter"/>
            </w:pPr>
            <w:r>
              <w:t>&lt;1</w:t>
            </w:r>
          </w:p>
        </w:tc>
      </w:tr>
      <w:tr w:rsidR="000E40F4" w:rsidRPr="00F40149" w14:paraId="0E784FBA" w14:textId="77777777" w:rsidTr="00F1091F">
        <w:trPr>
          <w:trHeight w:val="33"/>
          <w:jc w:val="center"/>
        </w:trPr>
        <w:tc>
          <w:tcPr>
            <w:tcW w:w="3960" w:type="dxa"/>
            <w:tcBorders>
              <w:top w:val="single" w:sz="6" w:space="0" w:color="auto"/>
              <w:bottom w:val="single" w:sz="6" w:space="0" w:color="auto"/>
              <w:right w:val="single" w:sz="12" w:space="0" w:color="auto"/>
            </w:tcBorders>
            <w:vAlign w:val="bottom"/>
          </w:tcPr>
          <w:p w14:paraId="7788A13F" w14:textId="77777777" w:rsidR="000E40F4" w:rsidRDefault="000E40F4" w:rsidP="00FD0109">
            <w:pPr>
              <w:pStyle w:val="TblTxtCenter"/>
              <w:jc w:val="left"/>
            </w:pPr>
            <w:r>
              <w:t>Building Construction &amp; Architectural Coating</w:t>
            </w:r>
          </w:p>
        </w:tc>
        <w:tc>
          <w:tcPr>
            <w:tcW w:w="1161" w:type="dxa"/>
            <w:tcBorders>
              <w:top w:val="single" w:sz="6" w:space="0" w:color="auto"/>
              <w:left w:val="single" w:sz="12" w:space="0" w:color="auto"/>
              <w:bottom w:val="single" w:sz="6" w:space="0" w:color="auto"/>
              <w:right w:val="single" w:sz="6" w:space="0" w:color="auto"/>
            </w:tcBorders>
            <w:shd w:val="clear" w:color="auto" w:fill="auto"/>
            <w:vAlign w:val="center"/>
          </w:tcPr>
          <w:p w14:paraId="4F9ED583" w14:textId="77777777" w:rsidR="000E40F4" w:rsidRDefault="000E40F4" w:rsidP="00FD0109">
            <w:pPr>
              <w:pStyle w:val="TblTxtCenter"/>
            </w:pPr>
            <w:r>
              <w:t>10</w:t>
            </w:r>
          </w:p>
        </w:tc>
        <w:tc>
          <w:tcPr>
            <w:tcW w:w="1375" w:type="dxa"/>
            <w:tcBorders>
              <w:top w:val="single" w:sz="6" w:space="0" w:color="auto"/>
              <w:left w:val="single" w:sz="6" w:space="0" w:color="auto"/>
              <w:bottom w:val="single" w:sz="6" w:space="0" w:color="auto"/>
              <w:right w:val="single" w:sz="6" w:space="0" w:color="auto"/>
            </w:tcBorders>
            <w:shd w:val="clear" w:color="auto" w:fill="auto"/>
            <w:vAlign w:val="center"/>
          </w:tcPr>
          <w:p w14:paraId="1B71E486" w14:textId="77777777" w:rsidR="000E40F4" w:rsidRDefault="000E40F4" w:rsidP="00FD0109">
            <w:pPr>
              <w:pStyle w:val="TblTxtCenter"/>
            </w:pPr>
            <w:r>
              <w:t>15</w:t>
            </w:r>
          </w:p>
        </w:tc>
        <w:tc>
          <w:tcPr>
            <w:tcW w:w="1375" w:type="dxa"/>
            <w:tcBorders>
              <w:top w:val="single" w:sz="6" w:space="0" w:color="auto"/>
              <w:left w:val="single" w:sz="6" w:space="0" w:color="auto"/>
              <w:bottom w:val="single" w:sz="6" w:space="0" w:color="auto"/>
            </w:tcBorders>
            <w:shd w:val="clear" w:color="auto" w:fill="auto"/>
            <w:vAlign w:val="center"/>
          </w:tcPr>
          <w:p w14:paraId="7B58ABAA" w14:textId="77777777" w:rsidR="000E40F4" w:rsidRDefault="000E40F4" w:rsidP="00FD0109">
            <w:pPr>
              <w:pStyle w:val="TblTxtCenter"/>
            </w:pPr>
            <w:r>
              <w:t>&lt;1</w:t>
            </w:r>
          </w:p>
        </w:tc>
        <w:tc>
          <w:tcPr>
            <w:tcW w:w="1375" w:type="dxa"/>
            <w:tcBorders>
              <w:top w:val="single" w:sz="6" w:space="0" w:color="auto"/>
              <w:left w:val="single" w:sz="6" w:space="0" w:color="auto"/>
              <w:bottom w:val="single" w:sz="6" w:space="0" w:color="auto"/>
            </w:tcBorders>
            <w:shd w:val="clear" w:color="auto" w:fill="auto"/>
            <w:vAlign w:val="center"/>
          </w:tcPr>
          <w:p w14:paraId="13BE8170" w14:textId="77777777" w:rsidR="000E40F4" w:rsidRDefault="000E40F4" w:rsidP="00FD0109">
            <w:pPr>
              <w:pStyle w:val="TblTxtCenter"/>
            </w:pPr>
            <w:r>
              <w:t>&lt;1</w:t>
            </w:r>
          </w:p>
        </w:tc>
      </w:tr>
      <w:tr w:rsidR="000E40F4" w:rsidRPr="00F40149" w14:paraId="14A429C2" w14:textId="77777777" w:rsidTr="00F1091F">
        <w:trPr>
          <w:trHeight w:val="33"/>
          <w:jc w:val="center"/>
        </w:trPr>
        <w:tc>
          <w:tcPr>
            <w:tcW w:w="3960" w:type="dxa"/>
            <w:tcBorders>
              <w:top w:val="single" w:sz="6" w:space="0" w:color="auto"/>
              <w:bottom w:val="single" w:sz="6" w:space="0" w:color="auto"/>
              <w:right w:val="single" w:sz="12" w:space="0" w:color="auto"/>
            </w:tcBorders>
            <w:vAlign w:val="bottom"/>
          </w:tcPr>
          <w:p w14:paraId="3897423A" w14:textId="77777777" w:rsidR="000E40F4" w:rsidRDefault="000E40F4" w:rsidP="00FD0109">
            <w:pPr>
              <w:pStyle w:val="TblTxtCenter"/>
              <w:jc w:val="left"/>
            </w:pPr>
            <w:r>
              <w:t>Building Construction &amp; Finishing/Landscaping</w:t>
            </w:r>
          </w:p>
        </w:tc>
        <w:tc>
          <w:tcPr>
            <w:tcW w:w="1161" w:type="dxa"/>
            <w:tcBorders>
              <w:top w:val="single" w:sz="6" w:space="0" w:color="auto"/>
              <w:left w:val="single" w:sz="12" w:space="0" w:color="auto"/>
              <w:bottom w:val="single" w:sz="6" w:space="0" w:color="auto"/>
              <w:right w:val="single" w:sz="6" w:space="0" w:color="auto"/>
            </w:tcBorders>
            <w:shd w:val="clear" w:color="auto" w:fill="auto"/>
            <w:vAlign w:val="center"/>
          </w:tcPr>
          <w:p w14:paraId="1DD472A1" w14:textId="77777777" w:rsidR="000E40F4" w:rsidRDefault="000E40F4" w:rsidP="00FD0109">
            <w:pPr>
              <w:pStyle w:val="TblTxtCenter"/>
            </w:pPr>
            <w:r>
              <w:t>8</w:t>
            </w:r>
          </w:p>
        </w:tc>
        <w:tc>
          <w:tcPr>
            <w:tcW w:w="1375" w:type="dxa"/>
            <w:tcBorders>
              <w:top w:val="single" w:sz="6" w:space="0" w:color="auto"/>
              <w:left w:val="single" w:sz="6" w:space="0" w:color="auto"/>
              <w:bottom w:val="single" w:sz="6" w:space="0" w:color="auto"/>
              <w:right w:val="single" w:sz="6" w:space="0" w:color="auto"/>
            </w:tcBorders>
            <w:shd w:val="clear" w:color="auto" w:fill="auto"/>
            <w:vAlign w:val="center"/>
          </w:tcPr>
          <w:p w14:paraId="7A3E4FDE" w14:textId="77777777" w:rsidR="000E40F4" w:rsidRDefault="000E40F4" w:rsidP="00FD0109">
            <w:pPr>
              <w:pStyle w:val="TblTxtCenter"/>
            </w:pPr>
            <w:r>
              <w:t>12</w:t>
            </w:r>
          </w:p>
        </w:tc>
        <w:tc>
          <w:tcPr>
            <w:tcW w:w="1375" w:type="dxa"/>
            <w:tcBorders>
              <w:top w:val="single" w:sz="6" w:space="0" w:color="auto"/>
              <w:left w:val="single" w:sz="6" w:space="0" w:color="auto"/>
              <w:bottom w:val="single" w:sz="6" w:space="0" w:color="auto"/>
            </w:tcBorders>
            <w:shd w:val="clear" w:color="auto" w:fill="auto"/>
            <w:vAlign w:val="center"/>
          </w:tcPr>
          <w:p w14:paraId="438AFF7E" w14:textId="77777777" w:rsidR="000E40F4" w:rsidRDefault="000E40F4" w:rsidP="00FD0109">
            <w:pPr>
              <w:pStyle w:val="TblTxtCenter"/>
            </w:pPr>
            <w:r>
              <w:t>&lt;1</w:t>
            </w:r>
          </w:p>
        </w:tc>
        <w:tc>
          <w:tcPr>
            <w:tcW w:w="1375" w:type="dxa"/>
            <w:tcBorders>
              <w:top w:val="single" w:sz="6" w:space="0" w:color="auto"/>
              <w:left w:val="single" w:sz="6" w:space="0" w:color="auto"/>
              <w:bottom w:val="single" w:sz="6" w:space="0" w:color="auto"/>
            </w:tcBorders>
            <w:shd w:val="clear" w:color="auto" w:fill="auto"/>
            <w:vAlign w:val="center"/>
          </w:tcPr>
          <w:p w14:paraId="46786AC0" w14:textId="77777777" w:rsidR="000E40F4" w:rsidRDefault="000E40F4" w:rsidP="00FD0109">
            <w:pPr>
              <w:pStyle w:val="TblTxtCenter"/>
            </w:pPr>
            <w:r>
              <w:t>&lt;1</w:t>
            </w:r>
          </w:p>
        </w:tc>
      </w:tr>
      <w:tr w:rsidR="000E40F4" w:rsidRPr="00F40149" w14:paraId="4106714F" w14:textId="77777777" w:rsidTr="00F1091F">
        <w:trPr>
          <w:trHeight w:val="33"/>
          <w:jc w:val="center"/>
        </w:trPr>
        <w:tc>
          <w:tcPr>
            <w:tcW w:w="3960" w:type="dxa"/>
            <w:tcBorders>
              <w:top w:val="single" w:sz="6" w:space="0" w:color="auto"/>
              <w:bottom w:val="single" w:sz="6" w:space="0" w:color="auto"/>
              <w:right w:val="single" w:sz="12" w:space="0" w:color="auto"/>
            </w:tcBorders>
            <w:vAlign w:val="bottom"/>
          </w:tcPr>
          <w:p w14:paraId="78E2C16D" w14:textId="77777777" w:rsidR="000E40F4" w:rsidRDefault="000E40F4" w:rsidP="00FD0109">
            <w:pPr>
              <w:pStyle w:val="TblTxtCenter"/>
              <w:jc w:val="left"/>
            </w:pPr>
            <w:r>
              <w:t>Finishing/Landscaping</w:t>
            </w:r>
          </w:p>
        </w:tc>
        <w:tc>
          <w:tcPr>
            <w:tcW w:w="1161" w:type="dxa"/>
            <w:tcBorders>
              <w:top w:val="single" w:sz="6" w:space="0" w:color="auto"/>
              <w:left w:val="single" w:sz="12" w:space="0" w:color="auto"/>
              <w:bottom w:val="single" w:sz="6" w:space="0" w:color="auto"/>
              <w:right w:val="single" w:sz="6" w:space="0" w:color="auto"/>
            </w:tcBorders>
            <w:shd w:val="clear" w:color="auto" w:fill="auto"/>
            <w:vAlign w:val="center"/>
          </w:tcPr>
          <w:p w14:paraId="2E237D84" w14:textId="77777777" w:rsidR="000E40F4" w:rsidRDefault="000E40F4" w:rsidP="00FD0109">
            <w:pPr>
              <w:pStyle w:val="TblTxtCenter"/>
            </w:pPr>
            <w:r>
              <w:t>1</w:t>
            </w:r>
          </w:p>
        </w:tc>
        <w:tc>
          <w:tcPr>
            <w:tcW w:w="1375" w:type="dxa"/>
            <w:tcBorders>
              <w:top w:val="single" w:sz="6" w:space="0" w:color="auto"/>
              <w:left w:val="single" w:sz="6" w:space="0" w:color="auto"/>
              <w:bottom w:val="single" w:sz="6" w:space="0" w:color="auto"/>
              <w:right w:val="single" w:sz="6" w:space="0" w:color="auto"/>
            </w:tcBorders>
            <w:shd w:val="clear" w:color="auto" w:fill="auto"/>
            <w:vAlign w:val="center"/>
          </w:tcPr>
          <w:p w14:paraId="229301CE" w14:textId="77777777" w:rsidR="000E40F4" w:rsidRDefault="000E40F4" w:rsidP="00FD0109">
            <w:pPr>
              <w:pStyle w:val="TblTxtCenter"/>
            </w:pPr>
            <w:r>
              <w:t>2</w:t>
            </w:r>
          </w:p>
        </w:tc>
        <w:tc>
          <w:tcPr>
            <w:tcW w:w="1375" w:type="dxa"/>
            <w:tcBorders>
              <w:top w:val="single" w:sz="6" w:space="0" w:color="auto"/>
              <w:left w:val="single" w:sz="6" w:space="0" w:color="auto"/>
              <w:bottom w:val="single" w:sz="6" w:space="0" w:color="auto"/>
            </w:tcBorders>
            <w:shd w:val="clear" w:color="auto" w:fill="auto"/>
            <w:vAlign w:val="center"/>
          </w:tcPr>
          <w:p w14:paraId="7CB8EEEF" w14:textId="77777777" w:rsidR="000E40F4" w:rsidRDefault="000E40F4" w:rsidP="00FD0109">
            <w:pPr>
              <w:pStyle w:val="TblTxtCenter"/>
            </w:pPr>
            <w:r>
              <w:t>&lt;1</w:t>
            </w:r>
          </w:p>
        </w:tc>
        <w:tc>
          <w:tcPr>
            <w:tcW w:w="1375" w:type="dxa"/>
            <w:tcBorders>
              <w:top w:val="single" w:sz="6" w:space="0" w:color="auto"/>
              <w:left w:val="single" w:sz="6" w:space="0" w:color="auto"/>
              <w:bottom w:val="single" w:sz="6" w:space="0" w:color="auto"/>
            </w:tcBorders>
            <w:shd w:val="clear" w:color="auto" w:fill="auto"/>
            <w:vAlign w:val="center"/>
          </w:tcPr>
          <w:p w14:paraId="5DB34261" w14:textId="77777777" w:rsidR="000E40F4" w:rsidRDefault="000E40F4" w:rsidP="00FD0109">
            <w:pPr>
              <w:pStyle w:val="TblTxtCenter"/>
            </w:pPr>
            <w:r>
              <w:t>&lt;1</w:t>
            </w:r>
          </w:p>
        </w:tc>
      </w:tr>
      <w:tr w:rsidR="000E40F4" w:rsidRPr="00F40149" w14:paraId="4C5908E7" w14:textId="77777777" w:rsidTr="00F1091F">
        <w:trPr>
          <w:trHeight w:val="33"/>
          <w:jc w:val="center"/>
        </w:trPr>
        <w:tc>
          <w:tcPr>
            <w:tcW w:w="3960" w:type="dxa"/>
            <w:tcBorders>
              <w:top w:val="single" w:sz="6" w:space="0" w:color="auto"/>
              <w:bottom w:val="single" w:sz="6" w:space="0" w:color="auto"/>
              <w:right w:val="single" w:sz="12" w:space="0" w:color="auto"/>
            </w:tcBorders>
            <w:vAlign w:val="center"/>
          </w:tcPr>
          <w:p w14:paraId="2F35B705" w14:textId="77777777" w:rsidR="000E40F4" w:rsidRPr="00A23DF9" w:rsidRDefault="000E40F4" w:rsidP="00FD0109">
            <w:pPr>
              <w:pStyle w:val="TblTxtCenter"/>
              <w:jc w:val="right"/>
            </w:pPr>
            <w:r w:rsidRPr="00F40149">
              <w:rPr>
                <w:b/>
              </w:rPr>
              <w:t>Exceeds</w:t>
            </w:r>
            <w:r>
              <w:rPr>
                <w:b/>
              </w:rPr>
              <w:t xml:space="preserve"> Screening-Level</w:t>
            </w:r>
            <w:r w:rsidRPr="00F40149">
              <w:rPr>
                <w:b/>
              </w:rPr>
              <w:t xml:space="preserve"> LST?</w:t>
            </w:r>
          </w:p>
        </w:tc>
        <w:tc>
          <w:tcPr>
            <w:tcW w:w="1161" w:type="dxa"/>
            <w:tcBorders>
              <w:top w:val="single" w:sz="6" w:space="0" w:color="auto"/>
              <w:left w:val="single" w:sz="12" w:space="0" w:color="auto"/>
              <w:bottom w:val="single" w:sz="6" w:space="0" w:color="auto"/>
              <w:right w:val="single" w:sz="6" w:space="0" w:color="auto"/>
            </w:tcBorders>
            <w:shd w:val="clear" w:color="auto" w:fill="auto"/>
            <w:vAlign w:val="center"/>
          </w:tcPr>
          <w:p w14:paraId="3ABB140F" w14:textId="77777777" w:rsidR="000E40F4" w:rsidRPr="006079CF" w:rsidRDefault="000E40F4" w:rsidP="00FD0109">
            <w:pPr>
              <w:pStyle w:val="TblTxtCenter"/>
            </w:pPr>
            <w:r w:rsidRPr="005F090C">
              <w:rPr>
                <w:b/>
                <w:bCs/>
              </w:rPr>
              <w:t>No</w:t>
            </w:r>
          </w:p>
        </w:tc>
        <w:tc>
          <w:tcPr>
            <w:tcW w:w="1375" w:type="dxa"/>
            <w:tcBorders>
              <w:top w:val="single" w:sz="6" w:space="0" w:color="auto"/>
              <w:left w:val="single" w:sz="6" w:space="0" w:color="auto"/>
              <w:bottom w:val="single" w:sz="6" w:space="0" w:color="auto"/>
              <w:right w:val="single" w:sz="6" w:space="0" w:color="auto"/>
            </w:tcBorders>
            <w:shd w:val="clear" w:color="auto" w:fill="auto"/>
            <w:vAlign w:val="center"/>
          </w:tcPr>
          <w:p w14:paraId="35FD43BD" w14:textId="77777777" w:rsidR="000E40F4" w:rsidRPr="006079CF" w:rsidRDefault="000E40F4" w:rsidP="00FD0109">
            <w:pPr>
              <w:pStyle w:val="TblTxtCenter"/>
            </w:pPr>
            <w:r w:rsidRPr="005F090C">
              <w:rPr>
                <w:b/>
                <w:bCs/>
              </w:rPr>
              <w:t>No</w:t>
            </w:r>
          </w:p>
        </w:tc>
        <w:tc>
          <w:tcPr>
            <w:tcW w:w="1375" w:type="dxa"/>
            <w:tcBorders>
              <w:top w:val="single" w:sz="6" w:space="0" w:color="auto"/>
              <w:left w:val="single" w:sz="6" w:space="0" w:color="auto"/>
              <w:bottom w:val="single" w:sz="6" w:space="0" w:color="auto"/>
            </w:tcBorders>
            <w:shd w:val="clear" w:color="auto" w:fill="auto"/>
            <w:vAlign w:val="center"/>
          </w:tcPr>
          <w:p w14:paraId="501C7DA7" w14:textId="77777777" w:rsidR="000E40F4" w:rsidRPr="006079CF" w:rsidRDefault="000E40F4" w:rsidP="00FD0109">
            <w:pPr>
              <w:pStyle w:val="TblTxtCenter"/>
            </w:pPr>
            <w:r w:rsidRPr="005F090C">
              <w:rPr>
                <w:b/>
                <w:bCs/>
              </w:rPr>
              <w:t>No</w:t>
            </w:r>
          </w:p>
        </w:tc>
        <w:tc>
          <w:tcPr>
            <w:tcW w:w="1375" w:type="dxa"/>
            <w:tcBorders>
              <w:top w:val="single" w:sz="6" w:space="0" w:color="auto"/>
              <w:left w:val="single" w:sz="6" w:space="0" w:color="auto"/>
              <w:bottom w:val="single" w:sz="6" w:space="0" w:color="auto"/>
            </w:tcBorders>
            <w:shd w:val="clear" w:color="auto" w:fill="auto"/>
            <w:vAlign w:val="center"/>
          </w:tcPr>
          <w:p w14:paraId="700D6142" w14:textId="77777777" w:rsidR="000E40F4" w:rsidRPr="006079CF" w:rsidRDefault="000E40F4" w:rsidP="00FD0109">
            <w:pPr>
              <w:pStyle w:val="TblTxtCenter"/>
            </w:pPr>
            <w:r w:rsidRPr="005F090C">
              <w:rPr>
                <w:b/>
                <w:bCs/>
              </w:rPr>
              <w:t>No</w:t>
            </w:r>
          </w:p>
        </w:tc>
      </w:tr>
      <w:tr w:rsidR="000E40F4" w:rsidRPr="00F40149" w14:paraId="7285B6AC" w14:textId="77777777" w:rsidTr="00F1091F">
        <w:trPr>
          <w:trHeight w:val="33"/>
          <w:jc w:val="center"/>
        </w:trPr>
        <w:tc>
          <w:tcPr>
            <w:tcW w:w="3960" w:type="dxa"/>
            <w:tcBorders>
              <w:top w:val="single" w:sz="12" w:space="0" w:color="auto"/>
              <w:bottom w:val="single" w:sz="4" w:space="0" w:color="auto"/>
              <w:right w:val="single" w:sz="12" w:space="0" w:color="auto"/>
            </w:tcBorders>
            <w:shd w:val="clear" w:color="auto" w:fill="D9D9D9" w:themeFill="background1" w:themeFillShade="D9"/>
            <w:vAlign w:val="center"/>
          </w:tcPr>
          <w:p w14:paraId="0EB75D5D" w14:textId="77777777" w:rsidR="000E40F4" w:rsidRDefault="000E40F4" w:rsidP="00FD0109">
            <w:pPr>
              <w:pStyle w:val="TblTxt"/>
            </w:pPr>
            <w:r>
              <w:rPr>
                <w:b/>
              </w:rPr>
              <w:t>South Coast AQMD</w:t>
            </w:r>
            <w:r w:rsidRPr="00F40149">
              <w:rPr>
                <w:b/>
              </w:rPr>
              <w:t xml:space="preserve"> </w:t>
            </w:r>
            <w:r>
              <w:rPr>
                <w:b/>
              </w:rPr>
              <w:t>5.0</w:t>
            </w:r>
            <w:r w:rsidRPr="00F40149">
              <w:rPr>
                <w:b/>
              </w:rPr>
              <w:t xml:space="preserve">0-Acre </w:t>
            </w:r>
            <w:r>
              <w:rPr>
                <w:b/>
              </w:rPr>
              <w:t xml:space="preserve">Screening-Level </w:t>
            </w:r>
            <w:r w:rsidRPr="00F40149">
              <w:rPr>
                <w:b/>
              </w:rPr>
              <w:t>LST</w:t>
            </w:r>
          </w:p>
        </w:tc>
        <w:tc>
          <w:tcPr>
            <w:tcW w:w="1161" w:type="dxa"/>
            <w:tcBorders>
              <w:top w:val="single" w:sz="12" w:space="0" w:color="auto"/>
              <w:left w:val="single" w:sz="12" w:space="0" w:color="auto"/>
              <w:bottom w:val="single" w:sz="4" w:space="0" w:color="auto"/>
              <w:right w:val="single" w:sz="6" w:space="0" w:color="auto"/>
            </w:tcBorders>
            <w:shd w:val="clear" w:color="auto" w:fill="D9D9D9" w:themeFill="background1" w:themeFillShade="D9"/>
            <w:vAlign w:val="center"/>
          </w:tcPr>
          <w:p w14:paraId="2B856B4A" w14:textId="77777777" w:rsidR="000E40F4" w:rsidRPr="006079CF" w:rsidRDefault="000E40F4" w:rsidP="00FD0109">
            <w:pPr>
              <w:pStyle w:val="TblTxtCenter"/>
            </w:pPr>
            <w:r>
              <w:t>203</w:t>
            </w:r>
          </w:p>
        </w:tc>
        <w:tc>
          <w:tcPr>
            <w:tcW w:w="1375" w:type="dxa"/>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14:paraId="3871B9B2" w14:textId="77777777" w:rsidR="000E40F4" w:rsidRPr="006079CF" w:rsidRDefault="000E40F4" w:rsidP="00FD0109">
            <w:pPr>
              <w:pStyle w:val="TblTxtCenter"/>
            </w:pPr>
            <w:r>
              <w:t>1,733</w:t>
            </w:r>
          </w:p>
        </w:tc>
        <w:tc>
          <w:tcPr>
            <w:tcW w:w="1375" w:type="dxa"/>
            <w:tcBorders>
              <w:top w:val="single" w:sz="12" w:space="0" w:color="auto"/>
              <w:left w:val="single" w:sz="6" w:space="0" w:color="auto"/>
              <w:bottom w:val="single" w:sz="4" w:space="0" w:color="auto"/>
            </w:tcBorders>
            <w:shd w:val="clear" w:color="auto" w:fill="D9D9D9" w:themeFill="background1" w:themeFillShade="D9"/>
            <w:vAlign w:val="center"/>
          </w:tcPr>
          <w:p w14:paraId="7DEDA3E6" w14:textId="77777777" w:rsidR="000E40F4" w:rsidRPr="006079CF" w:rsidRDefault="000E40F4" w:rsidP="00FD0109">
            <w:pPr>
              <w:pStyle w:val="TblTxtCenter"/>
            </w:pPr>
            <w:r>
              <w:t>91</w:t>
            </w:r>
          </w:p>
        </w:tc>
        <w:tc>
          <w:tcPr>
            <w:tcW w:w="1375" w:type="dxa"/>
            <w:tcBorders>
              <w:top w:val="single" w:sz="12" w:space="0" w:color="auto"/>
              <w:left w:val="single" w:sz="6" w:space="0" w:color="auto"/>
              <w:bottom w:val="single" w:sz="4" w:space="0" w:color="auto"/>
            </w:tcBorders>
            <w:shd w:val="clear" w:color="auto" w:fill="D9D9D9" w:themeFill="background1" w:themeFillShade="D9"/>
            <w:vAlign w:val="center"/>
          </w:tcPr>
          <w:p w14:paraId="20B59E46" w14:textId="77777777" w:rsidR="000E40F4" w:rsidRPr="006079CF" w:rsidRDefault="000E40F4" w:rsidP="00FD0109">
            <w:pPr>
              <w:pStyle w:val="TblTxtCenter"/>
            </w:pPr>
            <w:r>
              <w:t>29</w:t>
            </w:r>
          </w:p>
        </w:tc>
      </w:tr>
      <w:tr w:rsidR="000E40F4" w:rsidRPr="00F40149" w14:paraId="13A33522" w14:textId="77777777" w:rsidTr="00F1091F">
        <w:trPr>
          <w:trHeight w:val="33"/>
          <w:jc w:val="center"/>
        </w:trPr>
        <w:tc>
          <w:tcPr>
            <w:tcW w:w="3960" w:type="dxa"/>
            <w:tcBorders>
              <w:top w:val="single" w:sz="4" w:space="0" w:color="auto"/>
              <w:bottom w:val="single" w:sz="2" w:space="0" w:color="auto"/>
              <w:right w:val="single" w:sz="12" w:space="0" w:color="auto"/>
            </w:tcBorders>
            <w:vAlign w:val="bottom"/>
          </w:tcPr>
          <w:p w14:paraId="0EBDDD1F" w14:textId="77777777" w:rsidR="000E40F4" w:rsidRPr="00A23DF9" w:rsidRDefault="000E40F4" w:rsidP="00FD0109">
            <w:pPr>
              <w:pStyle w:val="TblTxtCenter"/>
              <w:jc w:val="left"/>
            </w:pPr>
            <w:r>
              <w:t>Site Preparation, Building Construction, &amp; Rough Grading</w:t>
            </w:r>
          </w:p>
        </w:tc>
        <w:tc>
          <w:tcPr>
            <w:tcW w:w="1161" w:type="dxa"/>
            <w:tcBorders>
              <w:top w:val="single" w:sz="4" w:space="0" w:color="auto"/>
              <w:left w:val="single" w:sz="12" w:space="0" w:color="auto"/>
              <w:bottom w:val="single" w:sz="2" w:space="0" w:color="auto"/>
              <w:right w:val="single" w:sz="6" w:space="0" w:color="auto"/>
            </w:tcBorders>
            <w:shd w:val="clear" w:color="auto" w:fill="auto"/>
            <w:vAlign w:val="center"/>
          </w:tcPr>
          <w:p w14:paraId="24D8B2D3" w14:textId="77777777" w:rsidR="000E40F4" w:rsidRPr="001E366A" w:rsidRDefault="000E40F4" w:rsidP="00FD0109">
            <w:pPr>
              <w:pStyle w:val="TblTxtCenter"/>
            </w:pPr>
            <w:r>
              <w:t>58</w:t>
            </w:r>
          </w:p>
        </w:tc>
        <w:tc>
          <w:tcPr>
            <w:tcW w:w="1375" w:type="dxa"/>
            <w:tcBorders>
              <w:top w:val="single" w:sz="4" w:space="0" w:color="auto"/>
              <w:left w:val="single" w:sz="6" w:space="0" w:color="auto"/>
              <w:bottom w:val="single" w:sz="2" w:space="0" w:color="auto"/>
              <w:right w:val="single" w:sz="6" w:space="0" w:color="auto"/>
            </w:tcBorders>
            <w:shd w:val="clear" w:color="auto" w:fill="auto"/>
            <w:vAlign w:val="center"/>
          </w:tcPr>
          <w:p w14:paraId="285103D9" w14:textId="77777777" w:rsidR="000E40F4" w:rsidRPr="001E366A" w:rsidRDefault="000E40F4" w:rsidP="00FD0109">
            <w:pPr>
              <w:pStyle w:val="TblTxtCenter"/>
            </w:pPr>
            <w:r>
              <w:t>46</w:t>
            </w:r>
          </w:p>
        </w:tc>
        <w:tc>
          <w:tcPr>
            <w:tcW w:w="1375" w:type="dxa"/>
            <w:tcBorders>
              <w:top w:val="single" w:sz="4" w:space="0" w:color="auto"/>
              <w:left w:val="single" w:sz="6" w:space="0" w:color="auto"/>
              <w:bottom w:val="single" w:sz="2" w:space="0" w:color="auto"/>
            </w:tcBorders>
            <w:shd w:val="clear" w:color="auto" w:fill="auto"/>
            <w:vAlign w:val="center"/>
          </w:tcPr>
          <w:p w14:paraId="470D6257" w14:textId="77777777" w:rsidR="000E40F4" w:rsidRPr="00193071" w:rsidRDefault="000E40F4" w:rsidP="00FD0109">
            <w:pPr>
              <w:pStyle w:val="TblTxtCenter"/>
            </w:pPr>
            <w:r>
              <w:t>4</w:t>
            </w:r>
          </w:p>
        </w:tc>
        <w:tc>
          <w:tcPr>
            <w:tcW w:w="1375" w:type="dxa"/>
            <w:tcBorders>
              <w:top w:val="single" w:sz="4" w:space="0" w:color="auto"/>
              <w:left w:val="single" w:sz="6" w:space="0" w:color="auto"/>
              <w:bottom w:val="single" w:sz="2" w:space="0" w:color="auto"/>
            </w:tcBorders>
            <w:shd w:val="clear" w:color="auto" w:fill="auto"/>
            <w:vAlign w:val="center"/>
          </w:tcPr>
          <w:p w14:paraId="67827A85" w14:textId="77777777" w:rsidR="000E40F4" w:rsidRPr="00193071" w:rsidRDefault="000E40F4" w:rsidP="00FD0109">
            <w:pPr>
              <w:pStyle w:val="TblTxtCenter"/>
            </w:pPr>
            <w:r>
              <w:t>2</w:t>
            </w:r>
          </w:p>
        </w:tc>
      </w:tr>
      <w:tr w:rsidR="000E40F4" w:rsidRPr="00F40149" w14:paraId="2B439DF6" w14:textId="77777777" w:rsidTr="00F1091F">
        <w:trPr>
          <w:trHeight w:val="33"/>
          <w:jc w:val="center"/>
        </w:trPr>
        <w:tc>
          <w:tcPr>
            <w:tcW w:w="3960" w:type="dxa"/>
            <w:tcBorders>
              <w:top w:val="single" w:sz="2" w:space="0" w:color="auto"/>
              <w:bottom w:val="single" w:sz="2" w:space="0" w:color="auto"/>
              <w:right w:val="single" w:sz="12" w:space="0" w:color="auto"/>
            </w:tcBorders>
            <w:vAlign w:val="bottom"/>
          </w:tcPr>
          <w:p w14:paraId="773A13A5" w14:textId="77777777" w:rsidR="000E40F4" w:rsidRPr="00A23DF9" w:rsidRDefault="000E40F4" w:rsidP="00FD0109">
            <w:pPr>
              <w:pStyle w:val="TblTxtCenter"/>
              <w:jc w:val="left"/>
            </w:pPr>
            <w:r>
              <w:t>Building Construction &amp; Rough Grading</w:t>
            </w:r>
          </w:p>
        </w:tc>
        <w:tc>
          <w:tcPr>
            <w:tcW w:w="1161" w:type="dxa"/>
            <w:tcBorders>
              <w:top w:val="single" w:sz="2" w:space="0" w:color="auto"/>
              <w:left w:val="single" w:sz="12" w:space="0" w:color="auto"/>
              <w:bottom w:val="single" w:sz="2" w:space="0" w:color="auto"/>
              <w:right w:val="single" w:sz="6" w:space="0" w:color="auto"/>
            </w:tcBorders>
            <w:shd w:val="clear" w:color="auto" w:fill="auto"/>
            <w:vAlign w:val="center"/>
          </w:tcPr>
          <w:p w14:paraId="0A1086EC" w14:textId="77777777" w:rsidR="000E40F4" w:rsidRPr="006079CF" w:rsidRDefault="000E40F4" w:rsidP="00FD0109">
            <w:pPr>
              <w:pStyle w:val="TblTxtCenter"/>
            </w:pPr>
            <w:r>
              <w:t>54</w:t>
            </w:r>
          </w:p>
        </w:tc>
        <w:tc>
          <w:tcPr>
            <w:tcW w:w="1375" w:type="dxa"/>
            <w:tcBorders>
              <w:top w:val="single" w:sz="2" w:space="0" w:color="auto"/>
              <w:left w:val="single" w:sz="6" w:space="0" w:color="auto"/>
              <w:bottom w:val="single" w:sz="2" w:space="0" w:color="auto"/>
              <w:right w:val="single" w:sz="6" w:space="0" w:color="auto"/>
            </w:tcBorders>
            <w:shd w:val="clear" w:color="auto" w:fill="auto"/>
            <w:vAlign w:val="center"/>
          </w:tcPr>
          <w:p w14:paraId="3714C774" w14:textId="77777777" w:rsidR="000E40F4" w:rsidRPr="006079CF" w:rsidRDefault="000E40F4" w:rsidP="00FD0109">
            <w:pPr>
              <w:pStyle w:val="TblTxtCenter"/>
            </w:pPr>
            <w:r>
              <w:t>42</w:t>
            </w:r>
          </w:p>
        </w:tc>
        <w:tc>
          <w:tcPr>
            <w:tcW w:w="1375" w:type="dxa"/>
            <w:tcBorders>
              <w:top w:val="single" w:sz="2" w:space="0" w:color="auto"/>
              <w:left w:val="single" w:sz="6" w:space="0" w:color="auto"/>
              <w:bottom w:val="single" w:sz="2" w:space="0" w:color="auto"/>
            </w:tcBorders>
            <w:shd w:val="clear" w:color="auto" w:fill="auto"/>
            <w:vAlign w:val="center"/>
          </w:tcPr>
          <w:p w14:paraId="33347E10" w14:textId="77777777" w:rsidR="000E40F4" w:rsidRPr="006079CF" w:rsidRDefault="000E40F4" w:rsidP="00FD0109">
            <w:pPr>
              <w:pStyle w:val="TblTxtCenter"/>
            </w:pPr>
            <w:r>
              <w:t>3</w:t>
            </w:r>
          </w:p>
        </w:tc>
        <w:tc>
          <w:tcPr>
            <w:tcW w:w="1375" w:type="dxa"/>
            <w:tcBorders>
              <w:top w:val="single" w:sz="2" w:space="0" w:color="auto"/>
              <w:left w:val="single" w:sz="6" w:space="0" w:color="auto"/>
              <w:bottom w:val="single" w:sz="2" w:space="0" w:color="auto"/>
            </w:tcBorders>
            <w:shd w:val="clear" w:color="auto" w:fill="auto"/>
            <w:vAlign w:val="center"/>
          </w:tcPr>
          <w:p w14:paraId="7FD50C3E" w14:textId="77777777" w:rsidR="000E40F4" w:rsidRPr="006079CF" w:rsidRDefault="000E40F4" w:rsidP="00FD0109">
            <w:pPr>
              <w:pStyle w:val="TblTxtCenter"/>
            </w:pPr>
            <w:r>
              <w:t>2</w:t>
            </w:r>
          </w:p>
        </w:tc>
      </w:tr>
      <w:tr w:rsidR="000E40F4" w:rsidRPr="00F40149" w14:paraId="03D82428" w14:textId="77777777" w:rsidTr="00F1091F">
        <w:trPr>
          <w:trHeight w:val="33"/>
          <w:jc w:val="center"/>
        </w:trPr>
        <w:tc>
          <w:tcPr>
            <w:tcW w:w="3960" w:type="dxa"/>
            <w:tcBorders>
              <w:top w:val="single" w:sz="2" w:space="0" w:color="auto"/>
              <w:bottom w:val="single" w:sz="12" w:space="0" w:color="auto"/>
              <w:right w:val="single" w:sz="12" w:space="0" w:color="auto"/>
            </w:tcBorders>
            <w:vAlign w:val="bottom"/>
          </w:tcPr>
          <w:p w14:paraId="5C0FAE86" w14:textId="77777777" w:rsidR="000E40F4" w:rsidRPr="00A23DF9" w:rsidRDefault="000E40F4" w:rsidP="00FD0109">
            <w:pPr>
              <w:pStyle w:val="TblTxtCenter"/>
              <w:jc w:val="left"/>
            </w:pPr>
            <w:r>
              <w:t>Building Construction, Rough Grading, &amp; Utility Trenching</w:t>
            </w:r>
          </w:p>
        </w:tc>
        <w:tc>
          <w:tcPr>
            <w:tcW w:w="1161" w:type="dxa"/>
            <w:tcBorders>
              <w:top w:val="single" w:sz="2" w:space="0" w:color="auto"/>
              <w:left w:val="single" w:sz="12" w:space="0" w:color="auto"/>
              <w:bottom w:val="single" w:sz="12" w:space="0" w:color="auto"/>
              <w:right w:val="single" w:sz="6" w:space="0" w:color="auto"/>
            </w:tcBorders>
            <w:shd w:val="clear" w:color="auto" w:fill="auto"/>
            <w:vAlign w:val="center"/>
          </w:tcPr>
          <w:p w14:paraId="60A72172" w14:textId="77777777" w:rsidR="000E40F4" w:rsidRPr="006079CF" w:rsidRDefault="000E40F4" w:rsidP="00FD0109">
            <w:pPr>
              <w:pStyle w:val="TblTxtCenter"/>
            </w:pPr>
            <w:r>
              <w:t>9</w:t>
            </w:r>
          </w:p>
        </w:tc>
        <w:tc>
          <w:tcPr>
            <w:tcW w:w="1375" w:type="dxa"/>
            <w:tcBorders>
              <w:top w:val="single" w:sz="2" w:space="0" w:color="auto"/>
              <w:left w:val="single" w:sz="6" w:space="0" w:color="auto"/>
              <w:bottom w:val="single" w:sz="12" w:space="0" w:color="auto"/>
              <w:right w:val="single" w:sz="6" w:space="0" w:color="auto"/>
            </w:tcBorders>
            <w:shd w:val="clear" w:color="auto" w:fill="auto"/>
            <w:vAlign w:val="center"/>
          </w:tcPr>
          <w:p w14:paraId="06BAF94B" w14:textId="77777777" w:rsidR="000E40F4" w:rsidRPr="006079CF" w:rsidRDefault="000E40F4" w:rsidP="00FD0109">
            <w:pPr>
              <w:pStyle w:val="TblTxtCenter"/>
            </w:pPr>
            <w:r>
              <w:t>13</w:t>
            </w:r>
          </w:p>
        </w:tc>
        <w:tc>
          <w:tcPr>
            <w:tcW w:w="1375" w:type="dxa"/>
            <w:tcBorders>
              <w:top w:val="single" w:sz="2" w:space="0" w:color="auto"/>
              <w:left w:val="single" w:sz="6" w:space="0" w:color="auto"/>
              <w:bottom w:val="single" w:sz="12" w:space="0" w:color="auto"/>
            </w:tcBorders>
            <w:shd w:val="clear" w:color="auto" w:fill="auto"/>
            <w:vAlign w:val="center"/>
          </w:tcPr>
          <w:p w14:paraId="4DFA74C8" w14:textId="77777777" w:rsidR="000E40F4" w:rsidRPr="006079CF" w:rsidRDefault="000E40F4" w:rsidP="00FD0109">
            <w:pPr>
              <w:pStyle w:val="TblTxtCenter"/>
            </w:pPr>
            <w:r>
              <w:t>&lt;1</w:t>
            </w:r>
          </w:p>
        </w:tc>
        <w:tc>
          <w:tcPr>
            <w:tcW w:w="1375" w:type="dxa"/>
            <w:tcBorders>
              <w:top w:val="single" w:sz="2" w:space="0" w:color="auto"/>
              <w:left w:val="single" w:sz="6" w:space="0" w:color="auto"/>
              <w:bottom w:val="single" w:sz="12" w:space="0" w:color="auto"/>
            </w:tcBorders>
            <w:shd w:val="clear" w:color="auto" w:fill="auto"/>
            <w:vAlign w:val="center"/>
          </w:tcPr>
          <w:p w14:paraId="1C5F01E3" w14:textId="77777777" w:rsidR="000E40F4" w:rsidRPr="006079CF" w:rsidRDefault="000E40F4" w:rsidP="00FD0109">
            <w:pPr>
              <w:pStyle w:val="TblTxtCenter"/>
            </w:pPr>
            <w:r>
              <w:t>&lt;1</w:t>
            </w:r>
          </w:p>
        </w:tc>
      </w:tr>
      <w:tr w:rsidR="000E40F4" w:rsidRPr="00F40149" w14:paraId="239A4323" w14:textId="77777777" w:rsidTr="00F1091F">
        <w:trPr>
          <w:trHeight w:val="33"/>
          <w:jc w:val="center"/>
        </w:trPr>
        <w:tc>
          <w:tcPr>
            <w:tcW w:w="3960" w:type="dxa"/>
            <w:tcBorders>
              <w:top w:val="single" w:sz="12" w:space="0" w:color="auto"/>
              <w:bottom w:val="single" w:sz="12" w:space="0" w:color="auto"/>
              <w:right w:val="single" w:sz="12" w:space="0" w:color="auto"/>
            </w:tcBorders>
            <w:vAlign w:val="center"/>
          </w:tcPr>
          <w:p w14:paraId="15EFB8F9" w14:textId="77777777" w:rsidR="000E40F4" w:rsidRPr="00A23DF9" w:rsidRDefault="000E40F4" w:rsidP="00FD0109">
            <w:pPr>
              <w:pStyle w:val="TblTxtCenter"/>
              <w:jc w:val="right"/>
            </w:pPr>
            <w:r w:rsidRPr="00F40149">
              <w:rPr>
                <w:b/>
              </w:rPr>
              <w:t>Exceeds</w:t>
            </w:r>
            <w:r>
              <w:rPr>
                <w:b/>
              </w:rPr>
              <w:t xml:space="preserve"> Screening-Level</w:t>
            </w:r>
            <w:r w:rsidRPr="00F40149">
              <w:rPr>
                <w:b/>
              </w:rPr>
              <w:t xml:space="preserve"> LST?</w:t>
            </w:r>
          </w:p>
        </w:tc>
        <w:tc>
          <w:tcPr>
            <w:tcW w:w="1161" w:type="dxa"/>
            <w:tcBorders>
              <w:top w:val="single" w:sz="12" w:space="0" w:color="auto"/>
              <w:left w:val="single" w:sz="12" w:space="0" w:color="auto"/>
              <w:bottom w:val="single" w:sz="12" w:space="0" w:color="auto"/>
              <w:right w:val="single" w:sz="6" w:space="0" w:color="auto"/>
            </w:tcBorders>
            <w:shd w:val="clear" w:color="auto" w:fill="auto"/>
            <w:vAlign w:val="center"/>
          </w:tcPr>
          <w:p w14:paraId="2897E2E7" w14:textId="77777777" w:rsidR="000E40F4" w:rsidRPr="006079CF" w:rsidRDefault="000E40F4" w:rsidP="00FD0109">
            <w:pPr>
              <w:pStyle w:val="TblTxtCenter"/>
            </w:pPr>
            <w:r w:rsidRPr="005F090C">
              <w:rPr>
                <w:b/>
                <w:bCs/>
              </w:rPr>
              <w:t>No</w:t>
            </w:r>
          </w:p>
        </w:tc>
        <w:tc>
          <w:tcPr>
            <w:tcW w:w="1375" w:type="dxa"/>
            <w:tcBorders>
              <w:top w:val="single" w:sz="12" w:space="0" w:color="auto"/>
              <w:left w:val="single" w:sz="6" w:space="0" w:color="auto"/>
              <w:bottom w:val="single" w:sz="12" w:space="0" w:color="auto"/>
              <w:right w:val="single" w:sz="6" w:space="0" w:color="auto"/>
            </w:tcBorders>
            <w:shd w:val="clear" w:color="auto" w:fill="auto"/>
            <w:vAlign w:val="center"/>
          </w:tcPr>
          <w:p w14:paraId="65E88577" w14:textId="77777777" w:rsidR="000E40F4" w:rsidRPr="006079CF" w:rsidRDefault="000E40F4" w:rsidP="00FD0109">
            <w:pPr>
              <w:pStyle w:val="TblTxtCenter"/>
            </w:pPr>
            <w:r w:rsidRPr="005F090C">
              <w:rPr>
                <w:b/>
                <w:bCs/>
              </w:rPr>
              <w:t>No</w:t>
            </w:r>
          </w:p>
        </w:tc>
        <w:tc>
          <w:tcPr>
            <w:tcW w:w="1375" w:type="dxa"/>
            <w:tcBorders>
              <w:top w:val="single" w:sz="12" w:space="0" w:color="auto"/>
              <w:left w:val="single" w:sz="6" w:space="0" w:color="auto"/>
              <w:bottom w:val="single" w:sz="12" w:space="0" w:color="auto"/>
            </w:tcBorders>
            <w:shd w:val="clear" w:color="auto" w:fill="auto"/>
            <w:vAlign w:val="center"/>
          </w:tcPr>
          <w:p w14:paraId="2455265C" w14:textId="77777777" w:rsidR="000E40F4" w:rsidRPr="006079CF" w:rsidRDefault="000E40F4" w:rsidP="00FD0109">
            <w:pPr>
              <w:pStyle w:val="TblTxtCenter"/>
            </w:pPr>
            <w:r w:rsidRPr="005F090C">
              <w:rPr>
                <w:b/>
                <w:bCs/>
              </w:rPr>
              <w:t>No</w:t>
            </w:r>
          </w:p>
        </w:tc>
        <w:tc>
          <w:tcPr>
            <w:tcW w:w="1375" w:type="dxa"/>
            <w:tcBorders>
              <w:top w:val="single" w:sz="12" w:space="0" w:color="auto"/>
              <w:left w:val="single" w:sz="6" w:space="0" w:color="auto"/>
              <w:bottom w:val="single" w:sz="12" w:space="0" w:color="auto"/>
            </w:tcBorders>
            <w:shd w:val="clear" w:color="auto" w:fill="auto"/>
            <w:vAlign w:val="center"/>
          </w:tcPr>
          <w:p w14:paraId="71AD621F" w14:textId="77777777" w:rsidR="000E40F4" w:rsidRPr="006079CF" w:rsidRDefault="000E40F4" w:rsidP="00FD0109">
            <w:pPr>
              <w:pStyle w:val="TblTxtCenter"/>
            </w:pPr>
            <w:r w:rsidRPr="005F090C">
              <w:rPr>
                <w:b/>
                <w:bCs/>
              </w:rPr>
              <w:t>No</w:t>
            </w:r>
          </w:p>
        </w:tc>
      </w:tr>
      <w:tr w:rsidR="000E40F4" w:rsidRPr="00F40149" w14:paraId="2BC89C3E" w14:textId="77777777" w:rsidTr="00883261">
        <w:trPr>
          <w:jc w:val="center"/>
        </w:trPr>
        <w:tc>
          <w:tcPr>
            <w:tcW w:w="9246" w:type="dxa"/>
            <w:gridSpan w:val="5"/>
            <w:tcBorders>
              <w:top w:val="single" w:sz="12" w:space="0" w:color="auto"/>
              <w:bottom w:val="single" w:sz="12" w:space="0" w:color="auto"/>
              <w:right w:val="nil"/>
            </w:tcBorders>
            <w:shd w:val="clear" w:color="auto" w:fill="auto"/>
          </w:tcPr>
          <w:p w14:paraId="700E6390" w14:textId="77777777" w:rsidR="000E40F4" w:rsidRPr="00F40149" w:rsidRDefault="000E40F4" w:rsidP="00FD0109">
            <w:pPr>
              <w:pStyle w:val="Tblnote"/>
              <w:rPr>
                <w:rFonts w:eastAsia="Batang"/>
              </w:rPr>
            </w:pPr>
            <w:r w:rsidRPr="00F40149">
              <w:rPr>
                <w:rFonts w:eastAsia="Batang"/>
              </w:rPr>
              <w:t>Source: CalEEMod Version </w:t>
            </w:r>
            <w:r>
              <w:rPr>
                <w:rFonts w:eastAsia="Batang"/>
              </w:rPr>
              <w:t>2020.4.0</w:t>
            </w:r>
            <w:r w:rsidRPr="00F40149">
              <w:rPr>
                <w:rFonts w:eastAsia="Batang"/>
              </w:rPr>
              <w:t xml:space="preserve">, and </w:t>
            </w:r>
            <w:r>
              <w:rPr>
                <w:rFonts w:eastAsia="Batang"/>
              </w:rPr>
              <w:t>South Coast AQMD</w:t>
            </w:r>
            <w:r w:rsidRPr="00F40149">
              <w:rPr>
                <w:rFonts w:eastAsia="Batang"/>
              </w:rPr>
              <w:t xml:space="preserve"> 2008 and 2011. </w:t>
            </w:r>
          </w:p>
          <w:p w14:paraId="730E80F2" w14:textId="77777777" w:rsidR="000E40F4" w:rsidRPr="006079CF" w:rsidRDefault="000E40F4" w:rsidP="00FD0109">
            <w:pPr>
              <w:pStyle w:val="Tblnote"/>
            </w:pPr>
            <w:r w:rsidRPr="00F40149">
              <w:rPr>
                <w:rFonts w:eastAsia="Batang"/>
              </w:rPr>
              <w:t xml:space="preserve">Notes: </w:t>
            </w:r>
            <w:r w:rsidRPr="00E15664">
              <w:rPr>
                <w:rFonts w:eastAsia="Batang"/>
              </w:rPr>
              <w:t xml:space="preserve">In accordance with </w:t>
            </w:r>
            <w:r>
              <w:rPr>
                <w:rFonts w:eastAsia="Batang"/>
              </w:rPr>
              <w:t>South Coast AQMD</w:t>
            </w:r>
            <w:r w:rsidRPr="00E15664">
              <w:rPr>
                <w:rFonts w:eastAsia="Batang"/>
              </w:rPr>
              <w:t xml:space="preserve"> methodology, only </w:t>
            </w:r>
            <w:r>
              <w:rPr>
                <w:rFonts w:eastAsia="Batang"/>
              </w:rPr>
              <w:t>on-site</w:t>
            </w:r>
            <w:r w:rsidRPr="00E15664">
              <w:rPr>
                <w:rFonts w:eastAsia="Batang"/>
              </w:rPr>
              <w:t xml:space="preserve"> stationary </w:t>
            </w:r>
            <w:r w:rsidRPr="006079CF">
              <w:rPr>
                <w:rFonts w:eastAsia="Batang"/>
              </w:rPr>
              <w:t>sources and mobile equipment occurring on the project site are included in the analysis.</w:t>
            </w:r>
            <w:r w:rsidRPr="006079CF">
              <w:t xml:space="preserve"> For the project site in Source Receptor Area (SRA) </w:t>
            </w:r>
            <w:r>
              <w:t>9</w:t>
            </w:r>
            <w:r w:rsidRPr="006079CF">
              <w:t>, NO</w:t>
            </w:r>
            <w:r w:rsidRPr="006079CF">
              <w:rPr>
                <w:vertAlign w:val="subscript"/>
              </w:rPr>
              <w:t>x</w:t>
            </w:r>
            <w:r w:rsidRPr="006079CF">
              <w:t xml:space="preserve"> and CO screening-level LSTs are based on a</w:t>
            </w:r>
            <w:r>
              <w:t xml:space="preserve"> reference distance of</w:t>
            </w:r>
            <w:r w:rsidRPr="006079CF">
              <w:t xml:space="preserve"> 82 f</w:t>
            </w:r>
            <w:r>
              <w:t xml:space="preserve">eet (25 meters) to the nearest </w:t>
            </w:r>
            <w:r w:rsidRPr="006079CF">
              <w:t xml:space="preserve">nonresidential receptor, </w:t>
            </w:r>
            <w:r>
              <w:t>and</w:t>
            </w:r>
            <w:r w:rsidRPr="006079CF">
              <w:t xml:space="preserve"> PM</w:t>
            </w:r>
            <w:r w:rsidRPr="006079CF">
              <w:rPr>
                <w:vertAlign w:val="subscript"/>
              </w:rPr>
              <w:t>10</w:t>
            </w:r>
            <w:r w:rsidRPr="006079CF">
              <w:t xml:space="preserve"> and PM</w:t>
            </w:r>
            <w:r w:rsidRPr="006079CF">
              <w:rPr>
                <w:vertAlign w:val="subscript"/>
              </w:rPr>
              <w:t xml:space="preserve">2.5 </w:t>
            </w:r>
            <w:r w:rsidRPr="006079CF">
              <w:t>screening-level LSTs are based on a</w:t>
            </w:r>
            <w:r>
              <w:t xml:space="preserve"> reference distance of</w:t>
            </w:r>
            <w:r w:rsidRPr="006079CF">
              <w:t xml:space="preserve"> </w:t>
            </w:r>
            <w:r>
              <w:t>550</w:t>
            </w:r>
            <w:r w:rsidRPr="006079CF">
              <w:t xml:space="preserve"> </w:t>
            </w:r>
            <w:r>
              <w:t>feet (168 meters)</w:t>
            </w:r>
            <w:r w:rsidRPr="006079CF">
              <w:t xml:space="preserve"> </w:t>
            </w:r>
            <w:r>
              <w:t xml:space="preserve">to the nearest </w:t>
            </w:r>
            <w:r w:rsidRPr="006079CF">
              <w:t xml:space="preserve">residential receptor </w:t>
            </w:r>
            <w:r>
              <w:t>because</w:t>
            </w:r>
            <w:r w:rsidRPr="006079CF">
              <w:t xml:space="preserve"> employees would not be in office 24 hours per day.</w:t>
            </w:r>
          </w:p>
          <w:p w14:paraId="0E75CB03" w14:textId="77777777" w:rsidR="000E40F4" w:rsidRPr="006079CF" w:rsidRDefault="000E40F4" w:rsidP="00FD0109">
            <w:pPr>
              <w:pStyle w:val="Tblnote"/>
              <w:rPr>
                <w:rFonts w:eastAsia="Batang"/>
              </w:rPr>
            </w:pPr>
            <w:r w:rsidRPr="006079CF">
              <w:rPr>
                <w:rFonts w:eastAsia="Batang"/>
                <w:vertAlign w:val="superscript"/>
              </w:rPr>
              <w:t>1</w:t>
            </w:r>
            <w:r w:rsidRPr="006079CF">
              <w:rPr>
                <w:rFonts w:eastAsia="Batang"/>
              </w:rPr>
              <w:tab/>
            </w:r>
            <w:r w:rsidRPr="006079CF">
              <w:rPr>
                <w:rFonts w:eastAsia="Batang"/>
                <w:szCs w:val="15"/>
              </w:rPr>
              <w:t xml:space="preserve">Based on information provided by the </w:t>
            </w:r>
            <w:r>
              <w:rPr>
                <w:rFonts w:eastAsia="Batang"/>
                <w:szCs w:val="15"/>
              </w:rPr>
              <w:t>applicant</w:t>
            </w:r>
            <w:r w:rsidRPr="006079CF">
              <w:rPr>
                <w:rFonts w:eastAsia="Batang"/>
                <w:szCs w:val="15"/>
              </w:rPr>
              <w:t>. Where specific information regarding project-related construction activities or processes was not available, construction assumptions were based on CalEEMod defaults, which are based on construction surveys conducted by the South Coast AQMD.</w:t>
            </w:r>
          </w:p>
          <w:p w14:paraId="7BB5EB09" w14:textId="47C0A877" w:rsidR="00A418B0" w:rsidRPr="00631CCD" w:rsidRDefault="000E40F4" w:rsidP="00A418B0">
            <w:pPr>
              <w:pStyle w:val="Tblnote"/>
            </w:pPr>
            <w:r w:rsidRPr="006079CF">
              <w:rPr>
                <w:rFonts w:eastAsia="Batang"/>
                <w:vertAlign w:val="superscript"/>
              </w:rPr>
              <w:t>2</w:t>
            </w:r>
            <w:r w:rsidRPr="006079CF">
              <w:rPr>
                <w:rFonts w:eastAsia="Batang"/>
              </w:rPr>
              <w:tab/>
            </w:r>
            <w:r w:rsidR="00A418B0">
              <w:t xml:space="preserve">The proposed project may start construction in April 2022. While the emissions modeling is based on a February 2022 start date, a later start date </w:t>
            </w:r>
            <w:r w:rsidR="00B66095">
              <w:t xml:space="preserve">in April 2022 </w:t>
            </w:r>
            <w:r w:rsidR="00A418B0">
              <w:t>would result in either the same emissions results or slightly lower emissions than what is shown in this table. In general, on-road and off-road emissions data utilized in CalEEMod decrease with each passing calendar year to account for stricter emissions standards and/or replacement of older vehicles and equipment with newer and cleaner units.</w:t>
            </w:r>
          </w:p>
          <w:p w14:paraId="57F9F8BF" w14:textId="0821149C" w:rsidR="000E40F4" w:rsidRPr="00F40149" w:rsidRDefault="00A418B0" w:rsidP="00FD0109">
            <w:pPr>
              <w:pStyle w:val="Tblnote"/>
              <w:rPr>
                <w:rFonts w:eastAsia="Batang"/>
              </w:rPr>
            </w:pPr>
            <w:r>
              <w:rPr>
                <w:rFonts w:eastAsia="Batang"/>
                <w:vertAlign w:val="superscript"/>
              </w:rPr>
              <w:t>3</w:t>
            </w:r>
            <w:r w:rsidRPr="006079CF">
              <w:rPr>
                <w:rFonts w:eastAsia="Batang"/>
              </w:rPr>
              <w:tab/>
            </w:r>
            <w:r w:rsidR="000E40F4" w:rsidRPr="006079CF">
              <w:rPr>
                <w:rFonts w:eastAsia="Batang"/>
              </w:rPr>
              <w:t>Includes implementation of fugitive dust control measures required by South Coast AQMD under Rule</w:t>
            </w:r>
            <w:r w:rsidR="000E40F4" w:rsidRPr="00F40149">
              <w:rPr>
                <w:rFonts w:eastAsia="Batang"/>
              </w:rPr>
              <w:t xml:space="preserve"> 403, including watering disturbed areas a minimum of two times per day, reducing speed limit to 15 miles per hour on unpaved surfaces, replacing ground cover quickly, and street sweeping with Rule 1186–compliant sweepers.</w:t>
            </w:r>
          </w:p>
        </w:tc>
      </w:tr>
    </w:tbl>
    <w:bookmarkEnd w:id="121"/>
    <w:p w14:paraId="183B3358" w14:textId="77777777" w:rsidR="000E40F4" w:rsidRPr="00292109" w:rsidRDefault="000E40F4" w:rsidP="000E40F4">
      <w:pPr>
        <w:pStyle w:val="Heading6"/>
      </w:pPr>
      <w:r w:rsidRPr="00292109">
        <w:t>Health Risk</w:t>
      </w:r>
    </w:p>
    <w:p w14:paraId="322D6F8A" w14:textId="77777777" w:rsidR="000E40F4" w:rsidRPr="00292109" w:rsidRDefault="000E40F4" w:rsidP="000E40F4">
      <w:pPr>
        <w:pStyle w:val="BodyText"/>
      </w:pPr>
      <w:r w:rsidRPr="00292109">
        <w:t xml:space="preserve">The South Coast AQMD currently does not require health risk assessments to be conducted for short-term emissions from construction equipment. </w:t>
      </w:r>
      <w:bookmarkStart w:id="122" w:name="_Hlk506301325"/>
      <w:r w:rsidRPr="00292109">
        <w:t xml:space="preserve">Emissions from construction equipment primarily consist of diesel particulate matter (DPM). </w:t>
      </w:r>
      <w:bookmarkEnd w:id="122"/>
      <w:r w:rsidRPr="00292109">
        <w:t xml:space="preserve">The </w:t>
      </w:r>
      <w:r>
        <w:t>Office of Environmental Health Hazard Assessment (</w:t>
      </w:r>
      <w:r w:rsidRPr="00292109">
        <w:t>OEHHA</w:t>
      </w:r>
      <w:r>
        <w:t>)</w:t>
      </w:r>
      <w:r w:rsidRPr="00292109">
        <w:t xml:space="preserve"> adopted new guidance for the preparation of health risk assessments in March 2015 (OEHHA 2015). It has also developed a cancer risk factor and noncancer chronic reference exposure level for DPM, but these factors are based on continuous exposure over a 30-year time frame. No short-term acute exposure levels have been developed for DPM. The South Coast AQMD currently does not require the evaluation of long-term excess cancer risk or chronic health impacts for a short-term project. The proposed project would be developed over approximately </w:t>
      </w:r>
      <w:r>
        <w:t>eight</w:t>
      </w:r>
      <w:r w:rsidRPr="00292109">
        <w:t xml:space="preserve"> months. The relatively short duration when compared to a 30-year time frame would limit exposures </w:t>
      </w:r>
      <w:r>
        <w:t>of</w:t>
      </w:r>
      <w:r w:rsidRPr="00292109">
        <w:t xml:space="preserve"> on-site and off-site receptors. In addition, exhaust emissions from off-road vehicles associated with overall project-related construction activities would not exceed the screening-level LSTs.</w:t>
      </w:r>
      <w:r>
        <w:t xml:space="preserve"> </w:t>
      </w:r>
      <w:r w:rsidRPr="00292109">
        <w:t>For these reasons, it is anticipated that construction emissions would not pose a threat to off-site receptors near the proposed project, and project-related construction health impacts would be less than significant.</w:t>
      </w:r>
    </w:p>
    <w:p w14:paraId="141CE04B" w14:textId="77777777" w:rsidR="000E40F4" w:rsidRDefault="000E40F4" w:rsidP="000E40F4">
      <w:pPr>
        <w:pStyle w:val="Heading5"/>
      </w:pPr>
      <w:r w:rsidRPr="006F1801">
        <w:t>Operation</w:t>
      </w:r>
    </w:p>
    <w:p w14:paraId="32D56AF3" w14:textId="77777777" w:rsidR="000E40F4" w:rsidRPr="006A636B" w:rsidRDefault="000E40F4" w:rsidP="000E40F4">
      <w:pPr>
        <w:pStyle w:val="Heading6"/>
      </w:pPr>
      <w:r w:rsidRPr="006A636B">
        <w:t>Localized Operation-Phase Impacts</w:t>
      </w:r>
    </w:p>
    <w:p w14:paraId="4074AD9D" w14:textId="77777777" w:rsidR="000E40F4" w:rsidRPr="00BB7329" w:rsidRDefault="000E40F4" w:rsidP="00A418B0">
      <w:pPr>
        <w:pStyle w:val="BodyText"/>
      </w:pPr>
      <w:r w:rsidRPr="006A636B">
        <w:t>Land uses that have the potential to generate substantial stationary sources of emissions that would require a permit from S</w:t>
      </w:r>
      <w:r>
        <w:t xml:space="preserve">outh </w:t>
      </w:r>
      <w:r w:rsidRPr="006A636B">
        <w:t>C</w:t>
      </w:r>
      <w:r>
        <w:t xml:space="preserve">oast </w:t>
      </w:r>
      <w:r w:rsidRPr="006A636B">
        <w:t xml:space="preserve">AQMD include industrial land uses such as chemical processing and warehousing operations where substantial truck idling could occur </w:t>
      </w:r>
      <w:r>
        <w:t>on-site</w:t>
      </w:r>
      <w:r w:rsidRPr="006A636B">
        <w:t xml:space="preserve">. </w:t>
      </w:r>
      <w:r w:rsidR="008446DF">
        <w:t>Manufacturing uses associated with the proposed project would not include chemical processing but would involve truck</w:t>
      </w:r>
      <w:r w:rsidR="003E0D7F">
        <w:t>ing</w:t>
      </w:r>
      <w:r w:rsidR="008446DF">
        <w:t xml:space="preserve"> operations that utilize diesel </w:t>
      </w:r>
      <w:r w:rsidR="003E0D7F">
        <w:t>fuel</w:t>
      </w:r>
      <w:r w:rsidR="008446DF">
        <w:t xml:space="preserve">. </w:t>
      </w:r>
      <w:r>
        <w:t xml:space="preserve">The 65 </w:t>
      </w:r>
      <w:r w:rsidR="00DD5F3D">
        <w:t xml:space="preserve">total </w:t>
      </w:r>
      <w:r>
        <w:t>average daily truck trips associated with the proposed project would result in truck idling on-site.</w:t>
      </w:r>
      <w:r w:rsidR="00167493">
        <w:rPr>
          <w:rStyle w:val="FootnoteReference"/>
        </w:rPr>
        <w:footnoteReference w:id="6"/>
      </w:r>
      <w:r>
        <w:t xml:space="preserve"> Furthermore, the proposed project would operate 10 diesel-powered yard trucks and 5 diesel-powered forklifts as part of the daily operations of the proposed uses.</w:t>
      </w:r>
      <w:r w:rsidR="00167493">
        <w:rPr>
          <w:rStyle w:val="FootnoteReference"/>
        </w:rPr>
        <w:footnoteReference w:id="7"/>
      </w:r>
      <w:r>
        <w:t xml:space="preserve"> In addition</w:t>
      </w:r>
      <w:r w:rsidRPr="006A636B">
        <w:t xml:space="preserve">, operation of the </w:t>
      </w:r>
      <w:r>
        <w:t>proposed project</w:t>
      </w:r>
      <w:r w:rsidRPr="006A636B">
        <w:t xml:space="preserve"> would use standard </w:t>
      </w:r>
      <w:r>
        <w:t>on-site</w:t>
      </w:r>
      <w:r w:rsidRPr="006A636B">
        <w:t xml:space="preserve"> mechanical equipment such as heating, ventilation, and air conditioning units </w:t>
      </w:r>
      <w:r>
        <w:t>and</w:t>
      </w:r>
      <w:r w:rsidRPr="006A636B">
        <w:t xml:space="preserve"> occasional use of landscaping equipment for property maintenance</w:t>
      </w:r>
      <w:r>
        <w:t>, all of</w:t>
      </w:r>
      <w:r w:rsidRPr="006A636B">
        <w:t xml:space="preserve"> which would generate area source emissions. Emissions of NO</w:t>
      </w:r>
      <w:r w:rsidRPr="006A636B">
        <w:rPr>
          <w:vertAlign w:val="subscript"/>
        </w:rPr>
        <w:t>2</w:t>
      </w:r>
      <w:r w:rsidRPr="006A636B">
        <w:t>, CO, PM</w:t>
      </w:r>
      <w:r w:rsidRPr="006A636B">
        <w:rPr>
          <w:vertAlign w:val="subscript"/>
        </w:rPr>
        <w:t>10</w:t>
      </w:r>
      <w:r w:rsidRPr="006A636B">
        <w:t>, and PM</w:t>
      </w:r>
      <w:r w:rsidRPr="006A636B">
        <w:rPr>
          <w:vertAlign w:val="subscript"/>
        </w:rPr>
        <w:t>2.5</w:t>
      </w:r>
      <w:r w:rsidRPr="006A636B">
        <w:t xml:space="preserve"> generated at the project site (</w:t>
      </w:r>
      <w:r>
        <w:t>off-site</w:t>
      </w:r>
      <w:r w:rsidRPr="006A636B">
        <w:t xml:space="preserve"> mobile-source emissions are not included in the LST analysis) from </w:t>
      </w:r>
      <w:r>
        <w:t>on-site</w:t>
      </w:r>
      <w:r w:rsidRPr="006A636B">
        <w:t xml:space="preserve"> </w:t>
      </w:r>
      <w:r>
        <w:t>area</w:t>
      </w:r>
      <w:r w:rsidRPr="006A636B">
        <w:t xml:space="preserve"> sources</w:t>
      </w:r>
      <w:r>
        <w:t>,</w:t>
      </w:r>
      <w:r w:rsidRPr="006A636B">
        <w:t xml:space="preserve"> truck idling</w:t>
      </w:r>
      <w:r>
        <w:t>, and off-road equipment</w:t>
      </w:r>
      <w:r w:rsidRPr="006A636B">
        <w:t xml:space="preserve"> could expose sensitive receptors to substantial concentrations of criteria air </w:t>
      </w:r>
      <w:r w:rsidRPr="00BB7329">
        <w:t>pollutants. Table 7 shows localized maximum daily operational emissions. As shown in this table, maximum daily on-site operational emissions would not exceed the screening-level LSTs. Thus, operational criteria air pollutant emissions would not exceed the California AAQS</w:t>
      </w:r>
      <w:r>
        <w:t>,</w:t>
      </w:r>
      <w:r w:rsidRPr="00BB7329">
        <w:t xml:space="preserve"> and project operation would not expose sensitive receptors to substantial pollutant concentrations. Therefore, impacts would be less than significant.</w:t>
      </w:r>
    </w:p>
    <w:p w14:paraId="5334B796" w14:textId="77777777" w:rsidR="00F1091F" w:rsidRDefault="00F1091F">
      <w:bookmarkStart w:id="123" w:name="_Toc277576650"/>
      <w:bookmarkStart w:id="124" w:name="_Toc280101396"/>
      <w:bookmarkStart w:id="125" w:name="_Toc290019789"/>
      <w:r>
        <w:rPr>
          <w:b/>
        </w:rPr>
        <w:br w:type="page"/>
      </w:r>
    </w:p>
    <w:tbl>
      <w:tblPr>
        <w:tblW w:w="9360" w:type="dxa"/>
        <w:tblBorders>
          <w:top w:val="single" w:sz="12" w:space="0" w:color="auto"/>
          <w:bottom w:val="single" w:sz="12" w:space="0" w:color="auto"/>
          <w:insideH w:val="single" w:sz="8"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4108"/>
        <w:gridCol w:w="1313"/>
        <w:gridCol w:w="1313"/>
        <w:gridCol w:w="1313"/>
        <w:gridCol w:w="1313"/>
      </w:tblGrid>
      <w:tr w:rsidR="000E40F4" w:rsidRPr="0040465E" w14:paraId="3238FE2F" w14:textId="77777777" w:rsidTr="00FD0109">
        <w:trPr>
          <w:trHeight w:val="343"/>
        </w:trPr>
        <w:tc>
          <w:tcPr>
            <w:tcW w:w="9360" w:type="dxa"/>
            <w:gridSpan w:val="5"/>
            <w:tcBorders>
              <w:top w:val="nil"/>
              <w:bottom w:val="single" w:sz="12" w:space="0" w:color="auto"/>
            </w:tcBorders>
          </w:tcPr>
          <w:p w14:paraId="573548DC" w14:textId="1394EC2A" w:rsidR="000E40F4" w:rsidRPr="00516737" w:rsidRDefault="000E40F4" w:rsidP="00A418B0">
            <w:pPr>
              <w:pStyle w:val="TblTitles"/>
              <w:rPr>
                <w:i/>
              </w:rPr>
            </w:pPr>
            <w:bookmarkStart w:id="126" w:name="_Toc90882253"/>
            <w:r w:rsidRPr="00BB7329">
              <w:t>Table 7</w:t>
            </w:r>
            <w:r w:rsidRPr="00BB7329">
              <w:tab/>
            </w:r>
            <w:bookmarkEnd w:id="123"/>
            <w:r w:rsidRPr="00BB7329">
              <w:t>Localized On-Site Operational Emissions</w:t>
            </w:r>
            <w:bookmarkEnd w:id="124"/>
            <w:bookmarkEnd w:id="125"/>
            <w:bookmarkEnd w:id="126"/>
          </w:p>
        </w:tc>
      </w:tr>
      <w:tr w:rsidR="000E40F4" w:rsidRPr="0040465E" w14:paraId="16B9F060" w14:textId="77777777" w:rsidTr="00883261">
        <w:tc>
          <w:tcPr>
            <w:tcW w:w="4108" w:type="dxa"/>
            <w:vMerge w:val="restart"/>
            <w:tcBorders>
              <w:top w:val="single" w:sz="12" w:space="0" w:color="auto"/>
              <w:right w:val="single" w:sz="12" w:space="0" w:color="auto"/>
            </w:tcBorders>
            <w:vAlign w:val="bottom"/>
          </w:tcPr>
          <w:p w14:paraId="4F7C17E1" w14:textId="77777777" w:rsidR="000E40F4" w:rsidRPr="00516737" w:rsidRDefault="000E40F4" w:rsidP="00A418B0">
            <w:pPr>
              <w:pStyle w:val="TblColumnHeads"/>
              <w:rPr>
                <w:i/>
                <w:vertAlign w:val="superscript"/>
              </w:rPr>
            </w:pPr>
            <w:r w:rsidRPr="00516737">
              <w:t>Source</w:t>
            </w:r>
          </w:p>
        </w:tc>
        <w:tc>
          <w:tcPr>
            <w:tcW w:w="5252" w:type="dxa"/>
            <w:gridSpan w:val="4"/>
            <w:tcBorders>
              <w:top w:val="single" w:sz="12" w:space="0" w:color="auto"/>
              <w:left w:val="single" w:sz="12" w:space="0" w:color="auto"/>
              <w:bottom w:val="single" w:sz="6" w:space="0" w:color="auto"/>
            </w:tcBorders>
          </w:tcPr>
          <w:p w14:paraId="66AD0587" w14:textId="77777777" w:rsidR="000E40F4" w:rsidRPr="0040465E" w:rsidRDefault="000E40F4" w:rsidP="00A418B0">
            <w:pPr>
              <w:pStyle w:val="TblColumnHeads"/>
              <w:rPr>
                <w:i/>
              </w:rPr>
            </w:pPr>
            <w:r w:rsidRPr="0040465E">
              <w:t>Pollutants (lbs/day)</w:t>
            </w:r>
          </w:p>
        </w:tc>
      </w:tr>
      <w:tr w:rsidR="000E40F4" w:rsidRPr="0040465E" w14:paraId="47D18138" w14:textId="77777777" w:rsidTr="00883261">
        <w:tc>
          <w:tcPr>
            <w:tcW w:w="4108" w:type="dxa"/>
            <w:vMerge/>
            <w:tcBorders>
              <w:bottom w:val="single" w:sz="12" w:space="0" w:color="auto"/>
              <w:right w:val="single" w:sz="12" w:space="0" w:color="auto"/>
            </w:tcBorders>
          </w:tcPr>
          <w:p w14:paraId="76474EAA" w14:textId="77777777" w:rsidR="000E40F4" w:rsidRPr="00516737" w:rsidRDefault="000E40F4" w:rsidP="00A418B0">
            <w:pPr>
              <w:pStyle w:val="TblColumnHeads"/>
              <w:rPr>
                <w:rFonts w:ascii="Swis721 Cn BT" w:hAnsi="Swis721 Cn BT"/>
                <w:sz w:val="18"/>
              </w:rPr>
            </w:pPr>
          </w:p>
        </w:tc>
        <w:tc>
          <w:tcPr>
            <w:tcW w:w="1313" w:type="dxa"/>
            <w:tcBorders>
              <w:top w:val="single" w:sz="6" w:space="0" w:color="auto"/>
              <w:left w:val="single" w:sz="12" w:space="0" w:color="auto"/>
              <w:bottom w:val="single" w:sz="12" w:space="0" w:color="auto"/>
              <w:right w:val="single" w:sz="6" w:space="0" w:color="auto"/>
            </w:tcBorders>
            <w:vAlign w:val="bottom"/>
          </w:tcPr>
          <w:p w14:paraId="28A1CE04" w14:textId="77777777" w:rsidR="000E40F4" w:rsidRPr="0040465E" w:rsidRDefault="000E40F4" w:rsidP="00A418B0">
            <w:pPr>
              <w:pStyle w:val="TblColumnHeads"/>
              <w:rPr>
                <w:i/>
              </w:rPr>
            </w:pPr>
            <w:r w:rsidRPr="0040465E">
              <w:t>NO</w:t>
            </w:r>
            <w:r w:rsidRPr="0040465E">
              <w:rPr>
                <w:vertAlign w:val="subscript"/>
              </w:rPr>
              <w:t>X</w:t>
            </w:r>
            <w:r w:rsidRPr="0040465E">
              <w:t xml:space="preserve"> </w:t>
            </w:r>
          </w:p>
        </w:tc>
        <w:tc>
          <w:tcPr>
            <w:tcW w:w="1313" w:type="dxa"/>
            <w:tcBorders>
              <w:top w:val="single" w:sz="6" w:space="0" w:color="auto"/>
              <w:left w:val="single" w:sz="6" w:space="0" w:color="auto"/>
              <w:bottom w:val="single" w:sz="12" w:space="0" w:color="auto"/>
              <w:right w:val="single" w:sz="6" w:space="0" w:color="auto"/>
            </w:tcBorders>
            <w:vAlign w:val="bottom"/>
          </w:tcPr>
          <w:p w14:paraId="6269257A" w14:textId="77777777" w:rsidR="000E40F4" w:rsidRPr="0040465E" w:rsidRDefault="000E40F4" w:rsidP="00A418B0">
            <w:pPr>
              <w:pStyle w:val="TblColumnHeads"/>
              <w:rPr>
                <w:i/>
              </w:rPr>
            </w:pPr>
            <w:r w:rsidRPr="0040465E">
              <w:t>CO</w:t>
            </w:r>
            <w:r w:rsidRPr="0040465E" w:rsidDel="0020373C">
              <w:t xml:space="preserve"> </w:t>
            </w:r>
          </w:p>
        </w:tc>
        <w:tc>
          <w:tcPr>
            <w:tcW w:w="1313" w:type="dxa"/>
            <w:tcBorders>
              <w:top w:val="single" w:sz="6" w:space="0" w:color="auto"/>
              <w:left w:val="single" w:sz="6" w:space="0" w:color="auto"/>
              <w:bottom w:val="single" w:sz="12" w:space="0" w:color="auto"/>
            </w:tcBorders>
            <w:vAlign w:val="bottom"/>
          </w:tcPr>
          <w:p w14:paraId="76CF91BC" w14:textId="77777777" w:rsidR="000E40F4" w:rsidRPr="0040465E" w:rsidRDefault="000E40F4" w:rsidP="00A418B0">
            <w:pPr>
              <w:pStyle w:val="TblColumnHeads"/>
              <w:rPr>
                <w:i/>
              </w:rPr>
            </w:pPr>
            <w:r w:rsidRPr="0040465E">
              <w:t>PM</w:t>
            </w:r>
            <w:r w:rsidRPr="0040465E">
              <w:rPr>
                <w:vertAlign w:val="subscript"/>
              </w:rPr>
              <w:t>10</w:t>
            </w:r>
          </w:p>
        </w:tc>
        <w:tc>
          <w:tcPr>
            <w:tcW w:w="1313" w:type="dxa"/>
            <w:tcBorders>
              <w:top w:val="single" w:sz="6" w:space="0" w:color="auto"/>
              <w:left w:val="single" w:sz="6" w:space="0" w:color="auto"/>
              <w:bottom w:val="single" w:sz="12" w:space="0" w:color="auto"/>
            </w:tcBorders>
            <w:vAlign w:val="bottom"/>
          </w:tcPr>
          <w:p w14:paraId="1416C007" w14:textId="77777777" w:rsidR="000E40F4" w:rsidRPr="0040465E" w:rsidRDefault="000E40F4" w:rsidP="00A418B0">
            <w:pPr>
              <w:pStyle w:val="TblColumnHeads"/>
              <w:rPr>
                <w:i/>
                <w:vertAlign w:val="subscript"/>
              </w:rPr>
            </w:pPr>
            <w:r w:rsidRPr="0040465E">
              <w:t>PM</w:t>
            </w:r>
            <w:r w:rsidRPr="0040465E">
              <w:rPr>
                <w:vertAlign w:val="subscript"/>
              </w:rPr>
              <w:t>2.5</w:t>
            </w:r>
          </w:p>
        </w:tc>
      </w:tr>
      <w:tr w:rsidR="000E40F4" w:rsidRPr="0040465E" w14:paraId="17319B5C" w14:textId="77777777" w:rsidTr="00883261">
        <w:trPr>
          <w:trHeight w:val="33"/>
        </w:trPr>
        <w:tc>
          <w:tcPr>
            <w:tcW w:w="4108" w:type="dxa"/>
            <w:tcBorders>
              <w:top w:val="single" w:sz="12" w:space="0" w:color="auto"/>
              <w:bottom w:val="single" w:sz="6" w:space="0" w:color="auto"/>
              <w:right w:val="single" w:sz="12" w:space="0" w:color="auto"/>
            </w:tcBorders>
          </w:tcPr>
          <w:p w14:paraId="4B570F6B" w14:textId="77777777" w:rsidR="000E40F4" w:rsidRPr="00516737" w:rsidRDefault="000E40F4" w:rsidP="00A418B0">
            <w:pPr>
              <w:pStyle w:val="TblTxt1"/>
              <w:rPr>
                <w:vertAlign w:val="superscript"/>
              </w:rPr>
            </w:pPr>
            <w:r w:rsidRPr="00516737">
              <w:t>Area Sources</w:t>
            </w:r>
          </w:p>
        </w:tc>
        <w:tc>
          <w:tcPr>
            <w:tcW w:w="1313" w:type="dxa"/>
            <w:tcBorders>
              <w:top w:val="single" w:sz="12" w:space="0" w:color="auto"/>
              <w:left w:val="single" w:sz="12" w:space="0" w:color="auto"/>
              <w:bottom w:val="single" w:sz="6" w:space="0" w:color="auto"/>
              <w:right w:val="single" w:sz="6" w:space="0" w:color="auto"/>
            </w:tcBorders>
          </w:tcPr>
          <w:p w14:paraId="65F7600C" w14:textId="77777777" w:rsidR="000E40F4" w:rsidRPr="009F6261" w:rsidRDefault="000E40F4" w:rsidP="00A418B0">
            <w:pPr>
              <w:pStyle w:val="TblTxtCenter"/>
            </w:pPr>
            <w:r>
              <w:t>&lt;1</w:t>
            </w:r>
          </w:p>
        </w:tc>
        <w:tc>
          <w:tcPr>
            <w:tcW w:w="1313" w:type="dxa"/>
            <w:tcBorders>
              <w:top w:val="single" w:sz="12" w:space="0" w:color="auto"/>
              <w:left w:val="single" w:sz="6" w:space="0" w:color="auto"/>
              <w:bottom w:val="single" w:sz="6" w:space="0" w:color="auto"/>
              <w:right w:val="single" w:sz="6" w:space="0" w:color="auto"/>
            </w:tcBorders>
          </w:tcPr>
          <w:p w14:paraId="5E2CA6F1" w14:textId="77777777" w:rsidR="000E40F4" w:rsidRPr="009F6261" w:rsidRDefault="000E40F4" w:rsidP="00A418B0">
            <w:pPr>
              <w:pStyle w:val="TblTxtCenter"/>
            </w:pPr>
            <w:r>
              <w:t>&lt;1</w:t>
            </w:r>
          </w:p>
        </w:tc>
        <w:tc>
          <w:tcPr>
            <w:tcW w:w="1313" w:type="dxa"/>
            <w:tcBorders>
              <w:top w:val="single" w:sz="12" w:space="0" w:color="auto"/>
              <w:left w:val="single" w:sz="6" w:space="0" w:color="auto"/>
              <w:bottom w:val="single" w:sz="6" w:space="0" w:color="auto"/>
            </w:tcBorders>
          </w:tcPr>
          <w:p w14:paraId="720D4BAE" w14:textId="77777777" w:rsidR="000E40F4" w:rsidRPr="009F6261" w:rsidRDefault="000E40F4" w:rsidP="00A418B0">
            <w:pPr>
              <w:pStyle w:val="TblTxtCenter"/>
            </w:pPr>
            <w:r>
              <w:t>&lt;1</w:t>
            </w:r>
          </w:p>
        </w:tc>
        <w:tc>
          <w:tcPr>
            <w:tcW w:w="1313" w:type="dxa"/>
            <w:tcBorders>
              <w:top w:val="single" w:sz="12" w:space="0" w:color="auto"/>
              <w:left w:val="single" w:sz="6" w:space="0" w:color="auto"/>
              <w:bottom w:val="single" w:sz="6" w:space="0" w:color="auto"/>
            </w:tcBorders>
          </w:tcPr>
          <w:p w14:paraId="031D5424" w14:textId="77777777" w:rsidR="000E40F4" w:rsidRPr="009F6261" w:rsidRDefault="000E40F4" w:rsidP="00A418B0">
            <w:pPr>
              <w:pStyle w:val="TblTxtCenter"/>
            </w:pPr>
            <w:r>
              <w:t>&lt;1</w:t>
            </w:r>
          </w:p>
        </w:tc>
      </w:tr>
      <w:tr w:rsidR="000E40F4" w:rsidRPr="0040465E" w14:paraId="7E3AF5EC" w14:textId="77777777" w:rsidTr="00883261">
        <w:trPr>
          <w:trHeight w:val="33"/>
        </w:trPr>
        <w:tc>
          <w:tcPr>
            <w:tcW w:w="4108" w:type="dxa"/>
            <w:tcBorders>
              <w:top w:val="single" w:sz="6" w:space="0" w:color="auto"/>
              <w:bottom w:val="single" w:sz="6" w:space="0" w:color="auto"/>
              <w:right w:val="single" w:sz="12" w:space="0" w:color="auto"/>
            </w:tcBorders>
          </w:tcPr>
          <w:p w14:paraId="6521C754" w14:textId="77777777" w:rsidR="000E40F4" w:rsidRPr="00516737" w:rsidRDefault="000E40F4" w:rsidP="00A418B0">
            <w:pPr>
              <w:pStyle w:val="TblTxt1"/>
            </w:pPr>
            <w:r w:rsidRPr="00516737">
              <w:t>Truck Idling</w:t>
            </w:r>
            <w:r>
              <w:rPr>
                <w:vertAlign w:val="superscript"/>
              </w:rPr>
              <w:t>1</w:t>
            </w:r>
          </w:p>
        </w:tc>
        <w:tc>
          <w:tcPr>
            <w:tcW w:w="1313" w:type="dxa"/>
            <w:tcBorders>
              <w:top w:val="single" w:sz="6" w:space="0" w:color="auto"/>
              <w:left w:val="single" w:sz="12" w:space="0" w:color="auto"/>
              <w:bottom w:val="single" w:sz="6" w:space="0" w:color="auto"/>
              <w:right w:val="single" w:sz="6" w:space="0" w:color="auto"/>
            </w:tcBorders>
          </w:tcPr>
          <w:p w14:paraId="5BE8C71E" w14:textId="77777777" w:rsidR="000E40F4" w:rsidRPr="009F6261" w:rsidRDefault="000E40F4" w:rsidP="00A418B0">
            <w:pPr>
              <w:pStyle w:val="TblTxtCenter"/>
            </w:pPr>
            <w:r>
              <w:t>1</w:t>
            </w:r>
          </w:p>
        </w:tc>
        <w:tc>
          <w:tcPr>
            <w:tcW w:w="1313" w:type="dxa"/>
            <w:tcBorders>
              <w:top w:val="single" w:sz="6" w:space="0" w:color="auto"/>
              <w:left w:val="single" w:sz="6" w:space="0" w:color="auto"/>
              <w:bottom w:val="single" w:sz="6" w:space="0" w:color="auto"/>
              <w:right w:val="single" w:sz="6" w:space="0" w:color="auto"/>
            </w:tcBorders>
          </w:tcPr>
          <w:p w14:paraId="0C2BAF6E" w14:textId="77777777" w:rsidR="000E40F4" w:rsidRPr="009F6261" w:rsidRDefault="000E40F4" w:rsidP="00A418B0">
            <w:pPr>
              <w:pStyle w:val="TblTxtCenter"/>
            </w:pPr>
            <w:r>
              <w:t>1</w:t>
            </w:r>
          </w:p>
        </w:tc>
        <w:tc>
          <w:tcPr>
            <w:tcW w:w="1313" w:type="dxa"/>
            <w:tcBorders>
              <w:top w:val="single" w:sz="6" w:space="0" w:color="auto"/>
              <w:left w:val="single" w:sz="6" w:space="0" w:color="auto"/>
              <w:bottom w:val="single" w:sz="6" w:space="0" w:color="auto"/>
            </w:tcBorders>
          </w:tcPr>
          <w:p w14:paraId="02F5C729" w14:textId="77777777" w:rsidR="000E40F4" w:rsidRPr="009F6261" w:rsidRDefault="000E40F4" w:rsidP="00A418B0">
            <w:pPr>
              <w:pStyle w:val="TblTxtCenter"/>
            </w:pPr>
            <w:r>
              <w:t>&lt;1</w:t>
            </w:r>
          </w:p>
        </w:tc>
        <w:tc>
          <w:tcPr>
            <w:tcW w:w="1313" w:type="dxa"/>
            <w:tcBorders>
              <w:top w:val="single" w:sz="6" w:space="0" w:color="auto"/>
              <w:left w:val="single" w:sz="6" w:space="0" w:color="auto"/>
              <w:bottom w:val="single" w:sz="6" w:space="0" w:color="auto"/>
            </w:tcBorders>
          </w:tcPr>
          <w:p w14:paraId="29E62C37" w14:textId="77777777" w:rsidR="000E40F4" w:rsidRPr="009F6261" w:rsidRDefault="000E40F4" w:rsidP="00A418B0">
            <w:pPr>
              <w:pStyle w:val="TblTxtCenter"/>
            </w:pPr>
            <w:r>
              <w:t>&lt;1</w:t>
            </w:r>
          </w:p>
        </w:tc>
      </w:tr>
      <w:tr w:rsidR="000E40F4" w:rsidRPr="0040465E" w14:paraId="2E590525" w14:textId="77777777" w:rsidTr="00883261">
        <w:trPr>
          <w:trHeight w:val="33"/>
        </w:trPr>
        <w:tc>
          <w:tcPr>
            <w:tcW w:w="4108" w:type="dxa"/>
            <w:tcBorders>
              <w:top w:val="single" w:sz="6" w:space="0" w:color="auto"/>
              <w:bottom w:val="single" w:sz="6" w:space="0" w:color="auto"/>
              <w:right w:val="single" w:sz="12" w:space="0" w:color="auto"/>
            </w:tcBorders>
          </w:tcPr>
          <w:p w14:paraId="36F95B91" w14:textId="77777777" w:rsidR="000E40F4" w:rsidRPr="009F6261" w:rsidRDefault="000E40F4" w:rsidP="00FD0109">
            <w:pPr>
              <w:pStyle w:val="TblTxt1"/>
              <w:rPr>
                <w:vertAlign w:val="superscript"/>
              </w:rPr>
            </w:pPr>
            <w:r>
              <w:t>Off-Road Equipment</w:t>
            </w:r>
            <w:r>
              <w:rPr>
                <w:vertAlign w:val="superscript"/>
              </w:rPr>
              <w:t>2</w:t>
            </w:r>
          </w:p>
        </w:tc>
        <w:tc>
          <w:tcPr>
            <w:tcW w:w="1313" w:type="dxa"/>
            <w:tcBorders>
              <w:top w:val="single" w:sz="6" w:space="0" w:color="auto"/>
              <w:left w:val="single" w:sz="12" w:space="0" w:color="auto"/>
              <w:bottom w:val="single" w:sz="6" w:space="0" w:color="auto"/>
              <w:right w:val="single" w:sz="6" w:space="0" w:color="auto"/>
            </w:tcBorders>
          </w:tcPr>
          <w:p w14:paraId="173A94D5" w14:textId="77777777" w:rsidR="000E40F4" w:rsidRPr="009F6261" w:rsidRDefault="000E40F4" w:rsidP="00FD0109">
            <w:pPr>
              <w:pStyle w:val="TblTxtCenter"/>
            </w:pPr>
            <w:r>
              <w:t>6</w:t>
            </w:r>
          </w:p>
        </w:tc>
        <w:tc>
          <w:tcPr>
            <w:tcW w:w="1313" w:type="dxa"/>
            <w:tcBorders>
              <w:top w:val="single" w:sz="6" w:space="0" w:color="auto"/>
              <w:left w:val="single" w:sz="6" w:space="0" w:color="auto"/>
              <w:bottom w:val="single" w:sz="6" w:space="0" w:color="auto"/>
              <w:right w:val="single" w:sz="6" w:space="0" w:color="auto"/>
            </w:tcBorders>
          </w:tcPr>
          <w:p w14:paraId="3D6C69F9" w14:textId="77777777" w:rsidR="000E40F4" w:rsidRPr="009F6261" w:rsidRDefault="000E40F4" w:rsidP="00FD0109">
            <w:pPr>
              <w:pStyle w:val="TblTxtCenter"/>
            </w:pPr>
            <w:r>
              <w:t>36</w:t>
            </w:r>
          </w:p>
        </w:tc>
        <w:tc>
          <w:tcPr>
            <w:tcW w:w="1313" w:type="dxa"/>
            <w:tcBorders>
              <w:top w:val="single" w:sz="6" w:space="0" w:color="auto"/>
              <w:left w:val="single" w:sz="6" w:space="0" w:color="auto"/>
              <w:bottom w:val="single" w:sz="6" w:space="0" w:color="auto"/>
            </w:tcBorders>
          </w:tcPr>
          <w:p w14:paraId="032A50F3" w14:textId="77777777" w:rsidR="000E40F4" w:rsidRPr="009F6261" w:rsidRDefault="000E40F4" w:rsidP="00FD0109">
            <w:pPr>
              <w:pStyle w:val="TblTxtCenter"/>
            </w:pPr>
            <w:r>
              <w:t>&lt;1</w:t>
            </w:r>
          </w:p>
        </w:tc>
        <w:tc>
          <w:tcPr>
            <w:tcW w:w="1313" w:type="dxa"/>
            <w:tcBorders>
              <w:top w:val="single" w:sz="6" w:space="0" w:color="auto"/>
              <w:left w:val="single" w:sz="6" w:space="0" w:color="auto"/>
              <w:bottom w:val="single" w:sz="6" w:space="0" w:color="auto"/>
            </w:tcBorders>
          </w:tcPr>
          <w:p w14:paraId="09702571" w14:textId="77777777" w:rsidR="000E40F4" w:rsidRPr="009F6261" w:rsidRDefault="000E40F4" w:rsidP="00FD0109">
            <w:pPr>
              <w:pStyle w:val="TblTxtCenter"/>
            </w:pPr>
            <w:r>
              <w:t>&lt;1</w:t>
            </w:r>
          </w:p>
        </w:tc>
      </w:tr>
      <w:tr w:rsidR="000E40F4" w:rsidRPr="0040465E" w14:paraId="08194DC3" w14:textId="77777777" w:rsidTr="00883261">
        <w:trPr>
          <w:trHeight w:val="33"/>
        </w:trPr>
        <w:tc>
          <w:tcPr>
            <w:tcW w:w="4108" w:type="dxa"/>
            <w:tcBorders>
              <w:top w:val="single" w:sz="6" w:space="0" w:color="auto"/>
              <w:bottom w:val="single" w:sz="12" w:space="0" w:color="auto"/>
              <w:right w:val="single" w:sz="12" w:space="0" w:color="auto"/>
            </w:tcBorders>
          </w:tcPr>
          <w:p w14:paraId="2827238A" w14:textId="77777777" w:rsidR="000E40F4" w:rsidRPr="00516737" w:rsidRDefault="000E40F4" w:rsidP="00FD0109">
            <w:pPr>
              <w:pStyle w:val="TblTxt1"/>
              <w:jc w:val="right"/>
            </w:pPr>
            <w:r w:rsidRPr="00516737">
              <w:t xml:space="preserve">Maximum Daily </w:t>
            </w:r>
            <w:r>
              <w:t>On-Site</w:t>
            </w:r>
            <w:r w:rsidRPr="00516737">
              <w:t xml:space="preserve"> Operation Emissions</w:t>
            </w:r>
          </w:p>
        </w:tc>
        <w:tc>
          <w:tcPr>
            <w:tcW w:w="1313" w:type="dxa"/>
            <w:tcBorders>
              <w:top w:val="single" w:sz="6" w:space="0" w:color="auto"/>
              <w:left w:val="single" w:sz="12" w:space="0" w:color="auto"/>
              <w:bottom w:val="single" w:sz="12" w:space="0" w:color="auto"/>
              <w:right w:val="single" w:sz="6" w:space="0" w:color="auto"/>
            </w:tcBorders>
          </w:tcPr>
          <w:p w14:paraId="008B3E30" w14:textId="77777777" w:rsidR="000E40F4" w:rsidRPr="003860C2" w:rsidRDefault="000E40F4" w:rsidP="00FD0109">
            <w:pPr>
              <w:pStyle w:val="TblTxtCenter"/>
            </w:pPr>
            <w:r w:rsidRPr="003860C2">
              <w:t>8</w:t>
            </w:r>
          </w:p>
        </w:tc>
        <w:tc>
          <w:tcPr>
            <w:tcW w:w="1313" w:type="dxa"/>
            <w:tcBorders>
              <w:top w:val="single" w:sz="6" w:space="0" w:color="auto"/>
              <w:left w:val="single" w:sz="6" w:space="0" w:color="auto"/>
              <w:bottom w:val="single" w:sz="12" w:space="0" w:color="auto"/>
              <w:right w:val="single" w:sz="6" w:space="0" w:color="auto"/>
            </w:tcBorders>
          </w:tcPr>
          <w:p w14:paraId="78DD797C" w14:textId="77777777" w:rsidR="000E40F4" w:rsidRPr="003860C2" w:rsidRDefault="000E40F4" w:rsidP="00FD0109">
            <w:pPr>
              <w:pStyle w:val="TblTxtCenter"/>
            </w:pPr>
            <w:r w:rsidRPr="003860C2">
              <w:t>37</w:t>
            </w:r>
          </w:p>
        </w:tc>
        <w:tc>
          <w:tcPr>
            <w:tcW w:w="1313" w:type="dxa"/>
            <w:tcBorders>
              <w:top w:val="single" w:sz="6" w:space="0" w:color="auto"/>
              <w:left w:val="single" w:sz="6" w:space="0" w:color="auto"/>
              <w:bottom w:val="single" w:sz="12" w:space="0" w:color="auto"/>
            </w:tcBorders>
          </w:tcPr>
          <w:p w14:paraId="638A7B86" w14:textId="77777777" w:rsidR="000E40F4" w:rsidRPr="003860C2" w:rsidRDefault="000E40F4" w:rsidP="00FD0109">
            <w:pPr>
              <w:pStyle w:val="TblTxtCenter"/>
            </w:pPr>
            <w:r w:rsidRPr="003860C2">
              <w:t>&lt;1</w:t>
            </w:r>
          </w:p>
        </w:tc>
        <w:tc>
          <w:tcPr>
            <w:tcW w:w="1313" w:type="dxa"/>
            <w:tcBorders>
              <w:top w:val="single" w:sz="6" w:space="0" w:color="auto"/>
              <w:left w:val="single" w:sz="6" w:space="0" w:color="auto"/>
              <w:bottom w:val="single" w:sz="12" w:space="0" w:color="auto"/>
            </w:tcBorders>
          </w:tcPr>
          <w:p w14:paraId="52B1BFD6" w14:textId="77777777" w:rsidR="000E40F4" w:rsidRPr="003860C2" w:rsidRDefault="000E40F4" w:rsidP="00FD0109">
            <w:pPr>
              <w:pStyle w:val="TblTxtCenter"/>
            </w:pPr>
            <w:r w:rsidRPr="003860C2">
              <w:t>&lt;1</w:t>
            </w:r>
          </w:p>
        </w:tc>
      </w:tr>
      <w:tr w:rsidR="000E40F4" w:rsidRPr="0040465E" w14:paraId="4BA98319" w14:textId="77777777" w:rsidTr="00883261">
        <w:tc>
          <w:tcPr>
            <w:tcW w:w="4108" w:type="dxa"/>
            <w:tcBorders>
              <w:top w:val="single" w:sz="12" w:space="0" w:color="auto"/>
              <w:bottom w:val="single" w:sz="6" w:space="0" w:color="auto"/>
              <w:right w:val="single" w:sz="12" w:space="0" w:color="auto"/>
            </w:tcBorders>
          </w:tcPr>
          <w:p w14:paraId="4DC8DD39" w14:textId="77777777" w:rsidR="000E40F4" w:rsidRPr="0040465E" w:rsidRDefault="000E40F4" w:rsidP="00FD0109">
            <w:pPr>
              <w:pStyle w:val="TblTxt1"/>
            </w:pPr>
            <w:r w:rsidRPr="0040465E">
              <w:t>S</w:t>
            </w:r>
            <w:r>
              <w:t xml:space="preserve">outh </w:t>
            </w:r>
            <w:r w:rsidRPr="0040465E">
              <w:t>C</w:t>
            </w:r>
            <w:r>
              <w:t xml:space="preserve">oast </w:t>
            </w:r>
            <w:r w:rsidRPr="0040465E">
              <w:t xml:space="preserve">AQMD </w:t>
            </w:r>
            <w:r>
              <w:t xml:space="preserve">Screening-Level </w:t>
            </w:r>
            <w:r w:rsidRPr="0040465E">
              <w:t>LST</w:t>
            </w:r>
          </w:p>
        </w:tc>
        <w:tc>
          <w:tcPr>
            <w:tcW w:w="1313" w:type="dxa"/>
            <w:tcBorders>
              <w:top w:val="single" w:sz="12" w:space="0" w:color="auto"/>
              <w:left w:val="single" w:sz="12" w:space="0" w:color="auto"/>
              <w:bottom w:val="single" w:sz="6" w:space="0" w:color="auto"/>
              <w:right w:val="single" w:sz="6" w:space="0" w:color="auto"/>
            </w:tcBorders>
          </w:tcPr>
          <w:p w14:paraId="2DDBB411" w14:textId="77777777" w:rsidR="000E40F4" w:rsidRPr="003860C2" w:rsidRDefault="000E40F4" w:rsidP="00FD0109">
            <w:pPr>
              <w:pStyle w:val="TblTxtCenter"/>
            </w:pPr>
            <w:r w:rsidRPr="003860C2">
              <w:t>203</w:t>
            </w:r>
          </w:p>
        </w:tc>
        <w:tc>
          <w:tcPr>
            <w:tcW w:w="1313" w:type="dxa"/>
            <w:tcBorders>
              <w:top w:val="single" w:sz="12" w:space="0" w:color="auto"/>
              <w:left w:val="single" w:sz="6" w:space="0" w:color="auto"/>
              <w:bottom w:val="single" w:sz="6" w:space="0" w:color="auto"/>
              <w:right w:val="single" w:sz="6" w:space="0" w:color="auto"/>
            </w:tcBorders>
          </w:tcPr>
          <w:p w14:paraId="6097BA47" w14:textId="77777777" w:rsidR="000E40F4" w:rsidRPr="003860C2" w:rsidRDefault="000E40F4" w:rsidP="00FD0109">
            <w:pPr>
              <w:pStyle w:val="TblTxtCenter"/>
            </w:pPr>
            <w:r w:rsidRPr="003860C2">
              <w:t>1,733</w:t>
            </w:r>
          </w:p>
        </w:tc>
        <w:tc>
          <w:tcPr>
            <w:tcW w:w="1313" w:type="dxa"/>
            <w:tcBorders>
              <w:top w:val="single" w:sz="12" w:space="0" w:color="auto"/>
              <w:left w:val="single" w:sz="6" w:space="0" w:color="auto"/>
              <w:bottom w:val="single" w:sz="6" w:space="0" w:color="auto"/>
            </w:tcBorders>
          </w:tcPr>
          <w:p w14:paraId="37D22849" w14:textId="77777777" w:rsidR="000E40F4" w:rsidRPr="003860C2" w:rsidRDefault="000E40F4" w:rsidP="00FD0109">
            <w:pPr>
              <w:pStyle w:val="TblTxtCenter"/>
            </w:pPr>
            <w:r w:rsidRPr="003860C2">
              <w:t>23</w:t>
            </w:r>
          </w:p>
        </w:tc>
        <w:tc>
          <w:tcPr>
            <w:tcW w:w="1313" w:type="dxa"/>
            <w:tcBorders>
              <w:top w:val="single" w:sz="12" w:space="0" w:color="auto"/>
              <w:left w:val="single" w:sz="6" w:space="0" w:color="auto"/>
              <w:bottom w:val="single" w:sz="6" w:space="0" w:color="auto"/>
            </w:tcBorders>
          </w:tcPr>
          <w:p w14:paraId="146040FA" w14:textId="77777777" w:rsidR="000E40F4" w:rsidRPr="003860C2" w:rsidRDefault="000E40F4" w:rsidP="00FD0109">
            <w:pPr>
              <w:pStyle w:val="TblTxtCenter"/>
            </w:pPr>
            <w:r w:rsidRPr="003860C2">
              <w:t>8</w:t>
            </w:r>
          </w:p>
        </w:tc>
      </w:tr>
      <w:tr w:rsidR="000E40F4" w:rsidRPr="0040465E" w14:paraId="230C9CCB" w14:textId="77777777" w:rsidTr="00883261">
        <w:trPr>
          <w:trHeight w:val="268"/>
        </w:trPr>
        <w:tc>
          <w:tcPr>
            <w:tcW w:w="4108" w:type="dxa"/>
            <w:tcBorders>
              <w:top w:val="single" w:sz="6" w:space="0" w:color="auto"/>
              <w:bottom w:val="single" w:sz="12" w:space="0" w:color="auto"/>
              <w:right w:val="single" w:sz="12" w:space="0" w:color="auto"/>
            </w:tcBorders>
            <w:vAlign w:val="center"/>
          </w:tcPr>
          <w:p w14:paraId="41172C7A" w14:textId="77777777" w:rsidR="000E40F4" w:rsidRPr="0040465E" w:rsidRDefault="000E40F4" w:rsidP="00FD0109">
            <w:pPr>
              <w:pStyle w:val="TblTxtBold"/>
              <w:jc w:val="right"/>
            </w:pPr>
            <w:r w:rsidRPr="00F40149">
              <w:t>Exceeds</w:t>
            </w:r>
            <w:r>
              <w:t xml:space="preserve"> Screening-Level</w:t>
            </w:r>
            <w:r w:rsidRPr="00F40149">
              <w:t xml:space="preserve"> LST?</w:t>
            </w:r>
          </w:p>
        </w:tc>
        <w:tc>
          <w:tcPr>
            <w:tcW w:w="1313" w:type="dxa"/>
            <w:tcBorders>
              <w:top w:val="single" w:sz="6" w:space="0" w:color="auto"/>
              <w:left w:val="single" w:sz="12" w:space="0" w:color="auto"/>
              <w:bottom w:val="single" w:sz="12" w:space="0" w:color="auto"/>
              <w:right w:val="single" w:sz="6" w:space="0" w:color="auto"/>
            </w:tcBorders>
          </w:tcPr>
          <w:p w14:paraId="3112085B" w14:textId="77777777" w:rsidR="000E40F4" w:rsidRPr="003860C2" w:rsidRDefault="000E40F4" w:rsidP="00FD0109">
            <w:pPr>
              <w:pStyle w:val="TblTxtCenter"/>
              <w:rPr>
                <w:b/>
                <w:bCs/>
              </w:rPr>
            </w:pPr>
            <w:r w:rsidRPr="003860C2">
              <w:rPr>
                <w:b/>
                <w:bCs/>
              </w:rPr>
              <w:t>No</w:t>
            </w:r>
          </w:p>
        </w:tc>
        <w:tc>
          <w:tcPr>
            <w:tcW w:w="1313" w:type="dxa"/>
            <w:tcBorders>
              <w:top w:val="single" w:sz="6" w:space="0" w:color="auto"/>
              <w:left w:val="single" w:sz="6" w:space="0" w:color="auto"/>
              <w:bottom w:val="single" w:sz="12" w:space="0" w:color="auto"/>
              <w:right w:val="single" w:sz="6" w:space="0" w:color="auto"/>
            </w:tcBorders>
          </w:tcPr>
          <w:p w14:paraId="1BD76234" w14:textId="77777777" w:rsidR="000E40F4" w:rsidRPr="003860C2" w:rsidRDefault="000E40F4" w:rsidP="00FD0109">
            <w:pPr>
              <w:pStyle w:val="TblTxtCenter"/>
              <w:rPr>
                <w:b/>
                <w:bCs/>
              </w:rPr>
            </w:pPr>
            <w:r w:rsidRPr="003860C2">
              <w:rPr>
                <w:b/>
                <w:bCs/>
              </w:rPr>
              <w:t>No</w:t>
            </w:r>
          </w:p>
        </w:tc>
        <w:tc>
          <w:tcPr>
            <w:tcW w:w="1313" w:type="dxa"/>
            <w:tcBorders>
              <w:top w:val="single" w:sz="6" w:space="0" w:color="auto"/>
              <w:left w:val="single" w:sz="6" w:space="0" w:color="auto"/>
              <w:bottom w:val="single" w:sz="12" w:space="0" w:color="auto"/>
            </w:tcBorders>
          </w:tcPr>
          <w:p w14:paraId="30DF21E2" w14:textId="77777777" w:rsidR="000E40F4" w:rsidRPr="003860C2" w:rsidRDefault="000E40F4" w:rsidP="00FD0109">
            <w:pPr>
              <w:pStyle w:val="TblTxtCenter"/>
              <w:rPr>
                <w:b/>
                <w:bCs/>
              </w:rPr>
            </w:pPr>
            <w:r w:rsidRPr="003860C2">
              <w:rPr>
                <w:b/>
                <w:bCs/>
              </w:rPr>
              <w:t>No</w:t>
            </w:r>
          </w:p>
        </w:tc>
        <w:tc>
          <w:tcPr>
            <w:tcW w:w="1313" w:type="dxa"/>
            <w:tcBorders>
              <w:top w:val="single" w:sz="6" w:space="0" w:color="auto"/>
              <w:left w:val="single" w:sz="6" w:space="0" w:color="auto"/>
              <w:bottom w:val="single" w:sz="12" w:space="0" w:color="auto"/>
            </w:tcBorders>
          </w:tcPr>
          <w:p w14:paraId="7B23AF65" w14:textId="77777777" w:rsidR="000E40F4" w:rsidRPr="003860C2" w:rsidRDefault="000E40F4" w:rsidP="00FD0109">
            <w:pPr>
              <w:pStyle w:val="TblTxtCenter"/>
              <w:rPr>
                <w:b/>
                <w:bCs/>
              </w:rPr>
            </w:pPr>
            <w:r w:rsidRPr="003860C2">
              <w:rPr>
                <w:b/>
                <w:bCs/>
              </w:rPr>
              <w:t>No</w:t>
            </w:r>
          </w:p>
        </w:tc>
      </w:tr>
      <w:tr w:rsidR="000E40F4" w:rsidRPr="00DE1790" w14:paraId="2E88F85A" w14:textId="77777777" w:rsidTr="00FD0109">
        <w:tc>
          <w:tcPr>
            <w:tcW w:w="9360" w:type="dxa"/>
            <w:gridSpan w:val="5"/>
            <w:tcBorders>
              <w:top w:val="single" w:sz="12" w:space="0" w:color="auto"/>
              <w:bottom w:val="single" w:sz="12" w:space="0" w:color="auto"/>
            </w:tcBorders>
          </w:tcPr>
          <w:p w14:paraId="35E7EF30" w14:textId="77777777" w:rsidR="000E40F4" w:rsidRPr="009252A8" w:rsidRDefault="000E40F4" w:rsidP="00FD0109">
            <w:pPr>
              <w:pStyle w:val="Tblnote"/>
              <w:rPr>
                <w:szCs w:val="15"/>
              </w:rPr>
            </w:pPr>
            <w:r w:rsidRPr="009252A8">
              <w:rPr>
                <w:szCs w:val="15"/>
              </w:rPr>
              <w:t>Source: CalEEMod</w:t>
            </w:r>
            <w:r>
              <w:rPr>
                <w:szCs w:val="15"/>
              </w:rPr>
              <w:t xml:space="preserve"> Version 2020.4.0; South Coast AQMD 2008.</w:t>
            </w:r>
          </w:p>
          <w:p w14:paraId="1DCFDD4E" w14:textId="77777777" w:rsidR="000E40F4" w:rsidRPr="007147B0" w:rsidRDefault="000E40F4" w:rsidP="00FD0109">
            <w:pPr>
              <w:pStyle w:val="Tblnote"/>
              <w:rPr>
                <w:szCs w:val="15"/>
              </w:rPr>
            </w:pPr>
            <w:r w:rsidRPr="009252A8">
              <w:rPr>
                <w:szCs w:val="15"/>
              </w:rPr>
              <w:t>Notes: In accordance with S</w:t>
            </w:r>
            <w:r>
              <w:rPr>
                <w:szCs w:val="15"/>
              </w:rPr>
              <w:t xml:space="preserve">outh </w:t>
            </w:r>
            <w:r w:rsidRPr="009252A8">
              <w:rPr>
                <w:szCs w:val="15"/>
              </w:rPr>
              <w:t>C</w:t>
            </w:r>
            <w:r>
              <w:rPr>
                <w:szCs w:val="15"/>
              </w:rPr>
              <w:t xml:space="preserve">oast </w:t>
            </w:r>
            <w:r w:rsidRPr="009252A8">
              <w:rPr>
                <w:szCs w:val="15"/>
              </w:rPr>
              <w:t xml:space="preserve">AQMD methodology, only </w:t>
            </w:r>
            <w:r>
              <w:rPr>
                <w:szCs w:val="15"/>
              </w:rPr>
              <w:t>on-site</w:t>
            </w:r>
            <w:r w:rsidRPr="009252A8">
              <w:rPr>
                <w:szCs w:val="15"/>
              </w:rPr>
              <w:t xml:space="preserve"> stationary sources and mobile equipment on the proposed project site are included in the </w:t>
            </w:r>
            <w:r w:rsidRPr="008C2728">
              <w:rPr>
                <w:szCs w:val="15"/>
              </w:rPr>
              <w:t xml:space="preserve">analysis. </w:t>
            </w:r>
            <w:r w:rsidRPr="007147B0">
              <w:rPr>
                <w:szCs w:val="15"/>
              </w:rPr>
              <w:t>Operational NO</w:t>
            </w:r>
            <w:r w:rsidRPr="007147B0">
              <w:rPr>
                <w:szCs w:val="15"/>
                <w:vertAlign w:val="subscript"/>
              </w:rPr>
              <w:t>X</w:t>
            </w:r>
            <w:r w:rsidRPr="007147B0">
              <w:rPr>
                <w:szCs w:val="15"/>
              </w:rPr>
              <w:t xml:space="preserve"> and CO LSTs are based on nonresidential receptors within 82 feet (25 meters) in SRA </w:t>
            </w:r>
            <w:r>
              <w:rPr>
                <w:szCs w:val="15"/>
              </w:rPr>
              <w:t>9</w:t>
            </w:r>
            <w:r w:rsidRPr="007147B0">
              <w:rPr>
                <w:szCs w:val="15"/>
              </w:rPr>
              <w:t>. Operational PM</w:t>
            </w:r>
            <w:r w:rsidRPr="007147B0">
              <w:rPr>
                <w:szCs w:val="15"/>
                <w:vertAlign w:val="subscript"/>
              </w:rPr>
              <w:t>10</w:t>
            </w:r>
            <w:r w:rsidRPr="007147B0">
              <w:rPr>
                <w:szCs w:val="15"/>
              </w:rPr>
              <w:t xml:space="preserve"> and PM</w:t>
            </w:r>
            <w:r w:rsidRPr="007147B0">
              <w:rPr>
                <w:szCs w:val="15"/>
                <w:vertAlign w:val="subscript"/>
              </w:rPr>
              <w:t>2.5</w:t>
            </w:r>
            <w:r w:rsidRPr="007147B0">
              <w:rPr>
                <w:szCs w:val="15"/>
              </w:rPr>
              <w:t xml:space="preserve"> LSTs are based on residential receptors within </w:t>
            </w:r>
            <w:r>
              <w:rPr>
                <w:szCs w:val="15"/>
              </w:rPr>
              <w:t>550</w:t>
            </w:r>
            <w:r w:rsidRPr="007147B0">
              <w:rPr>
                <w:szCs w:val="15"/>
              </w:rPr>
              <w:t xml:space="preserve"> feet (</w:t>
            </w:r>
            <w:r>
              <w:rPr>
                <w:szCs w:val="15"/>
              </w:rPr>
              <w:t>168</w:t>
            </w:r>
            <w:r w:rsidRPr="007147B0">
              <w:rPr>
                <w:szCs w:val="15"/>
              </w:rPr>
              <w:t xml:space="preserve"> meters) in SRA </w:t>
            </w:r>
            <w:r>
              <w:rPr>
                <w:szCs w:val="15"/>
              </w:rPr>
              <w:t>9</w:t>
            </w:r>
            <w:r w:rsidRPr="007147B0">
              <w:rPr>
                <w:szCs w:val="15"/>
              </w:rPr>
              <w:t>.</w:t>
            </w:r>
          </w:p>
          <w:p w14:paraId="4A69BD25" w14:textId="77777777" w:rsidR="000E40F4" w:rsidRDefault="000E40F4" w:rsidP="00FD0109">
            <w:pPr>
              <w:pStyle w:val="Tblnote"/>
            </w:pPr>
            <w:r w:rsidRPr="007147B0">
              <w:rPr>
                <w:szCs w:val="15"/>
                <w:vertAlign w:val="superscript"/>
              </w:rPr>
              <w:t>1</w:t>
            </w:r>
            <w:r w:rsidR="00883261">
              <w:rPr>
                <w:rFonts w:eastAsia="Batang"/>
                <w:szCs w:val="15"/>
              </w:rPr>
              <w:tab/>
            </w:r>
            <w:r>
              <w:rPr>
                <w:rFonts w:eastAsia="Batang"/>
                <w:szCs w:val="15"/>
              </w:rPr>
              <w:t>Based</w:t>
            </w:r>
            <w:r w:rsidRPr="00150F09">
              <w:t xml:space="preserve"> on EMFAC2017 Version 1.0.</w:t>
            </w:r>
            <w:r>
              <w:t xml:space="preserve">3 calendar </w:t>
            </w:r>
            <w:r w:rsidRPr="00150F09">
              <w:t>year 202</w:t>
            </w:r>
            <w:r>
              <w:t>2</w:t>
            </w:r>
            <w:r w:rsidRPr="00150F09">
              <w:t xml:space="preserve"> emission rates </w:t>
            </w:r>
            <w:r>
              <w:t>for a diesel-powered heavy-heavy duty truck (HHDT)</w:t>
            </w:r>
            <w:r w:rsidRPr="00E237B7">
              <w:rPr>
                <w:rFonts w:eastAsia="Batang"/>
                <w:color w:val="000000" w:themeColor="text1"/>
                <w:szCs w:val="15"/>
              </w:rPr>
              <w:t xml:space="preserve"> and assumes </w:t>
            </w:r>
            <w:r>
              <w:rPr>
                <w:rFonts w:eastAsia="Batang"/>
                <w:color w:val="000000" w:themeColor="text1"/>
                <w:szCs w:val="15"/>
              </w:rPr>
              <w:t>30</w:t>
            </w:r>
            <w:r w:rsidRPr="00E237B7">
              <w:rPr>
                <w:rFonts w:eastAsia="Batang"/>
                <w:color w:val="000000" w:themeColor="text1"/>
                <w:szCs w:val="15"/>
              </w:rPr>
              <w:t xml:space="preserve"> minutes of idling per truck</w:t>
            </w:r>
            <w:r>
              <w:rPr>
                <w:rFonts w:eastAsia="Batang"/>
                <w:color w:val="000000" w:themeColor="text1"/>
                <w:szCs w:val="15"/>
              </w:rPr>
              <w:t>.</w:t>
            </w:r>
          </w:p>
          <w:p w14:paraId="558A1D0A" w14:textId="77777777" w:rsidR="000E40F4" w:rsidRPr="0040465E" w:rsidRDefault="000E40F4" w:rsidP="00FD0109">
            <w:pPr>
              <w:ind w:left="120" w:hanging="120"/>
              <w:rPr>
                <w:rFonts w:ascii="Swis721 Cn BT" w:eastAsia="Batang" w:hAnsi="Swis721 Cn BT"/>
                <w:color w:val="000000" w:themeColor="text1"/>
                <w:sz w:val="16"/>
              </w:rPr>
            </w:pPr>
            <w:r w:rsidRPr="003D7B74">
              <w:rPr>
                <w:rFonts w:ascii="Arial Narrow" w:eastAsia="Batang" w:hAnsi="Arial Narrow"/>
                <w:sz w:val="15"/>
                <w:szCs w:val="15"/>
                <w:vertAlign w:val="superscript"/>
              </w:rPr>
              <w:t>2</w:t>
            </w:r>
            <w:r w:rsidR="00883261">
              <w:rPr>
                <w:rFonts w:ascii="Arial Narrow" w:hAnsi="Arial Narrow"/>
                <w:kern w:val="20"/>
                <w:sz w:val="15"/>
                <w:szCs w:val="15"/>
              </w:rPr>
              <w:tab/>
            </w:r>
            <w:r w:rsidRPr="00BB00BB">
              <w:rPr>
                <w:rFonts w:ascii="Arial Narrow" w:hAnsi="Arial Narrow"/>
                <w:kern w:val="20"/>
                <w:sz w:val="15"/>
                <w:szCs w:val="15"/>
              </w:rPr>
              <w:t xml:space="preserve">Based on operation of 5 diesel-powered forklifts and 10 diesel-powered yard trucks </w:t>
            </w:r>
            <w:r>
              <w:rPr>
                <w:rFonts w:ascii="Arial Narrow" w:hAnsi="Arial Narrow"/>
                <w:kern w:val="20"/>
                <w:sz w:val="15"/>
                <w:szCs w:val="15"/>
              </w:rPr>
              <w:t>at 7 hours per unit per day. U</w:t>
            </w:r>
            <w:r w:rsidRPr="00BB00BB">
              <w:rPr>
                <w:rFonts w:ascii="Arial Narrow" w:hAnsi="Arial Narrow"/>
                <w:kern w:val="20"/>
                <w:sz w:val="15"/>
                <w:szCs w:val="15"/>
              </w:rPr>
              <w:t>tilizes OFFROAD2017 v 1.0.1 calendar year 2022 emissions data for a 100-horsepower forklift and 175</w:t>
            </w:r>
            <w:r>
              <w:rPr>
                <w:rFonts w:ascii="Arial Narrow" w:hAnsi="Arial Narrow"/>
                <w:kern w:val="20"/>
                <w:sz w:val="15"/>
                <w:szCs w:val="15"/>
              </w:rPr>
              <w:t>-</w:t>
            </w:r>
            <w:r w:rsidRPr="00BB00BB">
              <w:rPr>
                <w:rFonts w:ascii="Arial Narrow" w:hAnsi="Arial Narrow"/>
                <w:kern w:val="20"/>
                <w:sz w:val="15"/>
                <w:szCs w:val="15"/>
              </w:rPr>
              <w:t>horsepower yard tractor.</w:t>
            </w:r>
          </w:p>
        </w:tc>
      </w:tr>
    </w:tbl>
    <w:p w14:paraId="57AC67DD" w14:textId="77777777" w:rsidR="000E40F4" w:rsidRDefault="000E40F4" w:rsidP="000E40F4">
      <w:pPr>
        <w:pStyle w:val="BodyText"/>
      </w:pPr>
    </w:p>
    <w:p w14:paraId="0C197AF4" w14:textId="77777777" w:rsidR="000E40F4" w:rsidRPr="006F1801" w:rsidRDefault="000E40F4" w:rsidP="000E40F4">
      <w:pPr>
        <w:pStyle w:val="Heading6"/>
      </w:pPr>
      <w:r w:rsidRPr="006F1801">
        <w:t>Health Risk</w:t>
      </w:r>
    </w:p>
    <w:p w14:paraId="488EAB2C" w14:textId="77777777" w:rsidR="000E40F4" w:rsidRPr="00852855" w:rsidRDefault="000E40F4" w:rsidP="000E40F4">
      <w:pPr>
        <w:pStyle w:val="BodyText"/>
        <w:rPr>
          <w:rFonts w:eastAsia="Batang"/>
        </w:rPr>
      </w:pPr>
      <w:r w:rsidRPr="00852855">
        <w:rPr>
          <w:rFonts w:eastAsia="Batang"/>
        </w:rPr>
        <w:t>The S</w:t>
      </w:r>
      <w:r>
        <w:rPr>
          <w:rFonts w:eastAsia="Batang"/>
        </w:rPr>
        <w:t xml:space="preserve">outh </w:t>
      </w:r>
      <w:r w:rsidRPr="00852855">
        <w:rPr>
          <w:rFonts w:eastAsia="Batang"/>
        </w:rPr>
        <w:t>C</w:t>
      </w:r>
      <w:r>
        <w:rPr>
          <w:rFonts w:eastAsia="Batang"/>
        </w:rPr>
        <w:t xml:space="preserve">oast </w:t>
      </w:r>
      <w:r w:rsidRPr="00852855">
        <w:rPr>
          <w:rFonts w:eastAsia="Batang"/>
        </w:rPr>
        <w:t xml:space="preserve">AQMD requires an analysis of toxic air contaminants when the project generates emissions proximate to sensitive receptors in order to ensure that the proposed project does not expose sensitive receptors to substantial pollutant concentrations. Land uses that generate more than 100 truck trips per day have the potential to substantially increase </w:t>
      </w:r>
      <w:r>
        <w:rPr>
          <w:rFonts w:eastAsia="Batang"/>
        </w:rPr>
        <w:t>toxic air contaminants (</w:t>
      </w:r>
      <w:r w:rsidRPr="00852855">
        <w:rPr>
          <w:rFonts w:eastAsia="Batang"/>
        </w:rPr>
        <w:t>TAC</w:t>
      </w:r>
      <w:r>
        <w:rPr>
          <w:rFonts w:eastAsia="Batang"/>
        </w:rPr>
        <w:t>)</w:t>
      </w:r>
      <w:r w:rsidRPr="00852855">
        <w:rPr>
          <w:rFonts w:eastAsia="Batang"/>
        </w:rPr>
        <w:t xml:space="preserve"> concentrations and health risks at off-site sensitive land uses within 1,000 feet of the facility</w:t>
      </w:r>
      <w:r>
        <w:rPr>
          <w:rFonts w:eastAsia="Batang"/>
        </w:rPr>
        <w:t xml:space="preserve"> (CARB 2005)</w:t>
      </w:r>
      <w:r w:rsidRPr="00852855">
        <w:rPr>
          <w:rFonts w:eastAsia="Batang"/>
        </w:rPr>
        <w:t xml:space="preserve">. </w:t>
      </w:r>
      <w:r>
        <w:rPr>
          <w:rFonts w:eastAsia="Batang"/>
        </w:rPr>
        <w:t>The proposed project would generate an average of only about 65 medium- and heavy-duty truck trips per day. However, as recommended under the guidelines of “</w:t>
      </w:r>
      <w:r w:rsidRPr="00871D4A">
        <w:rPr>
          <w:rFonts w:eastAsia="Batang"/>
        </w:rPr>
        <w:t>Warehouse Projects: Best Practices and Mitigation Measures to Comply with the California Environmental Quality Act</w:t>
      </w:r>
      <w:r>
        <w:rPr>
          <w:rFonts w:eastAsia="Batang"/>
        </w:rPr>
        <w:t>” prepared by the Office of the Attorney General of California, a</w:t>
      </w:r>
      <w:r>
        <w:t>n operational health risk assessment (HRA) was conducted to evaluate potential health risk impacts</w:t>
      </w:r>
      <w:r w:rsidRPr="00FF3A85">
        <w:t xml:space="preserve"> </w:t>
      </w:r>
      <w:r>
        <w:t>to the nearby surrounding sensitive receptors from project-related truck trips and other project-related sources of TACs (OAG 2021).</w:t>
      </w:r>
    </w:p>
    <w:p w14:paraId="24498A3B" w14:textId="77777777" w:rsidR="000E40F4" w:rsidRPr="00BB7329" w:rsidRDefault="000E40F4" w:rsidP="000E40F4">
      <w:pPr>
        <w:pStyle w:val="BodyText"/>
      </w:pPr>
      <w:r w:rsidRPr="00852855">
        <w:t>O</w:t>
      </w:r>
      <w:r>
        <w:t>verall, o</w:t>
      </w:r>
      <w:r w:rsidRPr="00852855">
        <w:t xml:space="preserve">peration of the proposed project would generate TAC emissions from </w:t>
      </w:r>
      <w:r>
        <w:t xml:space="preserve">off-site truck travel along surface streets (e.g., Los Angeles Street and Azusa Canyon Road) and on-site </w:t>
      </w:r>
      <w:r w:rsidRPr="00852855">
        <w:t>diesel truck activity</w:t>
      </w:r>
      <w:r>
        <w:t xml:space="preserve"> (truck maneuvering and idling) and diesel-fueled off-road equipment (i.e., forklifts and yard trucks)</w:t>
      </w:r>
      <w:r w:rsidRPr="00852855">
        <w:t xml:space="preserve"> in proximity to the nearby sensitive receptors (i.e., </w:t>
      </w:r>
      <w:r>
        <w:t>residents surrounding the project site and students at Manzanita Elementary School</w:t>
      </w:r>
      <w:r w:rsidRPr="00852855">
        <w:t>).</w:t>
      </w:r>
      <w:r>
        <w:t xml:space="preserve"> </w:t>
      </w:r>
      <w:r w:rsidRPr="00852855">
        <w:t>The EPA AERMOD air dispersion modeling program and CARB’s Hotspots Analysis and Reporting Program (HARP2) Risk Assessment Standalone Tool (</w:t>
      </w:r>
      <w:r w:rsidRPr="000B2C01">
        <w:t>CARB 2021b</w:t>
      </w:r>
      <w:r w:rsidRPr="00852855">
        <w:t>) were used to estimate excess lifetime cancer risks</w:t>
      </w:r>
      <w:r>
        <w:t xml:space="preserve"> and</w:t>
      </w:r>
      <w:r w:rsidRPr="00852855">
        <w:t xml:space="preserve"> chronic </w:t>
      </w:r>
      <w:r w:rsidRPr="00BB7329">
        <w:t>noncancer hazard indices at the nearest sensitive receptors. The results of the unmitigated operational HRA are provided in Table 8.</w:t>
      </w:r>
      <w:r>
        <w:t xml:space="preserve"> The HRA report is included in Appendix B. </w:t>
      </w:r>
    </w:p>
    <w:tbl>
      <w:tblPr>
        <w:tblW w:w="9360" w:type="dxa"/>
        <w:jc w:val="center"/>
        <w:tblBorders>
          <w:bottom w:val="single" w:sz="4" w:space="0" w:color="auto"/>
          <w:insideH w:val="single" w:sz="6" w:space="0" w:color="auto"/>
          <w:insideV w:val="single" w:sz="6" w:space="0" w:color="auto"/>
        </w:tblBorders>
        <w:tblCellMar>
          <w:left w:w="115" w:type="dxa"/>
          <w:right w:w="115" w:type="dxa"/>
        </w:tblCellMar>
        <w:tblLook w:val="01E0" w:firstRow="1" w:lastRow="1" w:firstColumn="1" w:lastColumn="1" w:noHBand="0" w:noVBand="0"/>
      </w:tblPr>
      <w:tblGrid>
        <w:gridCol w:w="4927"/>
        <w:gridCol w:w="2441"/>
        <w:gridCol w:w="1992"/>
      </w:tblGrid>
      <w:tr w:rsidR="000E40F4" w:rsidRPr="00852855" w14:paraId="67BBA329" w14:textId="77777777" w:rsidTr="007A023D">
        <w:trPr>
          <w:trHeight w:val="360"/>
          <w:jc w:val="center"/>
        </w:trPr>
        <w:tc>
          <w:tcPr>
            <w:tcW w:w="5000" w:type="pct"/>
            <w:gridSpan w:val="3"/>
            <w:tcBorders>
              <w:top w:val="nil"/>
              <w:bottom w:val="single" w:sz="12" w:space="0" w:color="auto"/>
            </w:tcBorders>
            <w:shd w:val="clear" w:color="auto" w:fill="auto"/>
            <w:vAlign w:val="bottom"/>
          </w:tcPr>
          <w:p w14:paraId="3448CBB5" w14:textId="77777777" w:rsidR="000E40F4" w:rsidRPr="00852855" w:rsidRDefault="000E40F4" w:rsidP="00C9306F">
            <w:pPr>
              <w:pStyle w:val="TblTitles"/>
              <w:pageBreakBefore/>
            </w:pPr>
            <w:bookmarkStart w:id="127" w:name="_Toc427845900"/>
            <w:bookmarkStart w:id="128" w:name="_Toc457297425"/>
            <w:bookmarkStart w:id="129" w:name="_Toc480547816"/>
            <w:bookmarkStart w:id="130" w:name="_Toc516043325"/>
            <w:bookmarkStart w:id="131" w:name="_Toc90882254"/>
            <w:r w:rsidRPr="00BB7329">
              <w:t>Table 8</w:t>
            </w:r>
            <w:r w:rsidRPr="00BB7329">
              <w:tab/>
            </w:r>
            <w:bookmarkEnd w:id="127"/>
            <w:bookmarkEnd w:id="128"/>
            <w:bookmarkEnd w:id="129"/>
            <w:bookmarkEnd w:id="130"/>
            <w:r w:rsidRPr="00BB7329">
              <w:t>Operational HRA Results</w:t>
            </w:r>
            <w:bookmarkEnd w:id="131"/>
          </w:p>
        </w:tc>
      </w:tr>
      <w:tr w:rsidR="000E40F4" w:rsidRPr="00852855" w14:paraId="0F2A8F43" w14:textId="77777777" w:rsidTr="007A023D">
        <w:trPr>
          <w:trHeight w:val="397"/>
          <w:jc w:val="center"/>
        </w:trPr>
        <w:tc>
          <w:tcPr>
            <w:tcW w:w="2632" w:type="pct"/>
            <w:tcBorders>
              <w:top w:val="single" w:sz="12" w:space="0" w:color="auto"/>
              <w:bottom w:val="single" w:sz="12" w:space="0" w:color="auto"/>
            </w:tcBorders>
            <w:shd w:val="clear" w:color="auto" w:fill="auto"/>
            <w:vAlign w:val="bottom"/>
          </w:tcPr>
          <w:p w14:paraId="246F55E1" w14:textId="77777777" w:rsidR="000E40F4" w:rsidRPr="00852855" w:rsidRDefault="000E40F4" w:rsidP="00FD0109">
            <w:pPr>
              <w:pStyle w:val="TblColumnHeads"/>
            </w:pPr>
            <w:r>
              <w:t>Receptor</w:t>
            </w:r>
          </w:p>
        </w:tc>
        <w:tc>
          <w:tcPr>
            <w:tcW w:w="1304" w:type="pct"/>
            <w:tcBorders>
              <w:top w:val="single" w:sz="12" w:space="0" w:color="auto"/>
              <w:bottom w:val="single" w:sz="12" w:space="0" w:color="auto"/>
            </w:tcBorders>
            <w:shd w:val="clear" w:color="auto" w:fill="auto"/>
            <w:vAlign w:val="bottom"/>
          </w:tcPr>
          <w:p w14:paraId="5E3E677D" w14:textId="77777777" w:rsidR="000E40F4" w:rsidRPr="00852855" w:rsidRDefault="000E40F4" w:rsidP="00FD0109">
            <w:pPr>
              <w:pStyle w:val="TblColumnHeads"/>
            </w:pPr>
            <w:r w:rsidRPr="00852855">
              <w:t>Cancer Risk</w:t>
            </w:r>
            <w:r w:rsidRPr="00852855">
              <w:rPr>
                <w:vertAlign w:val="superscript"/>
              </w:rPr>
              <w:t xml:space="preserve"> 1</w:t>
            </w:r>
            <w:r w:rsidRPr="00852855">
              <w:rPr>
                <w:vertAlign w:val="superscript"/>
              </w:rPr>
              <w:br/>
            </w:r>
            <w:r w:rsidRPr="00852855">
              <w:t>(per million)</w:t>
            </w:r>
          </w:p>
        </w:tc>
        <w:tc>
          <w:tcPr>
            <w:tcW w:w="1064" w:type="pct"/>
            <w:tcBorders>
              <w:top w:val="single" w:sz="12" w:space="0" w:color="auto"/>
              <w:bottom w:val="single" w:sz="12" w:space="0" w:color="auto"/>
            </w:tcBorders>
            <w:shd w:val="clear" w:color="auto" w:fill="auto"/>
            <w:vAlign w:val="bottom"/>
          </w:tcPr>
          <w:p w14:paraId="1B14FC95" w14:textId="77777777" w:rsidR="000E40F4" w:rsidRPr="00852855" w:rsidRDefault="000E40F4" w:rsidP="00FD0109">
            <w:pPr>
              <w:pStyle w:val="TblColumnHeads"/>
            </w:pPr>
            <w:r>
              <w:t>Chronic</w:t>
            </w:r>
            <w:r w:rsidRPr="00852855">
              <w:t xml:space="preserve"> Hazard Index</w:t>
            </w:r>
          </w:p>
        </w:tc>
      </w:tr>
      <w:tr w:rsidR="000E40F4" w:rsidRPr="00852855" w14:paraId="6BEC41B5" w14:textId="77777777" w:rsidTr="007A023D">
        <w:trPr>
          <w:trHeight w:val="294"/>
          <w:jc w:val="center"/>
        </w:trPr>
        <w:tc>
          <w:tcPr>
            <w:tcW w:w="2632" w:type="pct"/>
            <w:tcBorders>
              <w:top w:val="single" w:sz="12" w:space="0" w:color="auto"/>
              <w:bottom w:val="single" w:sz="2" w:space="0" w:color="auto"/>
            </w:tcBorders>
            <w:shd w:val="clear" w:color="auto" w:fill="auto"/>
            <w:vAlign w:val="center"/>
          </w:tcPr>
          <w:p w14:paraId="6EC6BA7B" w14:textId="77777777" w:rsidR="000E40F4" w:rsidRPr="00852855" w:rsidRDefault="000E40F4" w:rsidP="00FD0109">
            <w:pPr>
              <w:pStyle w:val="TblTxtCenter"/>
            </w:pPr>
            <w:r>
              <w:t>Maximum Exposed Receptor – Resident</w:t>
            </w:r>
            <w:r>
              <w:rPr>
                <w:vertAlign w:val="superscript"/>
              </w:rPr>
              <w:t>1</w:t>
            </w:r>
          </w:p>
        </w:tc>
        <w:tc>
          <w:tcPr>
            <w:tcW w:w="1304" w:type="pct"/>
            <w:tcBorders>
              <w:top w:val="single" w:sz="12" w:space="0" w:color="auto"/>
              <w:bottom w:val="single" w:sz="2" w:space="0" w:color="auto"/>
            </w:tcBorders>
            <w:vAlign w:val="center"/>
          </w:tcPr>
          <w:p w14:paraId="58ECE2EA" w14:textId="77777777" w:rsidR="000E40F4" w:rsidRPr="007936E2" w:rsidRDefault="000E40F4" w:rsidP="00FD0109">
            <w:pPr>
              <w:pStyle w:val="TblTxtCenter"/>
            </w:pPr>
            <w:r>
              <w:t>1.4</w:t>
            </w:r>
          </w:p>
        </w:tc>
        <w:tc>
          <w:tcPr>
            <w:tcW w:w="1064" w:type="pct"/>
            <w:tcBorders>
              <w:top w:val="single" w:sz="12" w:space="0" w:color="auto"/>
              <w:bottom w:val="single" w:sz="2" w:space="0" w:color="auto"/>
            </w:tcBorders>
            <w:vAlign w:val="center"/>
          </w:tcPr>
          <w:p w14:paraId="12CA09F2" w14:textId="77777777" w:rsidR="000E40F4" w:rsidRPr="007936E2" w:rsidRDefault="000E40F4" w:rsidP="00FD0109">
            <w:pPr>
              <w:pStyle w:val="TblTxtCenter"/>
            </w:pPr>
            <w:r>
              <w:t>&lt;0.001</w:t>
            </w:r>
          </w:p>
        </w:tc>
      </w:tr>
      <w:tr w:rsidR="000E40F4" w:rsidRPr="00852855" w14:paraId="2BDFFD6E" w14:textId="77777777" w:rsidTr="007A023D">
        <w:trPr>
          <w:trHeight w:val="274"/>
          <w:jc w:val="center"/>
        </w:trPr>
        <w:tc>
          <w:tcPr>
            <w:tcW w:w="2632" w:type="pct"/>
            <w:tcBorders>
              <w:top w:val="single" w:sz="2" w:space="0" w:color="auto"/>
              <w:bottom w:val="nil"/>
            </w:tcBorders>
            <w:shd w:val="clear" w:color="auto" w:fill="auto"/>
            <w:vAlign w:val="center"/>
          </w:tcPr>
          <w:p w14:paraId="61A1B0D1" w14:textId="77777777" w:rsidR="000E40F4" w:rsidRDefault="000E40F4" w:rsidP="00FD0109">
            <w:pPr>
              <w:pStyle w:val="TblTxtCenter"/>
            </w:pPr>
            <w:r>
              <w:t>Maximum Exposed Receptor – Student</w:t>
            </w:r>
            <w:r>
              <w:rPr>
                <w:vertAlign w:val="superscript"/>
              </w:rPr>
              <w:t>2</w:t>
            </w:r>
          </w:p>
        </w:tc>
        <w:tc>
          <w:tcPr>
            <w:tcW w:w="1304" w:type="pct"/>
            <w:tcBorders>
              <w:top w:val="single" w:sz="2" w:space="0" w:color="auto"/>
              <w:bottom w:val="single" w:sz="4" w:space="0" w:color="auto"/>
            </w:tcBorders>
            <w:vAlign w:val="center"/>
          </w:tcPr>
          <w:p w14:paraId="130929B4" w14:textId="77777777" w:rsidR="000E40F4" w:rsidRDefault="000E40F4" w:rsidP="00FD0109">
            <w:pPr>
              <w:pStyle w:val="TblTxtCenter"/>
            </w:pPr>
            <w:r w:rsidRPr="00E17D21">
              <w:t>0.04</w:t>
            </w:r>
          </w:p>
        </w:tc>
        <w:tc>
          <w:tcPr>
            <w:tcW w:w="1064" w:type="pct"/>
            <w:tcBorders>
              <w:top w:val="single" w:sz="2" w:space="0" w:color="auto"/>
              <w:bottom w:val="single" w:sz="4" w:space="0" w:color="auto"/>
            </w:tcBorders>
            <w:vAlign w:val="center"/>
          </w:tcPr>
          <w:p w14:paraId="6191A7D2" w14:textId="77777777" w:rsidR="000E40F4" w:rsidRPr="007936E2" w:rsidRDefault="000E40F4" w:rsidP="00FD0109">
            <w:pPr>
              <w:pStyle w:val="TblTxtCenter"/>
            </w:pPr>
            <w:r>
              <w:t>&lt;0.001</w:t>
            </w:r>
          </w:p>
        </w:tc>
      </w:tr>
      <w:tr w:rsidR="000E40F4" w:rsidRPr="00852855" w14:paraId="782D9B1D" w14:textId="77777777" w:rsidTr="007A023D">
        <w:trPr>
          <w:trHeight w:val="231"/>
          <w:jc w:val="center"/>
        </w:trPr>
        <w:tc>
          <w:tcPr>
            <w:tcW w:w="2632" w:type="pct"/>
            <w:tcBorders>
              <w:top w:val="single" w:sz="12" w:space="0" w:color="auto"/>
              <w:bottom w:val="single" w:sz="6" w:space="0" w:color="auto"/>
            </w:tcBorders>
            <w:shd w:val="clear" w:color="auto" w:fill="auto"/>
            <w:vAlign w:val="center"/>
          </w:tcPr>
          <w:p w14:paraId="4B0A2C24" w14:textId="77777777" w:rsidR="000E40F4" w:rsidRPr="00852855" w:rsidRDefault="000E40F4" w:rsidP="00FD0109">
            <w:pPr>
              <w:pStyle w:val="TblTxt"/>
              <w:tabs>
                <w:tab w:val="decimal" w:pos="0"/>
              </w:tabs>
            </w:pPr>
            <w:r w:rsidRPr="00852855">
              <w:t>S</w:t>
            </w:r>
            <w:r>
              <w:t xml:space="preserve">outh </w:t>
            </w:r>
            <w:r w:rsidRPr="00852855">
              <w:t>C</w:t>
            </w:r>
            <w:r>
              <w:t xml:space="preserve">oast </w:t>
            </w:r>
            <w:r w:rsidRPr="00852855">
              <w:t>AQMD Threshold</w:t>
            </w:r>
          </w:p>
        </w:tc>
        <w:tc>
          <w:tcPr>
            <w:tcW w:w="1304" w:type="pct"/>
            <w:tcBorders>
              <w:top w:val="single" w:sz="12" w:space="0" w:color="auto"/>
              <w:bottom w:val="single" w:sz="6" w:space="0" w:color="auto"/>
            </w:tcBorders>
            <w:vAlign w:val="center"/>
          </w:tcPr>
          <w:p w14:paraId="604C5058" w14:textId="77777777" w:rsidR="000E40F4" w:rsidRPr="007936E2" w:rsidRDefault="000E40F4" w:rsidP="00FD0109">
            <w:pPr>
              <w:pStyle w:val="TblTxt"/>
              <w:tabs>
                <w:tab w:val="decimal" w:pos="-3"/>
              </w:tabs>
              <w:jc w:val="center"/>
            </w:pPr>
            <w:r w:rsidRPr="007936E2">
              <w:t>10</w:t>
            </w:r>
          </w:p>
        </w:tc>
        <w:tc>
          <w:tcPr>
            <w:tcW w:w="1064" w:type="pct"/>
            <w:tcBorders>
              <w:top w:val="single" w:sz="12" w:space="0" w:color="auto"/>
              <w:bottom w:val="single" w:sz="6" w:space="0" w:color="auto"/>
            </w:tcBorders>
            <w:vAlign w:val="center"/>
          </w:tcPr>
          <w:p w14:paraId="6AB3360E" w14:textId="77777777" w:rsidR="000E40F4" w:rsidRPr="007936E2" w:rsidRDefault="000E40F4" w:rsidP="00FD0109">
            <w:pPr>
              <w:pStyle w:val="TblTxt"/>
              <w:tabs>
                <w:tab w:val="decimal" w:pos="-3"/>
              </w:tabs>
              <w:jc w:val="center"/>
            </w:pPr>
            <w:r w:rsidRPr="007936E2">
              <w:t>1.0</w:t>
            </w:r>
          </w:p>
        </w:tc>
      </w:tr>
      <w:tr w:rsidR="000E40F4" w:rsidRPr="00852855" w14:paraId="40F63927" w14:textId="77777777" w:rsidTr="007A023D">
        <w:trPr>
          <w:trHeight w:val="246"/>
          <w:jc w:val="center"/>
        </w:trPr>
        <w:tc>
          <w:tcPr>
            <w:tcW w:w="2632" w:type="pct"/>
            <w:tcBorders>
              <w:top w:val="single" w:sz="6" w:space="0" w:color="auto"/>
              <w:bottom w:val="single" w:sz="12" w:space="0" w:color="auto"/>
            </w:tcBorders>
            <w:shd w:val="clear" w:color="auto" w:fill="auto"/>
            <w:vAlign w:val="center"/>
          </w:tcPr>
          <w:p w14:paraId="08A4942F" w14:textId="77777777" w:rsidR="000E40F4" w:rsidRPr="00852855" w:rsidRDefault="000E40F4" w:rsidP="00FD0109">
            <w:pPr>
              <w:pStyle w:val="TblTxtCenter"/>
              <w:jc w:val="right"/>
              <w:rPr>
                <w:b/>
              </w:rPr>
            </w:pPr>
            <w:r w:rsidRPr="00852855">
              <w:rPr>
                <w:b/>
              </w:rPr>
              <w:t>Exceeds Threshold?</w:t>
            </w:r>
          </w:p>
        </w:tc>
        <w:tc>
          <w:tcPr>
            <w:tcW w:w="1304" w:type="pct"/>
            <w:tcBorders>
              <w:top w:val="single" w:sz="6" w:space="0" w:color="auto"/>
              <w:bottom w:val="single" w:sz="12" w:space="0" w:color="auto"/>
            </w:tcBorders>
            <w:vAlign w:val="center"/>
          </w:tcPr>
          <w:p w14:paraId="2CD5913D" w14:textId="77777777" w:rsidR="000E40F4" w:rsidRPr="007936E2" w:rsidRDefault="000E40F4" w:rsidP="00FD0109">
            <w:pPr>
              <w:pStyle w:val="TblTxtCenter"/>
              <w:rPr>
                <w:b/>
              </w:rPr>
            </w:pPr>
            <w:r>
              <w:rPr>
                <w:b/>
              </w:rPr>
              <w:t>No</w:t>
            </w:r>
          </w:p>
        </w:tc>
        <w:tc>
          <w:tcPr>
            <w:tcW w:w="1064" w:type="pct"/>
            <w:tcBorders>
              <w:top w:val="single" w:sz="6" w:space="0" w:color="auto"/>
              <w:bottom w:val="single" w:sz="12" w:space="0" w:color="auto"/>
            </w:tcBorders>
            <w:vAlign w:val="center"/>
          </w:tcPr>
          <w:p w14:paraId="1831938D" w14:textId="77777777" w:rsidR="000E40F4" w:rsidRPr="007936E2" w:rsidRDefault="000E40F4" w:rsidP="00FD0109">
            <w:pPr>
              <w:pStyle w:val="TblTxtCenter"/>
              <w:rPr>
                <w:b/>
              </w:rPr>
            </w:pPr>
            <w:r w:rsidRPr="007936E2">
              <w:rPr>
                <w:b/>
              </w:rPr>
              <w:t>No</w:t>
            </w:r>
          </w:p>
        </w:tc>
      </w:tr>
      <w:tr w:rsidR="000E40F4" w:rsidRPr="00852855" w14:paraId="3E3DCAE7" w14:textId="77777777" w:rsidTr="007A023D">
        <w:trPr>
          <w:trHeight w:val="219"/>
          <w:jc w:val="center"/>
        </w:trPr>
        <w:tc>
          <w:tcPr>
            <w:tcW w:w="5000" w:type="pct"/>
            <w:gridSpan w:val="3"/>
            <w:tcBorders>
              <w:top w:val="single" w:sz="12" w:space="0" w:color="auto"/>
              <w:bottom w:val="single" w:sz="12" w:space="0" w:color="auto"/>
            </w:tcBorders>
            <w:shd w:val="clear" w:color="auto" w:fill="auto"/>
            <w:vAlign w:val="center"/>
          </w:tcPr>
          <w:p w14:paraId="40FB5819" w14:textId="77777777" w:rsidR="000E40F4" w:rsidRDefault="000E40F4" w:rsidP="00883261">
            <w:pPr>
              <w:pStyle w:val="Tblnote"/>
            </w:pPr>
            <w:r>
              <w:t>Source: HARP2, Risk Assessment Standalone Tool.</w:t>
            </w:r>
          </w:p>
          <w:p w14:paraId="056F8323" w14:textId="77777777" w:rsidR="000E40F4" w:rsidRDefault="000E40F4" w:rsidP="00883261">
            <w:pPr>
              <w:pStyle w:val="Tblnote"/>
            </w:pPr>
            <w:r>
              <w:t>Note: Cancer risk calculated using 2015 OEHHA Guidance Manual.</w:t>
            </w:r>
          </w:p>
          <w:p w14:paraId="22069734" w14:textId="77777777" w:rsidR="000E40F4" w:rsidRDefault="000E40F4" w:rsidP="00883261">
            <w:pPr>
              <w:pStyle w:val="Tblnote"/>
            </w:pPr>
            <w:r w:rsidRPr="000B2C01">
              <w:rPr>
                <w:vertAlign w:val="superscript"/>
              </w:rPr>
              <w:t>1</w:t>
            </w:r>
            <w:r w:rsidR="00883261">
              <w:rPr>
                <w:vertAlign w:val="superscript"/>
              </w:rPr>
              <w:tab/>
            </w:r>
            <w:r>
              <w:t xml:space="preserve">Calculated for the 30-yr residential scenario. </w:t>
            </w:r>
          </w:p>
          <w:p w14:paraId="71E37649" w14:textId="77777777" w:rsidR="000E40F4" w:rsidRPr="00852855" w:rsidRDefault="000E40F4" w:rsidP="00883261">
            <w:pPr>
              <w:pStyle w:val="Tblnote"/>
            </w:pPr>
            <w:r w:rsidRPr="000B2C01">
              <w:rPr>
                <w:vertAlign w:val="superscript"/>
              </w:rPr>
              <w:t>2</w:t>
            </w:r>
            <w:r>
              <w:t xml:space="preserve"> </w:t>
            </w:r>
            <w:r w:rsidR="00883261">
              <w:tab/>
            </w:r>
            <w:r w:rsidRPr="00BC2D96">
              <w:t>Ma</w:t>
            </w:r>
            <w:r>
              <w:t>n</w:t>
            </w:r>
            <w:r w:rsidRPr="00BC2D96">
              <w:t xml:space="preserve">zanita Elementary School </w:t>
            </w:r>
            <w:r>
              <w:t>cancer risk calculated for 7-year student scenario (ages 4 to 10).</w:t>
            </w:r>
          </w:p>
        </w:tc>
      </w:tr>
    </w:tbl>
    <w:p w14:paraId="639DC779" w14:textId="77777777" w:rsidR="000E40F4" w:rsidRPr="00852855" w:rsidRDefault="000E40F4" w:rsidP="000E40F4">
      <w:pPr>
        <w:pStyle w:val="BodyText"/>
      </w:pPr>
    </w:p>
    <w:p w14:paraId="36FA58B4" w14:textId="77777777" w:rsidR="000E40F4" w:rsidRPr="007936E2" w:rsidRDefault="000E40F4" w:rsidP="000E40F4">
      <w:pPr>
        <w:pStyle w:val="BodyText"/>
        <w:spacing w:after="120"/>
      </w:pPr>
      <w:r w:rsidRPr="007936E2">
        <w:rPr>
          <w:rFonts w:eastAsia="Batang"/>
        </w:rPr>
        <w:t xml:space="preserve">As shown in the table, cancer risks from all sources </w:t>
      </w:r>
      <w:r>
        <w:rPr>
          <w:rFonts w:eastAsia="Batang"/>
        </w:rPr>
        <w:t xml:space="preserve">for the residential maximum exposed receptor </w:t>
      </w:r>
      <w:r w:rsidRPr="007936E2">
        <w:rPr>
          <w:rFonts w:eastAsia="Batang"/>
        </w:rPr>
        <w:t xml:space="preserve">would be </w:t>
      </w:r>
      <w:r>
        <w:rPr>
          <w:rFonts w:eastAsia="Batang"/>
        </w:rPr>
        <w:t>1.4</w:t>
      </w:r>
      <w:r w:rsidRPr="007936E2">
        <w:rPr>
          <w:rFonts w:eastAsia="Batang"/>
        </w:rPr>
        <w:t xml:space="preserve"> in a million</w:t>
      </w:r>
      <w:r>
        <w:rPr>
          <w:rFonts w:eastAsia="Batang"/>
        </w:rPr>
        <w:t xml:space="preserve"> and 0.04 in a million for the student maximum exposed receptor</w:t>
      </w:r>
      <w:r w:rsidRPr="007936E2">
        <w:rPr>
          <w:rFonts w:eastAsia="Batang"/>
        </w:rPr>
        <w:t xml:space="preserve">. </w:t>
      </w:r>
      <w:r w:rsidRPr="00304D6B">
        <w:t xml:space="preserve">In comparison to the significance threshold of 10 in a million, carcinogenic risks </w:t>
      </w:r>
      <w:r>
        <w:t>for both receptors are below</w:t>
      </w:r>
      <w:r w:rsidRPr="00304D6B">
        <w:t xml:space="preserve"> the threshold value for residents </w:t>
      </w:r>
      <w:r>
        <w:t xml:space="preserve">in vicinity </w:t>
      </w:r>
      <w:r w:rsidRPr="00304D6B">
        <w:t xml:space="preserve">of the </w:t>
      </w:r>
      <w:r>
        <w:t>p</w:t>
      </w:r>
      <w:r w:rsidRPr="00304D6B">
        <w:t xml:space="preserve">roject. For noncarcinogenic effects, the </w:t>
      </w:r>
      <w:r>
        <w:t xml:space="preserve">chronic </w:t>
      </w:r>
      <w:r w:rsidRPr="00304D6B">
        <w:t>hazard index identified for each toxicological endpoint totaled less than one for residents</w:t>
      </w:r>
      <w:r>
        <w:t xml:space="preserve"> and students</w:t>
      </w:r>
      <w:r w:rsidRPr="00304D6B">
        <w:t>.</w:t>
      </w:r>
      <w:r>
        <w:t xml:space="preserve"> Thus</w:t>
      </w:r>
      <w:r w:rsidRPr="004A4E33">
        <w:t>, chronic noncarcinogenic hazards are below the significance threshold</w:t>
      </w:r>
      <w:bookmarkStart w:id="132" w:name="_Hlk17119097"/>
      <w:r w:rsidRPr="00FD6C9A">
        <w:t xml:space="preserve">, </w:t>
      </w:r>
      <w:r>
        <w:t xml:space="preserve">and </w:t>
      </w:r>
      <w:r w:rsidRPr="00FD6C9A">
        <w:t xml:space="preserve">the project would not expose off-site sensitive receptors to substantial concentrations of air pollutant emissions during </w:t>
      </w:r>
      <w:r>
        <w:t>project operation.</w:t>
      </w:r>
      <w:r w:rsidRPr="00FD6C9A">
        <w:t xml:space="preserve"> Impacts would be </w:t>
      </w:r>
      <w:r w:rsidRPr="0075690E">
        <w:rPr>
          <w:iCs/>
        </w:rPr>
        <w:t>less than significant</w:t>
      </w:r>
      <w:bookmarkEnd w:id="132"/>
      <w:r w:rsidRPr="00FD6C9A">
        <w:t>.</w:t>
      </w:r>
    </w:p>
    <w:p w14:paraId="3D29D2DF" w14:textId="77777777" w:rsidR="000E40F4" w:rsidRPr="0022567E" w:rsidRDefault="000E40F4" w:rsidP="000E40F4">
      <w:pPr>
        <w:pStyle w:val="Heading5"/>
      </w:pPr>
      <w:r w:rsidRPr="0022567E">
        <w:t>Carbon Monoxide Hotspots</w:t>
      </w:r>
    </w:p>
    <w:p w14:paraId="088B9AEB" w14:textId="77777777" w:rsidR="000E40F4" w:rsidRPr="002437CA" w:rsidRDefault="000E40F4" w:rsidP="000E40F4">
      <w:pPr>
        <w:pStyle w:val="BodyText"/>
        <w:rPr>
          <w:rFonts w:eastAsia="Batang"/>
        </w:rPr>
      </w:pPr>
      <w:r w:rsidRPr="002437CA">
        <w:rPr>
          <w:rFonts w:eastAsia="Batang"/>
        </w:rPr>
        <w:t xml:space="preserve">Areas of vehicle congestion have the potential to create pockets of CO called hotspots. These pockets have the potential to exceed the state one-hour standard of 20 parts per million (ppm) or the eight-hour standard of 9.0 ppm. Because CO is produced in greatest quantities from vehicle combustion and does not readily disperse into the atmosphere, adherence to ambient air quality standards is typically demonstrated through an analysis of localized CO concentrations. Hotspots are typically produced at intersections, where traffic congestion is highest because vehicles queue for longer periods and are subject to reduced speeds. </w:t>
      </w:r>
    </w:p>
    <w:p w14:paraId="6EC2DE0B" w14:textId="01F5DAFA" w:rsidR="000E40F4" w:rsidRPr="00E2128E" w:rsidRDefault="000E40F4" w:rsidP="000E40F4">
      <w:pPr>
        <w:pStyle w:val="BodyText"/>
        <w:rPr>
          <w:color w:val="000000" w:themeColor="text1"/>
        </w:rPr>
      </w:pPr>
      <w:r w:rsidRPr="009D7D09">
        <w:rPr>
          <w:rFonts w:eastAsia="Batang"/>
        </w:rPr>
        <w:t xml:space="preserve">The SoCAB has been designated attainment under both the </w:t>
      </w:r>
      <w:r w:rsidR="0088709A" w:rsidRPr="009D7D09">
        <w:rPr>
          <w:rFonts w:eastAsia="Batang"/>
        </w:rPr>
        <w:t xml:space="preserve">National </w:t>
      </w:r>
      <w:r w:rsidRPr="009D7D09">
        <w:rPr>
          <w:rFonts w:eastAsia="Batang"/>
        </w:rPr>
        <w:t>and California AAQS for CO.</w:t>
      </w:r>
      <w:r w:rsidRPr="002437CA">
        <w:rPr>
          <w:rFonts w:eastAsia="Batang"/>
        </w:rPr>
        <w:t xml:space="preserve"> Under existing and future vehicle emission rates, a project would have to increase traffic volumes at a single intersection by more than 44,000 vehicles per hour—or 24,000 vehicles per hour where vertical and/or horizontal mixing is substantially limited—to generate a significant CO impact (BAAQMD 2017). </w:t>
      </w:r>
      <w:r w:rsidRPr="00A76EA5">
        <w:rPr>
          <w:rFonts w:eastAsia="Batang"/>
        </w:rPr>
        <w:t xml:space="preserve">Operation of the proposed project would generate up to </w:t>
      </w:r>
      <w:r>
        <w:rPr>
          <w:rFonts w:eastAsia="Batang"/>
        </w:rPr>
        <w:t xml:space="preserve">35 PM </w:t>
      </w:r>
      <w:r w:rsidRPr="00A76EA5">
        <w:rPr>
          <w:rFonts w:eastAsia="Batang"/>
        </w:rPr>
        <w:t>peak hour trips, which</w:t>
      </w:r>
      <w:r w:rsidRPr="00A76EA5">
        <w:t xml:space="preserve"> would be minimal compared to the screening </w:t>
      </w:r>
      <w:r w:rsidRPr="00BC13F4">
        <w:t xml:space="preserve">levels (see Appendix </w:t>
      </w:r>
      <w:r>
        <w:t>I</w:t>
      </w:r>
      <w:r w:rsidRPr="00BC13F4">
        <w:t>).</w:t>
      </w:r>
      <w:r w:rsidRPr="00BC13F4">
        <w:rPr>
          <w:rFonts w:eastAsia="Batang"/>
        </w:rPr>
        <w:t xml:space="preserve"> </w:t>
      </w:r>
      <w:r>
        <w:rPr>
          <w:rFonts w:eastAsia="Batang"/>
        </w:rPr>
        <w:t xml:space="preserve">Also, the </w:t>
      </w:r>
      <w:r w:rsidR="00FB604B">
        <w:rPr>
          <w:rFonts w:eastAsia="Batang"/>
        </w:rPr>
        <w:t>former Pepsi bottling plant</w:t>
      </w:r>
      <w:r>
        <w:rPr>
          <w:rFonts w:eastAsia="Batang"/>
        </w:rPr>
        <w:t xml:space="preserve"> </w:t>
      </w:r>
      <w:r w:rsidR="00FB604B">
        <w:rPr>
          <w:rFonts w:eastAsia="Batang"/>
        </w:rPr>
        <w:t xml:space="preserve">generated </w:t>
      </w:r>
      <w:r>
        <w:rPr>
          <w:rFonts w:eastAsia="Batang"/>
        </w:rPr>
        <w:t>11</w:t>
      </w:r>
      <w:r w:rsidRPr="00FF3A85">
        <w:rPr>
          <w:rFonts w:eastAsia="Batang"/>
        </w:rPr>
        <w:t xml:space="preserve"> </w:t>
      </w:r>
      <w:r>
        <w:rPr>
          <w:rFonts w:eastAsia="Batang"/>
        </w:rPr>
        <w:t xml:space="preserve">PM peak hour trips. </w:t>
      </w:r>
      <w:r w:rsidR="00FB604B">
        <w:rPr>
          <w:rFonts w:eastAsia="Batang"/>
        </w:rPr>
        <w:t>Therefore</w:t>
      </w:r>
      <w:r>
        <w:rPr>
          <w:rFonts w:eastAsia="Batang"/>
        </w:rPr>
        <w:t xml:space="preserve">, implementation of the proposed project would result in a net increase of only 24 PM peak hour trips. Overall, </w:t>
      </w:r>
      <w:r w:rsidRPr="00A76EA5">
        <w:rPr>
          <w:rFonts w:eastAsia="Batang"/>
        </w:rPr>
        <w:t>the project would not have the potential to substantially increase CO hotspots at intersections in the vicinity of the project site, and impacts would be less than significant</w:t>
      </w:r>
      <w:r w:rsidRPr="0022567E">
        <w:rPr>
          <w:color w:val="000000" w:themeColor="text1"/>
        </w:rPr>
        <w:t xml:space="preserve">. </w:t>
      </w:r>
    </w:p>
    <w:p w14:paraId="44CD406F" w14:textId="77777777" w:rsidR="000E40F4" w:rsidRDefault="000E40F4" w:rsidP="000E40F4">
      <w:pPr>
        <w:pStyle w:val="List"/>
      </w:pPr>
      <w:r w:rsidRPr="00861E48">
        <w:t>Result in other emissions (such as those leading to odors) adversely affecting a substantial number of people</w:t>
      </w:r>
      <w:r>
        <w:t>?</w:t>
      </w:r>
    </w:p>
    <w:p w14:paraId="112DC6A8" w14:textId="77777777" w:rsidR="000E40F4" w:rsidRPr="000F6431" w:rsidRDefault="000E40F4" w:rsidP="000E40F4">
      <w:pPr>
        <w:pStyle w:val="BodyText"/>
      </w:pPr>
      <w:r>
        <w:rPr>
          <w:rStyle w:val="BodyTextBoldChar"/>
        </w:rPr>
        <w:t>Less Than Significant</w:t>
      </w:r>
      <w:r w:rsidRPr="00655D6B">
        <w:rPr>
          <w:rStyle w:val="BodyTextBoldChar"/>
        </w:rPr>
        <w:t xml:space="preserve"> </w:t>
      </w:r>
      <w:r>
        <w:rPr>
          <w:rStyle w:val="BodyTextBoldChar"/>
        </w:rPr>
        <w:t>With Mitigation Incorporated</w:t>
      </w:r>
      <w:r w:rsidRPr="00655D6B">
        <w:rPr>
          <w:rStyle w:val="BodyTextBoldChar"/>
        </w:rPr>
        <w:t>.</w:t>
      </w:r>
      <w:r>
        <w:t xml:space="preserve"> </w:t>
      </w:r>
      <w:r w:rsidRPr="000F6431">
        <w:rPr>
          <w:rFonts w:eastAsia="Batang"/>
        </w:rPr>
        <w:t xml:space="preserve">The </w:t>
      </w:r>
      <w:r w:rsidRPr="000F6431">
        <w:t>threshold</w:t>
      </w:r>
      <w:r w:rsidRPr="000F6431">
        <w:rPr>
          <w:rFonts w:eastAsia="Batang"/>
        </w:rPr>
        <w:t xml:space="preserve"> for odor is if a project creates an odor nuisance pursuant to </w:t>
      </w:r>
      <w:r>
        <w:rPr>
          <w:rFonts w:eastAsia="Batang"/>
        </w:rPr>
        <w:t>South Coast AQMD</w:t>
      </w:r>
      <w:r w:rsidRPr="000F6431">
        <w:rPr>
          <w:rFonts w:eastAsia="Batang"/>
        </w:rPr>
        <w:t xml:space="preserve"> Rule 402, Nuisance, which states:</w:t>
      </w:r>
    </w:p>
    <w:p w14:paraId="242AD6D3" w14:textId="77777777" w:rsidR="000E40F4" w:rsidRPr="000F6431" w:rsidRDefault="000E40F4" w:rsidP="00883261">
      <w:pPr>
        <w:pStyle w:val="BodyText2"/>
        <w:ind w:right="720"/>
      </w:pPr>
      <w:r w:rsidRPr="000F6431">
        <w:t>A person shall not discharge from any source whatsoever such quantities of air contaminants or other material which cause injury, detriment, nuisance, or annoyance to any considerable number of persons or to the public, or which endanger the comfort, repose, health or safety of any such persons or the public, or which cause, or have a natural tendency to cause, injury or damage to business or property. The provisions of this rule shall not apply to odors emanating from agricultural operations necessary for the growing of crops or the raising of fowl or animals.</w:t>
      </w:r>
    </w:p>
    <w:p w14:paraId="1A80348C" w14:textId="7E5EA423" w:rsidR="000E40F4" w:rsidRPr="00E042FF" w:rsidRDefault="000E40F4" w:rsidP="000E40F4">
      <w:pPr>
        <w:pStyle w:val="BodyText"/>
      </w:pPr>
      <w:r w:rsidRPr="002437CA">
        <w:t xml:space="preserve">The type of facilities that are considered to have objectionable odors include wastewater treatment plants, compost facilities, landfills, solid waste transfer stations, fiberglass manufacturing facilities, paint/coating operations (e.g., auto body shops), dairy farms, petroleum refineries, asphalt batch plants, chemical manufacturing, and food manufacturing facilities. </w:t>
      </w:r>
      <w:r w:rsidRPr="00E042FF">
        <w:t>The proposed project would develop and operate warehousing and manufacturing uses. Under the M-1 zoning designation, fiberglass manufacturing is a permitted use. Thus, the proposed project could result in the generation of odors that could affect a substantial number of people. However, implementation of Mitigation Measure AQ-1, which would require</w:t>
      </w:r>
      <w:r>
        <w:t xml:space="preserve"> preparation of an odors management plan for land uses that could generate objectionable odors, would minimize any potential odor impacts. Therefore, project-related operational odor impacts would be less than significant with incorporation of mitigation.</w:t>
      </w:r>
    </w:p>
    <w:p w14:paraId="436C94CF" w14:textId="77777777" w:rsidR="000E40F4" w:rsidRDefault="000E40F4" w:rsidP="000E40F4">
      <w:pPr>
        <w:pStyle w:val="BodyText"/>
      </w:pPr>
      <w:r w:rsidRPr="002437CA">
        <w:t xml:space="preserve">During the development of the proposed project, emissions from construction equipment, such as diesel exhaust, may generate odors. However, these odors would be low in concentration, temporary, disperse rapidly, and are not expected to affect a substantial number of people. Any odors produced during the </w:t>
      </w:r>
      <w:r>
        <w:t>construction</w:t>
      </w:r>
      <w:r w:rsidRPr="002437CA">
        <w:t xml:space="preserve"> phase are not expected to be significant or highly objectionable and would be in compliance with South Coast AQMD Rule 402. Therefore, impacts would be less than significant</w:t>
      </w:r>
      <w:r>
        <w:t xml:space="preserve"> with regard to construction-related odors.</w:t>
      </w:r>
    </w:p>
    <w:p w14:paraId="37959AA6" w14:textId="77777777" w:rsidR="000E40F4" w:rsidRDefault="000E40F4" w:rsidP="000E40F4">
      <w:pPr>
        <w:pStyle w:val="Heading5"/>
      </w:pPr>
      <w:bookmarkStart w:id="133" w:name="_Hlk79420093"/>
      <w:r>
        <w:t>Mitigation Measure</w:t>
      </w:r>
    </w:p>
    <w:p w14:paraId="015A96CB" w14:textId="77777777" w:rsidR="000E40F4" w:rsidRDefault="000E40F4" w:rsidP="000E40F4">
      <w:pPr>
        <w:pStyle w:val="MitigationText"/>
      </w:pPr>
      <w:r>
        <w:t>AQ-1</w:t>
      </w:r>
      <w:r>
        <w:tab/>
        <w:t>Prior to issuance of a business license, if</w:t>
      </w:r>
      <w:r w:rsidRPr="00215BE7">
        <w:t xml:space="preserve"> a </w:t>
      </w:r>
      <w:r>
        <w:t>prospective business tenant</w:t>
      </w:r>
      <w:r w:rsidRPr="00215BE7">
        <w:t xml:space="preserve"> has the potential to emit nuisance</w:t>
      </w:r>
      <w:r>
        <w:t xml:space="preserve"> odors beyond the property line, an odor management plan shall be prepared by the prospective business tenant, subject to review and approval by the City of Irwindale Community Development Department</w:t>
      </w:r>
      <w:r w:rsidR="00D90B11">
        <w:t xml:space="preserve"> or Planning Commission</w:t>
      </w:r>
      <w:r>
        <w:t>. Types of uses that have the potential to generate nuisance odors include, but are not limited to:</w:t>
      </w:r>
    </w:p>
    <w:p w14:paraId="0B579DFA" w14:textId="77777777" w:rsidR="000E40F4" w:rsidRPr="00A914DA" w:rsidRDefault="000E40F4" w:rsidP="000E40F4">
      <w:pPr>
        <w:pStyle w:val="MitigationTextBullet"/>
        <w:spacing w:after="0"/>
      </w:pPr>
      <w:r w:rsidRPr="00A914DA">
        <w:t>Wastewater treatment plants</w:t>
      </w:r>
    </w:p>
    <w:p w14:paraId="3B542416" w14:textId="77777777" w:rsidR="000E40F4" w:rsidRPr="00A914DA" w:rsidRDefault="000E40F4" w:rsidP="000E40F4">
      <w:pPr>
        <w:pStyle w:val="MitigationTextBullet"/>
        <w:spacing w:after="0"/>
      </w:pPr>
      <w:r w:rsidRPr="00A914DA">
        <w:t>Composting, green waste, or recycling facilities</w:t>
      </w:r>
    </w:p>
    <w:p w14:paraId="25F9420A" w14:textId="77777777" w:rsidR="000E40F4" w:rsidRPr="00A914DA" w:rsidRDefault="000E40F4" w:rsidP="000E40F4">
      <w:pPr>
        <w:pStyle w:val="MitigationTextBullet"/>
        <w:spacing w:after="0"/>
      </w:pPr>
      <w:r w:rsidRPr="00A914DA">
        <w:t>Fiberglass manufacturing facilities</w:t>
      </w:r>
    </w:p>
    <w:p w14:paraId="666733ED" w14:textId="77777777" w:rsidR="000E40F4" w:rsidRPr="00A914DA" w:rsidRDefault="000E40F4" w:rsidP="000E40F4">
      <w:pPr>
        <w:pStyle w:val="MitigationTextBullet"/>
        <w:spacing w:after="0"/>
      </w:pPr>
      <w:r w:rsidRPr="00A914DA">
        <w:t>Painting/coating operations</w:t>
      </w:r>
    </w:p>
    <w:p w14:paraId="203FF114" w14:textId="77777777" w:rsidR="000E40F4" w:rsidRPr="00A914DA" w:rsidRDefault="000E40F4" w:rsidP="000E40F4">
      <w:pPr>
        <w:pStyle w:val="MitigationTextBullet"/>
        <w:spacing w:after="0"/>
      </w:pPr>
      <w:r>
        <w:t xml:space="preserve">Large-capacity </w:t>
      </w:r>
      <w:r w:rsidRPr="00A914DA">
        <w:t>coffee roasters</w:t>
      </w:r>
    </w:p>
    <w:p w14:paraId="501047E8" w14:textId="77777777" w:rsidR="000E40F4" w:rsidRPr="00A914DA" w:rsidRDefault="000E40F4" w:rsidP="000E40F4">
      <w:pPr>
        <w:pStyle w:val="MitigationTextBullet"/>
        <w:spacing w:after="180"/>
      </w:pPr>
      <w:r w:rsidRPr="00A914DA">
        <w:t>F</w:t>
      </w:r>
      <w:r>
        <w:t>ood-</w:t>
      </w:r>
      <w:r w:rsidRPr="00A914DA">
        <w:t>processing facilities</w:t>
      </w:r>
    </w:p>
    <w:p w14:paraId="1BA37F9A" w14:textId="19225639" w:rsidR="00D10CF6" w:rsidRDefault="000E40F4" w:rsidP="000E40F4">
      <w:pPr>
        <w:pStyle w:val="MitigationText"/>
        <w:ind w:firstLine="0"/>
      </w:pPr>
      <w:r>
        <w:t xml:space="preserve">The odor management plan shall show compliance with the </w:t>
      </w:r>
      <w:r w:rsidR="0000427B">
        <w:t xml:space="preserve">SCAQMD’s </w:t>
      </w:r>
      <w:r>
        <w:t xml:space="preserve">Rule 402 for nuisance odors. The odor management plan shall </w:t>
      </w:r>
      <w:r w:rsidRPr="004538E9">
        <w:t xml:space="preserve">identify </w:t>
      </w:r>
      <w:r>
        <w:t>the</w:t>
      </w:r>
      <w:r w:rsidRPr="004538E9">
        <w:t xml:space="preserve"> best available control technologies for toxics (T-BACTs) </w:t>
      </w:r>
      <w:r>
        <w:t>that will be utilized to reduce</w:t>
      </w:r>
      <w:r w:rsidRPr="004538E9">
        <w:t xml:space="preserve"> potential odors to acceptable level</w:t>
      </w:r>
      <w:r>
        <w:t>s</w:t>
      </w:r>
      <w:r w:rsidRPr="004538E9">
        <w:t>, including appropriate enforcement mechanisms</w:t>
      </w:r>
      <w:r>
        <w:t>. T-BACTs may include but are not limited to</w:t>
      </w:r>
      <w:r w:rsidRPr="00215BE7">
        <w:t xml:space="preserve"> scrubbers (</w:t>
      </w:r>
      <w:r>
        <w:t>i.e.</w:t>
      </w:r>
      <w:r w:rsidRPr="00215BE7">
        <w:t>, air pollution control devices) at the industrial facility</w:t>
      </w:r>
      <w:bookmarkEnd w:id="133"/>
      <w:r w:rsidR="00D10CF6" w:rsidRPr="00DD0DA5">
        <w:rPr>
          <w:rStyle w:val="InsertText"/>
        </w:rPr>
        <w:t>.</w:t>
      </w:r>
    </w:p>
    <w:p w14:paraId="6A62F522" w14:textId="77777777" w:rsidR="00D10CF6" w:rsidRDefault="00D10CF6" w:rsidP="00D10CF6">
      <w:pPr>
        <w:pStyle w:val="Heading2"/>
      </w:pPr>
      <w:bookmarkStart w:id="134" w:name="_Toc90882156"/>
      <w:r>
        <w:t>BIOLOGICAL RESOURCES</w:t>
      </w:r>
      <w:bookmarkEnd w:id="134"/>
    </w:p>
    <w:p w14:paraId="71631069" w14:textId="77777777" w:rsidR="00E51FD2" w:rsidRDefault="00E51FD2" w:rsidP="00E51FD2">
      <w:pPr>
        <w:pStyle w:val="BodyText"/>
      </w:pPr>
      <w:r>
        <w:t>Would the project:</w:t>
      </w:r>
    </w:p>
    <w:p w14:paraId="00797E0A" w14:textId="77777777" w:rsidR="00D10CF6" w:rsidRDefault="00D10CF6" w:rsidP="00D10CF6">
      <w:pPr>
        <w:pStyle w:val="List"/>
        <w:numPr>
          <w:ilvl w:val="0"/>
          <w:numId w:val="4"/>
        </w:numPr>
      </w:pPr>
      <w:r>
        <w:t xml:space="preserve">Have a substantial adverse effect, either directly or through habitat modifications, on any species identified as a candidate, sensitive, or special status species in local or regional plans, policies, or regulations, or by the California Department of Fish and </w:t>
      </w:r>
      <w:r w:rsidR="00C31B7D">
        <w:t>Wildlife</w:t>
      </w:r>
      <w:r>
        <w:t xml:space="preserve"> or U.S. Fish and Wildlife Service?</w:t>
      </w:r>
    </w:p>
    <w:p w14:paraId="4FE4FCB4" w14:textId="555298E1" w:rsidR="002F49CB" w:rsidRPr="00554B63" w:rsidRDefault="006738BE" w:rsidP="002F49CB">
      <w:pPr>
        <w:pStyle w:val="BodyText"/>
      </w:pPr>
      <w:r w:rsidRPr="00554B63">
        <w:rPr>
          <w:rStyle w:val="BodyTextBoldChar"/>
        </w:rPr>
        <w:t>No Impact.</w:t>
      </w:r>
      <w:r w:rsidRPr="00554B63">
        <w:rPr>
          <w:rFonts w:asciiTheme="minorHAnsi" w:eastAsiaTheme="minorHAnsi" w:hAnsiTheme="minorHAnsi" w:cstheme="minorBidi"/>
          <w:szCs w:val="22"/>
        </w:rPr>
        <w:t xml:space="preserve"> </w:t>
      </w:r>
      <w:r w:rsidRPr="00554B63">
        <w:t>Sensitive biological resources are habitats</w:t>
      </w:r>
      <w:r w:rsidRPr="00554B63">
        <w:rPr>
          <w:vertAlign w:val="superscript"/>
        </w:rPr>
        <w:footnoteReference w:id="8"/>
      </w:r>
      <w:r w:rsidRPr="00554B63">
        <w:t xml:space="preserve"> or individual species that have special recognition by federal, state, or local conservation agencies and organizations as endangered, threatened, or rare. As shown in Figure 3, </w:t>
      </w:r>
      <w:r w:rsidRPr="00554B63">
        <w:rPr>
          <w:rStyle w:val="BodyTextItalicChar"/>
        </w:rPr>
        <w:t>Aerial Photograph</w:t>
      </w:r>
      <w:r w:rsidRPr="00554B63">
        <w:t xml:space="preserve">, the project site is </w:t>
      </w:r>
      <w:bookmarkStart w:id="135" w:name="_Hlk1474151"/>
      <w:r w:rsidRPr="00554B63">
        <w:t xml:space="preserve">occupied by the Pepsi </w:t>
      </w:r>
      <w:r w:rsidR="002F49CB" w:rsidRPr="00554B63">
        <w:t>Bottling Group</w:t>
      </w:r>
      <w:r w:rsidR="007F1464" w:rsidRPr="007F1464">
        <w:t xml:space="preserve"> bottling plant</w:t>
      </w:r>
      <w:r w:rsidR="002F49CB" w:rsidRPr="00554B63">
        <w:t xml:space="preserve"> </w:t>
      </w:r>
      <w:r w:rsidR="00967D0A" w:rsidRPr="00554B63">
        <w:t>.</w:t>
      </w:r>
      <w:r w:rsidRPr="00554B63">
        <w:t xml:space="preserve"> </w:t>
      </w:r>
      <w:r w:rsidR="002F49CB" w:rsidRPr="00554B63">
        <w:t>The southeast</w:t>
      </w:r>
      <w:r w:rsidR="00135002">
        <w:t xml:space="preserve"> portion </w:t>
      </w:r>
      <w:r w:rsidR="002F49CB" w:rsidRPr="00554B63">
        <w:t xml:space="preserve">of the site is vacant and undeveloped. The ground cover in this area consists of exposed soil with moderate to extensive native grass and weed growth. Several mature ornamental trees </w:t>
      </w:r>
      <w:r w:rsidR="00154793">
        <w:t xml:space="preserve">and a few shrubs </w:t>
      </w:r>
      <w:r w:rsidR="002F49CB" w:rsidRPr="00554B63">
        <w:t>are at the entrance to the northern parking lot.</w:t>
      </w:r>
      <w:bookmarkEnd w:id="135"/>
      <w:r w:rsidRPr="00554B63">
        <w:t xml:space="preserve"> The site is in a </w:t>
      </w:r>
      <w:r w:rsidR="00135002" w:rsidRPr="00554B63">
        <w:t>highly urbanized</w:t>
      </w:r>
      <w:r w:rsidRPr="00554B63">
        <w:t xml:space="preserve"> area of the </w:t>
      </w:r>
      <w:r w:rsidR="00D90B11">
        <w:t>C</w:t>
      </w:r>
      <w:r w:rsidR="00135002" w:rsidRPr="00554B63">
        <w:t>ity</w:t>
      </w:r>
      <w:r w:rsidRPr="00554B63">
        <w:t xml:space="preserve"> and is surrounded by a mix of commercial </w:t>
      </w:r>
      <w:r w:rsidR="002F49CB" w:rsidRPr="00554B63">
        <w:t xml:space="preserve">and industrial </w:t>
      </w:r>
      <w:r w:rsidRPr="00554B63">
        <w:t>uses.</w:t>
      </w:r>
      <w:r w:rsidR="002F49CB" w:rsidRPr="00554B63">
        <w:t xml:space="preserve"> </w:t>
      </w:r>
    </w:p>
    <w:p w14:paraId="1EBF72A4" w14:textId="77777777" w:rsidR="002F49CB" w:rsidRPr="00554B63" w:rsidRDefault="002F49CB" w:rsidP="002F49CB">
      <w:pPr>
        <w:pStyle w:val="BodyText"/>
      </w:pPr>
      <w:r w:rsidRPr="00554B63">
        <w:t xml:space="preserve">A review of the California Department of Fish and Wildlife </w:t>
      </w:r>
      <w:r w:rsidR="00045431">
        <w:t xml:space="preserve">(CDFW) </w:t>
      </w:r>
      <w:r w:rsidRPr="00554B63">
        <w:t xml:space="preserve">California Natural Biodiversity Database Bios Viewer </w:t>
      </w:r>
      <w:r w:rsidR="00DF20D4">
        <w:t>found</w:t>
      </w:r>
      <w:r w:rsidRPr="00554B63">
        <w:t xml:space="preserve"> </w:t>
      </w:r>
      <w:r w:rsidR="00204E15" w:rsidRPr="00554B63">
        <w:t>six</w:t>
      </w:r>
      <w:r w:rsidRPr="00554B63">
        <w:t xml:space="preserve"> threatened or endangered species in the </w:t>
      </w:r>
      <w:r w:rsidR="00204E15" w:rsidRPr="00554B63">
        <w:t>Baldwin Park</w:t>
      </w:r>
      <w:r w:rsidRPr="00554B63">
        <w:t xml:space="preserve"> Quadrangle</w:t>
      </w:r>
      <w:r w:rsidR="00DF20D4">
        <w:t xml:space="preserve">, which is </w:t>
      </w:r>
      <w:r w:rsidRPr="00554B63">
        <w:t xml:space="preserve">the </w:t>
      </w:r>
      <w:r w:rsidR="00204E15" w:rsidRPr="00554B63">
        <w:t xml:space="preserve">project </w:t>
      </w:r>
      <w:r w:rsidR="00DF20D4">
        <w:t>s</w:t>
      </w:r>
      <w:r w:rsidR="00DF20D4" w:rsidRPr="00554B63">
        <w:t>ite</w:t>
      </w:r>
      <w:r w:rsidR="00DF20D4">
        <w:t>’s</w:t>
      </w:r>
      <w:r w:rsidR="00DF20D4" w:rsidRPr="00554B63">
        <w:t xml:space="preserve"> </w:t>
      </w:r>
      <w:r w:rsidR="00204E15" w:rsidRPr="00554B63">
        <w:t>q</w:t>
      </w:r>
      <w:r w:rsidRPr="00554B63">
        <w:t>uadrangle (CDFW 20</w:t>
      </w:r>
      <w:r w:rsidR="00AF4FEC" w:rsidRPr="00554B63">
        <w:t>21</w:t>
      </w:r>
      <w:r w:rsidRPr="00554B63">
        <w:t xml:space="preserve">). </w:t>
      </w:r>
      <w:r w:rsidR="00DF20D4" w:rsidRPr="00554B63">
        <w:t>The</w:t>
      </w:r>
      <w:r w:rsidR="00DF20D4">
        <w:t xml:space="preserve"> six</w:t>
      </w:r>
      <w:r w:rsidR="00DF20D4" w:rsidRPr="00554B63">
        <w:t xml:space="preserve"> </w:t>
      </w:r>
      <w:r w:rsidRPr="00554B63">
        <w:t xml:space="preserve">species </w:t>
      </w:r>
      <w:r w:rsidR="00DF20D4">
        <w:t>are</w:t>
      </w:r>
      <w:r w:rsidR="00DF20D4" w:rsidRPr="00554B63">
        <w:t xml:space="preserve"> </w:t>
      </w:r>
      <w:r w:rsidRPr="00554B63">
        <w:t xml:space="preserve">the </w:t>
      </w:r>
      <w:r w:rsidR="00204E15" w:rsidRPr="00554B63">
        <w:t xml:space="preserve">coastal California </w:t>
      </w:r>
      <w:r w:rsidR="00DF20D4" w:rsidRPr="00554B63">
        <w:t>g</w:t>
      </w:r>
      <w:r w:rsidR="00204E15" w:rsidRPr="00554B63">
        <w:t>natcatcher, the</w:t>
      </w:r>
      <w:r w:rsidR="00DF20D4" w:rsidRPr="00554B63">
        <w:t xml:space="preserve"> willow flycatcher, the least </w:t>
      </w:r>
      <w:r w:rsidRPr="00554B63">
        <w:t xml:space="preserve">Bell’s </w:t>
      </w:r>
      <w:r w:rsidR="00DF20D4" w:rsidRPr="00554B63">
        <w:t>vireo, the bank swallow, the western yellow-billed cuckoo</w:t>
      </w:r>
      <w:r w:rsidR="00554B63" w:rsidRPr="00554B63">
        <w:t xml:space="preserve">, and the Santa Ana </w:t>
      </w:r>
      <w:r w:rsidR="00DF20D4" w:rsidRPr="00554B63">
        <w:t>s</w:t>
      </w:r>
      <w:r w:rsidR="00554B63" w:rsidRPr="00554B63">
        <w:t>ucker</w:t>
      </w:r>
      <w:r w:rsidRPr="00554B63">
        <w:t xml:space="preserve">. </w:t>
      </w:r>
    </w:p>
    <w:p w14:paraId="319DB613" w14:textId="5CBFD736" w:rsidR="002F49CB" w:rsidRPr="00554B63" w:rsidRDefault="002F49CB" w:rsidP="002F49CB">
      <w:pPr>
        <w:pStyle w:val="BodyText"/>
        <w:rPr>
          <w:rFonts w:cs="Garamond"/>
          <w:szCs w:val="22"/>
        </w:rPr>
      </w:pPr>
      <w:r w:rsidRPr="00554B63">
        <w:t>Based on the existing conditions of the project site and its surroundings</w:t>
      </w:r>
      <w:r w:rsidR="00D302A3">
        <w:t>,</w:t>
      </w:r>
      <w:r w:rsidRPr="00554B63">
        <w:t xml:space="preserve"> there is no riparian or native habitat within or in the vicinity of the project site</w:t>
      </w:r>
      <w:r w:rsidR="00DF20D4">
        <w:t>,</w:t>
      </w:r>
      <w:r w:rsidRPr="00554B63">
        <w:t xml:space="preserve"> and no natural biological resources or communities exist on, adjacent to, or near the project site. </w:t>
      </w:r>
      <w:r w:rsidR="0080040A" w:rsidRPr="0080040A">
        <w:rPr>
          <w:rFonts w:cs="Garamond"/>
          <w:szCs w:val="22"/>
        </w:rPr>
        <w:t>The</w:t>
      </w:r>
      <w:r w:rsidR="0080040A">
        <w:rPr>
          <w:rFonts w:cs="Garamond"/>
          <w:szCs w:val="22"/>
        </w:rPr>
        <w:t xml:space="preserve">re are only limited ornamental trees, a few shrubs, </w:t>
      </w:r>
      <w:r w:rsidR="0080040A" w:rsidRPr="0080040A">
        <w:rPr>
          <w:rFonts w:cs="Garamond"/>
          <w:szCs w:val="22"/>
        </w:rPr>
        <w:t>native</w:t>
      </w:r>
      <w:r w:rsidR="0080040A">
        <w:rPr>
          <w:rFonts w:cs="Garamond"/>
          <w:szCs w:val="22"/>
        </w:rPr>
        <w:t xml:space="preserve"> grass, and weeds on the site. </w:t>
      </w:r>
      <w:r w:rsidRPr="00554B63">
        <w:rPr>
          <w:rFonts w:cs="Garamond"/>
          <w:szCs w:val="22"/>
        </w:rPr>
        <w:t xml:space="preserve">Therefore, the proposed project would not result in a substantial adverse effect, either directly or through habitat modifications, on any species identified as a candidate, sensitive, or special status species in local or regional plans, policies, or regulations. </w:t>
      </w:r>
      <w:r w:rsidRPr="000F753D">
        <w:rPr>
          <w:rFonts w:cs="Garamond"/>
          <w:szCs w:val="22"/>
        </w:rPr>
        <w:t xml:space="preserve">No impact would </w:t>
      </w:r>
      <w:r w:rsidR="00135002" w:rsidRPr="000F753D">
        <w:rPr>
          <w:rFonts w:cs="Garamond"/>
          <w:szCs w:val="22"/>
        </w:rPr>
        <w:t>occur</w:t>
      </w:r>
      <w:r w:rsidRPr="0024021C">
        <w:rPr>
          <w:rFonts w:cs="Garamond"/>
          <w:szCs w:val="22"/>
        </w:rPr>
        <w:t>.</w:t>
      </w:r>
    </w:p>
    <w:p w14:paraId="0A5ECF19" w14:textId="77777777" w:rsidR="00D10CF6" w:rsidRDefault="00D10CF6" w:rsidP="00D10CF6">
      <w:pPr>
        <w:pStyle w:val="List"/>
        <w:numPr>
          <w:ilvl w:val="0"/>
          <w:numId w:val="6"/>
        </w:numPr>
      </w:pPr>
      <w:r>
        <w:t xml:space="preserve">Have a substantial adverse effect on any riparian habitat or other sensitive natural community identified in local or regional plans, policies, regulations, or by the California Department of Fish and </w:t>
      </w:r>
      <w:r w:rsidR="00C31B7D">
        <w:t>Wildlife</w:t>
      </w:r>
      <w:r>
        <w:t xml:space="preserve"> or U.S. Fish and Wildlife Service?</w:t>
      </w:r>
    </w:p>
    <w:p w14:paraId="723B9D8A" w14:textId="77777777" w:rsidR="003C3452" w:rsidRPr="0049427C" w:rsidRDefault="003C3452" w:rsidP="00D10CF6">
      <w:pPr>
        <w:pStyle w:val="BodyText"/>
      </w:pPr>
      <w:r w:rsidRPr="0049427C">
        <w:rPr>
          <w:rStyle w:val="BodyTextBoldChar"/>
        </w:rPr>
        <w:t>No Impact.</w:t>
      </w:r>
      <w:r w:rsidRPr="0049427C">
        <w:t xml:space="preserve"> Sensitive natural communities are natural communities that are considered rare in the region by regulatory agencies; that are known to provide habitat for sensitive animal or plant species; or are known to be important wildlife corridors. Riparian habitats are along the banks of rivers and streams. As demonstrated in Sections 3.4.a and 3.4.c, </w:t>
      </w:r>
      <w:r w:rsidR="00DF20D4" w:rsidRPr="0049427C">
        <w:t>p</w:t>
      </w:r>
      <w:r w:rsidRPr="0049427C">
        <w:t xml:space="preserve">roject development would not result in an impact on any riparian habitat or other sensitive natural community. No impact would </w:t>
      </w:r>
      <w:r w:rsidR="00135002" w:rsidRPr="0049427C">
        <w:t>occur</w:t>
      </w:r>
      <w:r w:rsidRPr="0049427C">
        <w:t>.</w:t>
      </w:r>
    </w:p>
    <w:p w14:paraId="74179E75" w14:textId="77777777" w:rsidR="00D10CF6" w:rsidRDefault="00861E48" w:rsidP="00861E48">
      <w:pPr>
        <w:pStyle w:val="List"/>
      </w:pPr>
      <w:r w:rsidRPr="00861E48">
        <w:t>Have a substantial adverse effect on state or federally protected wetlands (including, but not limited to, marsh, vernal pool, coastal, etc.) through direct removal, filling, hydrological interruption, or other means</w:t>
      </w:r>
      <w:r w:rsidR="00D10CF6">
        <w:t>?</w:t>
      </w:r>
    </w:p>
    <w:p w14:paraId="4926DAED" w14:textId="77777777" w:rsidR="003C3452" w:rsidRPr="00045431" w:rsidRDefault="003C3452" w:rsidP="00D10CF6">
      <w:pPr>
        <w:pStyle w:val="BodyText"/>
        <w:rPr>
          <w:highlight w:val="yellow"/>
        </w:rPr>
      </w:pPr>
      <w:r w:rsidRPr="00045431">
        <w:rPr>
          <w:rStyle w:val="BodyTextBoldChar"/>
        </w:rPr>
        <w:t>No Impact.</w:t>
      </w:r>
      <w:r w:rsidRPr="00045431">
        <w:t xml:space="preserve"> Wetlands are defined under the federal Clean Water Act as land that is flooded or saturated by surface water or groundwater at a frequency and duration sufficient to support, and that normally does support, a prevalence of vegetation adapted to life in saturated soils. Wetlands include areas such as streams, swamps, marshes, and bogs. No wetlands regulated by the US Army Corps of Engineers, US Fish and Wildlife Services (USFWS), </w:t>
      </w:r>
      <w:r w:rsidR="00045431" w:rsidRPr="00045431">
        <w:t>CDFW</w:t>
      </w:r>
      <w:r w:rsidRPr="00045431">
        <w:t xml:space="preserve">, or Los Angeles Regional Water Quality Control Board </w:t>
      </w:r>
      <w:r w:rsidR="00045431" w:rsidRPr="00045431">
        <w:t xml:space="preserve">(RWQCB) </w:t>
      </w:r>
      <w:r w:rsidRPr="00045431">
        <w:t xml:space="preserve">exist on the project site. </w:t>
      </w:r>
      <w:r w:rsidR="009E3ACE">
        <w:t xml:space="preserve">The adjacent </w:t>
      </w:r>
      <w:r w:rsidR="00045431" w:rsidRPr="00045431">
        <w:t xml:space="preserve">Big Dalton Wash </w:t>
      </w:r>
      <w:r w:rsidRPr="00045431">
        <w:rPr>
          <w:rFonts w:cs="Garamond"/>
          <w:szCs w:val="22"/>
        </w:rPr>
        <w:t xml:space="preserve">is mapped </w:t>
      </w:r>
      <w:r w:rsidR="00045431" w:rsidRPr="00045431">
        <w:rPr>
          <w:rFonts w:cs="Garamond"/>
          <w:szCs w:val="22"/>
        </w:rPr>
        <w:t xml:space="preserve">as a Riverine habitat </w:t>
      </w:r>
      <w:r w:rsidRPr="00045431">
        <w:rPr>
          <w:rFonts w:cs="Garamond"/>
          <w:szCs w:val="22"/>
        </w:rPr>
        <w:t>on the USFWS National Wetlands Mapper</w:t>
      </w:r>
      <w:r w:rsidRPr="00045431">
        <w:rPr>
          <w:rStyle w:val="FootnoteReference"/>
          <w:rFonts w:cs="Garamond"/>
          <w:szCs w:val="22"/>
        </w:rPr>
        <w:footnoteReference w:id="9"/>
      </w:r>
      <w:r w:rsidRPr="00045431">
        <w:rPr>
          <w:rFonts w:cs="Garamond"/>
          <w:szCs w:val="22"/>
        </w:rPr>
        <w:t xml:space="preserve"> (USFWS 20</w:t>
      </w:r>
      <w:r w:rsidR="00045431" w:rsidRPr="00045431">
        <w:rPr>
          <w:rFonts w:cs="Garamond"/>
          <w:szCs w:val="22"/>
        </w:rPr>
        <w:t>20</w:t>
      </w:r>
      <w:r w:rsidRPr="00045431">
        <w:rPr>
          <w:rFonts w:cs="Garamond"/>
          <w:szCs w:val="22"/>
        </w:rPr>
        <w:t xml:space="preserve">). </w:t>
      </w:r>
      <w:r w:rsidRPr="00045431">
        <w:t xml:space="preserve">However, the channel consists of concrete bed and banks and therefore does not support wetland resources such as saturated soil or wetland vegetation. Project development would not impact wetlands directly or indirectly. Therefore, no impact would </w:t>
      </w:r>
      <w:r w:rsidR="00135002" w:rsidRPr="00045431">
        <w:t>occur</w:t>
      </w:r>
      <w:r w:rsidRPr="00045431">
        <w:t>.</w:t>
      </w:r>
    </w:p>
    <w:p w14:paraId="72A989A4" w14:textId="77777777" w:rsidR="00D10CF6" w:rsidRDefault="00D10CF6" w:rsidP="00D10CF6">
      <w:pPr>
        <w:pStyle w:val="List"/>
        <w:numPr>
          <w:ilvl w:val="0"/>
          <w:numId w:val="6"/>
        </w:numPr>
      </w:pPr>
      <w:r>
        <w:t>Interfere substantially with the movement of any native resident or migratory fish or wildlife species or with established native resident or migratory wildlife corridors, or impede the use of native wildlife nursery sites?</w:t>
      </w:r>
    </w:p>
    <w:p w14:paraId="6D1246B8" w14:textId="46B02CE6" w:rsidR="006B62C1" w:rsidRPr="0049427C" w:rsidRDefault="003C3452" w:rsidP="003C3452">
      <w:pPr>
        <w:pStyle w:val="BodyText"/>
        <w:rPr>
          <w:bCs/>
        </w:rPr>
      </w:pPr>
      <w:r w:rsidRPr="0049427C">
        <w:rPr>
          <w:rStyle w:val="BodyTextBoldChar"/>
        </w:rPr>
        <w:t xml:space="preserve">Less Than Significant Impact. </w:t>
      </w:r>
      <w:r w:rsidR="006B62C1">
        <w:t xml:space="preserve">There are no corridors valuable for overland wildlife movement or migration on, adjacent to, or in proximity </w:t>
      </w:r>
      <w:r w:rsidR="003331FA">
        <w:t xml:space="preserve">to </w:t>
      </w:r>
      <w:r w:rsidR="006B62C1">
        <w:t xml:space="preserve">the project site. </w:t>
      </w:r>
      <w:r w:rsidR="00A363B5">
        <w:t xml:space="preserve">The project site and surroundings are in an urbanized </w:t>
      </w:r>
      <w:r w:rsidR="006D07F4">
        <w:t xml:space="preserve">area </w:t>
      </w:r>
      <w:r w:rsidR="006D07F4" w:rsidRPr="006D07F4">
        <w:t>and</w:t>
      </w:r>
      <w:r w:rsidR="00A363B5" w:rsidRPr="006D07F4">
        <w:t xml:space="preserve"> </w:t>
      </w:r>
      <w:r w:rsidR="00A363B5" w:rsidRPr="000D40EF">
        <w:t>not available for overland wildlife movement.</w:t>
      </w:r>
      <w:r w:rsidR="00A363B5">
        <w:t xml:space="preserve"> Big Dalton</w:t>
      </w:r>
      <w:r w:rsidR="006B62C1">
        <w:t xml:space="preserve"> Wash, which passes a few feet </w:t>
      </w:r>
      <w:r w:rsidR="00A363B5">
        <w:t xml:space="preserve">north </w:t>
      </w:r>
      <w:r w:rsidR="006B62C1">
        <w:t xml:space="preserve">of the </w:t>
      </w:r>
      <w:r w:rsidR="00A363B5">
        <w:t xml:space="preserve">northern </w:t>
      </w:r>
      <w:r w:rsidR="006B62C1">
        <w:t>site boundary, is a flood control channel that consist</w:t>
      </w:r>
      <w:r w:rsidR="00846E72">
        <w:t>s</w:t>
      </w:r>
      <w:r w:rsidR="006B62C1">
        <w:t xml:space="preserve"> of concrete bed and banks. </w:t>
      </w:r>
      <w:r w:rsidR="0080040A" w:rsidRPr="0080040A">
        <w:t xml:space="preserve">Project development would take place within the boundaries of the project site and would not impact </w:t>
      </w:r>
      <w:r w:rsidR="0080040A">
        <w:t>the Big Dalton Wash</w:t>
      </w:r>
      <w:r w:rsidR="0080040A" w:rsidRPr="0080040A">
        <w:t>.</w:t>
      </w:r>
      <w:r w:rsidR="0080040A">
        <w:t xml:space="preserve"> </w:t>
      </w:r>
      <w:r w:rsidR="006B62C1">
        <w:t xml:space="preserve">Furthermore, the project site is </w:t>
      </w:r>
      <w:r w:rsidR="0062738D">
        <w:t xml:space="preserve">mostly </w:t>
      </w:r>
      <w:r w:rsidR="006B62C1">
        <w:t xml:space="preserve">developed </w:t>
      </w:r>
      <w:r w:rsidR="00135002">
        <w:t>except for</w:t>
      </w:r>
      <w:r w:rsidR="006B62C1">
        <w:t xml:space="preserve"> t</w:t>
      </w:r>
      <w:r w:rsidR="006B62C1" w:rsidRPr="00554B63">
        <w:t>he southeastern area of the site</w:t>
      </w:r>
      <w:r w:rsidR="00A363B5">
        <w:t>,</w:t>
      </w:r>
      <w:r w:rsidR="006B62C1" w:rsidRPr="00554B63">
        <w:t xml:space="preserve"> </w:t>
      </w:r>
      <w:r w:rsidR="006B62C1">
        <w:t>which</w:t>
      </w:r>
      <w:r w:rsidR="006B62C1" w:rsidRPr="00554B63">
        <w:t xml:space="preserve"> consists of native grass and weed growth. Several mature ornamental trees </w:t>
      </w:r>
      <w:r w:rsidR="0062738D">
        <w:t xml:space="preserve">and shrubs </w:t>
      </w:r>
      <w:r w:rsidR="006B62C1" w:rsidRPr="00554B63">
        <w:t xml:space="preserve">are at the entrance to the northern parking lot </w:t>
      </w:r>
      <w:r w:rsidR="006B62C1">
        <w:t>(see Figure 3</w:t>
      </w:r>
      <w:r w:rsidR="00FA55B9">
        <w:t xml:space="preserve">, </w:t>
      </w:r>
      <w:r w:rsidR="00FA55B9" w:rsidRPr="00554B63">
        <w:rPr>
          <w:rStyle w:val="BodyTextItalicChar"/>
        </w:rPr>
        <w:t>Aerial Photograph</w:t>
      </w:r>
      <w:r w:rsidR="006B62C1">
        <w:t xml:space="preserve">). </w:t>
      </w:r>
      <w:r w:rsidR="0062738D">
        <w:t xml:space="preserve">It is </w:t>
      </w:r>
      <w:r w:rsidR="0062738D" w:rsidRPr="00DA765C">
        <w:t>unlikely</w:t>
      </w:r>
      <w:r w:rsidR="0062738D">
        <w:t xml:space="preserve"> that the trees, shrubs, grasses, and weeds on</w:t>
      </w:r>
      <w:r w:rsidR="00A363B5">
        <w:t>-</w:t>
      </w:r>
      <w:r w:rsidR="0062738D">
        <w:t>site would provide suitable</w:t>
      </w:r>
      <w:r w:rsidR="0062738D" w:rsidRPr="0062738D">
        <w:t xml:space="preserve"> habitat for any native resident or wildlife species. </w:t>
      </w:r>
      <w:r w:rsidR="006B62C1">
        <w:t xml:space="preserve">Therefore, no impact would </w:t>
      </w:r>
      <w:r w:rsidR="0062738D">
        <w:t>occur</w:t>
      </w:r>
      <w:r w:rsidR="006B62C1">
        <w:t>.</w:t>
      </w:r>
    </w:p>
    <w:p w14:paraId="713001A5" w14:textId="77777777" w:rsidR="00D10CF6" w:rsidRDefault="00D10CF6" w:rsidP="00D10CF6">
      <w:pPr>
        <w:pStyle w:val="List"/>
        <w:numPr>
          <w:ilvl w:val="0"/>
          <w:numId w:val="6"/>
        </w:numPr>
      </w:pPr>
      <w:r>
        <w:t>Conflict with any local policies or ordinances protecting biological resources, such as a tree preservation policy or ordinance?</w:t>
      </w:r>
    </w:p>
    <w:p w14:paraId="59BBFA12" w14:textId="68A4D064" w:rsidR="003C3452" w:rsidRPr="003C3452" w:rsidRDefault="003C3452" w:rsidP="00D10CF6">
      <w:pPr>
        <w:pStyle w:val="BodyText"/>
        <w:rPr>
          <w:color w:val="4F81BD" w:themeColor="accent1"/>
        </w:rPr>
      </w:pPr>
      <w:r w:rsidRPr="00AE1157">
        <w:rPr>
          <w:rStyle w:val="BodyTextBoldChar"/>
        </w:rPr>
        <w:t xml:space="preserve">No Impact. </w:t>
      </w:r>
      <w:r w:rsidRPr="00AE1157">
        <w:t>As shown in Figure 3</w:t>
      </w:r>
      <w:r w:rsidR="00FA55B9">
        <w:t xml:space="preserve">, </w:t>
      </w:r>
      <w:r w:rsidR="00FA55B9" w:rsidRPr="00554B63">
        <w:rPr>
          <w:rStyle w:val="BodyTextItalicChar"/>
        </w:rPr>
        <w:t>Aerial Photograph</w:t>
      </w:r>
      <w:r w:rsidRPr="00AE1157">
        <w:t xml:space="preserve">, the project site is void of vegetation </w:t>
      </w:r>
      <w:r w:rsidR="00135002" w:rsidRPr="00AE1157">
        <w:t>except for</w:t>
      </w:r>
      <w:r w:rsidRPr="00AE1157">
        <w:t xml:space="preserve"> </w:t>
      </w:r>
      <w:r w:rsidR="00AE1157" w:rsidRPr="00AE1157">
        <w:t>ornamental</w:t>
      </w:r>
      <w:r w:rsidRPr="00AE1157">
        <w:t xml:space="preserve"> trees and </w:t>
      </w:r>
      <w:r w:rsidRPr="00113AE4">
        <w:t xml:space="preserve">shrubs </w:t>
      </w:r>
      <w:r w:rsidR="00AE1157" w:rsidRPr="00113AE4">
        <w:t xml:space="preserve">at the western entrance and native grass and weed growth in the southeast area of the site. </w:t>
      </w:r>
      <w:r w:rsidRPr="00113AE4">
        <w:t xml:space="preserve">Project development would include the removal of approximately </w:t>
      </w:r>
      <w:r w:rsidR="00A363B5">
        <w:t>eight</w:t>
      </w:r>
      <w:r w:rsidR="00A363B5" w:rsidRPr="00113AE4">
        <w:t xml:space="preserve"> </w:t>
      </w:r>
      <w:r w:rsidRPr="00113AE4">
        <w:t>trees onsite—type</w:t>
      </w:r>
      <w:r w:rsidR="00A363B5">
        <w:t>s</w:t>
      </w:r>
      <w:r w:rsidRPr="00113AE4">
        <w:t xml:space="preserve"> and common name</w:t>
      </w:r>
      <w:r w:rsidR="00A363B5">
        <w:t>s</w:t>
      </w:r>
      <w:r w:rsidRPr="00113AE4">
        <w:t xml:space="preserve"> of </w:t>
      </w:r>
      <w:r w:rsidR="00A363B5">
        <w:t xml:space="preserve">these </w:t>
      </w:r>
      <w:r w:rsidRPr="00113AE4">
        <w:t xml:space="preserve">trees </w:t>
      </w:r>
      <w:r w:rsidR="00A363B5">
        <w:t>are</w:t>
      </w:r>
      <w:r w:rsidR="00A363B5" w:rsidRPr="00113AE4">
        <w:t xml:space="preserve"> </w:t>
      </w:r>
      <w:r w:rsidRPr="00113AE4">
        <w:t xml:space="preserve">unknown at this time. Although </w:t>
      </w:r>
      <w:r w:rsidR="00AE1157" w:rsidRPr="00113AE4">
        <w:t>p</w:t>
      </w:r>
      <w:r w:rsidRPr="00113AE4">
        <w:t>roject development would involve removal of trees, there are no trees or other biological resources on</w:t>
      </w:r>
      <w:r w:rsidR="00A363B5">
        <w:t>-</w:t>
      </w:r>
      <w:r w:rsidRPr="00113AE4">
        <w:t xml:space="preserve">site that could be subject to any City policies or ordinances protecting such resources, including </w:t>
      </w:r>
      <w:r w:rsidR="00846E72">
        <w:t xml:space="preserve">Irwindale </w:t>
      </w:r>
      <w:r w:rsidR="00846E72" w:rsidRPr="00E76985">
        <w:t>M</w:t>
      </w:r>
      <w:r w:rsidR="00A363B5" w:rsidRPr="000419FD">
        <w:t xml:space="preserve">unicipal </w:t>
      </w:r>
      <w:r w:rsidR="00846E72" w:rsidRPr="00E76985">
        <w:t>C</w:t>
      </w:r>
      <w:r w:rsidR="00A363B5" w:rsidRPr="000419FD">
        <w:t>ode</w:t>
      </w:r>
      <w:r w:rsidRPr="000419FD">
        <w:t xml:space="preserve"> Section </w:t>
      </w:r>
      <w:r w:rsidR="00113AE4" w:rsidRPr="000419FD">
        <w:t>12.10.030</w:t>
      </w:r>
      <w:r w:rsidR="00113AE4" w:rsidRPr="00113AE4">
        <w:t xml:space="preserve">. This section governs the planting, maintenance, and removal of trees and landscaping in the public right-of-way. </w:t>
      </w:r>
      <w:r w:rsidRPr="00113AE4">
        <w:t>All trees on</w:t>
      </w:r>
      <w:r w:rsidR="00A363B5">
        <w:t>-</w:t>
      </w:r>
      <w:r w:rsidRPr="00113AE4">
        <w:t xml:space="preserve">site are on private property and not in </w:t>
      </w:r>
      <w:r w:rsidR="00113AE4" w:rsidRPr="00113AE4">
        <w:t xml:space="preserve">the </w:t>
      </w:r>
      <w:r w:rsidRPr="00113AE4">
        <w:t xml:space="preserve">public right-of-way—there are no trees along the </w:t>
      </w:r>
      <w:r w:rsidR="00113AE4" w:rsidRPr="00113AE4">
        <w:t>Azusa Canyon</w:t>
      </w:r>
      <w:r w:rsidRPr="00113AE4">
        <w:t xml:space="preserve"> Road or </w:t>
      </w:r>
      <w:r w:rsidR="00113AE4" w:rsidRPr="00113AE4">
        <w:t>Los Angeles Street</w:t>
      </w:r>
      <w:r w:rsidRPr="00113AE4">
        <w:t xml:space="preserve"> right-of-way fronting the project site. Furthermore, the </w:t>
      </w:r>
      <w:r w:rsidR="00113AE4" w:rsidRPr="00113AE4">
        <w:t>proposed p</w:t>
      </w:r>
      <w:r w:rsidRPr="00113AE4">
        <w:t xml:space="preserve">roject would provide </w:t>
      </w:r>
      <w:r w:rsidR="00A363B5">
        <w:t>many more</w:t>
      </w:r>
      <w:r w:rsidRPr="00113AE4">
        <w:t xml:space="preserve"> trees (approximately </w:t>
      </w:r>
      <w:r w:rsidR="00113AE4" w:rsidRPr="00113AE4">
        <w:t>68</w:t>
      </w:r>
      <w:r w:rsidRPr="00113AE4">
        <w:t xml:space="preserve">) than currently exist. Therefore, no impact would </w:t>
      </w:r>
      <w:r w:rsidR="002D5727" w:rsidRPr="00113AE4">
        <w:t>occur</w:t>
      </w:r>
      <w:r w:rsidRPr="00113AE4">
        <w:t>.</w:t>
      </w:r>
    </w:p>
    <w:p w14:paraId="1B756A5F" w14:textId="77777777" w:rsidR="00D10CF6" w:rsidRDefault="00D10CF6" w:rsidP="00D10CF6">
      <w:pPr>
        <w:pStyle w:val="List"/>
        <w:numPr>
          <w:ilvl w:val="0"/>
          <w:numId w:val="6"/>
        </w:numPr>
      </w:pPr>
      <w:r>
        <w:t>Conflict with the provisions of an adopted Habitat Conservation Plan, Natural Community Conservation Plan, or other approved local, regional, or state habitat conservation plan?</w:t>
      </w:r>
    </w:p>
    <w:p w14:paraId="027E6C39" w14:textId="224393BC" w:rsidR="003C3452" w:rsidRPr="003C3452" w:rsidRDefault="003C3452" w:rsidP="00D10CF6">
      <w:pPr>
        <w:pStyle w:val="BodyText"/>
        <w:rPr>
          <w:color w:val="4F81BD" w:themeColor="accent1"/>
        </w:rPr>
      </w:pPr>
      <w:r w:rsidRPr="00801B2A">
        <w:rPr>
          <w:rStyle w:val="BodyTextBoldChar"/>
        </w:rPr>
        <w:t>No Impact.</w:t>
      </w:r>
      <w:r w:rsidRPr="00801B2A">
        <w:t xml:space="preserve"> The project site is in a highly urbanized area of the </w:t>
      </w:r>
      <w:r w:rsidR="002D5727" w:rsidRPr="00801B2A">
        <w:t>city</w:t>
      </w:r>
      <w:r w:rsidRPr="00801B2A">
        <w:t xml:space="preserve"> and surrounded by industrial</w:t>
      </w:r>
      <w:r w:rsidR="00AE1157" w:rsidRPr="00801B2A">
        <w:t xml:space="preserve"> and </w:t>
      </w:r>
      <w:r w:rsidRPr="00801B2A">
        <w:t>commercial</w:t>
      </w:r>
      <w:r w:rsidR="00AE1157" w:rsidRPr="00801B2A">
        <w:t xml:space="preserve"> uses </w:t>
      </w:r>
      <w:r w:rsidRPr="00801B2A">
        <w:t>(see Figure 3</w:t>
      </w:r>
      <w:r w:rsidR="00FA55B9">
        <w:t xml:space="preserve">, </w:t>
      </w:r>
      <w:r w:rsidR="00FA55B9" w:rsidRPr="00554B63">
        <w:rPr>
          <w:rStyle w:val="BodyTextItalicChar"/>
        </w:rPr>
        <w:t>Aerial Photograph</w:t>
      </w:r>
      <w:r w:rsidRPr="00801B2A">
        <w:t xml:space="preserve">). </w:t>
      </w:r>
      <w:r w:rsidR="00A363B5">
        <w:t>It</w:t>
      </w:r>
      <w:r w:rsidRPr="00801B2A">
        <w:t xml:space="preserve"> is not in a habitat conservation plan or natural community conservation plan (USFWS 2016; CDFW 2019). The </w:t>
      </w:r>
      <w:r w:rsidR="00801B2A" w:rsidRPr="00801B2A">
        <w:t>San Gabriel</w:t>
      </w:r>
      <w:r w:rsidR="00801B2A">
        <w:t xml:space="preserve"> </w:t>
      </w:r>
      <w:r w:rsidR="00801B2A" w:rsidRPr="00801B2A">
        <w:t>Canyon</w:t>
      </w:r>
      <w:r w:rsidRPr="00801B2A">
        <w:t xml:space="preserve"> Significant Ecological Area (SEA #1</w:t>
      </w:r>
      <w:r w:rsidR="00801B2A" w:rsidRPr="00801B2A">
        <w:t>9</w:t>
      </w:r>
      <w:r w:rsidRPr="00801B2A">
        <w:t>) is the closest protected SEA</w:t>
      </w:r>
      <w:r w:rsidR="00A363B5">
        <w:t xml:space="preserve">, </w:t>
      </w:r>
      <w:r w:rsidR="00A363B5" w:rsidRPr="00801B2A">
        <w:t>approximately 0.9 mile</w:t>
      </w:r>
      <w:r w:rsidR="00846E72">
        <w:t>s</w:t>
      </w:r>
      <w:r w:rsidR="00A363B5" w:rsidRPr="00801B2A">
        <w:t xml:space="preserve"> north</w:t>
      </w:r>
      <w:r w:rsidRPr="00801B2A">
        <w:t xml:space="preserve"> </w:t>
      </w:r>
      <w:r w:rsidR="00A363B5">
        <w:t>of</w:t>
      </w:r>
      <w:r w:rsidR="00A363B5" w:rsidRPr="00801B2A">
        <w:t xml:space="preserve"> </w:t>
      </w:r>
      <w:r w:rsidRPr="00801B2A">
        <w:t xml:space="preserve">the project site (DRP 2019). </w:t>
      </w:r>
      <w:r w:rsidR="00801B2A" w:rsidRPr="00801B2A">
        <w:t>P</w:t>
      </w:r>
      <w:r w:rsidRPr="00801B2A">
        <w:t xml:space="preserve">roject development would </w:t>
      </w:r>
      <w:r w:rsidR="00A363B5">
        <w:t>take place</w:t>
      </w:r>
      <w:r w:rsidR="00A363B5" w:rsidRPr="00801B2A">
        <w:t xml:space="preserve"> </w:t>
      </w:r>
      <w:r w:rsidRPr="00801B2A">
        <w:t xml:space="preserve">within the </w:t>
      </w:r>
      <w:r w:rsidR="00A363B5">
        <w:t>boundaries</w:t>
      </w:r>
      <w:r w:rsidR="00A363B5" w:rsidRPr="00801B2A">
        <w:t xml:space="preserve"> </w:t>
      </w:r>
      <w:r w:rsidRPr="00801B2A">
        <w:t xml:space="preserve">of the project site </w:t>
      </w:r>
      <w:r w:rsidR="00801B2A" w:rsidRPr="00801B2A">
        <w:t xml:space="preserve">and </w:t>
      </w:r>
      <w:r w:rsidR="00846E72">
        <w:t>is not anticipated to</w:t>
      </w:r>
      <w:r w:rsidRPr="00801B2A">
        <w:t xml:space="preserve"> impact the SEA in any way. Therefore, no impact </w:t>
      </w:r>
      <w:r w:rsidR="000F753D">
        <w:t>is expected to</w:t>
      </w:r>
      <w:r w:rsidR="000F753D" w:rsidRPr="00801B2A">
        <w:t xml:space="preserve"> </w:t>
      </w:r>
      <w:r w:rsidR="002D5727" w:rsidRPr="00801B2A">
        <w:t>occur</w:t>
      </w:r>
      <w:r w:rsidRPr="00801B2A">
        <w:t>.</w:t>
      </w:r>
    </w:p>
    <w:p w14:paraId="470A728A" w14:textId="77777777" w:rsidR="00D10CF6" w:rsidRPr="00056011" w:rsidRDefault="00D10CF6" w:rsidP="00D10CF6">
      <w:pPr>
        <w:pStyle w:val="Heading2"/>
      </w:pPr>
      <w:bookmarkStart w:id="136" w:name="_Toc90882157"/>
      <w:r w:rsidRPr="00056011">
        <w:t>CULTURAL RESOURCES</w:t>
      </w:r>
      <w:bookmarkEnd w:id="136"/>
    </w:p>
    <w:p w14:paraId="76D8FBF0" w14:textId="77777777" w:rsidR="00207936" w:rsidRPr="003B3586" w:rsidRDefault="00207936" w:rsidP="00207936">
      <w:pPr>
        <w:pStyle w:val="BodyText"/>
      </w:pPr>
      <w:r w:rsidRPr="003B3586">
        <w:t xml:space="preserve">The analysis in this section is based partly on the following technical study, which is included as Appendix </w:t>
      </w:r>
      <w:r w:rsidR="003A20AD">
        <w:t>C</w:t>
      </w:r>
      <w:r w:rsidRPr="003B3586">
        <w:t xml:space="preserve"> to this Initial Study:</w:t>
      </w:r>
    </w:p>
    <w:p w14:paraId="7D4614EE" w14:textId="77777777" w:rsidR="00207936" w:rsidRPr="003B3586" w:rsidRDefault="003B3586" w:rsidP="0023526D">
      <w:pPr>
        <w:pStyle w:val="Bullet1last"/>
      </w:pPr>
      <w:r w:rsidRPr="00D71ABD">
        <w:rPr>
          <w:i/>
          <w:iCs/>
        </w:rPr>
        <w:t>Cultural and Paleontological Resources Assessment Report for the 4416 Azusa Canyon Road Project</w:t>
      </w:r>
      <w:r w:rsidRPr="003B3586">
        <w:t xml:space="preserve">, Cogstone, </w:t>
      </w:r>
      <w:r w:rsidR="00207936" w:rsidRPr="003B3586">
        <w:t xml:space="preserve">July </w:t>
      </w:r>
      <w:r w:rsidRPr="003B3586">
        <w:t>2021</w:t>
      </w:r>
      <w:r w:rsidR="00207936" w:rsidRPr="003B3586">
        <w:t>.</w:t>
      </w:r>
    </w:p>
    <w:p w14:paraId="049DDA49" w14:textId="77777777" w:rsidR="0023526D" w:rsidRDefault="0023526D" w:rsidP="0023526D">
      <w:pPr>
        <w:pStyle w:val="BodyText"/>
      </w:pPr>
      <w:r>
        <w:t>Would the project:</w:t>
      </w:r>
    </w:p>
    <w:p w14:paraId="36CBE4AF" w14:textId="77777777" w:rsidR="00D10CF6" w:rsidRDefault="00861E48" w:rsidP="00861E48">
      <w:pPr>
        <w:pStyle w:val="List"/>
        <w:numPr>
          <w:ilvl w:val="0"/>
          <w:numId w:val="5"/>
        </w:numPr>
      </w:pPr>
      <w:r w:rsidRPr="00861E48">
        <w:t>Cause a substantial adverse change in the significance of a historica</w:t>
      </w:r>
      <w:r>
        <w:t xml:space="preserve">l resource pursuant to </w:t>
      </w:r>
      <w:r w:rsidR="00D10CF6">
        <w:t>§ 15064.5?</w:t>
      </w:r>
    </w:p>
    <w:p w14:paraId="4710CFF6" w14:textId="77777777" w:rsidR="00081999" w:rsidRPr="00081999" w:rsidRDefault="00D10CF6" w:rsidP="00081999">
      <w:pPr>
        <w:pStyle w:val="BodyText"/>
      </w:pPr>
      <w:r w:rsidRPr="008802D0">
        <w:rPr>
          <w:rStyle w:val="BodyTextBoldChar"/>
        </w:rPr>
        <w:t xml:space="preserve">No Impact. </w:t>
      </w:r>
      <w:r w:rsidR="00081999" w:rsidRPr="008802D0">
        <w:t>California, through the State Historic Preservation Office, maintains an inventory of sites and structures that are considered historically significant. State historic preservation regulations include the statutes and guidelines in CEQA and the Public Resources Code (PRC). A historical resource includes, but is not limited to,</w:t>
      </w:r>
      <w:r w:rsidR="00081999" w:rsidRPr="00081999">
        <w:t xml:space="preserve"> any object, building, structure, site, area, place, record, or manuscript, that is historically or archaeologically significant. The state regulations that govern historic resources and structures include PRC Section 5024.1 and CEQA Guidelines Sections 15064.5(a) and 15064.5(b). According to PRC Section 5024.1(c):</w:t>
      </w:r>
    </w:p>
    <w:p w14:paraId="6B06E7A8" w14:textId="77777777" w:rsidR="00081999" w:rsidRPr="00081999" w:rsidRDefault="00081999" w:rsidP="00267180">
      <w:pPr>
        <w:pStyle w:val="BodyText"/>
        <w:ind w:left="1080" w:right="720" w:hanging="360"/>
      </w:pPr>
      <w:r w:rsidRPr="00081999">
        <w:t xml:space="preserve">(c) </w:t>
      </w:r>
      <w:r w:rsidRPr="00081999">
        <w:tab/>
        <w:t>A resource may be listed as an historical resource in the California Register if it meets any of the following National Register of Historic Places criteria:</w:t>
      </w:r>
    </w:p>
    <w:p w14:paraId="02F20954" w14:textId="77777777" w:rsidR="00081999" w:rsidRPr="00081999" w:rsidRDefault="00081999" w:rsidP="00267180">
      <w:pPr>
        <w:pStyle w:val="BodyText"/>
        <w:ind w:left="1440" w:right="720" w:hanging="360"/>
      </w:pPr>
      <w:r w:rsidRPr="00081999">
        <w:t xml:space="preserve">(1) </w:t>
      </w:r>
      <w:r w:rsidRPr="00081999">
        <w:tab/>
        <w:t>Is associated with events that have made a significant contribution to the broad patterns of California’s history and cultural heritage.</w:t>
      </w:r>
    </w:p>
    <w:p w14:paraId="1A5C8135" w14:textId="77777777" w:rsidR="00081999" w:rsidRPr="00081999" w:rsidRDefault="00081999" w:rsidP="00267180">
      <w:pPr>
        <w:pStyle w:val="BodyText"/>
        <w:ind w:left="1440" w:right="720" w:hanging="360"/>
      </w:pPr>
      <w:r w:rsidRPr="00081999">
        <w:t xml:space="preserve">(2) </w:t>
      </w:r>
      <w:r w:rsidRPr="00081999">
        <w:tab/>
        <w:t>Is associated with the lives of persons important in our past.</w:t>
      </w:r>
    </w:p>
    <w:p w14:paraId="69D58FBE" w14:textId="77777777" w:rsidR="00081999" w:rsidRPr="00081999" w:rsidRDefault="00081999" w:rsidP="00267180">
      <w:pPr>
        <w:pStyle w:val="BodyText"/>
        <w:ind w:left="1440" w:right="720" w:hanging="360"/>
      </w:pPr>
      <w:r w:rsidRPr="00081999">
        <w:t xml:space="preserve">(3) </w:t>
      </w:r>
      <w:r w:rsidRPr="00081999">
        <w:tab/>
        <w:t>Embodies the distinctive characteristics of a type, period, region, or method of construction, or represents the work of an important creative individual, or possesses high artistic values.</w:t>
      </w:r>
    </w:p>
    <w:p w14:paraId="40F8536D" w14:textId="77777777" w:rsidR="00081999" w:rsidRPr="00081999" w:rsidRDefault="00081999" w:rsidP="00267180">
      <w:pPr>
        <w:pStyle w:val="BodyText"/>
        <w:ind w:left="1440" w:right="720" w:hanging="360"/>
      </w:pPr>
      <w:r w:rsidRPr="00081999">
        <w:t xml:space="preserve">(4) </w:t>
      </w:r>
      <w:r w:rsidRPr="00081999">
        <w:tab/>
        <w:t>Has yielded, or may be likely to yield, information important in prehistory or history.</w:t>
      </w:r>
    </w:p>
    <w:p w14:paraId="11A5498D" w14:textId="77777777" w:rsidR="00081999" w:rsidRPr="00081999" w:rsidRDefault="00081999" w:rsidP="00081999">
      <w:pPr>
        <w:pStyle w:val="BodyText"/>
      </w:pPr>
      <w:r w:rsidRPr="00081999">
        <w:t>Additionally, the U.S. Department of</w:t>
      </w:r>
      <w:r w:rsidR="00A363B5">
        <w:t xml:space="preserve"> the</w:t>
      </w:r>
      <w:r w:rsidRPr="00081999">
        <w:t xml:space="preserve"> Interior has established specific federal guidelines and criteria that indicate the manner in which a site, structure, or district is to be defined as having historic significance and in the determination of its eligibility for listing on the National Register of Historic Places. To be considered eligible for the National Register, a property’s significance may be determined if the property is associated with events, activities, or developments that were important in the past</w:t>
      </w:r>
      <w:r w:rsidR="00A363B5">
        <w:t>;</w:t>
      </w:r>
      <w:r w:rsidRPr="00081999">
        <w:t xml:space="preserve"> with the lives of people who were important in the past</w:t>
      </w:r>
      <w:r w:rsidR="00A363B5">
        <w:t>;</w:t>
      </w:r>
      <w:r w:rsidRPr="00081999">
        <w:t xml:space="preserve"> or represents significant architectural, landscape, or engineering elements.</w:t>
      </w:r>
    </w:p>
    <w:p w14:paraId="0D036E9B" w14:textId="77777777" w:rsidR="00207936" w:rsidRPr="00081999" w:rsidRDefault="00081999" w:rsidP="00081999">
      <w:pPr>
        <w:pStyle w:val="BodyText"/>
      </w:pPr>
      <w:r w:rsidRPr="00081999">
        <w:t>Irwindale established a historic preservation ordinance in 2009</w:t>
      </w:r>
      <w:r w:rsidR="00A363B5">
        <w:t xml:space="preserve"> that</w:t>
      </w:r>
      <w:r w:rsidRPr="00081999">
        <w:t xml:space="preserve"> allows for the designation of individual landmarks. The City has not yet conducted a citywide survey of historic resources. The “Cultural </w:t>
      </w:r>
      <w:r w:rsidR="00A363B5">
        <w:t>and</w:t>
      </w:r>
      <w:r w:rsidR="00A363B5" w:rsidRPr="00081999">
        <w:t xml:space="preserve"> </w:t>
      </w:r>
      <w:r w:rsidRPr="00081999">
        <w:t>Historic Resources” section in the City’s General Plan list</w:t>
      </w:r>
      <w:r w:rsidR="00A363B5">
        <w:t>s</w:t>
      </w:r>
      <w:r w:rsidRPr="00081999">
        <w:t xml:space="preserve"> “Existing Historic Resources in Irwindale” </w:t>
      </w:r>
      <w:r w:rsidR="00A363B5">
        <w:t xml:space="preserve">by </w:t>
      </w:r>
      <w:r w:rsidRPr="00081999">
        <w:t>identifying three sites of historical significance</w:t>
      </w:r>
      <w:r>
        <w:t xml:space="preserve"> (LAC 2020)</w:t>
      </w:r>
      <w:r w:rsidRPr="00081999">
        <w:t>.</w:t>
      </w:r>
    </w:p>
    <w:p w14:paraId="57B6F59E" w14:textId="77777777" w:rsidR="008802D0" w:rsidRPr="008802D0" w:rsidRDefault="00207936" w:rsidP="00207936">
      <w:pPr>
        <w:pStyle w:val="BodyText"/>
      </w:pPr>
      <w:r w:rsidRPr="008802D0">
        <w:t xml:space="preserve">As shown in Figure 3, </w:t>
      </w:r>
      <w:r w:rsidRPr="008802D0">
        <w:rPr>
          <w:rStyle w:val="BodyTextItalicChar"/>
        </w:rPr>
        <w:t>Aerial Photograph</w:t>
      </w:r>
      <w:r w:rsidRPr="008802D0">
        <w:t xml:space="preserve">, </w:t>
      </w:r>
      <w:r w:rsidR="008802D0" w:rsidRPr="008802D0">
        <w:t xml:space="preserve">the site is presently developed with the Pepsi Bottling Group </w:t>
      </w:r>
      <w:r w:rsidR="007F1464">
        <w:t>bottling plant</w:t>
      </w:r>
      <w:r w:rsidR="008802D0" w:rsidRPr="008802D0">
        <w:t xml:space="preserve">, a large metal shed north of the building, and a loading dock and large truck yard on the eastern portion of the site. The project site appears to have been used as an orchard from at least 1928 until around 1952 when the site was vacant. The current main building was constructed in 1956. </w:t>
      </w:r>
    </w:p>
    <w:p w14:paraId="20F988EA" w14:textId="442F3C1E" w:rsidR="00207936" w:rsidRPr="008802D0" w:rsidRDefault="00207936" w:rsidP="00207936">
      <w:pPr>
        <w:pStyle w:val="BodyText"/>
      </w:pPr>
      <w:r w:rsidRPr="008802D0">
        <w:t xml:space="preserve">Project development would involve demolition of the </w:t>
      </w:r>
      <w:r w:rsidR="008802D0" w:rsidRPr="008802D0">
        <w:t xml:space="preserve">existing </w:t>
      </w:r>
      <w:r w:rsidR="00AC6999">
        <w:t>building</w:t>
      </w:r>
      <w:r w:rsidR="00AC6999" w:rsidRPr="008802D0">
        <w:t xml:space="preserve"> </w:t>
      </w:r>
      <w:r w:rsidRPr="008802D0">
        <w:t xml:space="preserve">and other site improvements. The state-recommended threshold under which buildings may be considered historic resources is a construction age of 50 years (California Code of Regulations </w:t>
      </w:r>
      <w:r w:rsidR="00A363B5">
        <w:t xml:space="preserve">Section </w:t>
      </w:r>
      <w:r w:rsidRPr="008802D0">
        <w:t>4852.d.2). Although the building has been standing for approximately 6</w:t>
      </w:r>
      <w:r w:rsidR="008802D0" w:rsidRPr="008802D0">
        <w:t>5</w:t>
      </w:r>
      <w:r w:rsidRPr="008802D0">
        <w:t xml:space="preserve"> years, it is not considered </w:t>
      </w:r>
      <w:r w:rsidRPr="001B1EED">
        <w:t>historic. No historical events have occurred on</w:t>
      </w:r>
      <w:r w:rsidR="00A363B5">
        <w:t>-</w:t>
      </w:r>
      <w:r w:rsidRPr="001B1EED">
        <w:t xml:space="preserve">site or in the building, and no persons of significance have resided </w:t>
      </w:r>
      <w:r w:rsidRPr="008802D0">
        <w:t>or currently reside on</w:t>
      </w:r>
      <w:r w:rsidR="00A363B5">
        <w:t>-</w:t>
      </w:r>
      <w:r w:rsidRPr="008802D0">
        <w:t xml:space="preserve">site. Additionally, the building does not exhibit any unique architectural style or features; it is a common industrial-style building design found throughout the </w:t>
      </w:r>
      <w:r w:rsidR="00A363B5" w:rsidRPr="008802D0">
        <w:t>c</w:t>
      </w:r>
      <w:r w:rsidRPr="008802D0">
        <w:t xml:space="preserve">ity and greater Los Angeles County. The building does not include architectural elements or features to suggest unique design or construction. </w:t>
      </w:r>
      <w:r w:rsidR="00456344" w:rsidRPr="001B1EED">
        <w:t xml:space="preserve">Neither the building </w:t>
      </w:r>
      <w:r w:rsidR="00456344">
        <w:t>n</w:t>
      </w:r>
      <w:r w:rsidR="00456344" w:rsidRPr="001B1EED">
        <w:t xml:space="preserve">or project site meet any of the state or federal criteria of a historic resource identified above (Appendix </w:t>
      </w:r>
      <w:r w:rsidR="00456344">
        <w:t>C</w:t>
      </w:r>
      <w:r w:rsidR="00456344" w:rsidRPr="001B1EED">
        <w:t xml:space="preserve">). </w:t>
      </w:r>
    </w:p>
    <w:p w14:paraId="20063CAC" w14:textId="77777777" w:rsidR="001B1EED" w:rsidRPr="001B1EED" w:rsidRDefault="00207936" w:rsidP="00207936">
      <w:pPr>
        <w:pStyle w:val="BodyText"/>
      </w:pPr>
      <w:r w:rsidRPr="001B1EED">
        <w:t xml:space="preserve">Additionally, as a part of the cultural resources assessment for the project site, </w:t>
      </w:r>
      <w:r w:rsidR="008802D0" w:rsidRPr="001B1EED">
        <w:t>Cogstone</w:t>
      </w:r>
      <w:r w:rsidRPr="001B1EED">
        <w:t xml:space="preserve"> conducted an archaeological and historic records search of the </w:t>
      </w:r>
      <w:bookmarkStart w:id="137" w:name="_Hlk22129154"/>
      <w:r w:rsidRPr="001B1EED">
        <w:t>California Historic Resources Inventory System</w:t>
      </w:r>
      <w:bookmarkEnd w:id="137"/>
      <w:r w:rsidRPr="001B1EED">
        <w:t xml:space="preserve"> from the South Central Coastal Information Center on </w:t>
      </w:r>
      <w:r w:rsidR="001B1EED" w:rsidRPr="001B1EED">
        <w:t xml:space="preserve">April 9, 2021 </w:t>
      </w:r>
      <w:r w:rsidRPr="001B1EED">
        <w:t xml:space="preserve">(Appendix </w:t>
      </w:r>
      <w:r w:rsidR="003A20AD">
        <w:t>C</w:t>
      </w:r>
      <w:r w:rsidRPr="001B1EED">
        <w:t xml:space="preserve">). The records search </w:t>
      </w:r>
      <w:r w:rsidR="008B1995">
        <w:t>covered</w:t>
      </w:r>
      <w:r w:rsidRPr="001B1EED">
        <w:t xml:space="preserve"> the project site and a one-half mile radius from the site. The search </w:t>
      </w:r>
      <w:r w:rsidR="008B1995">
        <w:t>found</w:t>
      </w:r>
      <w:r w:rsidR="008B1995" w:rsidRPr="001B1EED">
        <w:t xml:space="preserve"> </w:t>
      </w:r>
      <w:r w:rsidRPr="001B1EED">
        <w:t xml:space="preserve">that </w:t>
      </w:r>
      <w:r w:rsidR="001B1EED" w:rsidRPr="001B1EED">
        <w:t xml:space="preserve">five previous studies were completed within one-half mile of the proposed project area, but none within the project site. The records search also </w:t>
      </w:r>
      <w:r w:rsidR="008B1995">
        <w:t>found</w:t>
      </w:r>
      <w:r w:rsidR="008B1995" w:rsidRPr="001B1EED">
        <w:t xml:space="preserve"> </w:t>
      </w:r>
      <w:r w:rsidR="001B1EED" w:rsidRPr="001B1EED">
        <w:t xml:space="preserve">one previously recorded resource within the search radius 0.25 to 0.5 mile from the project site (the Mojave Road, a multicomponent resource </w:t>
      </w:r>
      <w:r w:rsidR="008B1995">
        <w:t>that</w:t>
      </w:r>
      <w:r w:rsidR="008B1995" w:rsidRPr="001B1EED">
        <w:t xml:space="preserve"> </w:t>
      </w:r>
      <w:r w:rsidR="001B1EED" w:rsidRPr="001B1EED">
        <w:t>started as a Native American trail), but none on</w:t>
      </w:r>
      <w:r w:rsidR="008B1995">
        <w:t>-</w:t>
      </w:r>
      <w:r w:rsidR="001B1EED" w:rsidRPr="001B1EED">
        <w:t>site.</w:t>
      </w:r>
    </w:p>
    <w:p w14:paraId="2A5246C9" w14:textId="63221B12" w:rsidR="00207936" w:rsidRPr="001B1EED" w:rsidRDefault="00207936" w:rsidP="00207936">
      <w:pPr>
        <w:pStyle w:val="BodyText"/>
      </w:pPr>
      <w:r w:rsidRPr="001B1EED">
        <w:t xml:space="preserve">Furthermore, the project site is not identified on any federal or state historic registers or sources, including the National Register of Historic Places </w:t>
      </w:r>
      <w:r w:rsidR="001B1EED" w:rsidRPr="001B1EED">
        <w:t>the California Register of Historic Resources, the California Built Environment Resources Directory, the California Historical Landmarks, and the California Points of Historical Interest</w:t>
      </w:r>
      <w:r w:rsidRPr="001B1EED">
        <w:t xml:space="preserve">. </w:t>
      </w:r>
      <w:r w:rsidR="001B1EED" w:rsidRPr="001B1EED">
        <w:t>Since p</w:t>
      </w:r>
      <w:r w:rsidRPr="001B1EED">
        <w:t>roject development would occur within the confines of the project site</w:t>
      </w:r>
      <w:r w:rsidR="008B1995">
        <w:t>,</w:t>
      </w:r>
      <w:r w:rsidRPr="001B1EED">
        <w:t xml:space="preserve"> </w:t>
      </w:r>
      <w:r w:rsidR="001B1EED" w:rsidRPr="001B1EED">
        <w:t xml:space="preserve">there </w:t>
      </w:r>
      <w:r w:rsidRPr="001B1EED">
        <w:t xml:space="preserve">would </w:t>
      </w:r>
      <w:r w:rsidR="001B1EED" w:rsidRPr="001B1EED">
        <w:t xml:space="preserve">be </w:t>
      </w:r>
      <w:r w:rsidRPr="001B1EED">
        <w:t xml:space="preserve">no </w:t>
      </w:r>
      <w:r w:rsidR="000F753D">
        <w:t xml:space="preserve">expected </w:t>
      </w:r>
      <w:r w:rsidRPr="001B1EED">
        <w:t xml:space="preserve">impact </w:t>
      </w:r>
      <w:r w:rsidR="001B1EED" w:rsidRPr="001B1EED">
        <w:t xml:space="preserve">to </w:t>
      </w:r>
      <w:r w:rsidRPr="001B1EED">
        <w:t>historical resources.</w:t>
      </w:r>
    </w:p>
    <w:p w14:paraId="31725E9E" w14:textId="77777777" w:rsidR="00D10CF6" w:rsidRDefault="00D10CF6" w:rsidP="00D10CF6">
      <w:pPr>
        <w:pStyle w:val="List"/>
        <w:numPr>
          <w:ilvl w:val="0"/>
          <w:numId w:val="6"/>
        </w:numPr>
      </w:pPr>
      <w:r>
        <w:t>Cause a substantial adverse change in the significance of an archaeological resource pursuant to § 15064.5?</w:t>
      </w:r>
    </w:p>
    <w:p w14:paraId="0BA4A5D3" w14:textId="2E756904" w:rsidR="006C6833" w:rsidRDefault="00D10CF6" w:rsidP="00207936">
      <w:pPr>
        <w:pStyle w:val="BodyText"/>
      </w:pPr>
      <w:r w:rsidRPr="006567BC">
        <w:rPr>
          <w:rStyle w:val="BodyTextBoldChar"/>
        </w:rPr>
        <w:t>Less Than Significant Impact</w:t>
      </w:r>
      <w:r w:rsidR="00D64010">
        <w:rPr>
          <w:rStyle w:val="BodyTextBoldChar"/>
        </w:rPr>
        <w:t xml:space="preserve"> with Mitigation Incorporated</w:t>
      </w:r>
      <w:r w:rsidRPr="006567BC">
        <w:rPr>
          <w:rStyle w:val="BodyTextBoldChar"/>
        </w:rPr>
        <w:t xml:space="preserve">. </w:t>
      </w:r>
      <w:r w:rsidR="00207936" w:rsidRPr="006567BC">
        <w:t xml:space="preserve">Archaeological resources are prehistoric or historic evidence of past human activities, including structural ruins and buried resources. As shown in </w:t>
      </w:r>
      <w:r w:rsidR="008B1995" w:rsidRPr="006567BC">
        <w:t>Figure</w:t>
      </w:r>
      <w:r w:rsidR="008B1995">
        <w:t> </w:t>
      </w:r>
      <w:r w:rsidR="00207936" w:rsidRPr="006567BC">
        <w:t xml:space="preserve">3, </w:t>
      </w:r>
      <w:r w:rsidR="00207936" w:rsidRPr="006567BC">
        <w:rPr>
          <w:i/>
        </w:rPr>
        <w:t>Aerial Photograph</w:t>
      </w:r>
      <w:r w:rsidR="00207936" w:rsidRPr="006567BC">
        <w:t xml:space="preserve">, the project site is in a highly urbanized area of the </w:t>
      </w:r>
      <w:r w:rsidR="00D90B11">
        <w:t>C</w:t>
      </w:r>
      <w:r w:rsidR="00CA0028" w:rsidRPr="006567BC">
        <w:t>ity</w:t>
      </w:r>
      <w:r w:rsidR="008B1995">
        <w:t>,</w:t>
      </w:r>
      <w:r w:rsidR="00384AE4">
        <w:t xml:space="preserve"> and</w:t>
      </w:r>
      <w:r w:rsidR="00207936" w:rsidRPr="006567BC">
        <w:t xml:space="preserve"> most of the site has already been disturbed due to grading and construction activities associated with current and past uses of the site. </w:t>
      </w:r>
      <w:r w:rsidR="006C6833" w:rsidRPr="006C6833">
        <w:t>Furthermore, to implement the proposed project, it is anticipated that</w:t>
      </w:r>
      <w:r w:rsidR="00BB67ED">
        <w:t xml:space="preserve"> up to</w:t>
      </w:r>
      <w:r w:rsidR="006C6833" w:rsidRPr="006C6833">
        <w:t xml:space="preserve"> </w:t>
      </w:r>
      <w:r w:rsidR="006C6833" w:rsidRPr="00BB67ED">
        <w:t>14,933 cubic yards of soil would be imported during the grading phase to balance and raise the grade of the site. Therefore, no soil export would occur.</w:t>
      </w:r>
      <w:r w:rsidR="006C6833" w:rsidRPr="006C6833">
        <w:t xml:space="preserve"> </w:t>
      </w:r>
    </w:p>
    <w:p w14:paraId="467A3BA3" w14:textId="77777777" w:rsidR="00384AE4" w:rsidRDefault="006C6833" w:rsidP="00207936">
      <w:pPr>
        <w:pStyle w:val="BodyText"/>
      </w:pPr>
      <w:r>
        <w:t>B</w:t>
      </w:r>
      <w:r w:rsidR="00384AE4" w:rsidRPr="00384AE4">
        <w:t xml:space="preserve">ased on </w:t>
      </w:r>
      <w:r w:rsidR="00384AE4">
        <w:t xml:space="preserve">the </w:t>
      </w:r>
      <w:r>
        <w:t>preceding</w:t>
      </w:r>
      <w:r w:rsidR="008B1995">
        <w:t xml:space="preserve"> factors</w:t>
      </w:r>
      <w:r>
        <w:t xml:space="preserve">, the </w:t>
      </w:r>
      <w:r w:rsidR="008B1995">
        <w:t>on-site</w:t>
      </w:r>
      <w:r w:rsidR="008B1995" w:rsidRPr="00384AE4">
        <w:t xml:space="preserve"> </w:t>
      </w:r>
      <w:r w:rsidR="00384AE4" w:rsidRPr="00384AE4">
        <w:t xml:space="preserve">pedestrian survey, the cultural records from the </w:t>
      </w:r>
      <w:r w:rsidR="008B1995" w:rsidRPr="008B1995">
        <w:t>South Central Coastal Information Center</w:t>
      </w:r>
      <w:r w:rsidR="00384AE4" w:rsidRPr="00384AE4">
        <w:t xml:space="preserve">, and the negative </w:t>
      </w:r>
      <w:r w:rsidR="008B1995">
        <w:t xml:space="preserve">results of the </w:t>
      </w:r>
      <w:r w:rsidR="00384AE4" w:rsidRPr="00384AE4">
        <w:t>Sacred Lands File (SLF) search results</w:t>
      </w:r>
      <w:r w:rsidR="008B1995">
        <w:t>,</w:t>
      </w:r>
      <w:r>
        <w:rPr>
          <w:rStyle w:val="FootnoteReference"/>
        </w:rPr>
        <w:footnoteReference w:id="10"/>
      </w:r>
      <w:r w:rsidR="00384AE4" w:rsidRPr="00384AE4">
        <w:t xml:space="preserve"> the </w:t>
      </w:r>
      <w:r w:rsidR="00384AE4">
        <w:t>project</w:t>
      </w:r>
      <w:r w:rsidR="00384AE4" w:rsidRPr="00384AE4">
        <w:t xml:space="preserve"> is assessed to have low sensitivity for prehistoric resources</w:t>
      </w:r>
      <w:r w:rsidR="00384AE4">
        <w:t xml:space="preserve">. </w:t>
      </w:r>
    </w:p>
    <w:p w14:paraId="5A4EA797" w14:textId="77777777" w:rsidR="00384AE4" w:rsidRPr="006C6833" w:rsidRDefault="006C6833" w:rsidP="00207936">
      <w:pPr>
        <w:pStyle w:val="BodyText"/>
      </w:pPr>
      <w:r>
        <w:t xml:space="preserve">However, </w:t>
      </w:r>
      <w:r w:rsidR="00384AE4">
        <w:t xml:space="preserve">Cogstone </w:t>
      </w:r>
      <w:r w:rsidR="00384AE4" w:rsidRPr="00384AE4">
        <w:t>review</w:t>
      </w:r>
      <w:r w:rsidR="00384AE4">
        <w:t>ed</w:t>
      </w:r>
      <w:r w:rsidR="00384AE4" w:rsidRPr="00384AE4">
        <w:t xml:space="preserve"> </w:t>
      </w:r>
      <w:r w:rsidR="00384AE4">
        <w:t>US</w:t>
      </w:r>
      <w:r w:rsidR="00384AE4" w:rsidRPr="00384AE4">
        <w:t xml:space="preserve"> Geological Survey </w:t>
      </w:r>
      <w:r w:rsidR="00384AE4">
        <w:t>(</w:t>
      </w:r>
      <w:r w:rsidR="00384AE4" w:rsidRPr="00384AE4">
        <w:t>USGS</w:t>
      </w:r>
      <w:r w:rsidR="00384AE4">
        <w:t>)</w:t>
      </w:r>
      <w:r w:rsidR="00384AE4" w:rsidRPr="00384AE4">
        <w:t xml:space="preserve"> topographic quadrangle maps and historic</w:t>
      </w:r>
      <w:r w:rsidR="008B1995">
        <w:t>al</w:t>
      </w:r>
      <w:r w:rsidR="00384AE4" w:rsidRPr="00384AE4">
        <w:t xml:space="preserve"> US</w:t>
      </w:r>
      <w:r w:rsidR="00384AE4">
        <w:t xml:space="preserve"> Department of Agriculture (US</w:t>
      </w:r>
      <w:r w:rsidR="00384AE4" w:rsidRPr="00384AE4">
        <w:t>DA</w:t>
      </w:r>
      <w:r w:rsidR="00384AE4">
        <w:t>)</w:t>
      </w:r>
      <w:r w:rsidR="00384AE4" w:rsidRPr="00384AE4">
        <w:t xml:space="preserve"> aerial </w:t>
      </w:r>
      <w:r w:rsidRPr="00384AE4">
        <w:t>photographs and</w:t>
      </w:r>
      <w:r w:rsidR="00384AE4" w:rsidRPr="00384AE4">
        <w:t xml:space="preserve"> assessed t</w:t>
      </w:r>
      <w:r w:rsidR="00384AE4">
        <w:t>hat the project site</w:t>
      </w:r>
      <w:r w:rsidR="00384AE4" w:rsidRPr="00384AE4">
        <w:t xml:space="preserve"> ha</w:t>
      </w:r>
      <w:r w:rsidR="00384AE4">
        <w:t>s</w:t>
      </w:r>
      <w:r w:rsidR="00384AE4" w:rsidRPr="00384AE4">
        <w:t xml:space="preserve"> low to moderate sensitivity for buried historic archaeological resources </w:t>
      </w:r>
      <w:r w:rsidR="008B1995">
        <w:t>because</w:t>
      </w:r>
      <w:r w:rsidR="008B1995" w:rsidRPr="00384AE4">
        <w:t xml:space="preserve"> </w:t>
      </w:r>
      <w:r w:rsidR="00384AE4" w:rsidRPr="00384AE4">
        <w:t xml:space="preserve">the building type and related information is not known for two buildings that </w:t>
      </w:r>
      <w:r w:rsidR="00384AE4">
        <w:t>we</w:t>
      </w:r>
      <w:r w:rsidR="00384AE4" w:rsidRPr="00384AE4">
        <w:t>re seen on the 1953 Baldwin Park USGS topographic quadrangle map but are no longer present in the 1956 USDA aerial photograph</w:t>
      </w:r>
      <w:r w:rsidR="00384AE4">
        <w:t xml:space="preserve">. </w:t>
      </w:r>
      <w:r w:rsidRPr="006C6833">
        <w:t xml:space="preserve">Therefore, </w:t>
      </w:r>
      <w:r w:rsidR="0050061E">
        <w:t>an i</w:t>
      </w:r>
      <w:r w:rsidR="0050061E" w:rsidRPr="0050061E">
        <w:t xml:space="preserve">nadvertent </w:t>
      </w:r>
      <w:r w:rsidR="0050061E">
        <w:t>d</w:t>
      </w:r>
      <w:r w:rsidR="0050061E" w:rsidRPr="0050061E">
        <w:t xml:space="preserve">iscovery of </w:t>
      </w:r>
      <w:r w:rsidR="0050061E">
        <w:t>archeological remains</w:t>
      </w:r>
      <w:r w:rsidR="0050061E" w:rsidRPr="0050061E">
        <w:t xml:space="preserve"> </w:t>
      </w:r>
      <w:r w:rsidR="007263A2">
        <w:t>may occur</w:t>
      </w:r>
      <w:r>
        <w:t xml:space="preserve"> during excavation</w:t>
      </w:r>
      <w:r w:rsidRPr="006C6833">
        <w:t xml:space="preserve">. </w:t>
      </w:r>
      <w:r w:rsidR="008B1995" w:rsidRPr="006C6833">
        <w:t xml:space="preserve">With </w:t>
      </w:r>
      <w:r>
        <w:t xml:space="preserve">the </w:t>
      </w:r>
      <w:r w:rsidRPr="006C6833">
        <w:t xml:space="preserve">implementation of Mitigation Measure </w:t>
      </w:r>
      <w:r>
        <w:t>CUL</w:t>
      </w:r>
      <w:r w:rsidRPr="006C6833">
        <w:t>-1, impacts would be reduced to a less than significant level.</w:t>
      </w:r>
    </w:p>
    <w:p w14:paraId="168041B8" w14:textId="77777777" w:rsidR="006C6833" w:rsidRPr="00200463" w:rsidRDefault="006C6833" w:rsidP="006C6833">
      <w:pPr>
        <w:pStyle w:val="Heading5"/>
      </w:pPr>
      <w:r w:rsidRPr="00200463">
        <w:t xml:space="preserve">Mitigation Measures </w:t>
      </w:r>
    </w:p>
    <w:p w14:paraId="5165FEF8" w14:textId="5D1ED8AA" w:rsidR="00437AA1" w:rsidRDefault="005C07FF" w:rsidP="00437AA1">
      <w:pPr>
        <w:pStyle w:val="MitigationText"/>
      </w:pPr>
      <w:bookmarkStart w:id="138" w:name="_Hlk77673077"/>
      <w:r w:rsidRPr="005C4C20">
        <w:t>CUL-1</w:t>
      </w:r>
      <w:r w:rsidRPr="005C4C20">
        <w:tab/>
      </w:r>
      <w:bookmarkStart w:id="139" w:name="_Hlk82764855"/>
      <w:bookmarkStart w:id="140" w:name="_Hlk5364805"/>
      <w:bookmarkStart w:id="141" w:name="_Hlk77601990"/>
      <w:r w:rsidR="000D1847" w:rsidRPr="009C4340">
        <w:t>If construction personnel, including the Native American monitor</w:t>
      </w:r>
      <w:r w:rsidR="000D1847">
        <w:t>,</w:t>
      </w:r>
      <w:r w:rsidR="000D1847" w:rsidRPr="009C4340">
        <w:t xml:space="preserve"> identify cultural resources</w:t>
      </w:r>
      <w:r w:rsidR="000D1847">
        <w:t xml:space="preserve"> during ground-breaking activities</w:t>
      </w:r>
      <w:r w:rsidR="000D1847" w:rsidRPr="009C4340">
        <w:t xml:space="preserve">, they </w:t>
      </w:r>
      <w:r w:rsidR="000D1847">
        <w:t>shall</w:t>
      </w:r>
      <w:r w:rsidR="000D1847" w:rsidRPr="009C4340">
        <w:t xml:space="preserve"> inform the site construction superintendent who </w:t>
      </w:r>
      <w:r w:rsidR="000D1847">
        <w:t>shall</w:t>
      </w:r>
      <w:r w:rsidR="000D1847" w:rsidRPr="009C4340">
        <w:t xml:space="preserve"> notify the City and project </w:t>
      </w:r>
      <w:r w:rsidR="000D1847">
        <w:t>applicant</w:t>
      </w:r>
      <w:r w:rsidR="001A2A0C">
        <w:t>.</w:t>
      </w:r>
      <w:r w:rsidR="000D1847" w:rsidRPr="009C4340">
        <w:t xml:space="preserve"> The project </w:t>
      </w:r>
      <w:r w:rsidR="000D1847">
        <w:t>applicant</w:t>
      </w:r>
      <w:r w:rsidR="000D1847" w:rsidRPr="009C4340">
        <w:t xml:space="preserve"> </w:t>
      </w:r>
      <w:r w:rsidR="000D1847">
        <w:t>shall</w:t>
      </w:r>
      <w:r w:rsidR="000D1847" w:rsidRPr="009C4340">
        <w:t xml:space="preserve"> then contact a</w:t>
      </w:r>
      <w:r w:rsidR="000D1847">
        <w:t xml:space="preserve"> qualified</w:t>
      </w:r>
      <w:r w:rsidR="000D1847" w:rsidRPr="009C4340">
        <w:t xml:space="preserve"> archaeologist</w:t>
      </w:r>
      <w:r w:rsidR="000D1847">
        <w:t xml:space="preserve"> and all work must halt within 50 feet of the find until the archaeologist can determine the significance. No soil shall be exported from within the 50-foot buffer around the find until a determination of significance is made. The qualified archaeologist will also determine if archaeological monitoring is warranted</w:t>
      </w:r>
      <w:r w:rsidR="00437AA1">
        <w:t>.</w:t>
      </w:r>
      <w:bookmarkEnd w:id="139"/>
    </w:p>
    <w:p w14:paraId="50F342BD" w14:textId="77777777" w:rsidR="005C07FF" w:rsidRPr="00437AA1" w:rsidRDefault="00437AA1" w:rsidP="00437AA1">
      <w:pPr>
        <w:pStyle w:val="MitigationText"/>
        <w:ind w:firstLine="0"/>
        <w:rPr>
          <w:highlight w:val="yellow"/>
        </w:rPr>
      </w:pPr>
      <w:r>
        <w:t xml:space="preserve">If the qualified archaeologist determines that the find qualifies as a significant cultural resource, the archeologist shall make recommendations on the treatment and disposition of the deposits, which shall be developed in accordance with all applicable provisions of California Public Resource Code Section 21083.2 and State CEQA Guidelines Sections 15064.5 and 15126.4. If significant cultural resources are discovered and avoidance cannot be ensured, the archaeologist shall develop a Monitoring and Treatment Plan. The archaeologist shall prepare a final report describing monitoring methods and results that includes a catalog of all cultural resources identified for submission to the City. The City </w:t>
      </w:r>
      <w:r w:rsidR="003A266F">
        <w:t>shall</w:t>
      </w:r>
      <w:r>
        <w:t xml:space="preserve"> determine disposition of collected cultural resources</w:t>
      </w:r>
      <w:r w:rsidR="00EF4C28">
        <w:t>,</w:t>
      </w:r>
      <w:r>
        <w:t xml:space="preserve"> which may include return to landowner/applicant, transfer to a consulting Native American group, donation to school or museum, or long-term curation at an approved curation facility. The applicant shall be financially responsible for costs associated with cultural resources monitoring, including artifact curation, up to the limits imposed by Public Resources Code Section 21083.2.</w:t>
      </w:r>
      <w:bookmarkEnd w:id="140"/>
      <w:bookmarkEnd w:id="141"/>
    </w:p>
    <w:bookmarkEnd w:id="138"/>
    <w:p w14:paraId="1F5433EA" w14:textId="77777777" w:rsidR="000B558D" w:rsidRDefault="000B558D" w:rsidP="000B558D">
      <w:pPr>
        <w:pStyle w:val="List"/>
        <w:numPr>
          <w:ilvl w:val="0"/>
          <w:numId w:val="6"/>
        </w:numPr>
      </w:pPr>
      <w:r>
        <w:t xml:space="preserve">Disturb any human remains, including those interred outside of </w:t>
      </w:r>
      <w:r w:rsidR="002C77E7">
        <w:t>dedicated</w:t>
      </w:r>
      <w:r>
        <w:t xml:space="preserve"> cemeteries?</w:t>
      </w:r>
    </w:p>
    <w:p w14:paraId="7C585705" w14:textId="77777777" w:rsidR="00F948A9" w:rsidRPr="00F65898" w:rsidRDefault="00F948A9" w:rsidP="00F948A9">
      <w:pPr>
        <w:pStyle w:val="BodyText"/>
        <w:rPr>
          <w:color w:val="000000" w:themeColor="text1"/>
        </w:rPr>
      </w:pPr>
      <w:r w:rsidRPr="00F65898">
        <w:rPr>
          <w:rStyle w:val="BodyTextBoldChar"/>
          <w:color w:val="000000" w:themeColor="text1"/>
        </w:rPr>
        <w:t>Less than Significant Impact.</w:t>
      </w:r>
      <w:r w:rsidRPr="00F65898">
        <w:rPr>
          <w:color w:val="000000" w:themeColor="text1"/>
        </w:rPr>
        <w:t xml:space="preserve"> There are no known human remains or cemeteries on or near the project site. The nearest cemetery to the site is </w:t>
      </w:r>
      <w:r w:rsidR="00F65898" w:rsidRPr="00F65898">
        <w:rPr>
          <w:color w:val="000000" w:themeColor="text1"/>
        </w:rPr>
        <w:t xml:space="preserve">Turner </w:t>
      </w:r>
      <w:r w:rsidR="00EF4C28">
        <w:rPr>
          <w:color w:val="000000" w:themeColor="text1"/>
        </w:rPr>
        <w:t>and</w:t>
      </w:r>
      <w:r w:rsidR="00EF4C28" w:rsidRPr="00F65898">
        <w:rPr>
          <w:color w:val="000000" w:themeColor="text1"/>
        </w:rPr>
        <w:t xml:space="preserve"> </w:t>
      </w:r>
      <w:r w:rsidR="00F65898" w:rsidRPr="00F65898">
        <w:rPr>
          <w:color w:val="000000" w:themeColor="text1"/>
        </w:rPr>
        <w:t xml:space="preserve">Stevens Live Oak Mortuary </w:t>
      </w:r>
      <w:r w:rsidR="00EF4C28">
        <w:rPr>
          <w:color w:val="000000" w:themeColor="text1"/>
        </w:rPr>
        <w:t>and</w:t>
      </w:r>
      <w:r w:rsidR="00EF4C28" w:rsidRPr="00F65898">
        <w:rPr>
          <w:color w:val="000000" w:themeColor="text1"/>
        </w:rPr>
        <w:t xml:space="preserve"> </w:t>
      </w:r>
      <w:r w:rsidR="00F65898" w:rsidRPr="00F65898">
        <w:rPr>
          <w:color w:val="000000" w:themeColor="text1"/>
        </w:rPr>
        <w:t>Memorial Park</w:t>
      </w:r>
      <w:r w:rsidRPr="00F65898">
        <w:rPr>
          <w:color w:val="000000" w:themeColor="text1"/>
        </w:rPr>
        <w:t xml:space="preserve">, approximately </w:t>
      </w:r>
      <w:r w:rsidR="00F65898" w:rsidRPr="00F65898">
        <w:rPr>
          <w:color w:val="000000" w:themeColor="text1"/>
        </w:rPr>
        <w:t>3.8</w:t>
      </w:r>
      <w:r w:rsidRPr="00F65898">
        <w:rPr>
          <w:color w:val="000000" w:themeColor="text1"/>
        </w:rPr>
        <w:t xml:space="preserve"> mile</w:t>
      </w:r>
      <w:r w:rsidR="00F65898" w:rsidRPr="00F65898">
        <w:rPr>
          <w:color w:val="000000" w:themeColor="text1"/>
        </w:rPr>
        <w:t>s</w:t>
      </w:r>
      <w:r w:rsidRPr="00F65898">
        <w:rPr>
          <w:color w:val="000000" w:themeColor="text1"/>
        </w:rPr>
        <w:t xml:space="preserve"> </w:t>
      </w:r>
      <w:r w:rsidR="00F65898" w:rsidRPr="00F65898">
        <w:rPr>
          <w:color w:val="000000" w:themeColor="text1"/>
        </w:rPr>
        <w:t>northwest</w:t>
      </w:r>
      <w:r w:rsidRPr="00F65898">
        <w:rPr>
          <w:color w:val="000000" w:themeColor="text1"/>
        </w:rPr>
        <w:t xml:space="preserve"> of the project site</w:t>
      </w:r>
      <w:r w:rsidR="00B85BC9">
        <w:rPr>
          <w:color w:val="000000" w:themeColor="text1"/>
        </w:rPr>
        <w:t xml:space="preserve">. </w:t>
      </w:r>
      <w:r w:rsidR="003A266F">
        <w:rPr>
          <w:color w:val="000000" w:themeColor="text1"/>
        </w:rPr>
        <w:t xml:space="preserve">Project development would not </w:t>
      </w:r>
      <w:r w:rsidR="00AF273E">
        <w:rPr>
          <w:color w:val="000000" w:themeColor="text1"/>
        </w:rPr>
        <w:t>result in direct or indirect impacts to</w:t>
      </w:r>
      <w:r w:rsidR="003A266F">
        <w:rPr>
          <w:color w:val="000000" w:themeColor="text1"/>
        </w:rPr>
        <w:t xml:space="preserve"> these cemeteries.</w:t>
      </w:r>
    </w:p>
    <w:p w14:paraId="640F51CD" w14:textId="694A925F" w:rsidR="00F948A9" w:rsidRPr="00F65898" w:rsidRDefault="00F948A9" w:rsidP="00F948A9">
      <w:pPr>
        <w:pStyle w:val="BodyText"/>
        <w:rPr>
          <w:color w:val="000000" w:themeColor="text1"/>
        </w:rPr>
      </w:pPr>
      <w:r w:rsidRPr="00F65898">
        <w:rPr>
          <w:color w:val="000000" w:themeColor="text1"/>
        </w:rPr>
        <w:t xml:space="preserve">As shown in Figure 3, </w:t>
      </w:r>
      <w:r w:rsidRPr="00F65898">
        <w:rPr>
          <w:i/>
          <w:iCs/>
          <w:color w:val="000000" w:themeColor="text1"/>
        </w:rPr>
        <w:t>Aerial Photograph</w:t>
      </w:r>
      <w:r w:rsidRPr="00F65898">
        <w:rPr>
          <w:color w:val="000000" w:themeColor="text1"/>
        </w:rPr>
        <w:t xml:space="preserve">, the project site is in a highly urbanized area of the </w:t>
      </w:r>
      <w:r w:rsidR="00620F2D">
        <w:rPr>
          <w:color w:val="000000" w:themeColor="text1"/>
        </w:rPr>
        <w:t>C</w:t>
      </w:r>
      <w:r w:rsidR="00CA0028" w:rsidRPr="00F65898">
        <w:rPr>
          <w:color w:val="000000" w:themeColor="text1"/>
        </w:rPr>
        <w:t>ity</w:t>
      </w:r>
      <w:r w:rsidR="00F65898" w:rsidRPr="00F65898">
        <w:rPr>
          <w:color w:val="000000" w:themeColor="text1"/>
        </w:rPr>
        <w:t xml:space="preserve"> and </w:t>
      </w:r>
      <w:r w:rsidRPr="00F65898">
        <w:rPr>
          <w:color w:val="000000" w:themeColor="text1"/>
        </w:rPr>
        <w:t xml:space="preserve">most of the site has already been disturbed due to grading and construction activities associated with the </w:t>
      </w:r>
      <w:r w:rsidR="00AC6999">
        <w:rPr>
          <w:color w:val="000000" w:themeColor="text1"/>
        </w:rPr>
        <w:t>bottling plant</w:t>
      </w:r>
      <w:r w:rsidRPr="00F65898">
        <w:rPr>
          <w:color w:val="000000" w:themeColor="text1"/>
        </w:rPr>
        <w:t xml:space="preserve"> that occupied the site. </w:t>
      </w:r>
      <w:r w:rsidR="00CA0028" w:rsidRPr="00F65898">
        <w:rPr>
          <w:color w:val="000000" w:themeColor="text1"/>
        </w:rPr>
        <w:t>Most of</w:t>
      </w:r>
      <w:r w:rsidRPr="00F65898">
        <w:rPr>
          <w:color w:val="000000" w:themeColor="text1"/>
        </w:rPr>
        <w:t xml:space="preserve"> the surrounding vicinity has also experienced substantial ground disturbance associated with the development of existing buildings, roadways, and other urbanized land uses. The project site is largely flat, and the proposed warehouse building would be above ground level, with no subterranean floors or basements. Accordingly, little ground disturbance would be required to implement the </w:t>
      </w:r>
      <w:r w:rsidR="00F65898" w:rsidRPr="00F65898">
        <w:rPr>
          <w:color w:val="000000" w:themeColor="text1"/>
        </w:rPr>
        <w:t>proposed p</w:t>
      </w:r>
      <w:r w:rsidRPr="00F65898">
        <w:rPr>
          <w:color w:val="000000" w:themeColor="text1"/>
        </w:rPr>
        <w:t xml:space="preserve">roject. Therefore, the likelihood that human remains </w:t>
      </w:r>
      <w:r w:rsidR="00EF4C28">
        <w:rPr>
          <w:color w:val="000000" w:themeColor="text1"/>
        </w:rPr>
        <w:t>would</w:t>
      </w:r>
      <w:r w:rsidR="00EF4C28" w:rsidRPr="00F65898">
        <w:rPr>
          <w:color w:val="000000" w:themeColor="text1"/>
        </w:rPr>
        <w:t xml:space="preserve"> </w:t>
      </w:r>
      <w:r w:rsidRPr="00F65898">
        <w:rPr>
          <w:color w:val="000000" w:themeColor="text1"/>
        </w:rPr>
        <w:t xml:space="preserve">be discovered during site clearing and grading activities is considered extremely low. </w:t>
      </w:r>
    </w:p>
    <w:p w14:paraId="3AC21065" w14:textId="77777777" w:rsidR="00F948A9" w:rsidRPr="00CA0028" w:rsidRDefault="00F948A9" w:rsidP="00CA0028">
      <w:pPr>
        <w:pStyle w:val="BodyText"/>
      </w:pPr>
      <w:r w:rsidRPr="00CA0028">
        <w:t xml:space="preserve">However, development of the </w:t>
      </w:r>
      <w:r w:rsidR="00F65898" w:rsidRPr="00CA0028">
        <w:t>proposed p</w:t>
      </w:r>
      <w:r w:rsidRPr="00CA0028">
        <w:t xml:space="preserve">roject could have the potential to disturb previously undiscovered subsurface human remains. For example, the </w:t>
      </w:r>
      <w:r w:rsidR="00F65898" w:rsidRPr="00CA0028">
        <w:t>proposed p</w:t>
      </w:r>
      <w:r w:rsidRPr="00CA0028">
        <w:t xml:space="preserve">roject would involve grading and some excavation activities over the entire project site. In the unlikely event that human remains are uncovered during ground-disturbing activities, </w:t>
      </w:r>
      <w:bookmarkStart w:id="142" w:name="_Hlk77602597"/>
      <w:r w:rsidRPr="00CA0028">
        <w:t xml:space="preserve">California Health and Safety Code Section 7050.5 requires that disturbance of the site shall remain halted until the Los Angeles County Coroner has conducted an investigation into the circumstances, manner, and cause of any death, and the recommendations concerning the treatment and disposition of the human remains have been made to the person responsible for the excavation or to his or her authorized representative, in the manner provided in </w:t>
      </w:r>
      <w:r w:rsidR="00EF4C28">
        <w:t xml:space="preserve">PRC </w:t>
      </w:r>
      <w:r w:rsidRPr="00CA0028">
        <w:t xml:space="preserve">Section 5097.98. The coroner is required to make a determination within two working days of </w:t>
      </w:r>
      <w:r w:rsidR="00EF4C28">
        <w:t xml:space="preserve">being </w:t>
      </w:r>
      <w:r w:rsidR="00EF4C28" w:rsidRPr="00CA0028">
        <w:t>notifi</w:t>
      </w:r>
      <w:r w:rsidR="00EF4C28">
        <w:t>ed</w:t>
      </w:r>
      <w:r w:rsidR="00EF4C28" w:rsidRPr="00CA0028">
        <w:t xml:space="preserve"> </w:t>
      </w:r>
      <w:r w:rsidRPr="00CA0028">
        <w:t>of the</w:t>
      </w:r>
      <w:r w:rsidR="00EF4C28">
        <w:t xml:space="preserve"> remains’</w:t>
      </w:r>
      <w:r w:rsidRPr="00CA0028">
        <w:t xml:space="preserve"> discovery. If the coroner determines that the remains are not subject to his or her authority or has reason to believe the human remains to be those of a Native American</w:t>
      </w:r>
      <w:r w:rsidR="00CA0028">
        <w:t xml:space="preserve"> tribe</w:t>
      </w:r>
      <w:r w:rsidRPr="00CA0028">
        <w:t xml:space="preserve">, he or she shall contact, by telephone within 24 hours, the Native American Heritage Commission (NAHC) so that </w:t>
      </w:r>
      <w:r w:rsidR="00EF4C28">
        <w:t xml:space="preserve">the </w:t>
      </w:r>
      <w:r w:rsidRPr="00CA0028">
        <w:t xml:space="preserve">NAHC can contact the </w:t>
      </w:r>
      <w:r w:rsidR="00EF4C28" w:rsidRPr="00CA0028">
        <w:t>most likely descendant</w:t>
      </w:r>
      <w:r w:rsidRPr="00CA0028">
        <w:t xml:space="preserve">. The </w:t>
      </w:r>
      <w:r w:rsidR="00EF4C28">
        <w:t>descendant</w:t>
      </w:r>
      <w:r w:rsidR="00EF4C28" w:rsidRPr="00CA0028">
        <w:t xml:space="preserve"> </w:t>
      </w:r>
      <w:r w:rsidRPr="00CA0028">
        <w:t xml:space="preserve">shall be provided access to the discovery and provide recommendations or preferences for treatment of the remains within 48 hours of accessing the discovery site. Disposition of human remains and any associated grave goods, if encountered, shall be treated in accordance with procedures and requirements in </w:t>
      </w:r>
      <w:r w:rsidR="00EF4C28">
        <w:t xml:space="preserve">PRC </w:t>
      </w:r>
      <w:r w:rsidRPr="00CA0028">
        <w:t>Sections 5097.94 and 5097.98</w:t>
      </w:r>
      <w:r w:rsidR="00EF4C28">
        <w:t>,</w:t>
      </w:r>
      <w:r w:rsidRPr="00CA0028">
        <w:t xml:space="preserve"> Section 7050.5 of the California Health and Safety Code</w:t>
      </w:r>
      <w:r w:rsidR="00EF4C28">
        <w:t>,</w:t>
      </w:r>
      <w:r w:rsidRPr="00CA0028">
        <w:t xml:space="preserve"> and CEQA Guidelines Section 15064.5. </w:t>
      </w:r>
      <w:bookmarkEnd w:id="142"/>
    </w:p>
    <w:p w14:paraId="41FBD440" w14:textId="77777777" w:rsidR="00F948A9" w:rsidRPr="00F65898" w:rsidRDefault="00F948A9" w:rsidP="000B558D">
      <w:pPr>
        <w:pStyle w:val="BodyText"/>
        <w:rPr>
          <w:rStyle w:val="InsertText"/>
          <w:color w:val="000000" w:themeColor="text1"/>
        </w:rPr>
      </w:pPr>
      <w:r w:rsidRPr="00F65898">
        <w:rPr>
          <w:color w:val="000000" w:themeColor="text1"/>
        </w:rPr>
        <w:t xml:space="preserve">Compliance with existing law regarding the discovery of human remains would reduce potential impacts to human remains to less than significant levels. </w:t>
      </w:r>
    </w:p>
    <w:p w14:paraId="750A61C1" w14:textId="77777777" w:rsidR="004B2A05" w:rsidRDefault="00255801" w:rsidP="004B2A05">
      <w:pPr>
        <w:pStyle w:val="Heading2"/>
      </w:pPr>
      <w:bookmarkStart w:id="143" w:name="_Toc90882158"/>
      <w:r>
        <w:t>ENERGY</w:t>
      </w:r>
      <w:bookmarkEnd w:id="143"/>
    </w:p>
    <w:p w14:paraId="2A552665" w14:textId="77777777" w:rsidR="0023526D" w:rsidRDefault="0023526D" w:rsidP="0023526D">
      <w:pPr>
        <w:pStyle w:val="BodyText"/>
      </w:pPr>
      <w:r>
        <w:t>Would the project:</w:t>
      </w:r>
    </w:p>
    <w:p w14:paraId="1FAEBF25" w14:textId="77777777" w:rsidR="004B2A05" w:rsidRDefault="0023526D" w:rsidP="009D6ECC">
      <w:pPr>
        <w:pStyle w:val="List"/>
        <w:numPr>
          <w:ilvl w:val="0"/>
          <w:numId w:val="39"/>
        </w:numPr>
      </w:pPr>
      <w:r>
        <w:t>Result in potentially significant environmental impact due to wasteful, inefficient, or unnecessary consumption of energy resources, during project construction or operation?</w:t>
      </w:r>
    </w:p>
    <w:p w14:paraId="0DE7A8BD" w14:textId="77777777" w:rsidR="000E40F4" w:rsidRPr="00120A13" w:rsidRDefault="000E40F4" w:rsidP="000E40F4">
      <w:pPr>
        <w:pStyle w:val="BodyTextBold"/>
        <w:keepNext w:val="0"/>
        <w:jc w:val="both"/>
        <w:rPr>
          <w:rFonts w:ascii="Arial Narrow" w:hAnsi="Arial Narrow"/>
          <w:sz w:val="24"/>
        </w:rPr>
      </w:pPr>
      <w:bookmarkStart w:id="144" w:name="_Hlk79397050"/>
      <w:r w:rsidRPr="00120A13">
        <w:t xml:space="preserve">Less Than Significant Impact. </w:t>
      </w:r>
      <w:r w:rsidRPr="00120A13">
        <w:rPr>
          <w:b w:val="0"/>
          <w:bCs/>
        </w:rPr>
        <w:t xml:space="preserve">The following discusses the potential energy demands from activities associated with </w:t>
      </w:r>
      <w:r>
        <w:rPr>
          <w:b w:val="0"/>
          <w:bCs/>
        </w:rPr>
        <w:t>the construction and</w:t>
      </w:r>
      <w:r w:rsidRPr="00120A13">
        <w:rPr>
          <w:b w:val="0"/>
          <w:bCs/>
        </w:rPr>
        <w:t xml:space="preserve"> operation</w:t>
      </w:r>
      <w:r>
        <w:rPr>
          <w:b w:val="0"/>
          <w:bCs/>
        </w:rPr>
        <w:t xml:space="preserve"> of the proposed project</w:t>
      </w:r>
      <w:r w:rsidRPr="00120A13">
        <w:rPr>
          <w:b w:val="0"/>
          <w:bCs/>
        </w:rPr>
        <w:t xml:space="preserve">. </w:t>
      </w:r>
    </w:p>
    <w:p w14:paraId="0B411A47" w14:textId="77777777" w:rsidR="000E40F4" w:rsidRPr="00C20AF4" w:rsidRDefault="000E40F4" w:rsidP="000E40F4">
      <w:pPr>
        <w:pStyle w:val="Heading5"/>
      </w:pPr>
      <w:r w:rsidRPr="00C20AF4">
        <w:t>Short-Term Construction Impacts</w:t>
      </w:r>
    </w:p>
    <w:p w14:paraId="5B99D16F" w14:textId="77777777" w:rsidR="000E40F4" w:rsidRPr="0028624A" w:rsidRDefault="000E40F4" w:rsidP="000E40F4">
      <w:pPr>
        <w:pStyle w:val="BodyText"/>
        <w:rPr>
          <w:highlight w:val="cyan"/>
        </w:rPr>
      </w:pPr>
      <w:r w:rsidRPr="00C20AF4">
        <w:t xml:space="preserve">Construction of the </w:t>
      </w:r>
      <w:r w:rsidRPr="000F6431">
        <w:rPr>
          <w:rFonts w:eastAsia="Batang"/>
        </w:rPr>
        <w:t xml:space="preserve">proposed project </w:t>
      </w:r>
      <w:r w:rsidRPr="00C20AF4">
        <w:t>would create temporary increased demands for electricity and vehicle fuels compared to existing conditions</w:t>
      </w:r>
      <w:r w:rsidRPr="0028624A">
        <w:t xml:space="preserve">. </w:t>
      </w:r>
    </w:p>
    <w:p w14:paraId="37047FA5" w14:textId="77777777" w:rsidR="000E40F4" w:rsidRPr="00FE1708" w:rsidRDefault="000E40F4" w:rsidP="000E40F4">
      <w:pPr>
        <w:pStyle w:val="Heading6"/>
        <w:spacing w:after="200"/>
        <w:rPr>
          <w:i w:val="0"/>
        </w:rPr>
      </w:pPr>
      <w:r w:rsidRPr="00FE1708">
        <w:t>Electrical Energy</w:t>
      </w:r>
    </w:p>
    <w:p w14:paraId="42A19B22" w14:textId="77777777" w:rsidR="000E40F4" w:rsidRPr="001D4636" w:rsidRDefault="000E40F4" w:rsidP="000E40F4">
      <w:pPr>
        <w:pStyle w:val="BodyText"/>
        <w:rPr>
          <w:highlight w:val="cyan"/>
        </w:rPr>
      </w:pPr>
      <w:r w:rsidRPr="001D4636">
        <w:t xml:space="preserve">Construction of the </w:t>
      </w:r>
      <w:r w:rsidRPr="000F6431">
        <w:rPr>
          <w:rFonts w:eastAsia="Batang"/>
        </w:rPr>
        <w:t>proposed project</w:t>
      </w:r>
      <w:r>
        <w:t xml:space="preserve"> </w:t>
      </w:r>
      <w:r w:rsidRPr="001D4636">
        <w:t>would</w:t>
      </w:r>
      <w:r>
        <w:t xml:space="preserve"> not</w:t>
      </w:r>
      <w:r w:rsidRPr="001D4636">
        <w:t xml:space="preserve"> require electricity to power </w:t>
      </w:r>
      <w:r>
        <w:t>most</w:t>
      </w:r>
      <w:r w:rsidRPr="001D4636">
        <w:t xml:space="preserve"> construction equipment. </w:t>
      </w:r>
      <w:r>
        <w:t>E</w:t>
      </w:r>
      <w:r w:rsidRPr="001D4636">
        <w:t xml:space="preserve">lectricity use during construction </w:t>
      </w:r>
      <w:r>
        <w:t xml:space="preserve">of the </w:t>
      </w:r>
      <w:r w:rsidRPr="000F6431">
        <w:rPr>
          <w:rFonts w:eastAsia="Batang"/>
        </w:rPr>
        <w:t xml:space="preserve">proposed project </w:t>
      </w:r>
      <w:r w:rsidRPr="001D4636">
        <w:t>would vary during different phases of construction</w:t>
      </w:r>
      <w:r>
        <w:t>.</w:t>
      </w:r>
      <w:r w:rsidRPr="001D4636">
        <w:t xml:space="preserve"> The majority of construction equipment would be gas</w:t>
      </w:r>
      <w:r>
        <w:t>oline</w:t>
      </w:r>
      <w:r w:rsidRPr="001D4636">
        <w:t xml:space="preserve"> or diesel</w:t>
      </w:r>
      <w:r>
        <w:t xml:space="preserve"> </w:t>
      </w:r>
      <w:r w:rsidRPr="001D4636">
        <w:t>powered</w:t>
      </w:r>
      <w:r>
        <w:t>. L</w:t>
      </w:r>
      <w:r w:rsidRPr="001D4636">
        <w:t xml:space="preserve">ater construction phases </w:t>
      </w:r>
      <w:r>
        <w:t>c</w:t>
      </w:r>
      <w:r w:rsidRPr="001D4636">
        <w:t xml:space="preserve">ould </w:t>
      </w:r>
      <w:r>
        <w:t xml:space="preserve">use </w:t>
      </w:r>
      <w:r w:rsidRPr="001D4636">
        <w:t>electric</w:t>
      </w:r>
      <w:r>
        <w:t>al equipment for</w:t>
      </w:r>
      <w:r w:rsidRPr="00FB3DF7">
        <w:t xml:space="preserve"> interior construction and architectural coatings. </w:t>
      </w:r>
      <w:r>
        <w:t>However, it is anticipated that the majority of electrical construction equipment would be hand tools (e.g., power drills, table saws) and lighting, which would result in minimal electricity usage during construction activities. Also, such equipment would be used on an as-needed basis. Therefore,</w:t>
      </w:r>
      <w:r w:rsidRPr="0082054E">
        <w:t xml:space="preserve"> </w:t>
      </w:r>
      <w:r>
        <w:t>project-related construction activities</w:t>
      </w:r>
      <w:r w:rsidRPr="0082054E">
        <w:t xml:space="preserve"> would not result in wasteful or unnecessary electricity demands</w:t>
      </w:r>
      <w:r>
        <w:t>, and impacts would be less than significant.</w:t>
      </w:r>
    </w:p>
    <w:p w14:paraId="4CC9380D" w14:textId="77777777" w:rsidR="000E40F4" w:rsidRPr="00FE1708" w:rsidRDefault="000E40F4" w:rsidP="000E40F4">
      <w:pPr>
        <w:pStyle w:val="Heading6"/>
        <w:spacing w:after="200"/>
        <w:rPr>
          <w:i w:val="0"/>
        </w:rPr>
      </w:pPr>
      <w:r w:rsidRPr="00FE1708">
        <w:t>Natural Gas Energy</w:t>
      </w:r>
    </w:p>
    <w:p w14:paraId="5E781640" w14:textId="77777777" w:rsidR="000E40F4" w:rsidRPr="00FB3DF7" w:rsidRDefault="000E40F4" w:rsidP="000E40F4">
      <w:pPr>
        <w:pStyle w:val="BodyText"/>
      </w:pPr>
      <w:r>
        <w:t xml:space="preserve">It is not anticipated that construction equipment used for the </w:t>
      </w:r>
      <w:r w:rsidRPr="000F6431">
        <w:rPr>
          <w:rFonts w:eastAsia="Batang"/>
        </w:rPr>
        <w:t xml:space="preserve">proposed project </w:t>
      </w:r>
      <w:r>
        <w:t xml:space="preserve">would be powered by natural gas, and </w:t>
      </w:r>
      <w:r w:rsidRPr="00FB3DF7">
        <w:t xml:space="preserve">no natural gas demand is anticipated during construction. </w:t>
      </w:r>
      <w:r>
        <w:t>Therefore, impacts would be less than significant with respect to natural gas usage.</w:t>
      </w:r>
      <w:r w:rsidRPr="00FB3DF7">
        <w:t xml:space="preserve"> </w:t>
      </w:r>
    </w:p>
    <w:p w14:paraId="3FFA72B0" w14:textId="77777777" w:rsidR="000E40F4" w:rsidRPr="00FE1708" w:rsidRDefault="000E40F4" w:rsidP="000E40F4">
      <w:pPr>
        <w:pStyle w:val="Heading6"/>
        <w:spacing w:after="200"/>
        <w:rPr>
          <w:i w:val="0"/>
        </w:rPr>
      </w:pPr>
      <w:r w:rsidRPr="00FE1708">
        <w:t>Transportation Energy</w:t>
      </w:r>
    </w:p>
    <w:p w14:paraId="060E90D3" w14:textId="77777777" w:rsidR="000E40F4" w:rsidRPr="00BB7329" w:rsidRDefault="000E40F4" w:rsidP="000E40F4">
      <w:pPr>
        <w:pStyle w:val="BodyText"/>
      </w:pPr>
      <w:r w:rsidRPr="00FB3DF7">
        <w:t xml:space="preserve">Transportation energy use during construction </w:t>
      </w:r>
      <w:r>
        <w:t xml:space="preserve">of the </w:t>
      </w:r>
      <w:r w:rsidRPr="000F6431">
        <w:rPr>
          <w:rFonts w:eastAsia="Batang"/>
        </w:rPr>
        <w:t xml:space="preserve">proposed project </w:t>
      </w:r>
      <w:r w:rsidRPr="00FB3DF7">
        <w:t>would come from delivery vehicles</w:t>
      </w:r>
      <w:r>
        <w:t>,</w:t>
      </w:r>
      <w:r w:rsidRPr="00FB3DF7">
        <w:t xml:space="preserve"> haul trucks, and </w:t>
      </w:r>
      <w:r w:rsidRPr="004D053B">
        <w:t>construction employee vehicles. In addition, transportation energy demand would come from use of off-road construction equipment. It is anticipated that the majority of off-road construction equipment, such as during demolition and grading, would be gas or diesel powered. The use of energy resources by these vehicles would fluctuate according to the phase of construction. Energy consumption during construction (</w:t>
      </w:r>
      <w:r>
        <w:t>year</w:t>
      </w:r>
      <w:r w:rsidRPr="004D053B">
        <w:t xml:space="preserve"> 202</w:t>
      </w:r>
      <w:r>
        <w:t>2</w:t>
      </w:r>
      <w:r w:rsidRPr="004D053B">
        <w:t xml:space="preserve">) was </w:t>
      </w:r>
      <w:r w:rsidRPr="00BB7329">
        <w:t>calculated using the CalEEMod (v. 2020.4.0) computer model and data from the EMFAC2017 (v. 1.0.3) and OFFROAD2017 (v. 1.0.1) databases. The results are shown in Table 9.</w:t>
      </w:r>
    </w:p>
    <w:tbl>
      <w:tblPr>
        <w:tblStyle w:val="TableGrid40"/>
        <w:tblW w:w="9360" w:type="dxa"/>
        <w:tblLayout w:type="fixed"/>
        <w:tblLook w:val="04A0" w:firstRow="1" w:lastRow="0" w:firstColumn="1" w:lastColumn="0" w:noHBand="0" w:noVBand="1"/>
      </w:tblPr>
      <w:tblGrid>
        <w:gridCol w:w="2417"/>
        <w:gridCol w:w="980"/>
        <w:gridCol w:w="1157"/>
        <w:gridCol w:w="1335"/>
        <w:gridCol w:w="1068"/>
        <w:gridCol w:w="980"/>
        <w:gridCol w:w="1423"/>
      </w:tblGrid>
      <w:tr w:rsidR="000E40F4" w:rsidRPr="004D053B" w14:paraId="7F1F68C7" w14:textId="77777777" w:rsidTr="00FD0109">
        <w:tc>
          <w:tcPr>
            <w:tcW w:w="9360" w:type="dxa"/>
            <w:gridSpan w:val="7"/>
            <w:tcBorders>
              <w:top w:val="nil"/>
              <w:left w:val="nil"/>
              <w:bottom w:val="single" w:sz="12" w:space="0" w:color="auto"/>
              <w:right w:val="nil"/>
            </w:tcBorders>
          </w:tcPr>
          <w:p w14:paraId="77D69BAE" w14:textId="77777777" w:rsidR="000E40F4" w:rsidRPr="004D053B" w:rsidRDefault="000E40F4" w:rsidP="00267180">
            <w:pPr>
              <w:pStyle w:val="TblTitles"/>
              <w:pageBreakBefore/>
            </w:pPr>
            <w:bookmarkStart w:id="145" w:name="_Toc90882255"/>
            <w:r w:rsidRPr="00BB7329">
              <w:t>Table 9</w:t>
            </w:r>
            <w:r w:rsidRPr="00BB7329">
              <w:tab/>
              <w:t>Construction-Related Fuel Usage</w:t>
            </w:r>
            <w:bookmarkEnd w:id="145"/>
          </w:p>
        </w:tc>
      </w:tr>
      <w:tr w:rsidR="000E40F4" w:rsidRPr="004D053B" w14:paraId="6345BA26" w14:textId="77777777" w:rsidTr="00FD0109">
        <w:tc>
          <w:tcPr>
            <w:tcW w:w="2417" w:type="dxa"/>
            <w:vMerge w:val="restart"/>
            <w:tcBorders>
              <w:top w:val="single" w:sz="12" w:space="0" w:color="auto"/>
              <w:left w:val="nil"/>
              <w:right w:val="single" w:sz="12" w:space="0" w:color="auto"/>
            </w:tcBorders>
            <w:vAlign w:val="bottom"/>
          </w:tcPr>
          <w:p w14:paraId="7303A32F" w14:textId="77777777" w:rsidR="000E40F4" w:rsidRPr="004D053B" w:rsidRDefault="000E40F4" w:rsidP="00FD0109">
            <w:pPr>
              <w:jc w:val="center"/>
              <w:rPr>
                <w:rFonts w:ascii="Arial Narrow" w:hAnsi="Arial Narrow"/>
                <w:b/>
                <w:kern w:val="20"/>
                <w:sz w:val="16"/>
                <w:szCs w:val="20"/>
              </w:rPr>
            </w:pPr>
            <w:r w:rsidRPr="004D053B">
              <w:rPr>
                <w:rFonts w:ascii="Arial Narrow" w:hAnsi="Arial Narrow"/>
                <w:b/>
                <w:kern w:val="20"/>
                <w:sz w:val="16"/>
                <w:szCs w:val="20"/>
              </w:rPr>
              <w:t>Project Component</w:t>
            </w:r>
          </w:p>
        </w:tc>
        <w:tc>
          <w:tcPr>
            <w:tcW w:w="2137" w:type="dxa"/>
            <w:gridSpan w:val="2"/>
            <w:tcBorders>
              <w:top w:val="single" w:sz="12" w:space="0" w:color="auto"/>
              <w:left w:val="single" w:sz="12" w:space="0" w:color="auto"/>
              <w:bottom w:val="single" w:sz="2" w:space="0" w:color="auto"/>
              <w:right w:val="single" w:sz="12" w:space="0" w:color="auto"/>
            </w:tcBorders>
            <w:vAlign w:val="bottom"/>
          </w:tcPr>
          <w:p w14:paraId="6D983CE1" w14:textId="45646C50" w:rsidR="000E40F4" w:rsidRPr="00606A79" w:rsidRDefault="000E40F4" w:rsidP="00FD0109">
            <w:pPr>
              <w:jc w:val="center"/>
              <w:rPr>
                <w:rFonts w:ascii="Arial Narrow" w:hAnsi="Arial Narrow"/>
                <w:b/>
                <w:kern w:val="20"/>
                <w:sz w:val="16"/>
                <w:szCs w:val="20"/>
                <w:vertAlign w:val="superscript"/>
              </w:rPr>
            </w:pPr>
            <w:r w:rsidRPr="004D053B">
              <w:rPr>
                <w:rFonts w:ascii="Arial Narrow" w:hAnsi="Arial Narrow"/>
                <w:b/>
                <w:kern w:val="20"/>
                <w:sz w:val="16"/>
                <w:szCs w:val="20"/>
              </w:rPr>
              <w:t>Gas</w:t>
            </w:r>
            <w:r w:rsidR="00B66095">
              <w:rPr>
                <w:rFonts w:ascii="Arial Narrow" w:hAnsi="Arial Narrow"/>
                <w:b/>
                <w:kern w:val="20"/>
                <w:sz w:val="16"/>
                <w:szCs w:val="20"/>
                <w:vertAlign w:val="superscript"/>
              </w:rPr>
              <w:t>1</w:t>
            </w:r>
          </w:p>
        </w:tc>
        <w:tc>
          <w:tcPr>
            <w:tcW w:w="2403" w:type="dxa"/>
            <w:gridSpan w:val="2"/>
            <w:tcBorders>
              <w:top w:val="single" w:sz="12" w:space="0" w:color="auto"/>
              <w:left w:val="single" w:sz="12" w:space="0" w:color="auto"/>
              <w:bottom w:val="single" w:sz="2" w:space="0" w:color="auto"/>
              <w:right w:val="nil"/>
            </w:tcBorders>
            <w:vAlign w:val="bottom"/>
          </w:tcPr>
          <w:p w14:paraId="046478DB" w14:textId="5D9138F9" w:rsidR="000E40F4" w:rsidRPr="00606A79" w:rsidRDefault="000E40F4" w:rsidP="00FD0109">
            <w:pPr>
              <w:jc w:val="center"/>
              <w:rPr>
                <w:rFonts w:ascii="Arial Narrow" w:hAnsi="Arial Narrow"/>
                <w:b/>
                <w:kern w:val="20"/>
                <w:sz w:val="16"/>
                <w:szCs w:val="20"/>
                <w:vertAlign w:val="superscript"/>
              </w:rPr>
            </w:pPr>
            <w:r w:rsidRPr="004D053B">
              <w:rPr>
                <w:rFonts w:ascii="Arial Narrow" w:hAnsi="Arial Narrow"/>
                <w:b/>
                <w:kern w:val="20"/>
                <w:sz w:val="16"/>
                <w:szCs w:val="20"/>
              </w:rPr>
              <w:t>Diesel</w:t>
            </w:r>
            <w:r w:rsidR="00B66095">
              <w:rPr>
                <w:rFonts w:ascii="Arial Narrow" w:hAnsi="Arial Narrow"/>
                <w:b/>
                <w:kern w:val="20"/>
                <w:sz w:val="16"/>
                <w:szCs w:val="20"/>
                <w:vertAlign w:val="superscript"/>
              </w:rPr>
              <w:t>1</w:t>
            </w:r>
          </w:p>
        </w:tc>
        <w:tc>
          <w:tcPr>
            <w:tcW w:w="2403" w:type="dxa"/>
            <w:gridSpan w:val="2"/>
            <w:tcBorders>
              <w:top w:val="single" w:sz="12" w:space="0" w:color="auto"/>
              <w:left w:val="single" w:sz="12" w:space="0" w:color="auto"/>
              <w:bottom w:val="single" w:sz="2" w:space="0" w:color="auto"/>
              <w:right w:val="nil"/>
            </w:tcBorders>
            <w:vAlign w:val="bottom"/>
          </w:tcPr>
          <w:p w14:paraId="1D7D1971" w14:textId="3BEDA58D" w:rsidR="000E40F4" w:rsidRPr="00606A79" w:rsidRDefault="000E40F4" w:rsidP="00FD0109">
            <w:pPr>
              <w:jc w:val="center"/>
              <w:rPr>
                <w:rFonts w:ascii="Arial Narrow" w:hAnsi="Arial Narrow"/>
                <w:b/>
                <w:kern w:val="20"/>
                <w:sz w:val="16"/>
                <w:szCs w:val="20"/>
                <w:vertAlign w:val="superscript"/>
              </w:rPr>
            </w:pPr>
            <w:r w:rsidRPr="004D053B">
              <w:rPr>
                <w:rFonts w:ascii="Arial Narrow" w:hAnsi="Arial Narrow"/>
                <w:b/>
                <w:kern w:val="20"/>
                <w:sz w:val="16"/>
                <w:szCs w:val="20"/>
              </w:rPr>
              <w:t>Electricity</w:t>
            </w:r>
            <w:r w:rsidR="00B66095">
              <w:rPr>
                <w:rFonts w:ascii="Arial Narrow" w:hAnsi="Arial Narrow"/>
                <w:b/>
                <w:kern w:val="20"/>
                <w:sz w:val="16"/>
                <w:szCs w:val="20"/>
                <w:vertAlign w:val="superscript"/>
              </w:rPr>
              <w:t>1</w:t>
            </w:r>
          </w:p>
        </w:tc>
      </w:tr>
      <w:tr w:rsidR="000E40F4" w:rsidRPr="004D053B" w14:paraId="19A5ED25" w14:textId="77777777" w:rsidTr="00FD0109">
        <w:tc>
          <w:tcPr>
            <w:tcW w:w="2417" w:type="dxa"/>
            <w:vMerge/>
            <w:tcBorders>
              <w:left w:val="nil"/>
              <w:bottom w:val="single" w:sz="12" w:space="0" w:color="auto"/>
              <w:right w:val="single" w:sz="12" w:space="0" w:color="auto"/>
            </w:tcBorders>
            <w:vAlign w:val="bottom"/>
          </w:tcPr>
          <w:p w14:paraId="05032331" w14:textId="77777777" w:rsidR="000E40F4" w:rsidRPr="004D053B" w:rsidRDefault="000E40F4" w:rsidP="00FD0109">
            <w:pPr>
              <w:jc w:val="center"/>
              <w:rPr>
                <w:rFonts w:ascii="Arial Narrow" w:hAnsi="Arial Narrow"/>
                <w:b/>
                <w:kern w:val="20"/>
                <w:sz w:val="16"/>
                <w:szCs w:val="20"/>
              </w:rPr>
            </w:pPr>
          </w:p>
        </w:tc>
        <w:tc>
          <w:tcPr>
            <w:tcW w:w="980" w:type="dxa"/>
            <w:tcBorders>
              <w:top w:val="single" w:sz="2" w:space="0" w:color="auto"/>
              <w:left w:val="single" w:sz="12" w:space="0" w:color="auto"/>
              <w:bottom w:val="single" w:sz="12" w:space="0" w:color="auto"/>
              <w:right w:val="nil"/>
            </w:tcBorders>
            <w:vAlign w:val="bottom"/>
          </w:tcPr>
          <w:p w14:paraId="6469CB0B" w14:textId="77777777" w:rsidR="000E40F4" w:rsidRPr="004D053B" w:rsidRDefault="000E40F4" w:rsidP="00FD0109">
            <w:pPr>
              <w:jc w:val="center"/>
              <w:rPr>
                <w:rFonts w:ascii="Arial Narrow" w:hAnsi="Arial Narrow"/>
                <w:b/>
                <w:kern w:val="20"/>
                <w:sz w:val="16"/>
                <w:szCs w:val="20"/>
              </w:rPr>
            </w:pPr>
            <w:r w:rsidRPr="004D053B">
              <w:rPr>
                <w:rFonts w:ascii="Arial Narrow" w:hAnsi="Arial Narrow"/>
                <w:b/>
                <w:kern w:val="20"/>
                <w:sz w:val="16"/>
                <w:szCs w:val="20"/>
              </w:rPr>
              <w:t>VMT</w:t>
            </w:r>
          </w:p>
        </w:tc>
        <w:tc>
          <w:tcPr>
            <w:tcW w:w="1157" w:type="dxa"/>
            <w:tcBorders>
              <w:top w:val="single" w:sz="2" w:space="0" w:color="auto"/>
              <w:left w:val="single" w:sz="6" w:space="0" w:color="auto"/>
              <w:bottom w:val="single" w:sz="12" w:space="0" w:color="auto"/>
              <w:right w:val="single" w:sz="12" w:space="0" w:color="auto"/>
            </w:tcBorders>
            <w:vAlign w:val="bottom"/>
          </w:tcPr>
          <w:p w14:paraId="499F4055" w14:textId="77777777" w:rsidR="000E40F4" w:rsidRPr="004D053B" w:rsidRDefault="000E40F4" w:rsidP="00FD0109">
            <w:pPr>
              <w:jc w:val="center"/>
              <w:rPr>
                <w:rFonts w:ascii="Arial Narrow" w:hAnsi="Arial Narrow"/>
                <w:b/>
                <w:kern w:val="20"/>
                <w:sz w:val="16"/>
                <w:szCs w:val="20"/>
              </w:rPr>
            </w:pPr>
            <w:r w:rsidRPr="004D053B">
              <w:rPr>
                <w:rFonts w:ascii="Arial Narrow" w:hAnsi="Arial Narrow"/>
                <w:b/>
                <w:kern w:val="20"/>
                <w:sz w:val="16"/>
                <w:szCs w:val="20"/>
              </w:rPr>
              <w:t>Gallons</w:t>
            </w:r>
          </w:p>
        </w:tc>
        <w:tc>
          <w:tcPr>
            <w:tcW w:w="1335" w:type="dxa"/>
            <w:tcBorders>
              <w:top w:val="single" w:sz="2" w:space="0" w:color="auto"/>
              <w:left w:val="single" w:sz="12" w:space="0" w:color="auto"/>
              <w:bottom w:val="single" w:sz="12" w:space="0" w:color="auto"/>
              <w:right w:val="nil"/>
            </w:tcBorders>
            <w:vAlign w:val="bottom"/>
          </w:tcPr>
          <w:p w14:paraId="7D73E6D3" w14:textId="77777777" w:rsidR="000E40F4" w:rsidRPr="004D053B" w:rsidRDefault="000E40F4" w:rsidP="00FD0109">
            <w:pPr>
              <w:jc w:val="center"/>
              <w:rPr>
                <w:rFonts w:ascii="Arial Narrow" w:hAnsi="Arial Narrow"/>
                <w:b/>
                <w:kern w:val="20"/>
                <w:sz w:val="16"/>
                <w:szCs w:val="20"/>
              </w:rPr>
            </w:pPr>
            <w:r w:rsidRPr="004D053B">
              <w:rPr>
                <w:rFonts w:ascii="Arial Narrow" w:hAnsi="Arial Narrow"/>
                <w:b/>
                <w:kern w:val="20"/>
                <w:sz w:val="16"/>
                <w:szCs w:val="20"/>
              </w:rPr>
              <w:t>VMT</w:t>
            </w:r>
          </w:p>
        </w:tc>
        <w:tc>
          <w:tcPr>
            <w:tcW w:w="1068" w:type="dxa"/>
            <w:tcBorders>
              <w:top w:val="single" w:sz="2" w:space="0" w:color="auto"/>
              <w:left w:val="single" w:sz="6" w:space="0" w:color="auto"/>
              <w:bottom w:val="single" w:sz="12" w:space="0" w:color="auto"/>
              <w:right w:val="single" w:sz="12" w:space="0" w:color="auto"/>
            </w:tcBorders>
            <w:vAlign w:val="bottom"/>
          </w:tcPr>
          <w:p w14:paraId="626B26B5" w14:textId="77777777" w:rsidR="000E40F4" w:rsidRPr="004D053B" w:rsidRDefault="000E40F4" w:rsidP="00FD0109">
            <w:pPr>
              <w:jc w:val="center"/>
              <w:rPr>
                <w:rFonts w:ascii="Arial Narrow" w:hAnsi="Arial Narrow"/>
                <w:b/>
                <w:kern w:val="20"/>
                <w:sz w:val="16"/>
                <w:szCs w:val="20"/>
              </w:rPr>
            </w:pPr>
            <w:r w:rsidRPr="004D053B">
              <w:rPr>
                <w:rFonts w:ascii="Arial Narrow" w:hAnsi="Arial Narrow"/>
                <w:b/>
                <w:kern w:val="20"/>
                <w:sz w:val="16"/>
                <w:szCs w:val="20"/>
              </w:rPr>
              <w:t>Gallons</w:t>
            </w:r>
          </w:p>
        </w:tc>
        <w:tc>
          <w:tcPr>
            <w:tcW w:w="980" w:type="dxa"/>
            <w:tcBorders>
              <w:top w:val="single" w:sz="2" w:space="0" w:color="auto"/>
              <w:left w:val="single" w:sz="12" w:space="0" w:color="auto"/>
              <w:bottom w:val="single" w:sz="12" w:space="0" w:color="auto"/>
              <w:right w:val="nil"/>
            </w:tcBorders>
            <w:vAlign w:val="bottom"/>
          </w:tcPr>
          <w:p w14:paraId="43B8E9E9" w14:textId="77777777" w:rsidR="000E40F4" w:rsidRPr="004D053B" w:rsidRDefault="000E40F4" w:rsidP="00FD0109">
            <w:pPr>
              <w:jc w:val="center"/>
              <w:rPr>
                <w:rFonts w:ascii="Arial Narrow" w:hAnsi="Arial Narrow"/>
                <w:b/>
                <w:kern w:val="20"/>
                <w:sz w:val="16"/>
                <w:szCs w:val="20"/>
              </w:rPr>
            </w:pPr>
            <w:r w:rsidRPr="004D053B">
              <w:rPr>
                <w:rFonts w:ascii="Arial Narrow" w:hAnsi="Arial Narrow"/>
                <w:b/>
                <w:kern w:val="20"/>
                <w:sz w:val="16"/>
                <w:szCs w:val="20"/>
              </w:rPr>
              <w:t>VMT</w:t>
            </w:r>
          </w:p>
        </w:tc>
        <w:tc>
          <w:tcPr>
            <w:tcW w:w="1423" w:type="dxa"/>
            <w:tcBorders>
              <w:top w:val="single" w:sz="2" w:space="0" w:color="auto"/>
              <w:left w:val="single" w:sz="6" w:space="0" w:color="auto"/>
              <w:bottom w:val="single" w:sz="12" w:space="0" w:color="auto"/>
              <w:right w:val="nil"/>
            </w:tcBorders>
            <w:vAlign w:val="bottom"/>
          </w:tcPr>
          <w:p w14:paraId="27F268A9" w14:textId="77777777" w:rsidR="000E40F4" w:rsidRPr="004D053B" w:rsidRDefault="000E40F4" w:rsidP="00FD0109">
            <w:pPr>
              <w:jc w:val="center"/>
              <w:rPr>
                <w:rFonts w:ascii="Arial Narrow" w:hAnsi="Arial Narrow"/>
                <w:b/>
                <w:kern w:val="20"/>
                <w:sz w:val="16"/>
                <w:szCs w:val="20"/>
              </w:rPr>
            </w:pPr>
            <w:r w:rsidRPr="004D053B">
              <w:rPr>
                <w:rFonts w:ascii="Arial Narrow" w:hAnsi="Arial Narrow"/>
                <w:b/>
                <w:kern w:val="20"/>
                <w:sz w:val="16"/>
                <w:szCs w:val="20"/>
              </w:rPr>
              <w:t>kWh</w:t>
            </w:r>
          </w:p>
        </w:tc>
      </w:tr>
      <w:tr w:rsidR="000E40F4" w:rsidRPr="004D053B" w14:paraId="318C80C7" w14:textId="77777777" w:rsidTr="00FD0109">
        <w:tc>
          <w:tcPr>
            <w:tcW w:w="2417" w:type="dxa"/>
            <w:tcBorders>
              <w:left w:val="nil"/>
              <w:right w:val="single" w:sz="12" w:space="0" w:color="auto"/>
            </w:tcBorders>
          </w:tcPr>
          <w:p w14:paraId="0D875E70" w14:textId="77777777" w:rsidR="000E40F4" w:rsidRPr="004D053B" w:rsidRDefault="000E40F4" w:rsidP="00FD0109">
            <w:pPr>
              <w:spacing w:before="20" w:after="20"/>
              <w:rPr>
                <w:rFonts w:ascii="Arial Narrow" w:hAnsi="Arial Narrow"/>
                <w:kern w:val="20"/>
                <w:sz w:val="18"/>
                <w:szCs w:val="20"/>
              </w:rPr>
            </w:pPr>
            <w:r w:rsidRPr="004D053B">
              <w:rPr>
                <w:rFonts w:ascii="Arial Narrow" w:hAnsi="Arial Narrow"/>
                <w:kern w:val="20"/>
                <w:sz w:val="18"/>
                <w:szCs w:val="20"/>
              </w:rPr>
              <w:t>Construction Worker Commute</w:t>
            </w:r>
          </w:p>
        </w:tc>
        <w:tc>
          <w:tcPr>
            <w:tcW w:w="980" w:type="dxa"/>
            <w:tcBorders>
              <w:top w:val="single" w:sz="12" w:space="0" w:color="auto"/>
              <w:left w:val="single" w:sz="12" w:space="0" w:color="auto"/>
              <w:bottom w:val="single" w:sz="2" w:space="0" w:color="auto"/>
              <w:right w:val="single" w:sz="2" w:space="0" w:color="auto"/>
            </w:tcBorders>
          </w:tcPr>
          <w:p w14:paraId="1D3EB8CB" w14:textId="77777777" w:rsidR="000E40F4" w:rsidRPr="004D053B" w:rsidRDefault="000E40F4" w:rsidP="00FD0109">
            <w:pPr>
              <w:spacing w:before="20" w:after="20"/>
              <w:jc w:val="center"/>
              <w:rPr>
                <w:rFonts w:ascii="Arial Narrow" w:hAnsi="Arial Narrow"/>
                <w:kern w:val="20"/>
                <w:sz w:val="18"/>
                <w:szCs w:val="20"/>
              </w:rPr>
            </w:pPr>
            <w:r w:rsidRPr="008B1337">
              <w:rPr>
                <w:rFonts w:ascii="Arial Narrow" w:hAnsi="Arial Narrow"/>
                <w:kern w:val="20"/>
                <w:sz w:val="18"/>
                <w:szCs w:val="20"/>
              </w:rPr>
              <w:t>310,553</w:t>
            </w:r>
          </w:p>
        </w:tc>
        <w:tc>
          <w:tcPr>
            <w:tcW w:w="1157" w:type="dxa"/>
            <w:tcBorders>
              <w:top w:val="single" w:sz="12" w:space="0" w:color="auto"/>
              <w:left w:val="single" w:sz="2" w:space="0" w:color="auto"/>
              <w:bottom w:val="single" w:sz="2" w:space="0" w:color="auto"/>
              <w:right w:val="single" w:sz="12" w:space="0" w:color="auto"/>
            </w:tcBorders>
          </w:tcPr>
          <w:p w14:paraId="0A440FE0" w14:textId="77777777" w:rsidR="000E40F4" w:rsidRPr="004D053B" w:rsidRDefault="000E40F4" w:rsidP="00FD0109">
            <w:pPr>
              <w:spacing w:before="20" w:after="20"/>
              <w:jc w:val="center"/>
              <w:rPr>
                <w:rFonts w:ascii="Arial Narrow" w:hAnsi="Arial Narrow"/>
                <w:kern w:val="20"/>
                <w:sz w:val="18"/>
                <w:szCs w:val="20"/>
              </w:rPr>
            </w:pPr>
            <w:r w:rsidRPr="008B1337">
              <w:rPr>
                <w:rFonts w:ascii="Arial Narrow" w:hAnsi="Arial Narrow"/>
                <w:kern w:val="20"/>
                <w:sz w:val="18"/>
                <w:szCs w:val="20"/>
              </w:rPr>
              <w:t>10,953</w:t>
            </w:r>
          </w:p>
        </w:tc>
        <w:tc>
          <w:tcPr>
            <w:tcW w:w="1335" w:type="dxa"/>
            <w:tcBorders>
              <w:top w:val="single" w:sz="12" w:space="0" w:color="auto"/>
              <w:left w:val="single" w:sz="12" w:space="0" w:color="auto"/>
              <w:bottom w:val="single" w:sz="2" w:space="0" w:color="auto"/>
              <w:right w:val="single" w:sz="2" w:space="0" w:color="auto"/>
            </w:tcBorders>
          </w:tcPr>
          <w:p w14:paraId="7021CCD4" w14:textId="77777777" w:rsidR="000E40F4" w:rsidRPr="004D053B" w:rsidRDefault="000E40F4" w:rsidP="00FD0109">
            <w:pPr>
              <w:spacing w:before="20" w:after="20"/>
              <w:jc w:val="center"/>
              <w:rPr>
                <w:rFonts w:ascii="Arial Narrow" w:hAnsi="Arial Narrow"/>
                <w:kern w:val="20"/>
                <w:sz w:val="18"/>
                <w:szCs w:val="20"/>
              </w:rPr>
            </w:pPr>
            <w:r w:rsidRPr="008B1337">
              <w:rPr>
                <w:rFonts w:ascii="Arial Narrow" w:hAnsi="Arial Narrow"/>
                <w:kern w:val="20"/>
                <w:sz w:val="18"/>
                <w:szCs w:val="20"/>
              </w:rPr>
              <w:t>2,276</w:t>
            </w:r>
          </w:p>
        </w:tc>
        <w:tc>
          <w:tcPr>
            <w:tcW w:w="1068" w:type="dxa"/>
            <w:tcBorders>
              <w:top w:val="single" w:sz="12" w:space="0" w:color="auto"/>
              <w:left w:val="single" w:sz="2" w:space="0" w:color="auto"/>
              <w:bottom w:val="single" w:sz="2" w:space="0" w:color="auto"/>
              <w:right w:val="single" w:sz="12" w:space="0" w:color="auto"/>
            </w:tcBorders>
          </w:tcPr>
          <w:p w14:paraId="5BBBD3A8" w14:textId="77777777" w:rsidR="000E40F4" w:rsidRPr="004D053B" w:rsidRDefault="000E40F4" w:rsidP="00FD0109">
            <w:pPr>
              <w:spacing w:before="20" w:after="20"/>
              <w:jc w:val="center"/>
              <w:rPr>
                <w:rFonts w:ascii="Arial Narrow" w:hAnsi="Arial Narrow"/>
                <w:kern w:val="20"/>
                <w:sz w:val="18"/>
                <w:szCs w:val="20"/>
              </w:rPr>
            </w:pPr>
            <w:r w:rsidRPr="008B1337">
              <w:rPr>
                <w:rFonts w:ascii="Arial Narrow" w:hAnsi="Arial Narrow"/>
                <w:kern w:val="20"/>
                <w:sz w:val="18"/>
                <w:szCs w:val="20"/>
              </w:rPr>
              <w:t>52</w:t>
            </w:r>
          </w:p>
        </w:tc>
        <w:tc>
          <w:tcPr>
            <w:tcW w:w="980" w:type="dxa"/>
            <w:tcBorders>
              <w:top w:val="single" w:sz="12" w:space="0" w:color="auto"/>
              <w:left w:val="single" w:sz="12" w:space="0" w:color="auto"/>
              <w:bottom w:val="single" w:sz="2" w:space="0" w:color="auto"/>
              <w:right w:val="nil"/>
            </w:tcBorders>
          </w:tcPr>
          <w:p w14:paraId="4FB3AA93" w14:textId="77777777" w:rsidR="000E40F4" w:rsidRPr="004D053B" w:rsidRDefault="000E40F4" w:rsidP="00FD0109">
            <w:pPr>
              <w:spacing w:before="20" w:after="20"/>
              <w:jc w:val="center"/>
              <w:rPr>
                <w:rFonts w:ascii="Arial Narrow" w:hAnsi="Arial Narrow"/>
                <w:kern w:val="20"/>
                <w:sz w:val="18"/>
                <w:szCs w:val="20"/>
              </w:rPr>
            </w:pPr>
            <w:r w:rsidRPr="008B1337">
              <w:rPr>
                <w:rFonts w:ascii="Arial Narrow" w:hAnsi="Arial Narrow"/>
                <w:kern w:val="20"/>
                <w:sz w:val="18"/>
                <w:szCs w:val="20"/>
              </w:rPr>
              <w:t>4,813</w:t>
            </w:r>
          </w:p>
        </w:tc>
        <w:tc>
          <w:tcPr>
            <w:tcW w:w="1423" w:type="dxa"/>
            <w:tcBorders>
              <w:top w:val="single" w:sz="12" w:space="0" w:color="auto"/>
              <w:left w:val="single" w:sz="2" w:space="0" w:color="auto"/>
              <w:bottom w:val="single" w:sz="2" w:space="0" w:color="auto"/>
              <w:right w:val="nil"/>
            </w:tcBorders>
          </w:tcPr>
          <w:p w14:paraId="3AA39B60" w14:textId="77777777" w:rsidR="000E40F4" w:rsidRPr="004D053B" w:rsidRDefault="000E40F4" w:rsidP="00FD0109">
            <w:pPr>
              <w:spacing w:before="20" w:after="20"/>
              <w:jc w:val="center"/>
              <w:rPr>
                <w:rFonts w:ascii="Arial Narrow" w:hAnsi="Arial Narrow"/>
                <w:kern w:val="20"/>
                <w:sz w:val="18"/>
                <w:szCs w:val="20"/>
              </w:rPr>
            </w:pPr>
            <w:r w:rsidRPr="008B1337">
              <w:rPr>
                <w:rFonts w:ascii="Arial Narrow" w:hAnsi="Arial Narrow"/>
                <w:kern w:val="20"/>
                <w:sz w:val="18"/>
                <w:szCs w:val="20"/>
              </w:rPr>
              <w:t>1,583</w:t>
            </w:r>
          </w:p>
        </w:tc>
      </w:tr>
      <w:tr w:rsidR="000E40F4" w:rsidRPr="004D053B" w14:paraId="56486682" w14:textId="77777777" w:rsidTr="00FD0109">
        <w:trPr>
          <w:trHeight w:val="134"/>
        </w:trPr>
        <w:tc>
          <w:tcPr>
            <w:tcW w:w="2417" w:type="dxa"/>
            <w:tcBorders>
              <w:left w:val="nil"/>
              <w:right w:val="single" w:sz="12" w:space="0" w:color="auto"/>
            </w:tcBorders>
          </w:tcPr>
          <w:p w14:paraId="76351008" w14:textId="77777777" w:rsidR="000E40F4" w:rsidRPr="004D053B" w:rsidRDefault="000E40F4" w:rsidP="00FD0109">
            <w:pPr>
              <w:spacing w:before="20" w:after="20"/>
              <w:rPr>
                <w:rFonts w:ascii="Arial Narrow" w:hAnsi="Arial Narrow"/>
                <w:kern w:val="20"/>
                <w:sz w:val="18"/>
                <w:szCs w:val="20"/>
              </w:rPr>
            </w:pPr>
            <w:r w:rsidRPr="004D053B">
              <w:rPr>
                <w:rFonts w:ascii="Arial Narrow" w:hAnsi="Arial Narrow"/>
                <w:kern w:val="20"/>
                <w:sz w:val="18"/>
                <w:szCs w:val="20"/>
              </w:rPr>
              <w:t>Construction Vendor Trips</w:t>
            </w:r>
          </w:p>
        </w:tc>
        <w:tc>
          <w:tcPr>
            <w:tcW w:w="980" w:type="dxa"/>
            <w:tcBorders>
              <w:top w:val="single" w:sz="2" w:space="0" w:color="auto"/>
              <w:left w:val="single" w:sz="12" w:space="0" w:color="auto"/>
              <w:bottom w:val="single" w:sz="2" w:space="0" w:color="auto"/>
              <w:right w:val="single" w:sz="2" w:space="0" w:color="auto"/>
            </w:tcBorders>
          </w:tcPr>
          <w:p w14:paraId="6CB4F685" w14:textId="77777777" w:rsidR="000E40F4" w:rsidRPr="004D053B" w:rsidRDefault="000E40F4" w:rsidP="00FD0109">
            <w:pPr>
              <w:spacing w:before="20" w:after="20"/>
              <w:jc w:val="center"/>
              <w:rPr>
                <w:rFonts w:ascii="Arial Narrow" w:hAnsi="Arial Narrow"/>
                <w:kern w:val="20"/>
                <w:sz w:val="18"/>
                <w:szCs w:val="20"/>
              </w:rPr>
            </w:pPr>
            <w:r w:rsidRPr="008B1337">
              <w:rPr>
                <w:rFonts w:ascii="Arial Narrow" w:hAnsi="Arial Narrow"/>
                <w:kern w:val="20"/>
                <w:sz w:val="18"/>
                <w:szCs w:val="20"/>
              </w:rPr>
              <w:t>2,957</w:t>
            </w:r>
          </w:p>
        </w:tc>
        <w:tc>
          <w:tcPr>
            <w:tcW w:w="1157" w:type="dxa"/>
            <w:tcBorders>
              <w:top w:val="single" w:sz="2" w:space="0" w:color="auto"/>
              <w:left w:val="single" w:sz="2" w:space="0" w:color="auto"/>
              <w:bottom w:val="single" w:sz="2" w:space="0" w:color="auto"/>
              <w:right w:val="single" w:sz="12" w:space="0" w:color="auto"/>
            </w:tcBorders>
          </w:tcPr>
          <w:p w14:paraId="756230A4" w14:textId="77777777" w:rsidR="000E40F4" w:rsidRPr="004D053B" w:rsidRDefault="000E40F4" w:rsidP="00FD0109">
            <w:pPr>
              <w:spacing w:before="20" w:after="20"/>
              <w:jc w:val="center"/>
              <w:rPr>
                <w:rFonts w:ascii="Arial Narrow" w:hAnsi="Arial Narrow"/>
                <w:kern w:val="20"/>
                <w:sz w:val="18"/>
                <w:szCs w:val="20"/>
              </w:rPr>
            </w:pPr>
            <w:r w:rsidRPr="008B1337">
              <w:rPr>
                <w:rFonts w:ascii="Arial Narrow" w:hAnsi="Arial Narrow"/>
                <w:kern w:val="20"/>
                <w:sz w:val="18"/>
                <w:szCs w:val="20"/>
              </w:rPr>
              <w:t>587</w:t>
            </w:r>
          </w:p>
        </w:tc>
        <w:tc>
          <w:tcPr>
            <w:tcW w:w="1335" w:type="dxa"/>
            <w:tcBorders>
              <w:top w:val="single" w:sz="2" w:space="0" w:color="auto"/>
              <w:left w:val="single" w:sz="12" w:space="0" w:color="auto"/>
              <w:bottom w:val="single" w:sz="2" w:space="0" w:color="auto"/>
              <w:right w:val="single" w:sz="2" w:space="0" w:color="auto"/>
            </w:tcBorders>
          </w:tcPr>
          <w:p w14:paraId="52F10C2C" w14:textId="77777777" w:rsidR="000E40F4" w:rsidRPr="004D053B" w:rsidRDefault="000E40F4" w:rsidP="00FD0109">
            <w:pPr>
              <w:spacing w:before="20" w:after="20"/>
              <w:jc w:val="center"/>
              <w:rPr>
                <w:rFonts w:ascii="Arial Narrow" w:hAnsi="Arial Narrow"/>
                <w:kern w:val="20"/>
                <w:sz w:val="18"/>
                <w:szCs w:val="20"/>
              </w:rPr>
            </w:pPr>
            <w:r w:rsidRPr="008B1337">
              <w:rPr>
                <w:rFonts w:ascii="Arial Narrow" w:hAnsi="Arial Narrow"/>
                <w:kern w:val="20"/>
                <w:sz w:val="18"/>
                <w:szCs w:val="20"/>
              </w:rPr>
              <w:t>33,079</w:t>
            </w:r>
          </w:p>
        </w:tc>
        <w:tc>
          <w:tcPr>
            <w:tcW w:w="1068" w:type="dxa"/>
            <w:tcBorders>
              <w:top w:val="single" w:sz="2" w:space="0" w:color="auto"/>
              <w:left w:val="single" w:sz="2" w:space="0" w:color="auto"/>
              <w:bottom w:val="single" w:sz="2" w:space="0" w:color="auto"/>
              <w:right w:val="single" w:sz="12" w:space="0" w:color="auto"/>
            </w:tcBorders>
          </w:tcPr>
          <w:p w14:paraId="046CD2EC" w14:textId="77777777" w:rsidR="000E40F4" w:rsidRPr="004D053B" w:rsidRDefault="000E40F4" w:rsidP="00FD0109">
            <w:pPr>
              <w:spacing w:before="20" w:after="20"/>
              <w:jc w:val="center"/>
              <w:rPr>
                <w:rFonts w:ascii="Arial Narrow" w:hAnsi="Arial Narrow"/>
                <w:kern w:val="20"/>
                <w:sz w:val="18"/>
                <w:szCs w:val="20"/>
              </w:rPr>
            </w:pPr>
            <w:r w:rsidRPr="008B1337">
              <w:rPr>
                <w:rFonts w:ascii="Arial Narrow" w:hAnsi="Arial Narrow"/>
                <w:kern w:val="20"/>
                <w:sz w:val="18"/>
                <w:szCs w:val="20"/>
              </w:rPr>
              <w:t>4,148</w:t>
            </w:r>
          </w:p>
        </w:tc>
        <w:tc>
          <w:tcPr>
            <w:tcW w:w="980" w:type="dxa"/>
            <w:tcBorders>
              <w:top w:val="single" w:sz="2" w:space="0" w:color="auto"/>
              <w:left w:val="single" w:sz="12" w:space="0" w:color="auto"/>
              <w:bottom w:val="single" w:sz="2" w:space="0" w:color="auto"/>
              <w:right w:val="nil"/>
            </w:tcBorders>
            <w:vAlign w:val="center"/>
          </w:tcPr>
          <w:p w14:paraId="5DE46087" w14:textId="77777777" w:rsidR="000E40F4" w:rsidRPr="004D053B" w:rsidRDefault="000E40F4" w:rsidP="00FD0109">
            <w:pPr>
              <w:spacing w:before="20" w:after="20"/>
              <w:jc w:val="center"/>
              <w:rPr>
                <w:rFonts w:ascii="Arial Narrow" w:hAnsi="Arial Narrow"/>
                <w:kern w:val="20"/>
                <w:sz w:val="18"/>
                <w:szCs w:val="20"/>
              </w:rPr>
            </w:pPr>
            <w:r w:rsidRPr="004D053B">
              <w:rPr>
                <w:rFonts w:ascii="Arial Narrow" w:hAnsi="Arial Narrow"/>
                <w:kern w:val="20"/>
                <w:sz w:val="18"/>
                <w:szCs w:val="20"/>
              </w:rPr>
              <w:t>N/A</w:t>
            </w:r>
          </w:p>
        </w:tc>
        <w:tc>
          <w:tcPr>
            <w:tcW w:w="1423" w:type="dxa"/>
            <w:tcBorders>
              <w:top w:val="single" w:sz="2" w:space="0" w:color="auto"/>
              <w:left w:val="single" w:sz="2" w:space="0" w:color="auto"/>
              <w:bottom w:val="single" w:sz="2" w:space="0" w:color="auto"/>
              <w:right w:val="nil"/>
            </w:tcBorders>
            <w:vAlign w:val="center"/>
          </w:tcPr>
          <w:p w14:paraId="1D580F1C" w14:textId="77777777" w:rsidR="000E40F4" w:rsidRPr="004D053B" w:rsidRDefault="000E40F4" w:rsidP="00FD0109">
            <w:pPr>
              <w:spacing w:before="20" w:after="20"/>
              <w:jc w:val="center"/>
              <w:rPr>
                <w:rFonts w:ascii="Arial Narrow" w:hAnsi="Arial Narrow"/>
                <w:kern w:val="20"/>
                <w:sz w:val="18"/>
                <w:szCs w:val="20"/>
              </w:rPr>
            </w:pPr>
            <w:r>
              <w:rPr>
                <w:rFonts w:ascii="Arial Narrow" w:hAnsi="Arial Narrow"/>
                <w:kern w:val="20"/>
                <w:sz w:val="18"/>
                <w:szCs w:val="20"/>
              </w:rPr>
              <w:t>0</w:t>
            </w:r>
          </w:p>
        </w:tc>
      </w:tr>
      <w:tr w:rsidR="000E40F4" w:rsidRPr="004D053B" w14:paraId="31750F50" w14:textId="77777777" w:rsidTr="00FD0109">
        <w:tc>
          <w:tcPr>
            <w:tcW w:w="2417" w:type="dxa"/>
            <w:tcBorders>
              <w:left w:val="nil"/>
              <w:right w:val="single" w:sz="12" w:space="0" w:color="auto"/>
            </w:tcBorders>
          </w:tcPr>
          <w:p w14:paraId="3291720D" w14:textId="77777777" w:rsidR="000E40F4" w:rsidRPr="004D053B" w:rsidRDefault="000E40F4" w:rsidP="00FD0109">
            <w:pPr>
              <w:spacing w:before="20" w:after="20"/>
              <w:rPr>
                <w:rFonts w:ascii="Arial Narrow" w:hAnsi="Arial Narrow"/>
                <w:kern w:val="20"/>
                <w:sz w:val="18"/>
                <w:szCs w:val="20"/>
              </w:rPr>
            </w:pPr>
            <w:r w:rsidRPr="004D053B">
              <w:rPr>
                <w:rFonts w:ascii="Arial Narrow" w:hAnsi="Arial Narrow"/>
                <w:kern w:val="20"/>
                <w:sz w:val="18"/>
                <w:szCs w:val="20"/>
              </w:rPr>
              <w:t>Construction Truck Haul Trips</w:t>
            </w:r>
          </w:p>
        </w:tc>
        <w:tc>
          <w:tcPr>
            <w:tcW w:w="980" w:type="dxa"/>
            <w:tcBorders>
              <w:top w:val="single" w:sz="2" w:space="0" w:color="auto"/>
              <w:left w:val="single" w:sz="12" w:space="0" w:color="auto"/>
              <w:bottom w:val="single" w:sz="2" w:space="0" w:color="auto"/>
              <w:right w:val="single" w:sz="2" w:space="0" w:color="auto"/>
            </w:tcBorders>
          </w:tcPr>
          <w:p w14:paraId="10D13AFC" w14:textId="77777777" w:rsidR="000E40F4" w:rsidRPr="004D053B" w:rsidRDefault="000E40F4" w:rsidP="00FD0109">
            <w:pPr>
              <w:spacing w:before="20" w:after="20"/>
              <w:jc w:val="center"/>
              <w:rPr>
                <w:rFonts w:ascii="Arial Narrow" w:hAnsi="Arial Narrow"/>
                <w:kern w:val="20"/>
                <w:sz w:val="18"/>
                <w:szCs w:val="20"/>
              </w:rPr>
            </w:pPr>
            <w:r w:rsidRPr="008B1337">
              <w:rPr>
                <w:rFonts w:ascii="Arial Narrow" w:hAnsi="Arial Narrow"/>
                <w:kern w:val="20"/>
                <w:sz w:val="18"/>
                <w:szCs w:val="20"/>
              </w:rPr>
              <w:t>66</w:t>
            </w:r>
          </w:p>
        </w:tc>
        <w:tc>
          <w:tcPr>
            <w:tcW w:w="1157" w:type="dxa"/>
            <w:tcBorders>
              <w:top w:val="single" w:sz="2" w:space="0" w:color="auto"/>
              <w:left w:val="single" w:sz="2" w:space="0" w:color="auto"/>
              <w:bottom w:val="single" w:sz="2" w:space="0" w:color="auto"/>
              <w:right w:val="single" w:sz="12" w:space="0" w:color="auto"/>
            </w:tcBorders>
          </w:tcPr>
          <w:p w14:paraId="45D09C5B" w14:textId="77777777" w:rsidR="000E40F4" w:rsidRPr="004D053B" w:rsidRDefault="000E40F4" w:rsidP="00FD0109">
            <w:pPr>
              <w:spacing w:before="20" w:after="20"/>
              <w:jc w:val="center"/>
              <w:rPr>
                <w:rFonts w:ascii="Arial Narrow" w:hAnsi="Arial Narrow"/>
                <w:kern w:val="20"/>
                <w:sz w:val="18"/>
                <w:szCs w:val="20"/>
              </w:rPr>
            </w:pPr>
            <w:r w:rsidRPr="008B1337">
              <w:rPr>
                <w:rFonts w:ascii="Arial Narrow" w:hAnsi="Arial Narrow"/>
                <w:kern w:val="20"/>
                <w:sz w:val="18"/>
                <w:szCs w:val="20"/>
              </w:rPr>
              <w:t>16</w:t>
            </w:r>
          </w:p>
        </w:tc>
        <w:tc>
          <w:tcPr>
            <w:tcW w:w="1335" w:type="dxa"/>
            <w:tcBorders>
              <w:top w:val="single" w:sz="2" w:space="0" w:color="auto"/>
              <w:left w:val="single" w:sz="12" w:space="0" w:color="auto"/>
              <w:bottom w:val="single" w:sz="2" w:space="0" w:color="auto"/>
              <w:right w:val="single" w:sz="2" w:space="0" w:color="auto"/>
            </w:tcBorders>
          </w:tcPr>
          <w:p w14:paraId="6F0B1B7C" w14:textId="77777777" w:rsidR="000E40F4" w:rsidRPr="004D053B" w:rsidRDefault="000E40F4" w:rsidP="00FD0109">
            <w:pPr>
              <w:spacing w:before="20" w:after="20"/>
              <w:jc w:val="center"/>
              <w:rPr>
                <w:rFonts w:ascii="Arial Narrow" w:hAnsi="Arial Narrow"/>
                <w:kern w:val="20"/>
                <w:sz w:val="18"/>
                <w:szCs w:val="20"/>
              </w:rPr>
            </w:pPr>
            <w:r w:rsidRPr="008B1337">
              <w:rPr>
                <w:rFonts w:ascii="Arial Narrow" w:hAnsi="Arial Narrow"/>
                <w:kern w:val="20"/>
                <w:sz w:val="18"/>
                <w:szCs w:val="20"/>
              </w:rPr>
              <w:t>76,903</w:t>
            </w:r>
          </w:p>
        </w:tc>
        <w:tc>
          <w:tcPr>
            <w:tcW w:w="1068" w:type="dxa"/>
            <w:tcBorders>
              <w:top w:val="single" w:sz="2" w:space="0" w:color="auto"/>
              <w:left w:val="single" w:sz="2" w:space="0" w:color="auto"/>
              <w:bottom w:val="single" w:sz="2" w:space="0" w:color="auto"/>
              <w:right w:val="single" w:sz="12" w:space="0" w:color="auto"/>
            </w:tcBorders>
          </w:tcPr>
          <w:p w14:paraId="182A4861" w14:textId="77777777" w:rsidR="000E40F4" w:rsidRPr="004D053B" w:rsidRDefault="000E40F4" w:rsidP="00FD0109">
            <w:pPr>
              <w:spacing w:before="20" w:after="20"/>
              <w:jc w:val="center"/>
              <w:rPr>
                <w:rFonts w:ascii="Arial Narrow" w:hAnsi="Arial Narrow"/>
                <w:kern w:val="20"/>
                <w:sz w:val="18"/>
                <w:szCs w:val="20"/>
              </w:rPr>
            </w:pPr>
            <w:r w:rsidRPr="008B1337">
              <w:rPr>
                <w:rFonts w:ascii="Arial Narrow" w:hAnsi="Arial Narrow"/>
                <w:kern w:val="20"/>
                <w:sz w:val="18"/>
                <w:szCs w:val="20"/>
              </w:rPr>
              <w:t>11,665</w:t>
            </w:r>
          </w:p>
        </w:tc>
        <w:tc>
          <w:tcPr>
            <w:tcW w:w="980" w:type="dxa"/>
            <w:tcBorders>
              <w:top w:val="single" w:sz="2" w:space="0" w:color="auto"/>
              <w:left w:val="single" w:sz="12" w:space="0" w:color="auto"/>
              <w:bottom w:val="single" w:sz="2" w:space="0" w:color="auto"/>
              <w:right w:val="nil"/>
            </w:tcBorders>
            <w:vAlign w:val="center"/>
          </w:tcPr>
          <w:p w14:paraId="29276D1C" w14:textId="77777777" w:rsidR="000E40F4" w:rsidRPr="004D053B" w:rsidRDefault="000E40F4" w:rsidP="00FD0109">
            <w:pPr>
              <w:spacing w:before="20" w:after="20"/>
              <w:jc w:val="center"/>
              <w:rPr>
                <w:rFonts w:ascii="Arial Narrow" w:hAnsi="Arial Narrow"/>
                <w:kern w:val="20"/>
                <w:sz w:val="18"/>
                <w:szCs w:val="20"/>
              </w:rPr>
            </w:pPr>
            <w:r w:rsidRPr="004D053B">
              <w:rPr>
                <w:rFonts w:ascii="Arial Narrow" w:hAnsi="Arial Narrow"/>
                <w:kern w:val="20"/>
                <w:sz w:val="18"/>
                <w:szCs w:val="20"/>
              </w:rPr>
              <w:t>N/A</w:t>
            </w:r>
          </w:p>
        </w:tc>
        <w:tc>
          <w:tcPr>
            <w:tcW w:w="1423" w:type="dxa"/>
            <w:tcBorders>
              <w:top w:val="single" w:sz="2" w:space="0" w:color="auto"/>
              <w:left w:val="single" w:sz="2" w:space="0" w:color="auto"/>
              <w:bottom w:val="single" w:sz="2" w:space="0" w:color="auto"/>
              <w:right w:val="nil"/>
            </w:tcBorders>
            <w:vAlign w:val="center"/>
          </w:tcPr>
          <w:p w14:paraId="689183AA" w14:textId="77777777" w:rsidR="000E40F4" w:rsidRPr="004D053B" w:rsidRDefault="000E40F4" w:rsidP="00FD0109">
            <w:pPr>
              <w:spacing w:before="20" w:after="20"/>
              <w:jc w:val="center"/>
              <w:rPr>
                <w:rFonts w:ascii="Arial Narrow" w:hAnsi="Arial Narrow"/>
                <w:kern w:val="20"/>
                <w:sz w:val="18"/>
                <w:szCs w:val="20"/>
              </w:rPr>
            </w:pPr>
            <w:r>
              <w:rPr>
                <w:rFonts w:ascii="Arial Narrow" w:hAnsi="Arial Narrow"/>
                <w:kern w:val="20"/>
                <w:sz w:val="18"/>
                <w:szCs w:val="20"/>
              </w:rPr>
              <w:t>0</w:t>
            </w:r>
          </w:p>
        </w:tc>
      </w:tr>
      <w:tr w:rsidR="000E40F4" w:rsidRPr="002F0118" w14:paraId="358322E5" w14:textId="77777777" w:rsidTr="00FD0109">
        <w:trPr>
          <w:trHeight w:val="179"/>
        </w:trPr>
        <w:tc>
          <w:tcPr>
            <w:tcW w:w="2417" w:type="dxa"/>
            <w:tcBorders>
              <w:left w:val="nil"/>
              <w:bottom w:val="single" w:sz="12" w:space="0" w:color="auto"/>
              <w:right w:val="single" w:sz="12" w:space="0" w:color="auto"/>
            </w:tcBorders>
          </w:tcPr>
          <w:p w14:paraId="72D941E2" w14:textId="77777777" w:rsidR="000E40F4" w:rsidRPr="004D053B" w:rsidRDefault="000E40F4" w:rsidP="00FD0109">
            <w:pPr>
              <w:spacing w:before="20" w:after="20"/>
              <w:rPr>
                <w:rFonts w:ascii="Arial Narrow" w:hAnsi="Arial Narrow"/>
                <w:kern w:val="20"/>
                <w:sz w:val="18"/>
                <w:szCs w:val="20"/>
              </w:rPr>
            </w:pPr>
            <w:r w:rsidRPr="004D053B">
              <w:rPr>
                <w:rFonts w:ascii="Arial Narrow" w:hAnsi="Arial Narrow"/>
                <w:kern w:val="20"/>
                <w:sz w:val="18"/>
                <w:szCs w:val="20"/>
              </w:rPr>
              <w:t>Construction Off-Road Equipment</w:t>
            </w:r>
          </w:p>
        </w:tc>
        <w:tc>
          <w:tcPr>
            <w:tcW w:w="980" w:type="dxa"/>
            <w:tcBorders>
              <w:top w:val="single" w:sz="2" w:space="0" w:color="auto"/>
              <w:left w:val="single" w:sz="12" w:space="0" w:color="auto"/>
              <w:bottom w:val="single" w:sz="12" w:space="0" w:color="auto"/>
              <w:right w:val="single" w:sz="2" w:space="0" w:color="auto"/>
            </w:tcBorders>
            <w:shd w:val="clear" w:color="auto" w:fill="auto"/>
            <w:vAlign w:val="center"/>
          </w:tcPr>
          <w:p w14:paraId="13C1626E" w14:textId="77777777" w:rsidR="000E40F4" w:rsidRPr="004D053B" w:rsidRDefault="000E40F4" w:rsidP="00FD0109">
            <w:pPr>
              <w:spacing w:before="20" w:after="20"/>
              <w:jc w:val="center"/>
              <w:rPr>
                <w:rFonts w:ascii="Arial Narrow" w:hAnsi="Arial Narrow"/>
                <w:kern w:val="20"/>
                <w:sz w:val="18"/>
                <w:szCs w:val="20"/>
              </w:rPr>
            </w:pPr>
            <w:r w:rsidRPr="004D053B">
              <w:rPr>
                <w:rFonts w:ascii="Arial Narrow" w:hAnsi="Arial Narrow"/>
                <w:kern w:val="20"/>
                <w:sz w:val="18"/>
                <w:szCs w:val="20"/>
              </w:rPr>
              <w:t>N/A</w:t>
            </w:r>
          </w:p>
        </w:tc>
        <w:tc>
          <w:tcPr>
            <w:tcW w:w="1157" w:type="dxa"/>
            <w:tcBorders>
              <w:top w:val="single" w:sz="2" w:space="0" w:color="auto"/>
              <w:left w:val="single" w:sz="2" w:space="0" w:color="auto"/>
              <w:bottom w:val="single" w:sz="12" w:space="0" w:color="auto"/>
              <w:right w:val="single" w:sz="12" w:space="0" w:color="auto"/>
            </w:tcBorders>
            <w:shd w:val="clear" w:color="auto" w:fill="auto"/>
            <w:vAlign w:val="center"/>
          </w:tcPr>
          <w:p w14:paraId="7CE9DC04" w14:textId="77777777" w:rsidR="000E40F4" w:rsidRPr="004D053B" w:rsidRDefault="000E40F4" w:rsidP="00FD0109">
            <w:pPr>
              <w:jc w:val="center"/>
              <w:rPr>
                <w:rFonts w:ascii="Arial Narrow" w:hAnsi="Arial Narrow"/>
                <w:kern w:val="20"/>
                <w:sz w:val="18"/>
                <w:szCs w:val="20"/>
              </w:rPr>
            </w:pPr>
            <w:r>
              <w:rPr>
                <w:rFonts w:ascii="Arial Narrow" w:hAnsi="Arial Narrow"/>
                <w:kern w:val="20"/>
                <w:sz w:val="18"/>
                <w:szCs w:val="20"/>
              </w:rPr>
              <w:t>475</w:t>
            </w:r>
          </w:p>
        </w:tc>
        <w:tc>
          <w:tcPr>
            <w:tcW w:w="1335" w:type="dxa"/>
            <w:tcBorders>
              <w:top w:val="single" w:sz="2" w:space="0" w:color="auto"/>
              <w:left w:val="single" w:sz="12" w:space="0" w:color="auto"/>
              <w:bottom w:val="single" w:sz="12" w:space="0" w:color="auto"/>
              <w:right w:val="single" w:sz="2" w:space="0" w:color="auto"/>
            </w:tcBorders>
            <w:shd w:val="clear" w:color="auto" w:fill="auto"/>
            <w:vAlign w:val="center"/>
          </w:tcPr>
          <w:p w14:paraId="32AA7F4A" w14:textId="77777777" w:rsidR="000E40F4" w:rsidRPr="004D053B" w:rsidRDefault="000E40F4" w:rsidP="00FD0109">
            <w:pPr>
              <w:spacing w:before="20" w:after="20"/>
              <w:jc w:val="center"/>
              <w:rPr>
                <w:rFonts w:ascii="Arial Narrow" w:hAnsi="Arial Narrow"/>
                <w:kern w:val="20"/>
                <w:sz w:val="18"/>
                <w:szCs w:val="20"/>
              </w:rPr>
            </w:pPr>
            <w:r w:rsidRPr="004D053B">
              <w:rPr>
                <w:rFonts w:ascii="Arial Narrow" w:hAnsi="Arial Narrow"/>
                <w:kern w:val="20"/>
                <w:sz w:val="18"/>
                <w:szCs w:val="20"/>
              </w:rPr>
              <w:t>N/A</w:t>
            </w:r>
          </w:p>
        </w:tc>
        <w:tc>
          <w:tcPr>
            <w:tcW w:w="1068" w:type="dxa"/>
            <w:tcBorders>
              <w:top w:val="single" w:sz="2" w:space="0" w:color="auto"/>
              <w:left w:val="single" w:sz="2" w:space="0" w:color="auto"/>
              <w:bottom w:val="single" w:sz="12" w:space="0" w:color="auto"/>
              <w:right w:val="single" w:sz="12" w:space="0" w:color="auto"/>
            </w:tcBorders>
            <w:shd w:val="clear" w:color="auto" w:fill="auto"/>
            <w:vAlign w:val="center"/>
          </w:tcPr>
          <w:p w14:paraId="51E1FAD8" w14:textId="77777777" w:rsidR="000E40F4" w:rsidRPr="004D053B" w:rsidRDefault="000E40F4" w:rsidP="00FD0109">
            <w:pPr>
              <w:jc w:val="center"/>
              <w:rPr>
                <w:rFonts w:ascii="Arial Narrow" w:hAnsi="Arial Narrow"/>
                <w:kern w:val="20"/>
                <w:sz w:val="18"/>
                <w:szCs w:val="20"/>
              </w:rPr>
            </w:pPr>
            <w:r>
              <w:rPr>
                <w:rFonts w:ascii="Arial Narrow" w:hAnsi="Arial Narrow"/>
                <w:kern w:val="20"/>
                <w:sz w:val="18"/>
                <w:szCs w:val="20"/>
              </w:rPr>
              <w:t>20,606</w:t>
            </w:r>
          </w:p>
        </w:tc>
        <w:tc>
          <w:tcPr>
            <w:tcW w:w="980" w:type="dxa"/>
            <w:tcBorders>
              <w:top w:val="single" w:sz="2" w:space="0" w:color="auto"/>
              <w:left w:val="single" w:sz="12" w:space="0" w:color="auto"/>
              <w:bottom w:val="single" w:sz="12" w:space="0" w:color="auto"/>
              <w:right w:val="nil"/>
            </w:tcBorders>
            <w:vAlign w:val="center"/>
          </w:tcPr>
          <w:p w14:paraId="65611CD0" w14:textId="77777777" w:rsidR="000E40F4" w:rsidRPr="004D053B" w:rsidRDefault="000E40F4" w:rsidP="00FD0109">
            <w:pPr>
              <w:spacing w:before="20" w:after="20"/>
              <w:jc w:val="center"/>
              <w:rPr>
                <w:rFonts w:ascii="Arial Narrow" w:hAnsi="Arial Narrow"/>
                <w:kern w:val="20"/>
                <w:sz w:val="18"/>
                <w:szCs w:val="20"/>
              </w:rPr>
            </w:pPr>
            <w:r w:rsidRPr="004D053B">
              <w:rPr>
                <w:rFonts w:ascii="Arial Narrow" w:hAnsi="Arial Narrow"/>
                <w:kern w:val="20"/>
                <w:sz w:val="18"/>
                <w:szCs w:val="20"/>
              </w:rPr>
              <w:t>N/A</w:t>
            </w:r>
          </w:p>
        </w:tc>
        <w:tc>
          <w:tcPr>
            <w:tcW w:w="1423" w:type="dxa"/>
            <w:tcBorders>
              <w:top w:val="single" w:sz="2" w:space="0" w:color="auto"/>
              <w:left w:val="single" w:sz="2" w:space="0" w:color="auto"/>
              <w:bottom w:val="single" w:sz="12" w:space="0" w:color="auto"/>
              <w:right w:val="nil"/>
            </w:tcBorders>
            <w:vAlign w:val="center"/>
          </w:tcPr>
          <w:p w14:paraId="599B4A6D" w14:textId="77777777" w:rsidR="000E40F4" w:rsidRPr="00485843" w:rsidRDefault="000E40F4" w:rsidP="00FD0109">
            <w:pPr>
              <w:spacing w:before="20" w:after="20"/>
              <w:jc w:val="center"/>
              <w:rPr>
                <w:rFonts w:ascii="Arial Narrow" w:hAnsi="Arial Narrow"/>
                <w:kern w:val="20"/>
                <w:sz w:val="18"/>
                <w:szCs w:val="20"/>
              </w:rPr>
            </w:pPr>
            <w:r w:rsidRPr="004D053B">
              <w:rPr>
                <w:rFonts w:ascii="Arial Narrow" w:hAnsi="Arial Narrow"/>
                <w:kern w:val="20"/>
                <w:sz w:val="18"/>
                <w:szCs w:val="20"/>
              </w:rPr>
              <w:t>0</w:t>
            </w:r>
          </w:p>
        </w:tc>
      </w:tr>
      <w:tr w:rsidR="000E40F4" w:rsidRPr="002F0118" w14:paraId="481B7CF8" w14:textId="77777777" w:rsidTr="00FD0109">
        <w:trPr>
          <w:trHeight w:val="134"/>
        </w:trPr>
        <w:tc>
          <w:tcPr>
            <w:tcW w:w="2417" w:type="dxa"/>
            <w:tcBorders>
              <w:left w:val="nil"/>
              <w:bottom w:val="single" w:sz="12" w:space="0" w:color="auto"/>
              <w:right w:val="single" w:sz="12" w:space="0" w:color="auto"/>
            </w:tcBorders>
          </w:tcPr>
          <w:p w14:paraId="02DE893B" w14:textId="77777777" w:rsidR="000E40F4" w:rsidRPr="00485843" w:rsidRDefault="000E40F4" w:rsidP="00FD0109">
            <w:pPr>
              <w:spacing w:before="20" w:after="20"/>
              <w:jc w:val="right"/>
              <w:rPr>
                <w:rFonts w:ascii="Arial Narrow" w:hAnsi="Arial Narrow"/>
                <w:kern w:val="20"/>
                <w:sz w:val="18"/>
                <w:szCs w:val="20"/>
              </w:rPr>
            </w:pPr>
            <w:r w:rsidRPr="00485843">
              <w:rPr>
                <w:rFonts w:ascii="Arial Narrow" w:hAnsi="Arial Narrow"/>
                <w:b/>
                <w:kern w:val="20"/>
                <w:sz w:val="18"/>
                <w:szCs w:val="20"/>
              </w:rPr>
              <w:t>Total</w:t>
            </w:r>
          </w:p>
        </w:tc>
        <w:tc>
          <w:tcPr>
            <w:tcW w:w="980" w:type="dxa"/>
            <w:tcBorders>
              <w:top w:val="single" w:sz="12" w:space="0" w:color="auto"/>
              <w:left w:val="single" w:sz="12" w:space="0" w:color="auto"/>
              <w:bottom w:val="single" w:sz="12" w:space="0" w:color="auto"/>
              <w:right w:val="single" w:sz="2" w:space="0" w:color="auto"/>
            </w:tcBorders>
          </w:tcPr>
          <w:p w14:paraId="2E434E56" w14:textId="77777777" w:rsidR="000E40F4" w:rsidRPr="006E1169" w:rsidRDefault="000E40F4" w:rsidP="00FD0109">
            <w:pPr>
              <w:spacing w:before="20" w:after="20"/>
              <w:jc w:val="center"/>
              <w:rPr>
                <w:rFonts w:ascii="Arial Narrow" w:hAnsi="Arial Narrow"/>
                <w:b/>
                <w:bCs/>
                <w:kern w:val="20"/>
                <w:sz w:val="18"/>
                <w:szCs w:val="20"/>
              </w:rPr>
            </w:pPr>
            <w:r w:rsidRPr="006E1169">
              <w:rPr>
                <w:rFonts w:ascii="Arial Narrow" w:hAnsi="Arial Narrow"/>
                <w:b/>
                <w:bCs/>
                <w:kern w:val="20"/>
                <w:sz w:val="18"/>
                <w:szCs w:val="20"/>
              </w:rPr>
              <w:t>313,576</w:t>
            </w:r>
          </w:p>
        </w:tc>
        <w:tc>
          <w:tcPr>
            <w:tcW w:w="1157" w:type="dxa"/>
            <w:tcBorders>
              <w:top w:val="single" w:sz="12" w:space="0" w:color="auto"/>
              <w:left w:val="single" w:sz="2" w:space="0" w:color="auto"/>
              <w:bottom w:val="single" w:sz="12" w:space="0" w:color="auto"/>
              <w:right w:val="single" w:sz="12" w:space="0" w:color="auto"/>
            </w:tcBorders>
          </w:tcPr>
          <w:p w14:paraId="67211208" w14:textId="77777777" w:rsidR="000E40F4" w:rsidRPr="006E1169" w:rsidRDefault="000E40F4" w:rsidP="00FD0109">
            <w:pPr>
              <w:spacing w:before="20" w:after="20"/>
              <w:jc w:val="center"/>
              <w:rPr>
                <w:rFonts w:ascii="Arial Narrow" w:hAnsi="Arial Narrow"/>
                <w:b/>
                <w:bCs/>
                <w:kern w:val="20"/>
                <w:sz w:val="18"/>
                <w:szCs w:val="20"/>
              </w:rPr>
            </w:pPr>
            <w:r w:rsidRPr="006E1169">
              <w:rPr>
                <w:rFonts w:ascii="Arial Narrow" w:hAnsi="Arial Narrow"/>
                <w:b/>
                <w:bCs/>
                <w:kern w:val="20"/>
                <w:sz w:val="18"/>
                <w:szCs w:val="20"/>
              </w:rPr>
              <w:t>12,031</w:t>
            </w:r>
          </w:p>
        </w:tc>
        <w:tc>
          <w:tcPr>
            <w:tcW w:w="1335" w:type="dxa"/>
            <w:tcBorders>
              <w:top w:val="single" w:sz="12" w:space="0" w:color="auto"/>
              <w:left w:val="single" w:sz="12" w:space="0" w:color="auto"/>
              <w:bottom w:val="single" w:sz="12" w:space="0" w:color="auto"/>
              <w:right w:val="single" w:sz="2" w:space="0" w:color="auto"/>
            </w:tcBorders>
          </w:tcPr>
          <w:p w14:paraId="7ABDB71C" w14:textId="77777777" w:rsidR="000E40F4" w:rsidRPr="006E1169" w:rsidRDefault="000E40F4" w:rsidP="00FD0109">
            <w:pPr>
              <w:spacing w:before="20" w:after="20"/>
              <w:jc w:val="center"/>
              <w:rPr>
                <w:rFonts w:ascii="Arial Narrow" w:hAnsi="Arial Narrow"/>
                <w:b/>
                <w:bCs/>
                <w:kern w:val="20"/>
                <w:sz w:val="18"/>
                <w:szCs w:val="20"/>
              </w:rPr>
            </w:pPr>
            <w:r w:rsidRPr="006E1169">
              <w:rPr>
                <w:rFonts w:ascii="Arial Narrow" w:hAnsi="Arial Narrow"/>
                <w:b/>
                <w:bCs/>
                <w:kern w:val="20"/>
                <w:sz w:val="18"/>
                <w:szCs w:val="20"/>
              </w:rPr>
              <w:t>112,258</w:t>
            </w:r>
          </w:p>
        </w:tc>
        <w:tc>
          <w:tcPr>
            <w:tcW w:w="1068" w:type="dxa"/>
            <w:tcBorders>
              <w:top w:val="single" w:sz="12" w:space="0" w:color="auto"/>
              <w:left w:val="single" w:sz="2" w:space="0" w:color="auto"/>
              <w:bottom w:val="single" w:sz="12" w:space="0" w:color="auto"/>
              <w:right w:val="single" w:sz="12" w:space="0" w:color="auto"/>
            </w:tcBorders>
          </w:tcPr>
          <w:p w14:paraId="5B26B730" w14:textId="77777777" w:rsidR="000E40F4" w:rsidRPr="006E1169" w:rsidRDefault="000E40F4" w:rsidP="00FD0109">
            <w:pPr>
              <w:spacing w:before="20" w:after="20"/>
              <w:jc w:val="center"/>
              <w:rPr>
                <w:rFonts w:ascii="Arial Narrow" w:hAnsi="Arial Narrow"/>
                <w:b/>
                <w:bCs/>
                <w:kern w:val="20"/>
                <w:sz w:val="18"/>
                <w:szCs w:val="20"/>
              </w:rPr>
            </w:pPr>
            <w:r w:rsidRPr="006E1169">
              <w:rPr>
                <w:rFonts w:ascii="Arial Narrow" w:hAnsi="Arial Narrow"/>
                <w:b/>
                <w:bCs/>
                <w:kern w:val="20"/>
                <w:sz w:val="18"/>
                <w:szCs w:val="20"/>
              </w:rPr>
              <w:t>36,470</w:t>
            </w:r>
          </w:p>
        </w:tc>
        <w:tc>
          <w:tcPr>
            <w:tcW w:w="980" w:type="dxa"/>
            <w:tcBorders>
              <w:top w:val="single" w:sz="12" w:space="0" w:color="auto"/>
              <w:left w:val="single" w:sz="12" w:space="0" w:color="auto"/>
              <w:bottom w:val="single" w:sz="12" w:space="0" w:color="auto"/>
              <w:right w:val="nil"/>
            </w:tcBorders>
          </w:tcPr>
          <w:p w14:paraId="774E9CC1" w14:textId="77777777" w:rsidR="000E40F4" w:rsidRPr="006E1169" w:rsidRDefault="000E40F4" w:rsidP="00FD0109">
            <w:pPr>
              <w:spacing w:before="20" w:after="20"/>
              <w:jc w:val="center"/>
              <w:rPr>
                <w:rFonts w:ascii="Arial Narrow" w:hAnsi="Arial Narrow"/>
                <w:b/>
                <w:bCs/>
                <w:kern w:val="20"/>
                <w:sz w:val="18"/>
                <w:szCs w:val="20"/>
              </w:rPr>
            </w:pPr>
            <w:r w:rsidRPr="006E1169">
              <w:rPr>
                <w:rFonts w:ascii="Arial Narrow" w:hAnsi="Arial Narrow"/>
                <w:b/>
                <w:bCs/>
                <w:kern w:val="20"/>
                <w:sz w:val="18"/>
                <w:szCs w:val="20"/>
              </w:rPr>
              <w:t>4,813</w:t>
            </w:r>
          </w:p>
        </w:tc>
        <w:tc>
          <w:tcPr>
            <w:tcW w:w="1423" w:type="dxa"/>
            <w:tcBorders>
              <w:top w:val="single" w:sz="12" w:space="0" w:color="auto"/>
              <w:left w:val="single" w:sz="2" w:space="0" w:color="auto"/>
              <w:bottom w:val="single" w:sz="12" w:space="0" w:color="auto"/>
              <w:right w:val="nil"/>
            </w:tcBorders>
          </w:tcPr>
          <w:p w14:paraId="1DE07CAB" w14:textId="77777777" w:rsidR="000E40F4" w:rsidRPr="006E1169" w:rsidRDefault="000E40F4" w:rsidP="00FD0109">
            <w:pPr>
              <w:spacing w:before="20" w:after="20"/>
              <w:jc w:val="center"/>
              <w:rPr>
                <w:rFonts w:ascii="Arial Narrow" w:hAnsi="Arial Narrow"/>
                <w:b/>
                <w:bCs/>
                <w:kern w:val="20"/>
                <w:sz w:val="18"/>
                <w:szCs w:val="20"/>
              </w:rPr>
            </w:pPr>
            <w:r w:rsidRPr="006E1169">
              <w:rPr>
                <w:rFonts w:ascii="Arial Narrow" w:hAnsi="Arial Narrow"/>
                <w:b/>
                <w:bCs/>
                <w:kern w:val="20"/>
                <w:sz w:val="18"/>
                <w:szCs w:val="20"/>
              </w:rPr>
              <w:t>1,583</w:t>
            </w:r>
          </w:p>
        </w:tc>
      </w:tr>
      <w:tr w:rsidR="000E40F4" w:rsidRPr="002F0118" w14:paraId="255B7113" w14:textId="77777777" w:rsidTr="00FD0109">
        <w:tc>
          <w:tcPr>
            <w:tcW w:w="9360" w:type="dxa"/>
            <w:gridSpan w:val="7"/>
            <w:tcBorders>
              <w:top w:val="single" w:sz="12" w:space="0" w:color="auto"/>
              <w:left w:val="nil"/>
              <w:bottom w:val="single" w:sz="12" w:space="0" w:color="auto"/>
              <w:right w:val="nil"/>
            </w:tcBorders>
          </w:tcPr>
          <w:p w14:paraId="61960F8E" w14:textId="77777777" w:rsidR="000E40F4" w:rsidRPr="00485843" w:rsidRDefault="000E40F4" w:rsidP="00FD0109">
            <w:pPr>
              <w:pStyle w:val="TblSourcesNotes"/>
            </w:pPr>
            <w:r w:rsidRPr="00485843">
              <w:t xml:space="preserve">Source: CalEEMod v. </w:t>
            </w:r>
            <w:r>
              <w:t>2020.4.0</w:t>
            </w:r>
            <w:r w:rsidRPr="00485843">
              <w:t>; EMFAC2017 v. 1.0.</w:t>
            </w:r>
            <w:r>
              <w:t>3</w:t>
            </w:r>
            <w:r w:rsidRPr="00485843">
              <w:t>; OFFROAD2017 v. 1.0.1</w:t>
            </w:r>
            <w:r w:rsidRPr="00485843" w:rsidDel="00F12813">
              <w:t>.</w:t>
            </w:r>
          </w:p>
          <w:p w14:paraId="19DB0B2C" w14:textId="77777777" w:rsidR="000E40F4" w:rsidRDefault="000E40F4" w:rsidP="00FD0109">
            <w:pPr>
              <w:pStyle w:val="TblSourcesNotes"/>
            </w:pPr>
            <w:r w:rsidRPr="00485843">
              <w:t>Notes: VMT=vehicle miles traveled; kWh=kilowatt hour</w:t>
            </w:r>
          </w:p>
          <w:p w14:paraId="54DFB624" w14:textId="0A503962" w:rsidR="00B66095" w:rsidRPr="00485843" w:rsidRDefault="00B66095" w:rsidP="00606A79">
            <w:pPr>
              <w:pStyle w:val="Tblnote"/>
            </w:pPr>
            <w:r>
              <w:rPr>
                <w:rFonts w:eastAsia="Batang"/>
                <w:vertAlign w:val="superscript"/>
              </w:rPr>
              <w:t>1</w:t>
            </w:r>
            <w:r w:rsidRPr="006079CF">
              <w:rPr>
                <w:rFonts w:eastAsia="Batang"/>
              </w:rPr>
              <w:tab/>
            </w:r>
            <w:r>
              <w:t>The proposed project may start construction in April 2022. While the energy modeling is based on a February 2022 start date, a later start date in April 2022 would result in either the same fuel usage results or slightly lower usage than what is shown in this table. In general, on-road and off-road fuel usage data shows a decrease with each passing calendar year to account for stricter efficiency standards and/or replacement of older vehicles and equipment with newer and more efficient units.</w:t>
            </w:r>
          </w:p>
        </w:tc>
      </w:tr>
    </w:tbl>
    <w:p w14:paraId="400DB241" w14:textId="77777777" w:rsidR="000E40F4" w:rsidRDefault="000E40F4" w:rsidP="000E40F4">
      <w:pPr>
        <w:pStyle w:val="BodyText"/>
        <w:rPr>
          <w:strike/>
          <w:highlight w:val="cyan"/>
        </w:rPr>
      </w:pPr>
    </w:p>
    <w:p w14:paraId="687C44F9" w14:textId="77777777" w:rsidR="000E40F4" w:rsidRDefault="000E40F4" w:rsidP="000E40F4">
      <w:pPr>
        <w:pStyle w:val="BodyText"/>
      </w:pPr>
      <w:r>
        <w:t>To limit wasteful and unnecessary energy consumption from transportation, t</w:t>
      </w:r>
      <w:r w:rsidRPr="0082054E">
        <w:t xml:space="preserve">he construction contractors </w:t>
      </w:r>
      <w:r>
        <w:t>would</w:t>
      </w:r>
      <w:r w:rsidRPr="0082054E">
        <w:t xml:space="preserve"> minimize </w:t>
      </w:r>
      <w:r>
        <w:t xml:space="preserve">nonessential </w:t>
      </w:r>
      <w:r w:rsidRPr="0082054E">
        <w:t xml:space="preserve">idling of construction equipment in accordance with </w:t>
      </w:r>
      <w:r w:rsidRPr="00774698">
        <w:t xml:space="preserve">the California Code of </w:t>
      </w:r>
      <w:r w:rsidRPr="0006795A">
        <w:t>Regulations, Title 13, Article 4.8, Chapter 9</w:t>
      </w:r>
      <w:r>
        <w:t xml:space="preserve">, </w:t>
      </w:r>
      <w:r w:rsidRPr="00774698">
        <w:t>Section 2449</w:t>
      </w:r>
      <w:r>
        <w:t>, which limits nonessential idling of diesel-powered off-road equipment to five minutes</w:t>
      </w:r>
      <w:r w:rsidRPr="0006795A">
        <w:t xml:space="preserve">. In addition, construction trips would not result in unnecessary use of </w:t>
      </w:r>
      <w:r w:rsidRPr="00EC3A74">
        <w:t xml:space="preserve">energy since the project site is served by numerous regional freeway </w:t>
      </w:r>
      <w:r w:rsidRPr="00DD0631">
        <w:t>systems</w:t>
      </w:r>
      <w:r w:rsidRPr="00EC3A74">
        <w:t xml:space="preserve"> that</w:t>
      </w:r>
      <w:r w:rsidRPr="0006795A">
        <w:t xml:space="preserve"> provide the most direct routes from various areas of the region</w:t>
      </w:r>
      <w:r w:rsidRPr="00DD0631">
        <w:t xml:space="preserve"> (e.g., Interstates</w:t>
      </w:r>
      <w:r>
        <w:t xml:space="preserve"> 10, 210, and 605)</w:t>
      </w:r>
      <w:r w:rsidRPr="0006795A">
        <w:t xml:space="preserve">. </w:t>
      </w:r>
      <w:r>
        <w:t>Moreover</w:t>
      </w:r>
      <w:r w:rsidRPr="00433DA0">
        <w:t>, all construction</w:t>
      </w:r>
      <w:r>
        <w:t xml:space="preserve"> </w:t>
      </w:r>
      <w:r w:rsidRPr="00433DA0">
        <w:t xml:space="preserve">equipment would cease </w:t>
      </w:r>
      <w:r>
        <w:t xml:space="preserve">operating </w:t>
      </w:r>
      <w:r w:rsidRPr="00433DA0">
        <w:t xml:space="preserve">upon completion of project construction. </w:t>
      </w:r>
      <w:r w:rsidRPr="009B110D">
        <w:t xml:space="preserve">Thus, energy </w:t>
      </w:r>
      <w:r>
        <w:t xml:space="preserve">use during construction of the </w:t>
      </w:r>
      <w:r w:rsidRPr="000F6431">
        <w:rPr>
          <w:rFonts w:eastAsia="Batang"/>
        </w:rPr>
        <w:t xml:space="preserve">proposed project </w:t>
      </w:r>
      <w:r w:rsidRPr="009B110D">
        <w:t>would not be considered inefficient, wasteful, or unnecessary. Impacts would be less than significant.</w:t>
      </w:r>
      <w:r w:rsidRPr="00BA62FC">
        <w:t xml:space="preserve"> </w:t>
      </w:r>
    </w:p>
    <w:p w14:paraId="026EEABD" w14:textId="77777777" w:rsidR="000E40F4" w:rsidRPr="00C2039F" w:rsidRDefault="000E40F4" w:rsidP="000E40F4">
      <w:pPr>
        <w:pStyle w:val="Heading5"/>
      </w:pPr>
      <w:r w:rsidRPr="00C2039F">
        <w:t>Long-Term Impacts</w:t>
      </w:r>
      <w:r>
        <w:t xml:space="preserve"> During Operation</w:t>
      </w:r>
    </w:p>
    <w:p w14:paraId="743005CF" w14:textId="77777777" w:rsidR="000E40F4" w:rsidRPr="00A462C2" w:rsidRDefault="000E40F4" w:rsidP="000E40F4">
      <w:pPr>
        <w:pStyle w:val="BodyText"/>
      </w:pPr>
      <w:r w:rsidRPr="00A462C2">
        <w:t xml:space="preserve">Operation of the </w:t>
      </w:r>
      <w:r w:rsidRPr="000F6431">
        <w:rPr>
          <w:rFonts w:eastAsia="Batang"/>
        </w:rPr>
        <w:t xml:space="preserve">proposed project </w:t>
      </w:r>
      <w:r w:rsidRPr="00A462C2">
        <w:t>would generate new demand for electricity, natural gas, and transportation energy</w:t>
      </w:r>
      <w:r>
        <w:t xml:space="preserve"> on the project site</w:t>
      </w:r>
      <w:r w:rsidRPr="00A462C2">
        <w:t xml:space="preserve">. </w:t>
      </w:r>
    </w:p>
    <w:p w14:paraId="715BDC65" w14:textId="77777777" w:rsidR="000E40F4" w:rsidRPr="00FE1708" w:rsidRDefault="000E40F4" w:rsidP="000E40F4">
      <w:pPr>
        <w:pStyle w:val="Heading6"/>
        <w:spacing w:after="200"/>
        <w:rPr>
          <w:i w:val="0"/>
        </w:rPr>
      </w:pPr>
      <w:r w:rsidRPr="00FE1708">
        <w:t>Electrical Energy</w:t>
      </w:r>
    </w:p>
    <w:p w14:paraId="6C230BBF" w14:textId="77777777" w:rsidR="000E40F4" w:rsidRPr="00BB7329" w:rsidRDefault="000E40F4" w:rsidP="000E40F4">
      <w:pPr>
        <w:pStyle w:val="BodyText"/>
      </w:pPr>
      <w:r w:rsidRPr="00A462C2">
        <w:t xml:space="preserve">Operation of the </w:t>
      </w:r>
      <w:r w:rsidRPr="000F6431">
        <w:rPr>
          <w:rFonts w:eastAsia="Batang"/>
        </w:rPr>
        <w:t xml:space="preserve">proposed project </w:t>
      </w:r>
      <w:r w:rsidRPr="00A462C2">
        <w:t>would consume electricity for various purposes, including but not limited to heating, cooling, and ventilation of buildings</w:t>
      </w:r>
      <w:r>
        <w:t>;</w:t>
      </w:r>
      <w:r w:rsidRPr="00A462C2">
        <w:t xml:space="preserve"> operation of electrical systems</w:t>
      </w:r>
      <w:r>
        <w:t>;</w:t>
      </w:r>
      <w:r w:rsidRPr="00A462C2">
        <w:t xml:space="preserve"> lighting</w:t>
      </w:r>
      <w:r>
        <w:t>;</w:t>
      </w:r>
      <w:r w:rsidRPr="00A462C2">
        <w:t xml:space="preserve"> and use of on-site equipment and appliances. Electrical service to the </w:t>
      </w:r>
      <w:r w:rsidRPr="000F6431">
        <w:rPr>
          <w:rFonts w:eastAsia="Batang"/>
        </w:rPr>
        <w:t xml:space="preserve">proposed project </w:t>
      </w:r>
      <w:r w:rsidRPr="00A462C2">
        <w:t xml:space="preserve">would be provided by </w:t>
      </w:r>
      <w:r>
        <w:t xml:space="preserve">Southern California </w:t>
      </w:r>
      <w:r w:rsidRPr="00BB7329">
        <w:t xml:space="preserve">Edison (SCE) through connections to existing off-site electrical lines and new on-site infrastructure. As shown in Table 10, implementation of the </w:t>
      </w:r>
      <w:r w:rsidRPr="00BB7329">
        <w:rPr>
          <w:rFonts w:eastAsia="Batang"/>
        </w:rPr>
        <w:t xml:space="preserve">proposed project </w:t>
      </w:r>
      <w:r w:rsidRPr="00BB7329">
        <w:t>would result in net increase of 310,585 kilowatt hours (kWh) of electricity use per year</w:t>
      </w:r>
      <w:r w:rsidR="00B85BC9">
        <w:t xml:space="preserve">. </w:t>
      </w:r>
    </w:p>
    <w:tbl>
      <w:tblPr>
        <w:tblStyle w:val="TableGrid"/>
        <w:tblW w:w="9360" w:type="dxa"/>
        <w:jc w:val="center"/>
        <w:tblLook w:val="04A0" w:firstRow="1" w:lastRow="0" w:firstColumn="1" w:lastColumn="0" w:noHBand="0" w:noVBand="1"/>
      </w:tblPr>
      <w:tblGrid>
        <w:gridCol w:w="4680"/>
        <w:gridCol w:w="4552"/>
        <w:gridCol w:w="128"/>
      </w:tblGrid>
      <w:tr w:rsidR="000E40F4" w:rsidRPr="006C1388" w14:paraId="1DAAD037" w14:textId="77777777" w:rsidTr="00FD0109">
        <w:trPr>
          <w:gridAfter w:val="1"/>
          <w:wAfter w:w="128" w:type="dxa"/>
          <w:jc w:val="center"/>
        </w:trPr>
        <w:tc>
          <w:tcPr>
            <w:tcW w:w="9232" w:type="dxa"/>
            <w:gridSpan w:val="2"/>
            <w:tcBorders>
              <w:top w:val="nil"/>
              <w:left w:val="nil"/>
              <w:bottom w:val="single" w:sz="12" w:space="0" w:color="auto"/>
              <w:right w:val="nil"/>
            </w:tcBorders>
          </w:tcPr>
          <w:p w14:paraId="17867E5F" w14:textId="77777777" w:rsidR="000E40F4" w:rsidRPr="006C1388" w:rsidRDefault="000E40F4" w:rsidP="00267180">
            <w:pPr>
              <w:pStyle w:val="TblTitles"/>
              <w:pageBreakBefore/>
            </w:pPr>
            <w:bookmarkStart w:id="146" w:name="_Toc10187928"/>
            <w:bookmarkStart w:id="147" w:name="_Hlk29375533"/>
            <w:bookmarkStart w:id="148" w:name="_Toc90882256"/>
            <w:r w:rsidRPr="00BB7329">
              <w:t>Table 10</w:t>
            </w:r>
            <w:r w:rsidRPr="00BB7329">
              <w:tab/>
            </w:r>
            <w:bookmarkEnd w:id="146"/>
            <w:r w:rsidRPr="00BB7329">
              <w:t>Electricity Consumption</w:t>
            </w:r>
            <w:bookmarkEnd w:id="148"/>
          </w:p>
        </w:tc>
      </w:tr>
      <w:tr w:rsidR="000E40F4" w:rsidRPr="006C1388" w14:paraId="268D1883" w14:textId="77777777" w:rsidTr="00FD0109">
        <w:trPr>
          <w:trHeight w:val="288"/>
          <w:jc w:val="center"/>
        </w:trPr>
        <w:tc>
          <w:tcPr>
            <w:tcW w:w="4680" w:type="dxa"/>
            <w:tcBorders>
              <w:top w:val="single" w:sz="12" w:space="0" w:color="auto"/>
              <w:left w:val="nil"/>
              <w:bottom w:val="single" w:sz="12" w:space="0" w:color="auto"/>
            </w:tcBorders>
            <w:vAlign w:val="bottom"/>
          </w:tcPr>
          <w:p w14:paraId="3D028F52" w14:textId="77777777" w:rsidR="000E40F4" w:rsidRPr="0006795A" w:rsidRDefault="000E40F4" w:rsidP="00FD0109">
            <w:pPr>
              <w:pStyle w:val="TblColumnHeads"/>
            </w:pPr>
            <w:r w:rsidRPr="0006795A">
              <w:t>Land Use</w:t>
            </w:r>
          </w:p>
        </w:tc>
        <w:tc>
          <w:tcPr>
            <w:tcW w:w="4680" w:type="dxa"/>
            <w:gridSpan w:val="2"/>
            <w:tcBorders>
              <w:top w:val="single" w:sz="12" w:space="0" w:color="auto"/>
              <w:bottom w:val="single" w:sz="12" w:space="0" w:color="auto"/>
              <w:right w:val="nil"/>
            </w:tcBorders>
            <w:vAlign w:val="bottom"/>
          </w:tcPr>
          <w:p w14:paraId="2640FF41" w14:textId="77777777" w:rsidR="000E40F4" w:rsidRPr="0006795A" w:rsidRDefault="000E40F4" w:rsidP="00FD0109">
            <w:pPr>
              <w:pStyle w:val="TblColumnHeads"/>
              <w:rPr>
                <w:vertAlign w:val="superscript"/>
              </w:rPr>
            </w:pPr>
            <w:r w:rsidRPr="0006795A">
              <w:t>Electricity (kWh/year)</w:t>
            </w:r>
          </w:p>
        </w:tc>
      </w:tr>
      <w:tr w:rsidR="000E40F4" w:rsidRPr="006C1388" w14:paraId="342C1403" w14:textId="77777777" w:rsidTr="00FD0109">
        <w:trPr>
          <w:jc w:val="center"/>
        </w:trPr>
        <w:tc>
          <w:tcPr>
            <w:tcW w:w="4680" w:type="dxa"/>
            <w:tcBorders>
              <w:top w:val="single" w:sz="12" w:space="0" w:color="auto"/>
              <w:left w:val="nil"/>
              <w:right w:val="nil"/>
            </w:tcBorders>
            <w:shd w:val="clear" w:color="auto" w:fill="D9D9D9" w:themeFill="background1" w:themeFillShade="D9"/>
          </w:tcPr>
          <w:p w14:paraId="0DF22067" w14:textId="77777777" w:rsidR="000E40F4" w:rsidRPr="00291CB1" w:rsidRDefault="00114C61" w:rsidP="00FD0109">
            <w:pPr>
              <w:pStyle w:val="TblTxthanging"/>
              <w:rPr>
                <w:b/>
                <w:bCs/>
              </w:rPr>
            </w:pPr>
            <w:bookmarkStart w:id="149" w:name="_Hlk67669465"/>
            <w:r>
              <w:rPr>
                <w:b/>
                <w:bCs/>
              </w:rPr>
              <w:t xml:space="preserve">Former Pepsi Bottling Plant </w:t>
            </w:r>
          </w:p>
        </w:tc>
        <w:tc>
          <w:tcPr>
            <w:tcW w:w="4680" w:type="dxa"/>
            <w:gridSpan w:val="2"/>
            <w:tcBorders>
              <w:top w:val="single" w:sz="12" w:space="0" w:color="auto"/>
              <w:left w:val="nil"/>
              <w:right w:val="nil"/>
            </w:tcBorders>
            <w:shd w:val="clear" w:color="auto" w:fill="D9D9D9" w:themeFill="background1" w:themeFillShade="D9"/>
          </w:tcPr>
          <w:p w14:paraId="1CD1B57C" w14:textId="77777777" w:rsidR="000E40F4" w:rsidRPr="0006795A" w:rsidRDefault="000E40F4" w:rsidP="00FD0109">
            <w:pPr>
              <w:pStyle w:val="TblTxtCenter"/>
            </w:pPr>
          </w:p>
        </w:tc>
      </w:tr>
      <w:tr w:rsidR="000E40F4" w:rsidRPr="006C1388" w14:paraId="31A7F79B" w14:textId="77777777" w:rsidTr="00FD0109">
        <w:trPr>
          <w:jc w:val="center"/>
        </w:trPr>
        <w:tc>
          <w:tcPr>
            <w:tcW w:w="4680" w:type="dxa"/>
            <w:tcBorders>
              <w:left w:val="nil"/>
            </w:tcBorders>
          </w:tcPr>
          <w:p w14:paraId="1A089940" w14:textId="77777777" w:rsidR="000E40F4" w:rsidRPr="00D77198" w:rsidRDefault="000E40F4" w:rsidP="00FD0109">
            <w:pPr>
              <w:pStyle w:val="TblTxthanging"/>
            </w:pPr>
            <w:r>
              <w:t>Warehousing</w:t>
            </w:r>
          </w:p>
        </w:tc>
        <w:tc>
          <w:tcPr>
            <w:tcW w:w="4680" w:type="dxa"/>
            <w:gridSpan w:val="2"/>
            <w:tcBorders>
              <w:right w:val="nil"/>
            </w:tcBorders>
          </w:tcPr>
          <w:p w14:paraId="56EBDDC7" w14:textId="77777777" w:rsidR="000E40F4" w:rsidRPr="00B744FC" w:rsidRDefault="000E40F4" w:rsidP="00FD0109">
            <w:pPr>
              <w:pStyle w:val="TblTxtCenter"/>
            </w:pPr>
            <w:r>
              <w:t>286,598</w:t>
            </w:r>
          </w:p>
        </w:tc>
      </w:tr>
      <w:tr w:rsidR="000E40F4" w:rsidRPr="006C1388" w14:paraId="15D3EBF5" w14:textId="77777777" w:rsidTr="001A33F5">
        <w:trPr>
          <w:jc w:val="center"/>
        </w:trPr>
        <w:tc>
          <w:tcPr>
            <w:tcW w:w="4680" w:type="dxa"/>
            <w:tcBorders>
              <w:left w:val="nil"/>
              <w:bottom w:val="single" w:sz="12" w:space="0" w:color="auto"/>
            </w:tcBorders>
          </w:tcPr>
          <w:p w14:paraId="13D2C6C2" w14:textId="77777777" w:rsidR="000E40F4" w:rsidRDefault="000E40F4" w:rsidP="00FD0109">
            <w:pPr>
              <w:pStyle w:val="TblTxthanging"/>
            </w:pPr>
            <w:r>
              <w:t>Parking Lot</w:t>
            </w:r>
          </w:p>
        </w:tc>
        <w:tc>
          <w:tcPr>
            <w:tcW w:w="4680" w:type="dxa"/>
            <w:gridSpan w:val="2"/>
            <w:tcBorders>
              <w:bottom w:val="single" w:sz="12" w:space="0" w:color="auto"/>
              <w:right w:val="nil"/>
            </w:tcBorders>
          </w:tcPr>
          <w:p w14:paraId="181FC4F7" w14:textId="77777777" w:rsidR="000E40F4" w:rsidRPr="00B744FC" w:rsidRDefault="000E40F4" w:rsidP="00FD0109">
            <w:pPr>
              <w:pStyle w:val="TblTxtCenter"/>
            </w:pPr>
            <w:r>
              <w:t>26,644</w:t>
            </w:r>
          </w:p>
        </w:tc>
      </w:tr>
      <w:tr w:rsidR="000E40F4" w:rsidRPr="006C1388" w14:paraId="4CBC5DBD" w14:textId="77777777" w:rsidTr="001A33F5">
        <w:trPr>
          <w:jc w:val="center"/>
        </w:trPr>
        <w:tc>
          <w:tcPr>
            <w:tcW w:w="4680" w:type="dxa"/>
            <w:tcBorders>
              <w:top w:val="single" w:sz="12" w:space="0" w:color="auto"/>
              <w:left w:val="nil"/>
              <w:bottom w:val="single" w:sz="12" w:space="0" w:color="auto"/>
            </w:tcBorders>
          </w:tcPr>
          <w:p w14:paraId="7E0FE0A1" w14:textId="77777777" w:rsidR="000E40F4" w:rsidRPr="002B4E5B" w:rsidRDefault="000E40F4" w:rsidP="00FD0109">
            <w:pPr>
              <w:pStyle w:val="TblTxthanging"/>
              <w:jc w:val="right"/>
              <w:rPr>
                <w:b/>
                <w:bCs/>
              </w:rPr>
            </w:pPr>
            <w:r w:rsidRPr="002B4E5B">
              <w:rPr>
                <w:b/>
                <w:bCs/>
              </w:rPr>
              <w:t>Total</w:t>
            </w:r>
          </w:p>
        </w:tc>
        <w:tc>
          <w:tcPr>
            <w:tcW w:w="4680" w:type="dxa"/>
            <w:gridSpan w:val="2"/>
            <w:tcBorders>
              <w:top w:val="single" w:sz="12" w:space="0" w:color="auto"/>
              <w:bottom w:val="single" w:sz="12" w:space="0" w:color="auto"/>
              <w:right w:val="nil"/>
            </w:tcBorders>
          </w:tcPr>
          <w:p w14:paraId="42297D65" w14:textId="77777777" w:rsidR="000E40F4" w:rsidRPr="008B1337" w:rsidRDefault="000E40F4" w:rsidP="00FD0109">
            <w:pPr>
              <w:pStyle w:val="TblTxtCenter"/>
              <w:rPr>
                <w:b/>
                <w:bCs/>
              </w:rPr>
            </w:pPr>
            <w:r w:rsidRPr="008B1337">
              <w:rPr>
                <w:b/>
                <w:bCs/>
              </w:rPr>
              <w:t>313,242</w:t>
            </w:r>
          </w:p>
        </w:tc>
      </w:tr>
      <w:tr w:rsidR="000E40F4" w:rsidRPr="006C1388" w14:paraId="3D44E23E" w14:textId="77777777" w:rsidTr="00FD0109">
        <w:trPr>
          <w:jc w:val="center"/>
        </w:trPr>
        <w:tc>
          <w:tcPr>
            <w:tcW w:w="4680" w:type="dxa"/>
            <w:tcBorders>
              <w:top w:val="single" w:sz="12" w:space="0" w:color="auto"/>
              <w:left w:val="nil"/>
              <w:right w:val="nil"/>
            </w:tcBorders>
            <w:shd w:val="clear" w:color="auto" w:fill="D9D9D9" w:themeFill="background1" w:themeFillShade="D9"/>
          </w:tcPr>
          <w:p w14:paraId="7164F186" w14:textId="77777777" w:rsidR="000E40F4" w:rsidRPr="00291CB1" w:rsidRDefault="000E40F4" w:rsidP="00FD0109">
            <w:pPr>
              <w:pStyle w:val="TblTxthanging"/>
              <w:rPr>
                <w:b/>
                <w:bCs/>
              </w:rPr>
            </w:pPr>
            <w:r w:rsidRPr="00291CB1">
              <w:rPr>
                <w:b/>
                <w:bCs/>
              </w:rPr>
              <w:t>Proposed Project</w:t>
            </w:r>
          </w:p>
        </w:tc>
        <w:tc>
          <w:tcPr>
            <w:tcW w:w="4680" w:type="dxa"/>
            <w:gridSpan w:val="2"/>
            <w:tcBorders>
              <w:top w:val="single" w:sz="12" w:space="0" w:color="auto"/>
              <w:left w:val="nil"/>
              <w:right w:val="nil"/>
            </w:tcBorders>
            <w:shd w:val="clear" w:color="auto" w:fill="D9D9D9" w:themeFill="background1" w:themeFillShade="D9"/>
          </w:tcPr>
          <w:p w14:paraId="4892A807" w14:textId="77777777" w:rsidR="000E40F4" w:rsidRPr="00B744FC" w:rsidRDefault="000E40F4" w:rsidP="00FD0109">
            <w:pPr>
              <w:pStyle w:val="TblTxtCenter"/>
            </w:pPr>
          </w:p>
        </w:tc>
      </w:tr>
      <w:bookmarkEnd w:id="149"/>
      <w:tr w:rsidR="000E40F4" w:rsidRPr="006C1388" w14:paraId="5F3DB2AA" w14:textId="77777777" w:rsidTr="00FD0109">
        <w:trPr>
          <w:jc w:val="center"/>
        </w:trPr>
        <w:tc>
          <w:tcPr>
            <w:tcW w:w="4680" w:type="dxa"/>
            <w:tcBorders>
              <w:left w:val="nil"/>
            </w:tcBorders>
          </w:tcPr>
          <w:p w14:paraId="16A84C3A" w14:textId="77777777" w:rsidR="000E40F4" w:rsidRDefault="000E40F4" w:rsidP="00FD0109">
            <w:pPr>
              <w:pStyle w:val="TblTxthanging"/>
            </w:pPr>
            <w:r>
              <w:t>Warehousing</w:t>
            </w:r>
          </w:p>
        </w:tc>
        <w:tc>
          <w:tcPr>
            <w:tcW w:w="4680" w:type="dxa"/>
            <w:gridSpan w:val="2"/>
            <w:tcBorders>
              <w:right w:val="nil"/>
            </w:tcBorders>
          </w:tcPr>
          <w:p w14:paraId="51810F88" w14:textId="77777777" w:rsidR="000E40F4" w:rsidRPr="00B744FC" w:rsidRDefault="000E40F4" w:rsidP="00FD0109">
            <w:pPr>
              <w:pStyle w:val="TblTxtCenter"/>
            </w:pPr>
            <w:r>
              <w:t>432,139</w:t>
            </w:r>
          </w:p>
        </w:tc>
      </w:tr>
      <w:tr w:rsidR="000E40F4" w:rsidRPr="006C1388" w14:paraId="370656CB" w14:textId="77777777" w:rsidTr="00FD0109">
        <w:trPr>
          <w:jc w:val="center"/>
        </w:trPr>
        <w:tc>
          <w:tcPr>
            <w:tcW w:w="4680" w:type="dxa"/>
            <w:tcBorders>
              <w:left w:val="nil"/>
            </w:tcBorders>
          </w:tcPr>
          <w:p w14:paraId="5CFC10ED" w14:textId="77777777" w:rsidR="000E40F4" w:rsidRDefault="000E40F4" w:rsidP="00FD0109">
            <w:pPr>
              <w:pStyle w:val="TblTxthanging"/>
            </w:pPr>
            <w:r>
              <w:t>Manufacturing</w:t>
            </w:r>
          </w:p>
        </w:tc>
        <w:tc>
          <w:tcPr>
            <w:tcW w:w="4680" w:type="dxa"/>
            <w:gridSpan w:val="2"/>
            <w:tcBorders>
              <w:right w:val="nil"/>
            </w:tcBorders>
          </w:tcPr>
          <w:p w14:paraId="4D2246E3" w14:textId="77777777" w:rsidR="000E40F4" w:rsidRPr="00B744FC" w:rsidRDefault="000E40F4" w:rsidP="00FD0109">
            <w:pPr>
              <w:pStyle w:val="TblTxtCenter"/>
            </w:pPr>
            <w:r>
              <w:t>184,620</w:t>
            </w:r>
          </w:p>
        </w:tc>
      </w:tr>
      <w:tr w:rsidR="000E40F4" w:rsidRPr="006C1388" w14:paraId="2EEF8583" w14:textId="77777777" w:rsidTr="001A33F5">
        <w:trPr>
          <w:jc w:val="center"/>
        </w:trPr>
        <w:tc>
          <w:tcPr>
            <w:tcW w:w="4680" w:type="dxa"/>
            <w:tcBorders>
              <w:left w:val="nil"/>
              <w:bottom w:val="single" w:sz="12" w:space="0" w:color="auto"/>
            </w:tcBorders>
          </w:tcPr>
          <w:p w14:paraId="093C8BE8" w14:textId="77777777" w:rsidR="000E40F4" w:rsidRDefault="000E40F4" w:rsidP="00FD0109">
            <w:pPr>
              <w:pStyle w:val="TblTxthanging"/>
            </w:pPr>
            <w:r>
              <w:t>Parking Lot</w:t>
            </w:r>
          </w:p>
        </w:tc>
        <w:tc>
          <w:tcPr>
            <w:tcW w:w="4680" w:type="dxa"/>
            <w:gridSpan w:val="2"/>
            <w:tcBorders>
              <w:bottom w:val="single" w:sz="12" w:space="0" w:color="auto"/>
              <w:right w:val="nil"/>
            </w:tcBorders>
          </w:tcPr>
          <w:p w14:paraId="72CFF4CE" w14:textId="77777777" w:rsidR="000E40F4" w:rsidRPr="00B744FC" w:rsidRDefault="000E40F4" w:rsidP="00FD0109">
            <w:pPr>
              <w:pStyle w:val="TblTxtCenter"/>
            </w:pPr>
            <w:r>
              <w:t>7,068</w:t>
            </w:r>
          </w:p>
        </w:tc>
      </w:tr>
      <w:tr w:rsidR="000E40F4" w:rsidRPr="006C1388" w14:paraId="454EF17D" w14:textId="77777777" w:rsidTr="001A33F5">
        <w:trPr>
          <w:jc w:val="center"/>
        </w:trPr>
        <w:tc>
          <w:tcPr>
            <w:tcW w:w="4680" w:type="dxa"/>
            <w:tcBorders>
              <w:top w:val="single" w:sz="12" w:space="0" w:color="auto"/>
              <w:left w:val="nil"/>
              <w:bottom w:val="single" w:sz="12" w:space="0" w:color="auto"/>
            </w:tcBorders>
          </w:tcPr>
          <w:p w14:paraId="35E1C40A" w14:textId="77777777" w:rsidR="000E40F4" w:rsidRPr="002B4E5B" w:rsidRDefault="000E40F4" w:rsidP="00FD0109">
            <w:pPr>
              <w:pStyle w:val="TblTxthanging"/>
              <w:jc w:val="right"/>
              <w:rPr>
                <w:b/>
                <w:bCs/>
              </w:rPr>
            </w:pPr>
            <w:r w:rsidRPr="002B4E5B">
              <w:rPr>
                <w:b/>
                <w:bCs/>
              </w:rPr>
              <w:t>Total</w:t>
            </w:r>
          </w:p>
        </w:tc>
        <w:tc>
          <w:tcPr>
            <w:tcW w:w="4680" w:type="dxa"/>
            <w:gridSpan w:val="2"/>
            <w:tcBorders>
              <w:top w:val="single" w:sz="12" w:space="0" w:color="auto"/>
              <w:bottom w:val="single" w:sz="12" w:space="0" w:color="auto"/>
              <w:right w:val="nil"/>
            </w:tcBorders>
          </w:tcPr>
          <w:p w14:paraId="312A781E" w14:textId="77777777" w:rsidR="000E40F4" w:rsidRPr="00F56306" w:rsidRDefault="000E40F4" w:rsidP="00FD0109">
            <w:pPr>
              <w:pStyle w:val="TblTxtCenter"/>
              <w:rPr>
                <w:b/>
                <w:bCs/>
              </w:rPr>
            </w:pPr>
            <w:r w:rsidRPr="00F56306">
              <w:rPr>
                <w:b/>
                <w:bCs/>
              </w:rPr>
              <w:t>623,827</w:t>
            </w:r>
          </w:p>
        </w:tc>
      </w:tr>
      <w:tr w:rsidR="000E40F4" w:rsidRPr="00E724BB" w14:paraId="458DB952" w14:textId="77777777" w:rsidTr="00FD0109">
        <w:trPr>
          <w:jc w:val="center"/>
        </w:trPr>
        <w:tc>
          <w:tcPr>
            <w:tcW w:w="4680" w:type="dxa"/>
            <w:tcBorders>
              <w:top w:val="single" w:sz="12" w:space="0" w:color="auto"/>
              <w:left w:val="nil"/>
              <w:right w:val="nil"/>
            </w:tcBorders>
            <w:shd w:val="clear" w:color="auto" w:fill="D9D9D9" w:themeFill="background1" w:themeFillShade="D9"/>
          </w:tcPr>
          <w:p w14:paraId="0093130B" w14:textId="77777777" w:rsidR="000E40F4" w:rsidRPr="00E724BB" w:rsidRDefault="000E40F4" w:rsidP="00FD0109">
            <w:pPr>
              <w:pStyle w:val="TblTxthanging"/>
              <w:rPr>
                <w:b/>
                <w:bCs/>
              </w:rPr>
            </w:pPr>
            <w:r w:rsidRPr="00E724BB">
              <w:rPr>
                <w:b/>
                <w:bCs/>
              </w:rPr>
              <w:t>Net Change</w:t>
            </w:r>
          </w:p>
        </w:tc>
        <w:tc>
          <w:tcPr>
            <w:tcW w:w="4680" w:type="dxa"/>
            <w:gridSpan w:val="2"/>
            <w:tcBorders>
              <w:top w:val="single" w:sz="12" w:space="0" w:color="auto"/>
              <w:left w:val="nil"/>
              <w:right w:val="nil"/>
            </w:tcBorders>
            <w:shd w:val="clear" w:color="auto" w:fill="D9D9D9" w:themeFill="background1" w:themeFillShade="D9"/>
          </w:tcPr>
          <w:p w14:paraId="254E3D2D" w14:textId="77777777" w:rsidR="000E40F4" w:rsidRPr="00E724BB" w:rsidRDefault="000E40F4" w:rsidP="00FD0109">
            <w:pPr>
              <w:pStyle w:val="TblTxtCenter"/>
              <w:rPr>
                <w:b/>
                <w:bCs/>
              </w:rPr>
            </w:pPr>
          </w:p>
        </w:tc>
      </w:tr>
      <w:tr w:rsidR="000E40F4" w:rsidRPr="006C1388" w14:paraId="305C8A67" w14:textId="77777777" w:rsidTr="00FD0109">
        <w:trPr>
          <w:jc w:val="center"/>
        </w:trPr>
        <w:tc>
          <w:tcPr>
            <w:tcW w:w="4680" w:type="dxa"/>
            <w:tcBorders>
              <w:left w:val="nil"/>
            </w:tcBorders>
          </w:tcPr>
          <w:p w14:paraId="690B5930" w14:textId="77777777" w:rsidR="000E40F4" w:rsidRPr="00D77198" w:rsidRDefault="00114C61" w:rsidP="00FD0109">
            <w:pPr>
              <w:pStyle w:val="TblTxthanging"/>
            </w:pPr>
            <w:r>
              <w:t>Former Pepsi Bottling Plant</w:t>
            </w:r>
          </w:p>
        </w:tc>
        <w:tc>
          <w:tcPr>
            <w:tcW w:w="4680" w:type="dxa"/>
            <w:gridSpan w:val="2"/>
            <w:tcBorders>
              <w:right w:val="nil"/>
            </w:tcBorders>
          </w:tcPr>
          <w:p w14:paraId="7369793A" w14:textId="77777777" w:rsidR="000E40F4" w:rsidRPr="00B744FC" w:rsidRDefault="000E40F4" w:rsidP="00FD0109">
            <w:pPr>
              <w:pStyle w:val="TblTxtCenter"/>
            </w:pPr>
            <w:r>
              <w:t>313,242</w:t>
            </w:r>
          </w:p>
        </w:tc>
      </w:tr>
      <w:tr w:rsidR="000E40F4" w:rsidRPr="006C1388" w14:paraId="20F7096E" w14:textId="77777777" w:rsidTr="00FD0109">
        <w:trPr>
          <w:jc w:val="center"/>
        </w:trPr>
        <w:tc>
          <w:tcPr>
            <w:tcW w:w="4680" w:type="dxa"/>
            <w:tcBorders>
              <w:left w:val="nil"/>
            </w:tcBorders>
          </w:tcPr>
          <w:p w14:paraId="69364D49" w14:textId="77777777" w:rsidR="000E40F4" w:rsidRPr="00D77198" w:rsidRDefault="000E40F4" w:rsidP="00FD0109">
            <w:pPr>
              <w:pStyle w:val="TblTxthanging"/>
            </w:pPr>
            <w:r>
              <w:t>Proposed Project</w:t>
            </w:r>
          </w:p>
        </w:tc>
        <w:tc>
          <w:tcPr>
            <w:tcW w:w="4680" w:type="dxa"/>
            <w:gridSpan w:val="2"/>
            <w:tcBorders>
              <w:right w:val="nil"/>
            </w:tcBorders>
          </w:tcPr>
          <w:p w14:paraId="633FC860" w14:textId="77777777" w:rsidR="000E40F4" w:rsidRPr="00B744FC" w:rsidRDefault="000E40F4" w:rsidP="00FD0109">
            <w:pPr>
              <w:pStyle w:val="TblTxtCenter"/>
            </w:pPr>
            <w:r>
              <w:t>623,827</w:t>
            </w:r>
          </w:p>
        </w:tc>
      </w:tr>
      <w:tr w:rsidR="000E40F4" w:rsidRPr="006C1388" w14:paraId="44952E88" w14:textId="77777777" w:rsidTr="00FD0109">
        <w:trPr>
          <w:jc w:val="center"/>
        </w:trPr>
        <w:tc>
          <w:tcPr>
            <w:tcW w:w="4680" w:type="dxa"/>
            <w:tcBorders>
              <w:top w:val="single" w:sz="12" w:space="0" w:color="auto"/>
              <w:left w:val="nil"/>
              <w:bottom w:val="single" w:sz="12" w:space="0" w:color="auto"/>
            </w:tcBorders>
            <w:vAlign w:val="bottom"/>
          </w:tcPr>
          <w:p w14:paraId="403192C8" w14:textId="77777777" w:rsidR="000E40F4" w:rsidRPr="0006795A" w:rsidRDefault="000E40F4" w:rsidP="00FD0109">
            <w:pPr>
              <w:pStyle w:val="TblTxthanging"/>
              <w:jc w:val="right"/>
              <w:rPr>
                <w:b/>
              </w:rPr>
            </w:pPr>
            <w:r>
              <w:rPr>
                <w:b/>
              </w:rPr>
              <w:t>Net Change</w:t>
            </w:r>
          </w:p>
        </w:tc>
        <w:tc>
          <w:tcPr>
            <w:tcW w:w="4680" w:type="dxa"/>
            <w:gridSpan w:val="2"/>
            <w:tcBorders>
              <w:top w:val="single" w:sz="12" w:space="0" w:color="auto"/>
              <w:bottom w:val="single" w:sz="12" w:space="0" w:color="auto"/>
              <w:right w:val="nil"/>
            </w:tcBorders>
          </w:tcPr>
          <w:p w14:paraId="48D8E9FB" w14:textId="77777777" w:rsidR="000E40F4" w:rsidRPr="00F23800" w:rsidRDefault="000E40F4" w:rsidP="00FD0109">
            <w:pPr>
              <w:pStyle w:val="TblTxtCenter"/>
              <w:rPr>
                <w:b/>
                <w:bCs/>
              </w:rPr>
            </w:pPr>
            <w:r>
              <w:rPr>
                <w:b/>
                <w:bCs/>
              </w:rPr>
              <w:t>310,585</w:t>
            </w:r>
          </w:p>
        </w:tc>
      </w:tr>
      <w:tr w:rsidR="000E40F4" w:rsidRPr="006C1388" w14:paraId="3A8ED9CD" w14:textId="77777777" w:rsidTr="00FD0109">
        <w:trPr>
          <w:gridAfter w:val="1"/>
          <w:wAfter w:w="128" w:type="dxa"/>
          <w:jc w:val="center"/>
        </w:trPr>
        <w:tc>
          <w:tcPr>
            <w:tcW w:w="9232" w:type="dxa"/>
            <w:gridSpan w:val="2"/>
            <w:tcBorders>
              <w:top w:val="single" w:sz="12" w:space="0" w:color="auto"/>
              <w:left w:val="nil"/>
              <w:bottom w:val="single" w:sz="12" w:space="0" w:color="auto"/>
              <w:right w:val="nil"/>
            </w:tcBorders>
          </w:tcPr>
          <w:p w14:paraId="2A26E3E9" w14:textId="77777777" w:rsidR="000E40F4" w:rsidRDefault="000E40F4" w:rsidP="00FD0109">
            <w:pPr>
              <w:pStyle w:val="Tblsource"/>
              <w:rPr>
                <w:vertAlign w:val="superscript"/>
              </w:rPr>
            </w:pPr>
            <w:r w:rsidRPr="001135D1">
              <w:t xml:space="preserve">Source: </w:t>
            </w:r>
            <w:r w:rsidRPr="001135D1">
              <w:rPr>
                <w:rFonts w:eastAsia="Batang"/>
              </w:rPr>
              <w:t xml:space="preserve">CalEEMod Version </w:t>
            </w:r>
            <w:r>
              <w:rPr>
                <w:rFonts w:eastAsia="Batang"/>
              </w:rPr>
              <w:t>2020.4.0.</w:t>
            </w:r>
            <w:r>
              <w:rPr>
                <w:vertAlign w:val="superscript"/>
              </w:rPr>
              <w:t xml:space="preserve"> </w:t>
            </w:r>
          </w:p>
          <w:p w14:paraId="31022694" w14:textId="77777777" w:rsidR="000E40F4" w:rsidRPr="00587D00" w:rsidRDefault="000E40F4" w:rsidP="00FD0109">
            <w:pPr>
              <w:pStyle w:val="Tblsource"/>
              <w:rPr>
                <w:szCs w:val="15"/>
              </w:rPr>
            </w:pPr>
            <w:r>
              <w:rPr>
                <w:rFonts w:eastAsia="Batang"/>
              </w:rPr>
              <w:t>Note:</w:t>
            </w:r>
            <w:r w:rsidRPr="008437B2">
              <w:t xml:space="preserve"> </w:t>
            </w:r>
            <w:r>
              <w:t>kWh = kilowatt hour</w:t>
            </w:r>
          </w:p>
        </w:tc>
      </w:tr>
      <w:bookmarkEnd w:id="147"/>
    </w:tbl>
    <w:p w14:paraId="154665BE" w14:textId="77777777" w:rsidR="000E40F4" w:rsidRPr="00D05595" w:rsidRDefault="000E40F4" w:rsidP="000E40F4">
      <w:pPr>
        <w:pStyle w:val="BodyText"/>
      </w:pPr>
    </w:p>
    <w:p w14:paraId="48B9DC73" w14:textId="6CDE3122" w:rsidR="000E40F4" w:rsidRPr="004D053B" w:rsidRDefault="000E40F4" w:rsidP="000E40F4">
      <w:pPr>
        <w:pStyle w:val="BodyText"/>
      </w:pPr>
      <w:r>
        <w:t>Though</w:t>
      </w:r>
      <w:r w:rsidRPr="00EC3A74">
        <w:t xml:space="preserve"> the </w:t>
      </w:r>
      <w:r w:rsidRPr="00EC3A74">
        <w:rPr>
          <w:rFonts w:eastAsia="Batang"/>
        </w:rPr>
        <w:t xml:space="preserve">proposed project </w:t>
      </w:r>
      <w:r w:rsidRPr="00EC3A74">
        <w:t>would result in electricity demand, it would be consistent with the requirements of the Building Energy Efficiency Standards</w:t>
      </w:r>
      <w:r>
        <w:t xml:space="preserve"> and</w:t>
      </w:r>
      <w:r w:rsidRPr="00EC3A74">
        <w:t xml:space="preserve"> CALGreen. </w:t>
      </w:r>
      <w:r>
        <w:t xml:space="preserve">Compliance with these standards would contribute to minimizing inefficient energy use in the proposed building. </w:t>
      </w:r>
      <w:r w:rsidRPr="00EC3A74">
        <w:t xml:space="preserve">Therefore, operation of the proposed project would not result in wasteful or unnecessary electricity demands and </w:t>
      </w:r>
      <w:r w:rsidRPr="00CE1776">
        <w:t xml:space="preserve">would result in a </w:t>
      </w:r>
      <w:r w:rsidR="00CE1776" w:rsidRPr="00E76985">
        <w:t xml:space="preserve">less than </w:t>
      </w:r>
      <w:r w:rsidRPr="00CE1776">
        <w:t>significant impact related to e</w:t>
      </w:r>
      <w:r w:rsidRPr="00101A4A">
        <w:t>lectricity.</w:t>
      </w:r>
      <w:r w:rsidRPr="004D053B">
        <w:t xml:space="preserve"> </w:t>
      </w:r>
    </w:p>
    <w:p w14:paraId="1D4B0AFC" w14:textId="77777777" w:rsidR="000E40F4" w:rsidRPr="00FE1708" w:rsidRDefault="000E40F4" w:rsidP="000E40F4">
      <w:pPr>
        <w:pStyle w:val="Heading6"/>
        <w:spacing w:after="200"/>
        <w:rPr>
          <w:i w:val="0"/>
        </w:rPr>
      </w:pPr>
      <w:r w:rsidRPr="00FE1708">
        <w:t>Natural Gas Energy</w:t>
      </w:r>
    </w:p>
    <w:p w14:paraId="62F12BE7" w14:textId="77777777" w:rsidR="000E40F4" w:rsidRPr="00BB7329" w:rsidRDefault="000E40F4" w:rsidP="000E40F4">
      <w:pPr>
        <w:pStyle w:val="BodyText"/>
      </w:pPr>
      <w:r>
        <w:t xml:space="preserve">Operation of the proposed project would consume natural gas for heating. </w:t>
      </w:r>
      <w:r w:rsidRPr="004D053B">
        <w:t xml:space="preserve">The </w:t>
      </w:r>
      <w:r>
        <w:t>potential</w:t>
      </w:r>
      <w:r w:rsidRPr="004D053B">
        <w:t xml:space="preserve"> natural gas consumption for </w:t>
      </w:r>
      <w:r w:rsidRPr="00BB7329">
        <w:t xml:space="preserve">the project site is shown in Table 11. As shown in the table, implementation of the </w:t>
      </w:r>
      <w:r w:rsidRPr="00BB7329">
        <w:rPr>
          <w:rFonts w:eastAsia="Batang"/>
        </w:rPr>
        <w:t xml:space="preserve">proposed project </w:t>
      </w:r>
      <w:r w:rsidRPr="00BB7329">
        <w:t xml:space="preserve">would generate a net average natural gas demand of 337,131 kilo British thermal units (kBTU) per year. </w:t>
      </w:r>
      <w:r>
        <w:t>Though</w:t>
      </w:r>
      <w:r w:rsidRPr="00BB7329">
        <w:t xml:space="preserve"> the proposed project would result in natural gas demand, it would be consistent with the requirements of the Building Energy Efficiency Standards and would not result in wasteful or unnecessary natural gas demands. Therefore, operation of the </w:t>
      </w:r>
      <w:r w:rsidRPr="00BB7329">
        <w:rPr>
          <w:rFonts w:eastAsia="Batang"/>
        </w:rPr>
        <w:t xml:space="preserve">proposed project </w:t>
      </w:r>
      <w:r w:rsidRPr="00BB7329">
        <w:t>would result in less than significant impacts with respect to natural gas usage.</w:t>
      </w:r>
    </w:p>
    <w:tbl>
      <w:tblPr>
        <w:tblStyle w:val="TableGrid"/>
        <w:tblW w:w="9360" w:type="dxa"/>
        <w:jc w:val="center"/>
        <w:tblLook w:val="04A0" w:firstRow="1" w:lastRow="0" w:firstColumn="1" w:lastColumn="0" w:noHBand="0" w:noVBand="1"/>
      </w:tblPr>
      <w:tblGrid>
        <w:gridCol w:w="4680"/>
        <w:gridCol w:w="4552"/>
        <w:gridCol w:w="128"/>
      </w:tblGrid>
      <w:tr w:rsidR="000E40F4" w:rsidRPr="006C1388" w14:paraId="5B64DD08" w14:textId="77777777" w:rsidTr="00FD0109">
        <w:trPr>
          <w:gridAfter w:val="1"/>
          <w:wAfter w:w="128" w:type="dxa"/>
          <w:jc w:val="center"/>
        </w:trPr>
        <w:tc>
          <w:tcPr>
            <w:tcW w:w="9232" w:type="dxa"/>
            <w:gridSpan w:val="2"/>
            <w:tcBorders>
              <w:top w:val="nil"/>
              <w:left w:val="nil"/>
              <w:bottom w:val="single" w:sz="12" w:space="0" w:color="auto"/>
              <w:right w:val="nil"/>
            </w:tcBorders>
          </w:tcPr>
          <w:p w14:paraId="592E2C43" w14:textId="77777777" w:rsidR="000E40F4" w:rsidRPr="006C1388" w:rsidRDefault="000E40F4" w:rsidP="00267180">
            <w:pPr>
              <w:pStyle w:val="TblTitles"/>
              <w:pageBreakBefore/>
            </w:pPr>
            <w:bookmarkStart w:id="150" w:name="_Toc90882257"/>
            <w:r w:rsidRPr="00BB7329">
              <w:t>Table 11</w:t>
            </w:r>
            <w:r w:rsidRPr="00BB7329">
              <w:tab/>
              <w:t>Natural Gas Consumption</w:t>
            </w:r>
            <w:bookmarkEnd w:id="150"/>
          </w:p>
        </w:tc>
      </w:tr>
      <w:tr w:rsidR="000E40F4" w:rsidRPr="006C1388" w14:paraId="51AE63FB" w14:textId="77777777" w:rsidTr="00FD0109">
        <w:trPr>
          <w:trHeight w:val="288"/>
          <w:jc w:val="center"/>
        </w:trPr>
        <w:tc>
          <w:tcPr>
            <w:tcW w:w="4680" w:type="dxa"/>
            <w:tcBorders>
              <w:top w:val="single" w:sz="12" w:space="0" w:color="auto"/>
              <w:left w:val="nil"/>
              <w:bottom w:val="single" w:sz="12" w:space="0" w:color="auto"/>
            </w:tcBorders>
            <w:vAlign w:val="bottom"/>
          </w:tcPr>
          <w:p w14:paraId="47805BD0" w14:textId="77777777" w:rsidR="000E40F4" w:rsidRPr="0006795A" w:rsidRDefault="000E40F4" w:rsidP="00FD0109">
            <w:pPr>
              <w:pStyle w:val="TblColumnHeads"/>
            </w:pPr>
            <w:r w:rsidRPr="0006795A">
              <w:t>Land Use</w:t>
            </w:r>
          </w:p>
        </w:tc>
        <w:tc>
          <w:tcPr>
            <w:tcW w:w="4680" w:type="dxa"/>
            <w:gridSpan w:val="2"/>
            <w:tcBorders>
              <w:top w:val="single" w:sz="12" w:space="0" w:color="auto"/>
              <w:bottom w:val="single" w:sz="12" w:space="0" w:color="auto"/>
              <w:right w:val="nil"/>
            </w:tcBorders>
            <w:vAlign w:val="bottom"/>
          </w:tcPr>
          <w:p w14:paraId="224F2796" w14:textId="77777777" w:rsidR="000E40F4" w:rsidRPr="0006795A" w:rsidRDefault="000E40F4" w:rsidP="00FD0109">
            <w:pPr>
              <w:pStyle w:val="TblColumnHeads"/>
              <w:rPr>
                <w:vertAlign w:val="superscript"/>
              </w:rPr>
            </w:pPr>
            <w:r w:rsidRPr="004D053B">
              <w:t>Natural Gas (kBTU/year)</w:t>
            </w:r>
          </w:p>
        </w:tc>
      </w:tr>
      <w:tr w:rsidR="000E40F4" w:rsidRPr="006C1388" w14:paraId="7D50C63F" w14:textId="77777777" w:rsidTr="00FD0109">
        <w:trPr>
          <w:jc w:val="center"/>
        </w:trPr>
        <w:tc>
          <w:tcPr>
            <w:tcW w:w="4680" w:type="dxa"/>
            <w:tcBorders>
              <w:top w:val="single" w:sz="12" w:space="0" w:color="auto"/>
              <w:left w:val="nil"/>
              <w:right w:val="nil"/>
            </w:tcBorders>
            <w:shd w:val="clear" w:color="auto" w:fill="D9D9D9" w:themeFill="background1" w:themeFillShade="D9"/>
          </w:tcPr>
          <w:p w14:paraId="2A3E80C2" w14:textId="77777777" w:rsidR="000E40F4" w:rsidRPr="00291CB1" w:rsidRDefault="00114C61" w:rsidP="00FD0109">
            <w:pPr>
              <w:pStyle w:val="TblTxthanging"/>
              <w:rPr>
                <w:b/>
                <w:bCs/>
              </w:rPr>
            </w:pPr>
            <w:r>
              <w:rPr>
                <w:b/>
                <w:bCs/>
              </w:rPr>
              <w:t>Former Pepsi Bottling Plant</w:t>
            </w:r>
          </w:p>
        </w:tc>
        <w:tc>
          <w:tcPr>
            <w:tcW w:w="4680" w:type="dxa"/>
            <w:gridSpan w:val="2"/>
            <w:tcBorders>
              <w:top w:val="single" w:sz="12" w:space="0" w:color="auto"/>
              <w:left w:val="nil"/>
              <w:right w:val="nil"/>
            </w:tcBorders>
            <w:shd w:val="clear" w:color="auto" w:fill="D9D9D9" w:themeFill="background1" w:themeFillShade="D9"/>
          </w:tcPr>
          <w:p w14:paraId="3ADE4D85" w14:textId="77777777" w:rsidR="000E40F4" w:rsidRPr="0006795A" w:rsidRDefault="000E40F4" w:rsidP="00FD0109">
            <w:pPr>
              <w:pStyle w:val="TblTxtCenter"/>
            </w:pPr>
          </w:p>
        </w:tc>
      </w:tr>
      <w:tr w:rsidR="000E40F4" w:rsidRPr="006C1388" w14:paraId="53EB4EE9" w14:textId="77777777" w:rsidTr="001A33F5">
        <w:trPr>
          <w:jc w:val="center"/>
        </w:trPr>
        <w:tc>
          <w:tcPr>
            <w:tcW w:w="4680" w:type="dxa"/>
            <w:tcBorders>
              <w:left w:val="nil"/>
              <w:bottom w:val="single" w:sz="12" w:space="0" w:color="auto"/>
            </w:tcBorders>
          </w:tcPr>
          <w:p w14:paraId="1ED26469" w14:textId="77777777" w:rsidR="000E40F4" w:rsidRPr="00D77198" w:rsidRDefault="000E40F4" w:rsidP="00FD0109">
            <w:pPr>
              <w:pStyle w:val="TblTxthanging"/>
            </w:pPr>
            <w:r>
              <w:t>Warehousing</w:t>
            </w:r>
          </w:p>
        </w:tc>
        <w:tc>
          <w:tcPr>
            <w:tcW w:w="4680" w:type="dxa"/>
            <w:gridSpan w:val="2"/>
            <w:tcBorders>
              <w:bottom w:val="single" w:sz="12" w:space="0" w:color="auto"/>
              <w:right w:val="nil"/>
            </w:tcBorders>
          </w:tcPr>
          <w:p w14:paraId="0862DE00" w14:textId="77777777" w:rsidR="000E40F4" w:rsidRPr="00B744FC" w:rsidRDefault="000E40F4" w:rsidP="00FD0109">
            <w:pPr>
              <w:pStyle w:val="TblTxtCenter"/>
            </w:pPr>
            <w:r>
              <w:t>65,222</w:t>
            </w:r>
          </w:p>
        </w:tc>
      </w:tr>
      <w:tr w:rsidR="000E40F4" w:rsidRPr="006C1388" w14:paraId="7E331E64" w14:textId="77777777" w:rsidTr="001A33F5">
        <w:trPr>
          <w:jc w:val="center"/>
        </w:trPr>
        <w:tc>
          <w:tcPr>
            <w:tcW w:w="4680" w:type="dxa"/>
            <w:tcBorders>
              <w:top w:val="single" w:sz="12" w:space="0" w:color="auto"/>
              <w:left w:val="nil"/>
              <w:bottom w:val="single" w:sz="12" w:space="0" w:color="auto"/>
            </w:tcBorders>
          </w:tcPr>
          <w:p w14:paraId="053F213B" w14:textId="77777777" w:rsidR="000E40F4" w:rsidRPr="002B4E5B" w:rsidRDefault="000E40F4" w:rsidP="00FD0109">
            <w:pPr>
              <w:pStyle w:val="TblTxthanging"/>
              <w:jc w:val="right"/>
              <w:rPr>
                <w:b/>
                <w:bCs/>
              </w:rPr>
            </w:pPr>
            <w:r w:rsidRPr="002B4E5B">
              <w:rPr>
                <w:b/>
                <w:bCs/>
              </w:rPr>
              <w:t>Total</w:t>
            </w:r>
          </w:p>
        </w:tc>
        <w:tc>
          <w:tcPr>
            <w:tcW w:w="4680" w:type="dxa"/>
            <w:gridSpan w:val="2"/>
            <w:tcBorders>
              <w:top w:val="single" w:sz="12" w:space="0" w:color="auto"/>
              <w:bottom w:val="single" w:sz="12" w:space="0" w:color="auto"/>
              <w:right w:val="nil"/>
            </w:tcBorders>
          </w:tcPr>
          <w:p w14:paraId="61EA8D14" w14:textId="77777777" w:rsidR="000E40F4" w:rsidRPr="008B1337" w:rsidRDefault="000E40F4" w:rsidP="00FD0109">
            <w:pPr>
              <w:pStyle w:val="TblTxtCenter"/>
              <w:rPr>
                <w:b/>
                <w:bCs/>
              </w:rPr>
            </w:pPr>
            <w:r w:rsidRPr="008B1337">
              <w:rPr>
                <w:b/>
                <w:bCs/>
              </w:rPr>
              <w:t>65,222</w:t>
            </w:r>
          </w:p>
        </w:tc>
      </w:tr>
      <w:tr w:rsidR="000E40F4" w:rsidRPr="006C1388" w14:paraId="007BCF20" w14:textId="77777777" w:rsidTr="00FD0109">
        <w:trPr>
          <w:jc w:val="center"/>
        </w:trPr>
        <w:tc>
          <w:tcPr>
            <w:tcW w:w="4680" w:type="dxa"/>
            <w:tcBorders>
              <w:top w:val="single" w:sz="12" w:space="0" w:color="auto"/>
              <w:left w:val="nil"/>
              <w:right w:val="nil"/>
            </w:tcBorders>
            <w:shd w:val="clear" w:color="auto" w:fill="D9D9D9" w:themeFill="background1" w:themeFillShade="D9"/>
          </w:tcPr>
          <w:p w14:paraId="0A21D246" w14:textId="77777777" w:rsidR="000E40F4" w:rsidRPr="00291CB1" w:rsidRDefault="000E40F4" w:rsidP="00FD0109">
            <w:pPr>
              <w:pStyle w:val="TblTxthanging"/>
              <w:rPr>
                <w:b/>
                <w:bCs/>
              </w:rPr>
            </w:pPr>
            <w:r w:rsidRPr="00291CB1">
              <w:rPr>
                <w:b/>
                <w:bCs/>
              </w:rPr>
              <w:t>Proposed Project</w:t>
            </w:r>
          </w:p>
        </w:tc>
        <w:tc>
          <w:tcPr>
            <w:tcW w:w="4680" w:type="dxa"/>
            <w:gridSpan w:val="2"/>
            <w:tcBorders>
              <w:top w:val="single" w:sz="12" w:space="0" w:color="auto"/>
              <w:left w:val="nil"/>
              <w:right w:val="nil"/>
            </w:tcBorders>
            <w:shd w:val="clear" w:color="auto" w:fill="D9D9D9" w:themeFill="background1" w:themeFillShade="D9"/>
          </w:tcPr>
          <w:p w14:paraId="4E8C894B" w14:textId="77777777" w:rsidR="000E40F4" w:rsidRPr="00B744FC" w:rsidRDefault="000E40F4" w:rsidP="00FD0109">
            <w:pPr>
              <w:pStyle w:val="TblTxtCenter"/>
            </w:pPr>
          </w:p>
        </w:tc>
      </w:tr>
      <w:tr w:rsidR="000E40F4" w:rsidRPr="006C1388" w14:paraId="50199074" w14:textId="77777777" w:rsidTr="00FD0109">
        <w:trPr>
          <w:jc w:val="center"/>
        </w:trPr>
        <w:tc>
          <w:tcPr>
            <w:tcW w:w="4680" w:type="dxa"/>
            <w:tcBorders>
              <w:left w:val="nil"/>
            </w:tcBorders>
          </w:tcPr>
          <w:p w14:paraId="28C5C00A" w14:textId="77777777" w:rsidR="000E40F4" w:rsidRDefault="000E40F4" w:rsidP="00FD0109">
            <w:pPr>
              <w:pStyle w:val="TblTxthanging"/>
            </w:pPr>
            <w:r>
              <w:t>Warehousing</w:t>
            </w:r>
          </w:p>
        </w:tc>
        <w:tc>
          <w:tcPr>
            <w:tcW w:w="4680" w:type="dxa"/>
            <w:gridSpan w:val="2"/>
            <w:tcBorders>
              <w:right w:val="nil"/>
            </w:tcBorders>
          </w:tcPr>
          <w:p w14:paraId="45650910" w14:textId="77777777" w:rsidR="000E40F4" w:rsidRPr="00B744FC" w:rsidRDefault="000E40F4" w:rsidP="00FD0109">
            <w:pPr>
              <w:pStyle w:val="TblTxtCenter"/>
            </w:pPr>
            <w:r>
              <w:t>97,033</w:t>
            </w:r>
          </w:p>
        </w:tc>
      </w:tr>
      <w:tr w:rsidR="000E40F4" w:rsidRPr="006C1388" w14:paraId="7E8AD7D0" w14:textId="77777777" w:rsidTr="001A33F5">
        <w:trPr>
          <w:jc w:val="center"/>
        </w:trPr>
        <w:tc>
          <w:tcPr>
            <w:tcW w:w="4680" w:type="dxa"/>
            <w:tcBorders>
              <w:left w:val="nil"/>
              <w:bottom w:val="single" w:sz="12" w:space="0" w:color="auto"/>
            </w:tcBorders>
          </w:tcPr>
          <w:p w14:paraId="7FC78801" w14:textId="77777777" w:rsidR="000E40F4" w:rsidRDefault="000E40F4" w:rsidP="00FD0109">
            <w:pPr>
              <w:pStyle w:val="TblTxthanging"/>
            </w:pPr>
            <w:r>
              <w:t>Manufacturing</w:t>
            </w:r>
          </w:p>
        </w:tc>
        <w:tc>
          <w:tcPr>
            <w:tcW w:w="4680" w:type="dxa"/>
            <w:gridSpan w:val="2"/>
            <w:tcBorders>
              <w:bottom w:val="single" w:sz="12" w:space="0" w:color="auto"/>
              <w:right w:val="nil"/>
            </w:tcBorders>
          </w:tcPr>
          <w:p w14:paraId="24B994B6" w14:textId="77777777" w:rsidR="000E40F4" w:rsidRPr="00B744FC" w:rsidRDefault="000E40F4" w:rsidP="00FD0109">
            <w:pPr>
              <w:pStyle w:val="TblTxtCenter"/>
            </w:pPr>
            <w:r>
              <w:t>305,320</w:t>
            </w:r>
          </w:p>
        </w:tc>
      </w:tr>
      <w:tr w:rsidR="000E40F4" w:rsidRPr="006C1388" w14:paraId="199F568A" w14:textId="77777777" w:rsidTr="001A33F5">
        <w:trPr>
          <w:jc w:val="center"/>
        </w:trPr>
        <w:tc>
          <w:tcPr>
            <w:tcW w:w="4680" w:type="dxa"/>
            <w:tcBorders>
              <w:top w:val="single" w:sz="12" w:space="0" w:color="auto"/>
              <w:left w:val="nil"/>
              <w:bottom w:val="single" w:sz="12" w:space="0" w:color="auto"/>
            </w:tcBorders>
          </w:tcPr>
          <w:p w14:paraId="2F8654A1" w14:textId="77777777" w:rsidR="000E40F4" w:rsidRPr="002B4E5B" w:rsidRDefault="000E40F4" w:rsidP="00FD0109">
            <w:pPr>
              <w:pStyle w:val="TblTxthanging"/>
              <w:jc w:val="right"/>
              <w:rPr>
                <w:b/>
                <w:bCs/>
              </w:rPr>
            </w:pPr>
            <w:r w:rsidRPr="002B4E5B">
              <w:rPr>
                <w:b/>
                <w:bCs/>
              </w:rPr>
              <w:t>Total</w:t>
            </w:r>
          </w:p>
        </w:tc>
        <w:tc>
          <w:tcPr>
            <w:tcW w:w="4680" w:type="dxa"/>
            <w:gridSpan w:val="2"/>
            <w:tcBorders>
              <w:top w:val="single" w:sz="12" w:space="0" w:color="auto"/>
              <w:bottom w:val="single" w:sz="12" w:space="0" w:color="auto"/>
              <w:right w:val="nil"/>
            </w:tcBorders>
          </w:tcPr>
          <w:p w14:paraId="4F6966F3" w14:textId="77777777" w:rsidR="000E40F4" w:rsidRPr="00CB7F06" w:rsidRDefault="000E40F4" w:rsidP="00FD0109">
            <w:pPr>
              <w:pStyle w:val="TblTxtCenter"/>
              <w:rPr>
                <w:b/>
                <w:bCs/>
              </w:rPr>
            </w:pPr>
            <w:r w:rsidRPr="00CB7F06">
              <w:rPr>
                <w:b/>
                <w:bCs/>
              </w:rPr>
              <w:t>402,353</w:t>
            </w:r>
          </w:p>
        </w:tc>
      </w:tr>
      <w:tr w:rsidR="000E40F4" w:rsidRPr="00E724BB" w14:paraId="27C1C227" w14:textId="77777777" w:rsidTr="00FD0109">
        <w:trPr>
          <w:jc w:val="center"/>
        </w:trPr>
        <w:tc>
          <w:tcPr>
            <w:tcW w:w="4680" w:type="dxa"/>
            <w:tcBorders>
              <w:top w:val="single" w:sz="12" w:space="0" w:color="auto"/>
              <w:left w:val="nil"/>
              <w:right w:val="nil"/>
            </w:tcBorders>
            <w:shd w:val="clear" w:color="auto" w:fill="D9D9D9" w:themeFill="background1" w:themeFillShade="D9"/>
          </w:tcPr>
          <w:p w14:paraId="10C7B2F1" w14:textId="77777777" w:rsidR="000E40F4" w:rsidRPr="00E724BB" w:rsidRDefault="000E40F4" w:rsidP="00FD0109">
            <w:pPr>
              <w:pStyle w:val="TblTxthanging"/>
              <w:rPr>
                <w:b/>
                <w:bCs/>
              </w:rPr>
            </w:pPr>
            <w:r w:rsidRPr="00E724BB">
              <w:rPr>
                <w:b/>
                <w:bCs/>
              </w:rPr>
              <w:t>Net Change</w:t>
            </w:r>
          </w:p>
        </w:tc>
        <w:tc>
          <w:tcPr>
            <w:tcW w:w="4680" w:type="dxa"/>
            <w:gridSpan w:val="2"/>
            <w:tcBorders>
              <w:top w:val="single" w:sz="12" w:space="0" w:color="auto"/>
              <w:left w:val="nil"/>
              <w:right w:val="nil"/>
            </w:tcBorders>
            <w:shd w:val="clear" w:color="auto" w:fill="D9D9D9" w:themeFill="background1" w:themeFillShade="D9"/>
          </w:tcPr>
          <w:p w14:paraId="582893FA" w14:textId="77777777" w:rsidR="000E40F4" w:rsidRPr="00E724BB" w:rsidRDefault="000E40F4" w:rsidP="00FD0109">
            <w:pPr>
              <w:pStyle w:val="TblTxtCenter"/>
              <w:rPr>
                <w:b/>
                <w:bCs/>
              </w:rPr>
            </w:pPr>
          </w:p>
        </w:tc>
      </w:tr>
      <w:tr w:rsidR="000E40F4" w:rsidRPr="006C1388" w14:paraId="0E78B64B" w14:textId="77777777" w:rsidTr="00FD0109">
        <w:trPr>
          <w:jc w:val="center"/>
        </w:trPr>
        <w:tc>
          <w:tcPr>
            <w:tcW w:w="4680" w:type="dxa"/>
            <w:tcBorders>
              <w:left w:val="nil"/>
            </w:tcBorders>
          </w:tcPr>
          <w:p w14:paraId="4F420DF6" w14:textId="77777777" w:rsidR="000E40F4" w:rsidRPr="00D77198" w:rsidRDefault="00114C61" w:rsidP="00FD0109">
            <w:pPr>
              <w:pStyle w:val="TblTxthanging"/>
            </w:pPr>
            <w:r>
              <w:t>Former Pepsi Bottling Plant</w:t>
            </w:r>
          </w:p>
        </w:tc>
        <w:tc>
          <w:tcPr>
            <w:tcW w:w="4680" w:type="dxa"/>
            <w:gridSpan w:val="2"/>
            <w:tcBorders>
              <w:right w:val="nil"/>
            </w:tcBorders>
          </w:tcPr>
          <w:p w14:paraId="341E6E42" w14:textId="77777777" w:rsidR="000E40F4" w:rsidRPr="00B744FC" w:rsidRDefault="000E40F4" w:rsidP="00FD0109">
            <w:pPr>
              <w:pStyle w:val="TblTxtCenter"/>
            </w:pPr>
            <w:r>
              <w:t>65,222</w:t>
            </w:r>
          </w:p>
        </w:tc>
      </w:tr>
      <w:tr w:rsidR="000E40F4" w:rsidRPr="006C1388" w14:paraId="591D5D5F" w14:textId="77777777" w:rsidTr="00FD0109">
        <w:trPr>
          <w:jc w:val="center"/>
        </w:trPr>
        <w:tc>
          <w:tcPr>
            <w:tcW w:w="4680" w:type="dxa"/>
            <w:tcBorders>
              <w:left w:val="nil"/>
            </w:tcBorders>
          </w:tcPr>
          <w:p w14:paraId="47F60654" w14:textId="77777777" w:rsidR="000E40F4" w:rsidRPr="00D77198" w:rsidRDefault="000E40F4" w:rsidP="00FD0109">
            <w:pPr>
              <w:pStyle w:val="TblTxthanging"/>
            </w:pPr>
            <w:r>
              <w:t>Proposed Project</w:t>
            </w:r>
          </w:p>
        </w:tc>
        <w:tc>
          <w:tcPr>
            <w:tcW w:w="4680" w:type="dxa"/>
            <w:gridSpan w:val="2"/>
            <w:tcBorders>
              <w:right w:val="nil"/>
            </w:tcBorders>
          </w:tcPr>
          <w:p w14:paraId="445DAF5D" w14:textId="77777777" w:rsidR="000E40F4" w:rsidRPr="00B744FC" w:rsidRDefault="000E40F4" w:rsidP="00FD0109">
            <w:pPr>
              <w:pStyle w:val="TblTxtCenter"/>
            </w:pPr>
            <w:r>
              <w:t>402,353</w:t>
            </w:r>
          </w:p>
        </w:tc>
      </w:tr>
      <w:tr w:rsidR="000E40F4" w:rsidRPr="006C1388" w14:paraId="7CF82CC0" w14:textId="77777777" w:rsidTr="00FD0109">
        <w:trPr>
          <w:jc w:val="center"/>
        </w:trPr>
        <w:tc>
          <w:tcPr>
            <w:tcW w:w="4680" w:type="dxa"/>
            <w:tcBorders>
              <w:top w:val="single" w:sz="12" w:space="0" w:color="auto"/>
              <w:left w:val="nil"/>
              <w:bottom w:val="single" w:sz="12" w:space="0" w:color="auto"/>
            </w:tcBorders>
            <w:vAlign w:val="bottom"/>
          </w:tcPr>
          <w:p w14:paraId="5693F681" w14:textId="77777777" w:rsidR="000E40F4" w:rsidRPr="0006795A" w:rsidRDefault="000E40F4" w:rsidP="00FD0109">
            <w:pPr>
              <w:pStyle w:val="TblTxthanging"/>
              <w:jc w:val="right"/>
              <w:rPr>
                <w:b/>
              </w:rPr>
            </w:pPr>
            <w:r>
              <w:rPr>
                <w:b/>
              </w:rPr>
              <w:t>Net Change</w:t>
            </w:r>
          </w:p>
        </w:tc>
        <w:tc>
          <w:tcPr>
            <w:tcW w:w="4680" w:type="dxa"/>
            <w:gridSpan w:val="2"/>
            <w:tcBorders>
              <w:top w:val="single" w:sz="12" w:space="0" w:color="auto"/>
              <w:bottom w:val="single" w:sz="12" w:space="0" w:color="auto"/>
              <w:right w:val="nil"/>
            </w:tcBorders>
          </w:tcPr>
          <w:p w14:paraId="05648969" w14:textId="77777777" w:rsidR="000E40F4" w:rsidRPr="00F23800" w:rsidRDefault="000E40F4" w:rsidP="00FD0109">
            <w:pPr>
              <w:pStyle w:val="TblTxtCenter"/>
              <w:rPr>
                <w:b/>
                <w:bCs/>
              </w:rPr>
            </w:pPr>
            <w:r>
              <w:rPr>
                <w:b/>
                <w:bCs/>
              </w:rPr>
              <w:t>337,131</w:t>
            </w:r>
          </w:p>
        </w:tc>
      </w:tr>
      <w:tr w:rsidR="000E40F4" w:rsidRPr="006C1388" w14:paraId="28E5754A" w14:textId="77777777" w:rsidTr="00FD0109">
        <w:trPr>
          <w:gridAfter w:val="1"/>
          <w:wAfter w:w="128" w:type="dxa"/>
          <w:jc w:val="center"/>
        </w:trPr>
        <w:tc>
          <w:tcPr>
            <w:tcW w:w="9232" w:type="dxa"/>
            <w:gridSpan w:val="2"/>
            <w:tcBorders>
              <w:top w:val="single" w:sz="12" w:space="0" w:color="auto"/>
              <w:left w:val="nil"/>
              <w:bottom w:val="single" w:sz="12" w:space="0" w:color="auto"/>
              <w:right w:val="nil"/>
            </w:tcBorders>
          </w:tcPr>
          <w:p w14:paraId="57D9B703" w14:textId="77777777" w:rsidR="000E40F4" w:rsidRDefault="000E40F4" w:rsidP="00FD0109">
            <w:pPr>
              <w:pStyle w:val="TblSourcesNotes"/>
              <w:rPr>
                <w:rFonts w:eastAsia="Batang"/>
              </w:rPr>
            </w:pPr>
            <w:r w:rsidRPr="0006795A">
              <w:t xml:space="preserve">Source: </w:t>
            </w:r>
            <w:r w:rsidRPr="0006795A">
              <w:rPr>
                <w:rFonts w:eastAsia="Batang"/>
              </w:rPr>
              <w:t xml:space="preserve">CalEEMod Version </w:t>
            </w:r>
            <w:r>
              <w:rPr>
                <w:rFonts w:eastAsia="Batang"/>
              </w:rPr>
              <w:t>2020.4.0.</w:t>
            </w:r>
          </w:p>
          <w:p w14:paraId="564ED245" w14:textId="77777777" w:rsidR="000E40F4" w:rsidRPr="00587D00" w:rsidRDefault="000E40F4" w:rsidP="00FD0109">
            <w:pPr>
              <w:pStyle w:val="Tblsource"/>
              <w:rPr>
                <w:szCs w:val="15"/>
              </w:rPr>
            </w:pPr>
            <w:r>
              <w:rPr>
                <w:rFonts w:eastAsia="Batang"/>
              </w:rPr>
              <w:t>Note:</w:t>
            </w:r>
            <w:r w:rsidRPr="008437B2">
              <w:t xml:space="preserve"> kBTU</w:t>
            </w:r>
            <w:r>
              <w:t xml:space="preserve"> = </w:t>
            </w:r>
            <w:r w:rsidRPr="006C3C38">
              <w:t>kilo British thermal units</w:t>
            </w:r>
          </w:p>
        </w:tc>
      </w:tr>
    </w:tbl>
    <w:p w14:paraId="05D151A8" w14:textId="77777777" w:rsidR="000E40F4" w:rsidRPr="00E724BB" w:rsidRDefault="000E40F4" w:rsidP="000E40F4">
      <w:pPr>
        <w:pStyle w:val="BodyText"/>
        <w:rPr>
          <w:b/>
          <w:bCs/>
        </w:rPr>
      </w:pPr>
    </w:p>
    <w:p w14:paraId="4A364F3B" w14:textId="77777777" w:rsidR="000E40F4" w:rsidRPr="00FE1708" w:rsidRDefault="000E40F4" w:rsidP="000E40F4">
      <w:pPr>
        <w:pStyle w:val="Heading6"/>
        <w:spacing w:after="200"/>
        <w:rPr>
          <w:i w:val="0"/>
        </w:rPr>
      </w:pPr>
      <w:r w:rsidRPr="00FE1708">
        <w:t>Transportation Energy</w:t>
      </w:r>
    </w:p>
    <w:p w14:paraId="208A62ED" w14:textId="77777777" w:rsidR="000E40F4" w:rsidRPr="00BB7329" w:rsidRDefault="000E40F4" w:rsidP="000E40F4">
      <w:pPr>
        <w:pStyle w:val="BodyText"/>
      </w:pPr>
      <w:r w:rsidRPr="00075143">
        <w:t xml:space="preserve">The </w:t>
      </w:r>
      <w:r>
        <w:t>proposed project</w:t>
      </w:r>
      <w:r w:rsidRPr="00075143">
        <w:t xml:space="preserve"> would consume transportation energy during operations from the use of motor vehicles</w:t>
      </w:r>
      <w:r>
        <w:t>, which include both on-road vehicles and off-road equipment</w:t>
      </w:r>
      <w:r w:rsidRPr="00075143">
        <w:t xml:space="preserve">. </w:t>
      </w:r>
      <w:r>
        <w:t>T</w:t>
      </w:r>
      <w:r w:rsidRPr="00075143">
        <w:t xml:space="preserve">he efficiency of </w:t>
      </w:r>
      <w:r>
        <w:t xml:space="preserve">these </w:t>
      </w:r>
      <w:r w:rsidRPr="00075143">
        <w:t>motor vehicles, such as the average miles per gallon</w:t>
      </w:r>
      <w:r>
        <w:t>,</w:t>
      </w:r>
      <w:r w:rsidRPr="00075143">
        <w:t xml:space="preserve"> </w:t>
      </w:r>
      <w:r>
        <w:t>is unknown</w:t>
      </w:r>
      <w:r w:rsidRPr="007B3134">
        <w:t>. Estimates of transportation energy use</w:t>
      </w:r>
      <w:r>
        <w:t xml:space="preserve"> for on-road vehicles</w:t>
      </w:r>
      <w:r w:rsidRPr="007B3134">
        <w:t xml:space="preserve"> </w:t>
      </w:r>
      <w:r>
        <w:t>are</w:t>
      </w:r>
      <w:r w:rsidRPr="007B3134">
        <w:t xml:space="preserve"> </w:t>
      </w:r>
      <w:r w:rsidRPr="00BB7329">
        <w:t>based on the overall vehicle miles traveled (VMT) and its associated transportation energy use. As shown in Table 12, the proposed</w:t>
      </w:r>
      <w:r>
        <w:t xml:space="preserve"> project would result in a net increase in annual VMT, which would also result in a net increase in fuel consumption</w:t>
      </w:r>
      <w:r w:rsidRPr="00253706">
        <w:t xml:space="preserve">. </w:t>
      </w:r>
      <w:r>
        <w:t>However, a</w:t>
      </w:r>
      <w:r w:rsidRPr="00F70DD9">
        <w:t>s</w:t>
      </w:r>
      <w:r>
        <w:t xml:space="preserve"> discussed in Section 3.17.b of this Initial Study, the proposed project would have a less than significant impact with regard to VMT because it would not generate the threshold number of daily passenger vehicle trips. In addition, as discussed in Section 3.14.a, it is anticipated that long-term and short-term (i.e., construction) jobs would be absorbed by the local and regional labor force, which would contribute to minimizing passenger vehicle VMT. </w:t>
      </w:r>
      <w:r w:rsidRPr="003008FA">
        <w:t>The p</w:t>
      </w:r>
      <w:r>
        <w:t xml:space="preserve">roposed project </w:t>
      </w:r>
      <w:r w:rsidRPr="003008FA">
        <w:t>would provide bicycle racks and long-term bicycle enclosures or lockers on</w:t>
      </w:r>
      <w:r>
        <w:t>-</w:t>
      </w:r>
      <w:r w:rsidRPr="003008FA">
        <w:t>site in accordance with the provisions of CALGreen</w:t>
      </w:r>
      <w:r>
        <w:t>. T</w:t>
      </w:r>
      <w:r w:rsidRPr="003008FA">
        <w:t xml:space="preserve">he racks would be placed in a designated area near the parking area east of the gate to the truck </w:t>
      </w:r>
      <w:r w:rsidRPr="009D457C">
        <w:t>yard</w:t>
      </w:r>
      <w:r>
        <w:t xml:space="preserve">. Inclusion of the proposed bicycle racks and long-term bicycle lockers would encourage employees to take more-active transit options (e.g., bicycle to work), which would reduce VMT and fuel consumption. Overall, </w:t>
      </w:r>
      <w:r w:rsidRPr="0082054E">
        <w:t xml:space="preserve">it is expected that </w:t>
      </w:r>
      <w:r>
        <w:t>operation-related</w:t>
      </w:r>
      <w:r w:rsidRPr="0082054E">
        <w:t xml:space="preserve"> fuel </w:t>
      </w:r>
      <w:r w:rsidRPr="00BB7329">
        <w:t>usage associated with the proposed project would not be inefficient, wasteful, or unnecessary. Impacts would be less than significant with respect to operation-related fuel usage.</w:t>
      </w:r>
    </w:p>
    <w:tbl>
      <w:tblPr>
        <w:tblStyle w:val="TableGrid40"/>
        <w:tblW w:w="9360" w:type="dxa"/>
        <w:tblLayout w:type="fixed"/>
        <w:tblLook w:val="04A0" w:firstRow="1" w:lastRow="0" w:firstColumn="1" w:lastColumn="0" w:noHBand="0" w:noVBand="1"/>
      </w:tblPr>
      <w:tblGrid>
        <w:gridCol w:w="2070"/>
        <w:gridCol w:w="1260"/>
        <w:gridCol w:w="1170"/>
        <w:gridCol w:w="1350"/>
        <w:gridCol w:w="1170"/>
        <w:gridCol w:w="1170"/>
        <w:gridCol w:w="1170"/>
      </w:tblGrid>
      <w:tr w:rsidR="000E40F4" w:rsidRPr="00CD5861" w14:paraId="7BCB83CD" w14:textId="77777777" w:rsidTr="00816F17">
        <w:tc>
          <w:tcPr>
            <w:tcW w:w="9360" w:type="dxa"/>
            <w:gridSpan w:val="7"/>
            <w:tcBorders>
              <w:top w:val="nil"/>
              <w:left w:val="nil"/>
              <w:bottom w:val="single" w:sz="12" w:space="0" w:color="auto"/>
              <w:right w:val="nil"/>
            </w:tcBorders>
          </w:tcPr>
          <w:p w14:paraId="7801E56D" w14:textId="77777777" w:rsidR="000E40F4" w:rsidRPr="00CD5861" w:rsidRDefault="000E40F4" w:rsidP="00267180">
            <w:pPr>
              <w:pStyle w:val="TblTitles"/>
              <w:pageBreakBefore/>
            </w:pPr>
            <w:bookmarkStart w:id="151" w:name="_Toc90882258"/>
            <w:r w:rsidRPr="00BB7329">
              <w:t>Table 12</w:t>
            </w:r>
            <w:r w:rsidRPr="00BB7329">
              <w:tab/>
              <w:t>Project Annual Operation-Related Fuel Usage</w:t>
            </w:r>
            <w:bookmarkEnd w:id="151"/>
          </w:p>
        </w:tc>
      </w:tr>
      <w:tr w:rsidR="001F4410" w:rsidRPr="00CD5861" w14:paraId="560F001A" w14:textId="77777777" w:rsidTr="00816F17">
        <w:tc>
          <w:tcPr>
            <w:tcW w:w="2070" w:type="dxa"/>
            <w:vMerge w:val="restart"/>
            <w:tcBorders>
              <w:top w:val="single" w:sz="12" w:space="0" w:color="auto"/>
              <w:left w:val="nil"/>
              <w:right w:val="single" w:sz="12" w:space="0" w:color="auto"/>
            </w:tcBorders>
          </w:tcPr>
          <w:p w14:paraId="498C3D64" w14:textId="77777777" w:rsidR="001F4410" w:rsidRPr="00CD5861" w:rsidRDefault="001F4410" w:rsidP="00FD0109">
            <w:pPr>
              <w:jc w:val="center"/>
              <w:rPr>
                <w:rFonts w:ascii="Arial Narrow" w:hAnsi="Arial Narrow"/>
                <w:b/>
                <w:kern w:val="20"/>
                <w:sz w:val="16"/>
                <w:szCs w:val="20"/>
              </w:rPr>
            </w:pPr>
          </w:p>
        </w:tc>
        <w:tc>
          <w:tcPr>
            <w:tcW w:w="2430" w:type="dxa"/>
            <w:gridSpan w:val="2"/>
            <w:tcBorders>
              <w:top w:val="single" w:sz="12" w:space="0" w:color="auto"/>
              <w:left w:val="single" w:sz="12" w:space="0" w:color="auto"/>
              <w:bottom w:val="single" w:sz="2" w:space="0" w:color="auto"/>
              <w:right w:val="single" w:sz="12" w:space="0" w:color="auto"/>
            </w:tcBorders>
            <w:vAlign w:val="bottom"/>
          </w:tcPr>
          <w:p w14:paraId="241C1127" w14:textId="77777777" w:rsidR="001F4410" w:rsidRPr="00CD5861" w:rsidRDefault="001F4410" w:rsidP="00FD0109">
            <w:pPr>
              <w:jc w:val="center"/>
              <w:rPr>
                <w:rFonts w:ascii="Arial Narrow" w:hAnsi="Arial Narrow"/>
                <w:b/>
                <w:kern w:val="20"/>
                <w:sz w:val="16"/>
                <w:szCs w:val="20"/>
              </w:rPr>
            </w:pPr>
            <w:r w:rsidRPr="00CD5861">
              <w:rPr>
                <w:rFonts w:ascii="Arial Narrow" w:hAnsi="Arial Narrow"/>
                <w:b/>
                <w:kern w:val="20"/>
                <w:sz w:val="16"/>
                <w:szCs w:val="20"/>
              </w:rPr>
              <w:t>Gas</w:t>
            </w:r>
            <w:r>
              <w:rPr>
                <w:rFonts w:ascii="Arial Narrow" w:hAnsi="Arial Narrow"/>
                <w:b/>
                <w:kern w:val="20"/>
                <w:sz w:val="16"/>
                <w:szCs w:val="20"/>
              </w:rPr>
              <w:t>oline</w:t>
            </w:r>
          </w:p>
        </w:tc>
        <w:tc>
          <w:tcPr>
            <w:tcW w:w="2520" w:type="dxa"/>
            <w:gridSpan w:val="2"/>
            <w:tcBorders>
              <w:top w:val="single" w:sz="12" w:space="0" w:color="auto"/>
              <w:left w:val="single" w:sz="12" w:space="0" w:color="auto"/>
              <w:bottom w:val="single" w:sz="2" w:space="0" w:color="auto"/>
              <w:right w:val="nil"/>
            </w:tcBorders>
            <w:vAlign w:val="bottom"/>
          </w:tcPr>
          <w:p w14:paraId="63CAC741" w14:textId="77777777" w:rsidR="001F4410" w:rsidRPr="00CD5861" w:rsidRDefault="001F4410" w:rsidP="00FD0109">
            <w:pPr>
              <w:jc w:val="center"/>
              <w:rPr>
                <w:rFonts w:ascii="Arial Narrow" w:hAnsi="Arial Narrow"/>
                <w:b/>
                <w:kern w:val="20"/>
                <w:sz w:val="16"/>
                <w:szCs w:val="20"/>
              </w:rPr>
            </w:pPr>
            <w:r w:rsidRPr="00CD5861">
              <w:rPr>
                <w:rFonts w:ascii="Arial Narrow" w:hAnsi="Arial Narrow"/>
                <w:b/>
                <w:kern w:val="20"/>
                <w:sz w:val="16"/>
                <w:szCs w:val="20"/>
              </w:rPr>
              <w:t>Diesel</w:t>
            </w:r>
          </w:p>
        </w:tc>
        <w:tc>
          <w:tcPr>
            <w:tcW w:w="2340" w:type="dxa"/>
            <w:gridSpan w:val="2"/>
            <w:tcBorders>
              <w:top w:val="single" w:sz="12" w:space="0" w:color="auto"/>
              <w:left w:val="single" w:sz="12" w:space="0" w:color="auto"/>
              <w:bottom w:val="single" w:sz="2" w:space="0" w:color="auto"/>
              <w:right w:val="nil"/>
            </w:tcBorders>
            <w:vAlign w:val="bottom"/>
          </w:tcPr>
          <w:p w14:paraId="754AEA64" w14:textId="77777777" w:rsidR="001F4410" w:rsidRPr="00CD5861" w:rsidRDefault="001F4410" w:rsidP="00FD0109">
            <w:pPr>
              <w:jc w:val="center"/>
              <w:rPr>
                <w:rFonts w:ascii="Arial Narrow" w:hAnsi="Arial Narrow"/>
                <w:b/>
                <w:kern w:val="20"/>
                <w:sz w:val="16"/>
                <w:szCs w:val="20"/>
              </w:rPr>
            </w:pPr>
            <w:r>
              <w:rPr>
                <w:rFonts w:ascii="Arial Narrow" w:hAnsi="Arial Narrow"/>
                <w:b/>
                <w:kern w:val="20"/>
                <w:sz w:val="16"/>
                <w:szCs w:val="20"/>
              </w:rPr>
              <w:t>Electricity</w:t>
            </w:r>
          </w:p>
        </w:tc>
      </w:tr>
      <w:tr w:rsidR="001522EE" w:rsidRPr="00CD5861" w14:paraId="292271C9" w14:textId="77777777" w:rsidTr="00816F17">
        <w:tc>
          <w:tcPr>
            <w:tcW w:w="2070" w:type="dxa"/>
            <w:vMerge/>
            <w:tcBorders>
              <w:left w:val="nil"/>
              <w:bottom w:val="single" w:sz="12" w:space="0" w:color="auto"/>
              <w:right w:val="single" w:sz="12" w:space="0" w:color="auto"/>
            </w:tcBorders>
          </w:tcPr>
          <w:p w14:paraId="1883D65D" w14:textId="77777777" w:rsidR="001F4410" w:rsidRPr="00CD5861" w:rsidRDefault="001F4410" w:rsidP="00FD0109">
            <w:pPr>
              <w:jc w:val="center"/>
              <w:rPr>
                <w:rFonts w:ascii="Arial Narrow" w:hAnsi="Arial Narrow"/>
                <w:b/>
                <w:kern w:val="20"/>
                <w:sz w:val="16"/>
                <w:szCs w:val="20"/>
              </w:rPr>
            </w:pPr>
          </w:p>
        </w:tc>
        <w:tc>
          <w:tcPr>
            <w:tcW w:w="1260" w:type="dxa"/>
            <w:tcBorders>
              <w:top w:val="single" w:sz="2" w:space="0" w:color="auto"/>
              <w:left w:val="single" w:sz="12" w:space="0" w:color="auto"/>
              <w:bottom w:val="single" w:sz="12" w:space="0" w:color="auto"/>
              <w:right w:val="nil"/>
            </w:tcBorders>
            <w:vAlign w:val="bottom"/>
          </w:tcPr>
          <w:p w14:paraId="14C37D5D" w14:textId="77777777" w:rsidR="001F4410" w:rsidRPr="00CD5861" w:rsidRDefault="001F4410" w:rsidP="00FD0109">
            <w:pPr>
              <w:jc w:val="center"/>
              <w:rPr>
                <w:rFonts w:ascii="Arial Narrow" w:hAnsi="Arial Narrow"/>
                <w:b/>
                <w:kern w:val="20"/>
                <w:sz w:val="16"/>
                <w:szCs w:val="20"/>
              </w:rPr>
            </w:pPr>
            <w:r>
              <w:rPr>
                <w:rFonts w:ascii="Arial Narrow" w:hAnsi="Arial Narrow"/>
                <w:b/>
                <w:kern w:val="20"/>
                <w:sz w:val="16"/>
                <w:szCs w:val="20"/>
              </w:rPr>
              <w:t xml:space="preserve">Annual </w:t>
            </w:r>
            <w:r w:rsidRPr="00CD5861">
              <w:rPr>
                <w:rFonts w:ascii="Arial Narrow" w:hAnsi="Arial Narrow"/>
                <w:b/>
                <w:kern w:val="20"/>
                <w:sz w:val="16"/>
                <w:szCs w:val="20"/>
              </w:rPr>
              <w:t>VMT</w:t>
            </w:r>
          </w:p>
        </w:tc>
        <w:tc>
          <w:tcPr>
            <w:tcW w:w="1170" w:type="dxa"/>
            <w:tcBorders>
              <w:top w:val="single" w:sz="2" w:space="0" w:color="auto"/>
              <w:left w:val="single" w:sz="6" w:space="0" w:color="auto"/>
              <w:bottom w:val="single" w:sz="12" w:space="0" w:color="auto"/>
              <w:right w:val="single" w:sz="12" w:space="0" w:color="auto"/>
            </w:tcBorders>
            <w:vAlign w:val="bottom"/>
          </w:tcPr>
          <w:p w14:paraId="2AAD0884" w14:textId="77777777" w:rsidR="001F4410" w:rsidRPr="00CD5861" w:rsidRDefault="001F4410" w:rsidP="00FD0109">
            <w:pPr>
              <w:jc w:val="center"/>
              <w:rPr>
                <w:rFonts w:ascii="Arial Narrow" w:hAnsi="Arial Narrow"/>
                <w:b/>
                <w:kern w:val="20"/>
                <w:sz w:val="16"/>
                <w:szCs w:val="20"/>
              </w:rPr>
            </w:pPr>
            <w:r>
              <w:rPr>
                <w:rFonts w:ascii="Arial Narrow" w:hAnsi="Arial Narrow"/>
                <w:b/>
                <w:kern w:val="20"/>
                <w:sz w:val="16"/>
                <w:szCs w:val="20"/>
              </w:rPr>
              <w:t xml:space="preserve">Annual </w:t>
            </w:r>
            <w:r w:rsidRPr="00CD5861">
              <w:rPr>
                <w:rFonts w:ascii="Arial Narrow" w:hAnsi="Arial Narrow"/>
                <w:b/>
                <w:kern w:val="20"/>
                <w:sz w:val="16"/>
                <w:szCs w:val="20"/>
              </w:rPr>
              <w:t>Gallons</w:t>
            </w:r>
          </w:p>
        </w:tc>
        <w:tc>
          <w:tcPr>
            <w:tcW w:w="1350" w:type="dxa"/>
            <w:tcBorders>
              <w:top w:val="single" w:sz="2" w:space="0" w:color="auto"/>
              <w:left w:val="single" w:sz="12" w:space="0" w:color="auto"/>
              <w:bottom w:val="single" w:sz="12" w:space="0" w:color="auto"/>
              <w:right w:val="nil"/>
            </w:tcBorders>
            <w:vAlign w:val="bottom"/>
          </w:tcPr>
          <w:p w14:paraId="4B2C7E7A" w14:textId="77777777" w:rsidR="001F4410" w:rsidRPr="00CD5861" w:rsidRDefault="001F4410" w:rsidP="00FD0109">
            <w:pPr>
              <w:jc w:val="center"/>
              <w:rPr>
                <w:rFonts w:ascii="Arial Narrow" w:hAnsi="Arial Narrow"/>
                <w:b/>
                <w:kern w:val="20"/>
                <w:sz w:val="16"/>
                <w:szCs w:val="20"/>
              </w:rPr>
            </w:pPr>
            <w:r>
              <w:rPr>
                <w:rFonts w:ascii="Arial Narrow" w:hAnsi="Arial Narrow"/>
                <w:b/>
                <w:kern w:val="20"/>
                <w:sz w:val="16"/>
                <w:szCs w:val="20"/>
              </w:rPr>
              <w:t xml:space="preserve">Annual </w:t>
            </w:r>
            <w:r w:rsidRPr="00CD5861">
              <w:rPr>
                <w:rFonts w:ascii="Arial Narrow" w:hAnsi="Arial Narrow"/>
                <w:b/>
                <w:kern w:val="20"/>
                <w:sz w:val="16"/>
                <w:szCs w:val="20"/>
              </w:rPr>
              <w:t>VMT</w:t>
            </w:r>
          </w:p>
        </w:tc>
        <w:tc>
          <w:tcPr>
            <w:tcW w:w="1170" w:type="dxa"/>
            <w:tcBorders>
              <w:top w:val="single" w:sz="2" w:space="0" w:color="auto"/>
              <w:left w:val="single" w:sz="6" w:space="0" w:color="auto"/>
              <w:bottom w:val="single" w:sz="12" w:space="0" w:color="auto"/>
              <w:right w:val="single" w:sz="12" w:space="0" w:color="auto"/>
            </w:tcBorders>
            <w:vAlign w:val="bottom"/>
          </w:tcPr>
          <w:p w14:paraId="04FCF5F3" w14:textId="77777777" w:rsidR="001F4410" w:rsidRPr="00CD5861" w:rsidRDefault="001F4410" w:rsidP="00FD0109">
            <w:pPr>
              <w:jc w:val="center"/>
              <w:rPr>
                <w:rFonts w:ascii="Arial Narrow" w:hAnsi="Arial Narrow"/>
                <w:b/>
                <w:kern w:val="20"/>
                <w:sz w:val="16"/>
                <w:szCs w:val="20"/>
              </w:rPr>
            </w:pPr>
            <w:r>
              <w:rPr>
                <w:rFonts w:ascii="Arial Narrow" w:hAnsi="Arial Narrow"/>
                <w:b/>
                <w:kern w:val="20"/>
                <w:sz w:val="16"/>
                <w:szCs w:val="20"/>
              </w:rPr>
              <w:t>Annual Gallons</w:t>
            </w:r>
          </w:p>
        </w:tc>
        <w:tc>
          <w:tcPr>
            <w:tcW w:w="1170" w:type="dxa"/>
            <w:tcBorders>
              <w:top w:val="single" w:sz="2" w:space="0" w:color="auto"/>
              <w:left w:val="single" w:sz="12" w:space="0" w:color="auto"/>
              <w:bottom w:val="single" w:sz="12" w:space="0" w:color="auto"/>
              <w:right w:val="nil"/>
            </w:tcBorders>
            <w:vAlign w:val="bottom"/>
          </w:tcPr>
          <w:p w14:paraId="777426C4" w14:textId="77777777" w:rsidR="001F4410" w:rsidRPr="00CD5861" w:rsidRDefault="001F4410" w:rsidP="00FD0109">
            <w:pPr>
              <w:jc w:val="center"/>
              <w:rPr>
                <w:rFonts w:ascii="Arial Narrow" w:hAnsi="Arial Narrow"/>
                <w:b/>
                <w:kern w:val="20"/>
                <w:sz w:val="16"/>
                <w:szCs w:val="20"/>
              </w:rPr>
            </w:pPr>
            <w:r>
              <w:rPr>
                <w:rFonts w:ascii="Arial Narrow" w:hAnsi="Arial Narrow"/>
                <w:b/>
                <w:kern w:val="20"/>
                <w:sz w:val="16"/>
                <w:szCs w:val="20"/>
              </w:rPr>
              <w:t xml:space="preserve">Annual </w:t>
            </w:r>
            <w:r w:rsidRPr="00CD5861">
              <w:rPr>
                <w:rFonts w:ascii="Arial Narrow" w:hAnsi="Arial Narrow"/>
                <w:b/>
                <w:kern w:val="20"/>
                <w:sz w:val="16"/>
                <w:szCs w:val="20"/>
              </w:rPr>
              <w:t>VMT</w:t>
            </w:r>
          </w:p>
        </w:tc>
        <w:tc>
          <w:tcPr>
            <w:tcW w:w="1170" w:type="dxa"/>
            <w:tcBorders>
              <w:top w:val="single" w:sz="2" w:space="0" w:color="auto"/>
              <w:left w:val="single" w:sz="6" w:space="0" w:color="auto"/>
              <w:bottom w:val="single" w:sz="12" w:space="0" w:color="auto"/>
              <w:right w:val="nil"/>
            </w:tcBorders>
            <w:vAlign w:val="bottom"/>
          </w:tcPr>
          <w:p w14:paraId="3E0035F3" w14:textId="77777777" w:rsidR="001F4410" w:rsidRPr="00DA765C" w:rsidRDefault="001F4410" w:rsidP="00FD0109">
            <w:pPr>
              <w:jc w:val="center"/>
              <w:rPr>
                <w:rFonts w:ascii="Arial Narrow" w:hAnsi="Arial Narrow"/>
                <w:b/>
                <w:kern w:val="20"/>
                <w:sz w:val="16"/>
                <w:szCs w:val="20"/>
                <w:highlight w:val="yellow"/>
              </w:rPr>
            </w:pPr>
            <w:r w:rsidRPr="000D1847">
              <w:rPr>
                <w:rFonts w:ascii="Arial Narrow" w:hAnsi="Arial Narrow"/>
                <w:b/>
                <w:kern w:val="20"/>
                <w:sz w:val="16"/>
                <w:szCs w:val="20"/>
              </w:rPr>
              <w:t xml:space="preserve">Annual </w:t>
            </w:r>
            <w:r w:rsidR="00421E2C" w:rsidRPr="000D1847">
              <w:rPr>
                <w:rFonts w:ascii="Arial Narrow" w:hAnsi="Arial Narrow"/>
                <w:b/>
                <w:kern w:val="20"/>
                <w:sz w:val="16"/>
                <w:szCs w:val="20"/>
              </w:rPr>
              <w:t>kWh</w:t>
            </w:r>
          </w:p>
        </w:tc>
      </w:tr>
      <w:tr w:rsidR="001522EE" w:rsidRPr="00E724BB" w14:paraId="48E31452" w14:textId="77777777" w:rsidTr="00816F17">
        <w:trPr>
          <w:trHeight w:val="152"/>
        </w:trPr>
        <w:tc>
          <w:tcPr>
            <w:tcW w:w="2070" w:type="dxa"/>
            <w:tcBorders>
              <w:top w:val="single" w:sz="12" w:space="0" w:color="auto"/>
              <w:left w:val="nil"/>
              <w:bottom w:val="single" w:sz="2" w:space="0" w:color="auto"/>
              <w:right w:val="nil"/>
            </w:tcBorders>
            <w:shd w:val="clear" w:color="auto" w:fill="D9D9D9" w:themeFill="background1" w:themeFillShade="D9"/>
          </w:tcPr>
          <w:p w14:paraId="297402F0" w14:textId="77777777" w:rsidR="001F4410" w:rsidRPr="00E724BB" w:rsidRDefault="00FB604B" w:rsidP="00FD0109">
            <w:pPr>
              <w:spacing w:before="20" w:after="20"/>
              <w:rPr>
                <w:rFonts w:ascii="Arial Narrow" w:hAnsi="Arial Narrow"/>
                <w:b/>
                <w:bCs/>
                <w:kern w:val="20"/>
                <w:sz w:val="18"/>
                <w:szCs w:val="20"/>
              </w:rPr>
            </w:pPr>
            <w:r>
              <w:rPr>
                <w:rFonts w:ascii="Arial Narrow" w:hAnsi="Arial Narrow"/>
                <w:b/>
                <w:bCs/>
                <w:kern w:val="20"/>
                <w:sz w:val="18"/>
                <w:szCs w:val="20"/>
              </w:rPr>
              <w:t xml:space="preserve">Former </w:t>
            </w:r>
            <w:r w:rsidR="00421E2C">
              <w:rPr>
                <w:rFonts w:ascii="Arial Narrow" w:hAnsi="Arial Narrow"/>
                <w:b/>
                <w:bCs/>
                <w:kern w:val="20"/>
                <w:sz w:val="18"/>
                <w:szCs w:val="20"/>
              </w:rPr>
              <w:t>Pepsi Bottling Factory</w:t>
            </w:r>
          </w:p>
        </w:tc>
        <w:tc>
          <w:tcPr>
            <w:tcW w:w="1260" w:type="dxa"/>
            <w:tcBorders>
              <w:top w:val="single" w:sz="12" w:space="0" w:color="auto"/>
              <w:left w:val="nil"/>
              <w:bottom w:val="single" w:sz="2" w:space="0" w:color="auto"/>
              <w:right w:val="nil"/>
            </w:tcBorders>
            <w:shd w:val="clear" w:color="auto" w:fill="D9D9D9" w:themeFill="background1" w:themeFillShade="D9"/>
          </w:tcPr>
          <w:p w14:paraId="62A17FA3" w14:textId="77777777" w:rsidR="001F4410" w:rsidRPr="00E724BB" w:rsidRDefault="001F4410" w:rsidP="00FD0109">
            <w:pPr>
              <w:pStyle w:val="TblTxtCenter"/>
              <w:rPr>
                <w:b/>
                <w:bCs/>
              </w:rPr>
            </w:pPr>
          </w:p>
        </w:tc>
        <w:tc>
          <w:tcPr>
            <w:tcW w:w="1170" w:type="dxa"/>
            <w:tcBorders>
              <w:top w:val="single" w:sz="12" w:space="0" w:color="auto"/>
              <w:left w:val="nil"/>
              <w:bottom w:val="single" w:sz="2" w:space="0" w:color="auto"/>
              <w:right w:val="nil"/>
            </w:tcBorders>
            <w:shd w:val="clear" w:color="auto" w:fill="D9D9D9" w:themeFill="background1" w:themeFillShade="D9"/>
          </w:tcPr>
          <w:p w14:paraId="68AA70DF" w14:textId="77777777" w:rsidR="001F4410" w:rsidRPr="00E724BB" w:rsidRDefault="001F4410" w:rsidP="00FD0109">
            <w:pPr>
              <w:pStyle w:val="TblTxtCenter"/>
              <w:rPr>
                <w:b/>
                <w:bCs/>
              </w:rPr>
            </w:pPr>
          </w:p>
        </w:tc>
        <w:tc>
          <w:tcPr>
            <w:tcW w:w="1350" w:type="dxa"/>
            <w:tcBorders>
              <w:top w:val="single" w:sz="12" w:space="0" w:color="auto"/>
              <w:left w:val="nil"/>
              <w:bottom w:val="single" w:sz="2" w:space="0" w:color="auto"/>
              <w:right w:val="nil"/>
            </w:tcBorders>
            <w:shd w:val="clear" w:color="auto" w:fill="D9D9D9" w:themeFill="background1" w:themeFillShade="D9"/>
          </w:tcPr>
          <w:p w14:paraId="6DB900FD" w14:textId="77777777" w:rsidR="001F4410" w:rsidRPr="00E724BB" w:rsidRDefault="001F4410" w:rsidP="00FD0109">
            <w:pPr>
              <w:pStyle w:val="TblTxtCenter"/>
              <w:rPr>
                <w:b/>
                <w:bCs/>
              </w:rPr>
            </w:pPr>
          </w:p>
        </w:tc>
        <w:tc>
          <w:tcPr>
            <w:tcW w:w="1170" w:type="dxa"/>
            <w:tcBorders>
              <w:top w:val="single" w:sz="12" w:space="0" w:color="auto"/>
              <w:left w:val="nil"/>
              <w:bottom w:val="single" w:sz="2" w:space="0" w:color="auto"/>
              <w:right w:val="nil"/>
            </w:tcBorders>
            <w:shd w:val="clear" w:color="auto" w:fill="D9D9D9" w:themeFill="background1" w:themeFillShade="D9"/>
          </w:tcPr>
          <w:p w14:paraId="6D67CBEA" w14:textId="77777777" w:rsidR="001F4410" w:rsidRPr="00E724BB" w:rsidRDefault="001F4410" w:rsidP="00FD0109">
            <w:pPr>
              <w:pStyle w:val="TblTxtCenter"/>
              <w:rPr>
                <w:b/>
                <w:bCs/>
              </w:rPr>
            </w:pPr>
          </w:p>
        </w:tc>
        <w:tc>
          <w:tcPr>
            <w:tcW w:w="1170" w:type="dxa"/>
            <w:tcBorders>
              <w:top w:val="single" w:sz="12" w:space="0" w:color="auto"/>
              <w:left w:val="nil"/>
              <w:bottom w:val="single" w:sz="2" w:space="0" w:color="auto"/>
              <w:right w:val="nil"/>
            </w:tcBorders>
            <w:shd w:val="clear" w:color="auto" w:fill="D9D9D9" w:themeFill="background1" w:themeFillShade="D9"/>
          </w:tcPr>
          <w:p w14:paraId="4206C053" w14:textId="77777777" w:rsidR="001F4410" w:rsidRPr="00E724BB" w:rsidRDefault="001F4410" w:rsidP="00FD0109">
            <w:pPr>
              <w:pStyle w:val="TblTxtCenter"/>
              <w:rPr>
                <w:b/>
                <w:bCs/>
              </w:rPr>
            </w:pPr>
          </w:p>
        </w:tc>
        <w:tc>
          <w:tcPr>
            <w:tcW w:w="1170" w:type="dxa"/>
            <w:tcBorders>
              <w:top w:val="single" w:sz="12" w:space="0" w:color="auto"/>
              <w:left w:val="nil"/>
              <w:bottom w:val="single" w:sz="2" w:space="0" w:color="auto"/>
              <w:right w:val="nil"/>
            </w:tcBorders>
            <w:shd w:val="clear" w:color="auto" w:fill="D9D9D9" w:themeFill="background1" w:themeFillShade="D9"/>
          </w:tcPr>
          <w:p w14:paraId="180D14C9" w14:textId="77777777" w:rsidR="001F4410" w:rsidRPr="00DA765C" w:rsidRDefault="001F4410" w:rsidP="00FD0109">
            <w:pPr>
              <w:pStyle w:val="TblTxtCenter"/>
              <w:rPr>
                <w:b/>
                <w:bCs/>
                <w:highlight w:val="yellow"/>
              </w:rPr>
            </w:pPr>
          </w:p>
        </w:tc>
      </w:tr>
      <w:tr w:rsidR="001522EE" w:rsidRPr="00CD5861" w14:paraId="571BC166" w14:textId="77777777" w:rsidTr="00816F17">
        <w:trPr>
          <w:trHeight w:val="152"/>
        </w:trPr>
        <w:tc>
          <w:tcPr>
            <w:tcW w:w="2070" w:type="dxa"/>
            <w:tcBorders>
              <w:top w:val="single" w:sz="2" w:space="0" w:color="auto"/>
              <w:left w:val="nil"/>
              <w:bottom w:val="single" w:sz="2" w:space="0" w:color="auto"/>
              <w:right w:val="single" w:sz="12" w:space="0" w:color="auto"/>
            </w:tcBorders>
          </w:tcPr>
          <w:p w14:paraId="4A8F7B8F" w14:textId="77777777" w:rsidR="001F4410" w:rsidRPr="008173A2" w:rsidRDefault="001F4410" w:rsidP="001F4410">
            <w:pPr>
              <w:spacing w:before="20" w:after="20"/>
              <w:rPr>
                <w:rFonts w:ascii="Arial Narrow" w:hAnsi="Arial Narrow"/>
                <w:kern w:val="20"/>
                <w:sz w:val="18"/>
                <w:szCs w:val="20"/>
                <w:vertAlign w:val="superscript"/>
              </w:rPr>
            </w:pPr>
            <w:r w:rsidRPr="00CD5861">
              <w:rPr>
                <w:rFonts w:ascii="Arial Narrow" w:hAnsi="Arial Narrow"/>
                <w:kern w:val="20"/>
                <w:sz w:val="18"/>
                <w:szCs w:val="20"/>
              </w:rPr>
              <w:t>Passenger Vehicles</w:t>
            </w:r>
            <w:r>
              <w:rPr>
                <w:rFonts w:ascii="Arial Narrow" w:hAnsi="Arial Narrow"/>
                <w:kern w:val="20"/>
                <w:sz w:val="18"/>
                <w:szCs w:val="20"/>
                <w:vertAlign w:val="superscript"/>
              </w:rPr>
              <w:t>1</w:t>
            </w:r>
          </w:p>
        </w:tc>
        <w:tc>
          <w:tcPr>
            <w:tcW w:w="1260" w:type="dxa"/>
            <w:tcBorders>
              <w:top w:val="single" w:sz="2" w:space="0" w:color="auto"/>
              <w:left w:val="single" w:sz="12" w:space="0" w:color="auto"/>
              <w:bottom w:val="single" w:sz="2" w:space="0" w:color="auto"/>
              <w:right w:val="single" w:sz="2" w:space="0" w:color="auto"/>
            </w:tcBorders>
            <w:vAlign w:val="center"/>
          </w:tcPr>
          <w:p w14:paraId="7D83FAC2" w14:textId="77777777" w:rsidR="001F4410" w:rsidRPr="003344BF" w:rsidRDefault="001F4410" w:rsidP="001F4410">
            <w:pPr>
              <w:pStyle w:val="TblTxtCenter"/>
            </w:pPr>
            <w:r w:rsidRPr="000B689B">
              <w:t>363,903</w:t>
            </w:r>
          </w:p>
        </w:tc>
        <w:tc>
          <w:tcPr>
            <w:tcW w:w="1170" w:type="dxa"/>
            <w:tcBorders>
              <w:top w:val="single" w:sz="2" w:space="0" w:color="auto"/>
              <w:left w:val="single" w:sz="2" w:space="0" w:color="auto"/>
              <w:bottom w:val="single" w:sz="2" w:space="0" w:color="auto"/>
              <w:right w:val="single" w:sz="12" w:space="0" w:color="auto"/>
            </w:tcBorders>
            <w:vAlign w:val="center"/>
          </w:tcPr>
          <w:p w14:paraId="4B37CE33" w14:textId="77777777" w:rsidR="001F4410" w:rsidRPr="003344BF" w:rsidRDefault="001F4410" w:rsidP="001F4410">
            <w:pPr>
              <w:pStyle w:val="TblTxtCenter"/>
            </w:pPr>
            <w:r w:rsidRPr="000B689B">
              <w:t>13,900</w:t>
            </w:r>
          </w:p>
        </w:tc>
        <w:tc>
          <w:tcPr>
            <w:tcW w:w="1350" w:type="dxa"/>
            <w:tcBorders>
              <w:top w:val="single" w:sz="2" w:space="0" w:color="auto"/>
              <w:left w:val="single" w:sz="12" w:space="0" w:color="auto"/>
              <w:bottom w:val="single" w:sz="2" w:space="0" w:color="auto"/>
              <w:right w:val="single" w:sz="2" w:space="0" w:color="auto"/>
            </w:tcBorders>
            <w:vAlign w:val="center"/>
          </w:tcPr>
          <w:p w14:paraId="36EE5FC2" w14:textId="77777777" w:rsidR="001F4410" w:rsidRPr="003344BF" w:rsidRDefault="001F4410" w:rsidP="001F4410">
            <w:pPr>
              <w:pStyle w:val="TblTxtCenter"/>
            </w:pPr>
            <w:r w:rsidRPr="000B689B">
              <w:t>8,698</w:t>
            </w:r>
          </w:p>
        </w:tc>
        <w:tc>
          <w:tcPr>
            <w:tcW w:w="1170" w:type="dxa"/>
            <w:tcBorders>
              <w:top w:val="single" w:sz="2" w:space="0" w:color="auto"/>
              <w:left w:val="single" w:sz="2" w:space="0" w:color="auto"/>
              <w:bottom w:val="single" w:sz="2" w:space="0" w:color="auto"/>
              <w:right w:val="single" w:sz="12" w:space="0" w:color="auto"/>
            </w:tcBorders>
            <w:vAlign w:val="center"/>
          </w:tcPr>
          <w:p w14:paraId="71DC5829" w14:textId="77777777" w:rsidR="001F4410" w:rsidRPr="003344BF" w:rsidRDefault="001F4410" w:rsidP="001F4410">
            <w:pPr>
              <w:pStyle w:val="TblTxtCenter"/>
            </w:pPr>
            <w:r w:rsidRPr="000B689B">
              <w:t>342</w:t>
            </w:r>
          </w:p>
        </w:tc>
        <w:tc>
          <w:tcPr>
            <w:tcW w:w="1170" w:type="dxa"/>
            <w:tcBorders>
              <w:top w:val="single" w:sz="2" w:space="0" w:color="auto"/>
              <w:left w:val="single" w:sz="12" w:space="0" w:color="auto"/>
              <w:bottom w:val="single" w:sz="2" w:space="0" w:color="auto"/>
              <w:right w:val="nil"/>
            </w:tcBorders>
            <w:vAlign w:val="center"/>
          </w:tcPr>
          <w:p w14:paraId="2D2F1010" w14:textId="77777777" w:rsidR="001F4410" w:rsidRPr="003344BF" w:rsidRDefault="001F4410" w:rsidP="001F4410">
            <w:pPr>
              <w:pStyle w:val="TblTxtCenter"/>
            </w:pPr>
            <w:r w:rsidRPr="000B689B">
              <w:t>5,584</w:t>
            </w:r>
          </w:p>
        </w:tc>
        <w:tc>
          <w:tcPr>
            <w:tcW w:w="1170" w:type="dxa"/>
            <w:tcBorders>
              <w:top w:val="single" w:sz="2" w:space="0" w:color="auto"/>
              <w:left w:val="single" w:sz="2" w:space="0" w:color="auto"/>
              <w:bottom w:val="single" w:sz="2" w:space="0" w:color="auto"/>
              <w:right w:val="nil"/>
            </w:tcBorders>
            <w:vAlign w:val="center"/>
          </w:tcPr>
          <w:p w14:paraId="0187F056" w14:textId="77777777" w:rsidR="001F4410" w:rsidRPr="003344BF" w:rsidRDefault="001F4410" w:rsidP="001F4410">
            <w:pPr>
              <w:pStyle w:val="TblTxtCenter"/>
            </w:pPr>
            <w:r w:rsidRPr="000B689B">
              <w:t>1,836</w:t>
            </w:r>
          </w:p>
        </w:tc>
      </w:tr>
      <w:tr w:rsidR="001522EE" w:rsidRPr="00CD5861" w14:paraId="3493B26C" w14:textId="77777777" w:rsidTr="001A33F5">
        <w:trPr>
          <w:trHeight w:val="152"/>
        </w:trPr>
        <w:tc>
          <w:tcPr>
            <w:tcW w:w="2070" w:type="dxa"/>
            <w:tcBorders>
              <w:top w:val="single" w:sz="2" w:space="0" w:color="auto"/>
              <w:left w:val="nil"/>
              <w:bottom w:val="single" w:sz="12" w:space="0" w:color="auto"/>
              <w:right w:val="single" w:sz="12" w:space="0" w:color="auto"/>
            </w:tcBorders>
          </w:tcPr>
          <w:p w14:paraId="5ED73BB3" w14:textId="77777777" w:rsidR="001F4410" w:rsidRPr="008173A2" w:rsidRDefault="001F4410" w:rsidP="001F4410">
            <w:pPr>
              <w:spacing w:before="20" w:after="20"/>
              <w:rPr>
                <w:rFonts w:ascii="Arial Narrow" w:hAnsi="Arial Narrow"/>
                <w:kern w:val="20"/>
                <w:sz w:val="18"/>
                <w:szCs w:val="20"/>
                <w:vertAlign w:val="superscript"/>
              </w:rPr>
            </w:pPr>
            <w:r>
              <w:rPr>
                <w:rFonts w:ascii="Arial Narrow" w:hAnsi="Arial Narrow"/>
                <w:kern w:val="20"/>
                <w:sz w:val="18"/>
                <w:szCs w:val="20"/>
              </w:rPr>
              <w:t>Trucks</w:t>
            </w:r>
            <w:r>
              <w:rPr>
                <w:rFonts w:ascii="Arial Narrow" w:hAnsi="Arial Narrow"/>
                <w:kern w:val="20"/>
                <w:sz w:val="18"/>
                <w:szCs w:val="20"/>
                <w:vertAlign w:val="superscript"/>
              </w:rPr>
              <w:t>2</w:t>
            </w:r>
          </w:p>
        </w:tc>
        <w:tc>
          <w:tcPr>
            <w:tcW w:w="1260" w:type="dxa"/>
            <w:tcBorders>
              <w:top w:val="single" w:sz="2" w:space="0" w:color="auto"/>
              <w:left w:val="single" w:sz="12" w:space="0" w:color="auto"/>
              <w:bottom w:val="single" w:sz="12" w:space="0" w:color="auto"/>
              <w:right w:val="single" w:sz="2" w:space="0" w:color="auto"/>
            </w:tcBorders>
            <w:vAlign w:val="center"/>
          </w:tcPr>
          <w:p w14:paraId="021A1893" w14:textId="77777777" w:rsidR="001F4410" w:rsidRPr="003344BF" w:rsidRDefault="001F4410" w:rsidP="001F4410">
            <w:pPr>
              <w:pStyle w:val="TblTxtCenter"/>
            </w:pPr>
            <w:r w:rsidRPr="000B689B">
              <w:t>0</w:t>
            </w:r>
          </w:p>
        </w:tc>
        <w:tc>
          <w:tcPr>
            <w:tcW w:w="1170" w:type="dxa"/>
            <w:tcBorders>
              <w:top w:val="single" w:sz="2" w:space="0" w:color="auto"/>
              <w:left w:val="single" w:sz="2" w:space="0" w:color="auto"/>
              <w:bottom w:val="single" w:sz="12" w:space="0" w:color="auto"/>
              <w:right w:val="single" w:sz="12" w:space="0" w:color="auto"/>
            </w:tcBorders>
            <w:vAlign w:val="center"/>
          </w:tcPr>
          <w:p w14:paraId="3E2D6B03" w14:textId="77777777" w:rsidR="001F4410" w:rsidRPr="003344BF" w:rsidRDefault="001F4410" w:rsidP="001F4410">
            <w:pPr>
              <w:pStyle w:val="TblTxtCenter"/>
            </w:pPr>
            <w:r w:rsidRPr="000B689B">
              <w:t>0</w:t>
            </w:r>
          </w:p>
        </w:tc>
        <w:tc>
          <w:tcPr>
            <w:tcW w:w="1350" w:type="dxa"/>
            <w:tcBorders>
              <w:top w:val="single" w:sz="2" w:space="0" w:color="auto"/>
              <w:left w:val="single" w:sz="12" w:space="0" w:color="auto"/>
              <w:bottom w:val="single" w:sz="12" w:space="0" w:color="auto"/>
              <w:right w:val="single" w:sz="2" w:space="0" w:color="auto"/>
            </w:tcBorders>
            <w:vAlign w:val="center"/>
          </w:tcPr>
          <w:p w14:paraId="6F6F20FD" w14:textId="77777777" w:rsidR="001F4410" w:rsidRPr="003344BF" w:rsidRDefault="001F4410" w:rsidP="001F4410">
            <w:pPr>
              <w:pStyle w:val="TblTxtCenter"/>
            </w:pPr>
            <w:r w:rsidRPr="000B689B">
              <w:t>321,294</w:t>
            </w:r>
          </w:p>
        </w:tc>
        <w:tc>
          <w:tcPr>
            <w:tcW w:w="1170" w:type="dxa"/>
            <w:tcBorders>
              <w:top w:val="single" w:sz="2" w:space="0" w:color="auto"/>
              <w:left w:val="single" w:sz="2" w:space="0" w:color="auto"/>
              <w:bottom w:val="single" w:sz="12" w:space="0" w:color="auto"/>
              <w:right w:val="single" w:sz="12" w:space="0" w:color="auto"/>
            </w:tcBorders>
            <w:vAlign w:val="center"/>
          </w:tcPr>
          <w:p w14:paraId="15518505" w14:textId="77777777" w:rsidR="001F4410" w:rsidRPr="003344BF" w:rsidRDefault="001F4410" w:rsidP="001F4410">
            <w:pPr>
              <w:pStyle w:val="TblTxtCenter"/>
            </w:pPr>
            <w:r w:rsidRPr="000B689B">
              <w:t>39,637</w:t>
            </w:r>
          </w:p>
        </w:tc>
        <w:tc>
          <w:tcPr>
            <w:tcW w:w="1170" w:type="dxa"/>
            <w:tcBorders>
              <w:top w:val="single" w:sz="2" w:space="0" w:color="auto"/>
              <w:left w:val="single" w:sz="12" w:space="0" w:color="auto"/>
              <w:bottom w:val="single" w:sz="12" w:space="0" w:color="auto"/>
              <w:right w:val="nil"/>
            </w:tcBorders>
            <w:vAlign w:val="center"/>
          </w:tcPr>
          <w:p w14:paraId="7368D513" w14:textId="77777777" w:rsidR="001F4410" w:rsidRPr="003344BF" w:rsidRDefault="001F4410" w:rsidP="001F4410">
            <w:pPr>
              <w:pStyle w:val="TblTxtCenter"/>
            </w:pPr>
            <w:r w:rsidRPr="000B689B">
              <w:t>0</w:t>
            </w:r>
          </w:p>
        </w:tc>
        <w:tc>
          <w:tcPr>
            <w:tcW w:w="1170" w:type="dxa"/>
            <w:tcBorders>
              <w:top w:val="single" w:sz="2" w:space="0" w:color="auto"/>
              <w:left w:val="single" w:sz="2" w:space="0" w:color="auto"/>
              <w:bottom w:val="single" w:sz="12" w:space="0" w:color="auto"/>
              <w:right w:val="nil"/>
            </w:tcBorders>
            <w:vAlign w:val="center"/>
          </w:tcPr>
          <w:p w14:paraId="17C325F4" w14:textId="77777777" w:rsidR="001F4410" w:rsidRPr="003344BF" w:rsidRDefault="001F4410" w:rsidP="001F4410">
            <w:pPr>
              <w:pStyle w:val="TblTxtCenter"/>
            </w:pPr>
            <w:r w:rsidRPr="000B689B">
              <w:t>0</w:t>
            </w:r>
          </w:p>
        </w:tc>
      </w:tr>
      <w:tr w:rsidR="001522EE" w:rsidRPr="00CD5861" w14:paraId="4F6AFBC6" w14:textId="77777777" w:rsidTr="001A33F5">
        <w:trPr>
          <w:trHeight w:val="152"/>
        </w:trPr>
        <w:tc>
          <w:tcPr>
            <w:tcW w:w="2070" w:type="dxa"/>
            <w:tcBorders>
              <w:top w:val="single" w:sz="12" w:space="0" w:color="auto"/>
              <w:left w:val="nil"/>
              <w:bottom w:val="single" w:sz="12" w:space="0" w:color="auto"/>
              <w:right w:val="single" w:sz="12" w:space="0" w:color="auto"/>
            </w:tcBorders>
          </w:tcPr>
          <w:p w14:paraId="2130963A" w14:textId="77777777" w:rsidR="001F4410" w:rsidRPr="009B0045" w:rsidRDefault="001F4410" w:rsidP="001F4410">
            <w:pPr>
              <w:spacing w:before="20" w:after="20"/>
              <w:jc w:val="right"/>
              <w:rPr>
                <w:rFonts w:ascii="Arial Narrow" w:hAnsi="Arial Narrow"/>
                <w:b/>
                <w:bCs/>
                <w:kern w:val="20"/>
                <w:sz w:val="18"/>
                <w:szCs w:val="20"/>
              </w:rPr>
            </w:pPr>
            <w:r w:rsidRPr="009B0045">
              <w:rPr>
                <w:rFonts w:ascii="Arial Narrow" w:hAnsi="Arial Narrow"/>
                <w:b/>
                <w:bCs/>
                <w:kern w:val="20"/>
                <w:sz w:val="18"/>
                <w:szCs w:val="20"/>
              </w:rPr>
              <w:t>Total</w:t>
            </w:r>
          </w:p>
        </w:tc>
        <w:tc>
          <w:tcPr>
            <w:tcW w:w="1260" w:type="dxa"/>
            <w:tcBorders>
              <w:top w:val="single" w:sz="12" w:space="0" w:color="auto"/>
              <w:left w:val="single" w:sz="12" w:space="0" w:color="auto"/>
              <w:bottom w:val="single" w:sz="12" w:space="0" w:color="auto"/>
              <w:right w:val="single" w:sz="2" w:space="0" w:color="auto"/>
            </w:tcBorders>
            <w:vAlign w:val="center"/>
          </w:tcPr>
          <w:p w14:paraId="6000035D" w14:textId="77777777" w:rsidR="001F4410" w:rsidRPr="00F929D7" w:rsidRDefault="001F4410" w:rsidP="001F4410">
            <w:pPr>
              <w:pStyle w:val="TblTxtCenter"/>
              <w:rPr>
                <w:b/>
                <w:bCs/>
              </w:rPr>
            </w:pPr>
            <w:r w:rsidRPr="00F929D7">
              <w:rPr>
                <w:b/>
                <w:bCs/>
              </w:rPr>
              <w:t>363,903</w:t>
            </w:r>
          </w:p>
        </w:tc>
        <w:tc>
          <w:tcPr>
            <w:tcW w:w="1170" w:type="dxa"/>
            <w:tcBorders>
              <w:top w:val="single" w:sz="12" w:space="0" w:color="auto"/>
              <w:left w:val="single" w:sz="2" w:space="0" w:color="auto"/>
              <w:bottom w:val="single" w:sz="12" w:space="0" w:color="auto"/>
              <w:right w:val="single" w:sz="12" w:space="0" w:color="auto"/>
            </w:tcBorders>
            <w:vAlign w:val="center"/>
          </w:tcPr>
          <w:p w14:paraId="7B8DEDE2" w14:textId="77777777" w:rsidR="001F4410" w:rsidRPr="00F929D7" w:rsidRDefault="001F4410" w:rsidP="001F4410">
            <w:pPr>
              <w:pStyle w:val="TblTxtCenter"/>
              <w:rPr>
                <w:b/>
                <w:bCs/>
              </w:rPr>
            </w:pPr>
            <w:r w:rsidRPr="00F929D7">
              <w:rPr>
                <w:b/>
                <w:bCs/>
              </w:rPr>
              <w:t>13,900</w:t>
            </w:r>
          </w:p>
        </w:tc>
        <w:tc>
          <w:tcPr>
            <w:tcW w:w="1350" w:type="dxa"/>
            <w:tcBorders>
              <w:top w:val="single" w:sz="12" w:space="0" w:color="auto"/>
              <w:left w:val="single" w:sz="12" w:space="0" w:color="auto"/>
              <w:bottom w:val="single" w:sz="12" w:space="0" w:color="auto"/>
              <w:right w:val="single" w:sz="2" w:space="0" w:color="auto"/>
            </w:tcBorders>
            <w:vAlign w:val="center"/>
          </w:tcPr>
          <w:p w14:paraId="0EEBF4E9" w14:textId="77777777" w:rsidR="001F4410" w:rsidRPr="00F929D7" w:rsidRDefault="001F4410" w:rsidP="001F4410">
            <w:pPr>
              <w:pStyle w:val="TblTxtCenter"/>
              <w:rPr>
                <w:b/>
                <w:bCs/>
              </w:rPr>
            </w:pPr>
            <w:r w:rsidRPr="00F929D7">
              <w:rPr>
                <w:b/>
                <w:bCs/>
              </w:rPr>
              <w:t>329,992</w:t>
            </w:r>
          </w:p>
        </w:tc>
        <w:tc>
          <w:tcPr>
            <w:tcW w:w="1170" w:type="dxa"/>
            <w:tcBorders>
              <w:top w:val="single" w:sz="12" w:space="0" w:color="auto"/>
              <w:left w:val="single" w:sz="2" w:space="0" w:color="auto"/>
              <w:bottom w:val="single" w:sz="12" w:space="0" w:color="auto"/>
              <w:right w:val="single" w:sz="12" w:space="0" w:color="auto"/>
            </w:tcBorders>
            <w:vAlign w:val="center"/>
          </w:tcPr>
          <w:p w14:paraId="0D1F4139" w14:textId="77777777" w:rsidR="001F4410" w:rsidRPr="00F929D7" w:rsidRDefault="001F4410" w:rsidP="001F4410">
            <w:pPr>
              <w:pStyle w:val="TblTxtCenter"/>
              <w:rPr>
                <w:b/>
                <w:bCs/>
              </w:rPr>
            </w:pPr>
            <w:r w:rsidRPr="00F929D7">
              <w:rPr>
                <w:b/>
                <w:bCs/>
              </w:rPr>
              <w:t>39,979</w:t>
            </w:r>
          </w:p>
        </w:tc>
        <w:tc>
          <w:tcPr>
            <w:tcW w:w="1170" w:type="dxa"/>
            <w:tcBorders>
              <w:top w:val="single" w:sz="12" w:space="0" w:color="auto"/>
              <w:left w:val="single" w:sz="12" w:space="0" w:color="auto"/>
              <w:bottom w:val="single" w:sz="12" w:space="0" w:color="auto"/>
              <w:right w:val="nil"/>
            </w:tcBorders>
            <w:vAlign w:val="center"/>
          </w:tcPr>
          <w:p w14:paraId="0315F27D" w14:textId="77777777" w:rsidR="001F4410" w:rsidRPr="00F929D7" w:rsidRDefault="001F4410" w:rsidP="001F4410">
            <w:pPr>
              <w:pStyle w:val="TblTxtCenter"/>
              <w:rPr>
                <w:b/>
                <w:bCs/>
              </w:rPr>
            </w:pPr>
            <w:r w:rsidRPr="00F929D7">
              <w:rPr>
                <w:b/>
                <w:bCs/>
              </w:rPr>
              <w:t>5,584</w:t>
            </w:r>
          </w:p>
        </w:tc>
        <w:tc>
          <w:tcPr>
            <w:tcW w:w="1170" w:type="dxa"/>
            <w:tcBorders>
              <w:top w:val="single" w:sz="12" w:space="0" w:color="auto"/>
              <w:left w:val="single" w:sz="2" w:space="0" w:color="auto"/>
              <w:bottom w:val="single" w:sz="12" w:space="0" w:color="auto"/>
              <w:right w:val="nil"/>
            </w:tcBorders>
            <w:vAlign w:val="center"/>
          </w:tcPr>
          <w:p w14:paraId="7C046386" w14:textId="77777777" w:rsidR="001F4410" w:rsidRPr="00F929D7" w:rsidRDefault="001F4410" w:rsidP="001F4410">
            <w:pPr>
              <w:pStyle w:val="TblTxtCenter"/>
              <w:rPr>
                <w:b/>
                <w:bCs/>
              </w:rPr>
            </w:pPr>
            <w:r w:rsidRPr="00F929D7">
              <w:rPr>
                <w:b/>
                <w:bCs/>
              </w:rPr>
              <w:t>1,836</w:t>
            </w:r>
          </w:p>
        </w:tc>
      </w:tr>
      <w:tr w:rsidR="001522EE" w:rsidRPr="00E724BB" w14:paraId="0ACCFB58" w14:textId="77777777" w:rsidTr="00816F17">
        <w:trPr>
          <w:trHeight w:val="152"/>
        </w:trPr>
        <w:tc>
          <w:tcPr>
            <w:tcW w:w="2070" w:type="dxa"/>
            <w:tcBorders>
              <w:top w:val="single" w:sz="12" w:space="0" w:color="auto"/>
              <w:left w:val="nil"/>
              <w:bottom w:val="single" w:sz="2" w:space="0" w:color="auto"/>
              <w:right w:val="nil"/>
            </w:tcBorders>
            <w:shd w:val="clear" w:color="auto" w:fill="D9D9D9" w:themeFill="background1" w:themeFillShade="D9"/>
          </w:tcPr>
          <w:p w14:paraId="5649C1A8" w14:textId="77777777" w:rsidR="001F4410" w:rsidRPr="00E724BB" w:rsidRDefault="001F4410" w:rsidP="001F4410">
            <w:pPr>
              <w:spacing w:before="20" w:after="20"/>
              <w:rPr>
                <w:rFonts w:ascii="Arial Narrow" w:hAnsi="Arial Narrow"/>
                <w:b/>
                <w:bCs/>
                <w:kern w:val="20"/>
                <w:sz w:val="18"/>
                <w:szCs w:val="20"/>
              </w:rPr>
            </w:pPr>
            <w:r w:rsidRPr="00E724BB">
              <w:rPr>
                <w:rFonts w:ascii="Arial Narrow" w:hAnsi="Arial Narrow"/>
                <w:b/>
                <w:bCs/>
                <w:kern w:val="20"/>
                <w:sz w:val="18"/>
                <w:szCs w:val="20"/>
              </w:rPr>
              <w:t>Proposed Project</w:t>
            </w:r>
          </w:p>
        </w:tc>
        <w:tc>
          <w:tcPr>
            <w:tcW w:w="1260" w:type="dxa"/>
            <w:tcBorders>
              <w:top w:val="single" w:sz="12" w:space="0" w:color="auto"/>
              <w:left w:val="nil"/>
              <w:bottom w:val="single" w:sz="2" w:space="0" w:color="auto"/>
              <w:right w:val="nil"/>
            </w:tcBorders>
            <w:shd w:val="clear" w:color="auto" w:fill="D9D9D9" w:themeFill="background1" w:themeFillShade="D9"/>
            <w:vAlign w:val="center"/>
          </w:tcPr>
          <w:p w14:paraId="669724FE" w14:textId="77777777" w:rsidR="001F4410" w:rsidRPr="00E724BB" w:rsidRDefault="001F4410" w:rsidP="001F4410">
            <w:pPr>
              <w:pStyle w:val="TblTxtCenter"/>
              <w:rPr>
                <w:b/>
                <w:bCs/>
              </w:rPr>
            </w:pPr>
          </w:p>
        </w:tc>
        <w:tc>
          <w:tcPr>
            <w:tcW w:w="1170" w:type="dxa"/>
            <w:tcBorders>
              <w:top w:val="single" w:sz="12" w:space="0" w:color="auto"/>
              <w:left w:val="nil"/>
              <w:bottom w:val="single" w:sz="2" w:space="0" w:color="auto"/>
              <w:right w:val="nil"/>
            </w:tcBorders>
            <w:shd w:val="clear" w:color="auto" w:fill="D9D9D9" w:themeFill="background1" w:themeFillShade="D9"/>
            <w:vAlign w:val="center"/>
          </w:tcPr>
          <w:p w14:paraId="4F7311BE" w14:textId="77777777" w:rsidR="001F4410" w:rsidRPr="00E724BB" w:rsidRDefault="001F4410" w:rsidP="001F4410">
            <w:pPr>
              <w:pStyle w:val="TblTxtCenter"/>
              <w:rPr>
                <w:b/>
                <w:bCs/>
              </w:rPr>
            </w:pPr>
          </w:p>
        </w:tc>
        <w:tc>
          <w:tcPr>
            <w:tcW w:w="1350" w:type="dxa"/>
            <w:tcBorders>
              <w:top w:val="single" w:sz="12" w:space="0" w:color="auto"/>
              <w:left w:val="nil"/>
              <w:bottom w:val="single" w:sz="2" w:space="0" w:color="auto"/>
              <w:right w:val="nil"/>
            </w:tcBorders>
            <w:shd w:val="clear" w:color="auto" w:fill="D9D9D9" w:themeFill="background1" w:themeFillShade="D9"/>
            <w:vAlign w:val="center"/>
          </w:tcPr>
          <w:p w14:paraId="0C7C8E54" w14:textId="77777777" w:rsidR="001F4410" w:rsidRPr="00E724BB" w:rsidRDefault="001F4410" w:rsidP="001F4410">
            <w:pPr>
              <w:pStyle w:val="TblTxtCenter"/>
              <w:rPr>
                <w:b/>
                <w:bCs/>
              </w:rPr>
            </w:pPr>
          </w:p>
        </w:tc>
        <w:tc>
          <w:tcPr>
            <w:tcW w:w="1170" w:type="dxa"/>
            <w:tcBorders>
              <w:top w:val="single" w:sz="12" w:space="0" w:color="auto"/>
              <w:left w:val="nil"/>
              <w:bottom w:val="single" w:sz="2" w:space="0" w:color="auto"/>
              <w:right w:val="nil"/>
            </w:tcBorders>
            <w:shd w:val="clear" w:color="auto" w:fill="D9D9D9" w:themeFill="background1" w:themeFillShade="D9"/>
            <w:vAlign w:val="center"/>
          </w:tcPr>
          <w:p w14:paraId="216CDA00" w14:textId="77777777" w:rsidR="001F4410" w:rsidRPr="00E724BB" w:rsidRDefault="001F4410" w:rsidP="001F4410">
            <w:pPr>
              <w:pStyle w:val="TblTxtCenter"/>
              <w:rPr>
                <w:b/>
                <w:bCs/>
              </w:rPr>
            </w:pPr>
          </w:p>
        </w:tc>
        <w:tc>
          <w:tcPr>
            <w:tcW w:w="1170" w:type="dxa"/>
            <w:tcBorders>
              <w:top w:val="single" w:sz="12" w:space="0" w:color="auto"/>
              <w:left w:val="nil"/>
              <w:bottom w:val="single" w:sz="2" w:space="0" w:color="auto"/>
              <w:right w:val="nil"/>
            </w:tcBorders>
            <w:shd w:val="clear" w:color="auto" w:fill="D9D9D9" w:themeFill="background1" w:themeFillShade="D9"/>
            <w:vAlign w:val="center"/>
          </w:tcPr>
          <w:p w14:paraId="67F3EF4A" w14:textId="77777777" w:rsidR="001F4410" w:rsidRPr="00E724BB" w:rsidRDefault="001F4410" w:rsidP="001F4410">
            <w:pPr>
              <w:pStyle w:val="TblTxtCenter"/>
              <w:rPr>
                <w:b/>
                <w:bCs/>
              </w:rPr>
            </w:pPr>
          </w:p>
        </w:tc>
        <w:tc>
          <w:tcPr>
            <w:tcW w:w="1170" w:type="dxa"/>
            <w:tcBorders>
              <w:top w:val="single" w:sz="12" w:space="0" w:color="auto"/>
              <w:left w:val="nil"/>
              <w:bottom w:val="single" w:sz="2" w:space="0" w:color="auto"/>
              <w:right w:val="nil"/>
            </w:tcBorders>
            <w:shd w:val="clear" w:color="auto" w:fill="D9D9D9" w:themeFill="background1" w:themeFillShade="D9"/>
            <w:vAlign w:val="center"/>
          </w:tcPr>
          <w:p w14:paraId="142FDA0E" w14:textId="77777777" w:rsidR="001F4410" w:rsidRPr="00E724BB" w:rsidRDefault="001F4410" w:rsidP="001F4410">
            <w:pPr>
              <w:pStyle w:val="TblTxtCenter"/>
              <w:rPr>
                <w:b/>
                <w:bCs/>
              </w:rPr>
            </w:pPr>
          </w:p>
        </w:tc>
      </w:tr>
      <w:tr w:rsidR="001522EE" w:rsidRPr="00CD5861" w14:paraId="1902497F" w14:textId="77777777" w:rsidTr="00816F17">
        <w:trPr>
          <w:trHeight w:val="152"/>
        </w:trPr>
        <w:tc>
          <w:tcPr>
            <w:tcW w:w="2070" w:type="dxa"/>
            <w:tcBorders>
              <w:top w:val="single" w:sz="2" w:space="0" w:color="auto"/>
              <w:left w:val="nil"/>
              <w:bottom w:val="single" w:sz="2" w:space="0" w:color="auto"/>
              <w:right w:val="single" w:sz="12" w:space="0" w:color="auto"/>
            </w:tcBorders>
          </w:tcPr>
          <w:p w14:paraId="74D3118B" w14:textId="77777777" w:rsidR="001F4410" w:rsidRPr="008173A2" w:rsidRDefault="001F4410" w:rsidP="001F4410">
            <w:pPr>
              <w:spacing w:before="20" w:after="20"/>
              <w:rPr>
                <w:rFonts w:ascii="Arial Narrow" w:hAnsi="Arial Narrow"/>
                <w:kern w:val="20"/>
                <w:sz w:val="18"/>
                <w:szCs w:val="20"/>
                <w:vertAlign w:val="superscript"/>
              </w:rPr>
            </w:pPr>
            <w:r w:rsidRPr="00CD5861">
              <w:rPr>
                <w:rFonts w:ascii="Arial Narrow" w:hAnsi="Arial Narrow"/>
                <w:kern w:val="20"/>
                <w:sz w:val="18"/>
                <w:szCs w:val="20"/>
              </w:rPr>
              <w:t>Passenger Vehicles</w:t>
            </w:r>
            <w:r>
              <w:rPr>
                <w:rFonts w:ascii="Arial Narrow" w:hAnsi="Arial Narrow"/>
                <w:kern w:val="20"/>
                <w:sz w:val="18"/>
                <w:szCs w:val="20"/>
                <w:vertAlign w:val="superscript"/>
              </w:rPr>
              <w:t>1</w:t>
            </w:r>
          </w:p>
        </w:tc>
        <w:tc>
          <w:tcPr>
            <w:tcW w:w="1260" w:type="dxa"/>
            <w:tcBorders>
              <w:top w:val="single" w:sz="2" w:space="0" w:color="auto"/>
              <w:left w:val="single" w:sz="12" w:space="0" w:color="auto"/>
              <w:bottom w:val="single" w:sz="2" w:space="0" w:color="auto"/>
              <w:right w:val="single" w:sz="2" w:space="0" w:color="auto"/>
            </w:tcBorders>
            <w:vAlign w:val="center"/>
          </w:tcPr>
          <w:p w14:paraId="6054F2A3" w14:textId="77777777" w:rsidR="001F4410" w:rsidRPr="003344BF" w:rsidRDefault="001F4410" w:rsidP="001F4410">
            <w:pPr>
              <w:pStyle w:val="TblTxtCenter"/>
            </w:pPr>
            <w:r w:rsidRPr="00BF5F51">
              <w:t>821,437</w:t>
            </w:r>
          </w:p>
        </w:tc>
        <w:tc>
          <w:tcPr>
            <w:tcW w:w="1170" w:type="dxa"/>
            <w:tcBorders>
              <w:top w:val="single" w:sz="2" w:space="0" w:color="auto"/>
              <w:left w:val="single" w:sz="2" w:space="0" w:color="auto"/>
              <w:bottom w:val="single" w:sz="2" w:space="0" w:color="auto"/>
              <w:right w:val="single" w:sz="12" w:space="0" w:color="auto"/>
            </w:tcBorders>
            <w:vAlign w:val="center"/>
          </w:tcPr>
          <w:p w14:paraId="35ED3BD8" w14:textId="77777777" w:rsidR="001F4410" w:rsidRPr="003344BF" w:rsidRDefault="001F4410" w:rsidP="001F4410">
            <w:pPr>
              <w:pStyle w:val="TblTxtCenter"/>
            </w:pPr>
            <w:r w:rsidRPr="00BF5F51">
              <w:t>31,377</w:t>
            </w:r>
          </w:p>
        </w:tc>
        <w:tc>
          <w:tcPr>
            <w:tcW w:w="1350" w:type="dxa"/>
            <w:tcBorders>
              <w:top w:val="single" w:sz="2" w:space="0" w:color="auto"/>
              <w:left w:val="single" w:sz="12" w:space="0" w:color="auto"/>
              <w:bottom w:val="single" w:sz="2" w:space="0" w:color="auto"/>
              <w:right w:val="single" w:sz="2" w:space="0" w:color="auto"/>
            </w:tcBorders>
            <w:vAlign w:val="center"/>
          </w:tcPr>
          <w:p w14:paraId="691DA522" w14:textId="77777777" w:rsidR="001F4410" w:rsidRPr="003344BF" w:rsidRDefault="001F4410" w:rsidP="001F4410">
            <w:pPr>
              <w:pStyle w:val="TblTxtCenter"/>
            </w:pPr>
            <w:r w:rsidRPr="00BF5F51">
              <w:t>19,634</w:t>
            </w:r>
          </w:p>
        </w:tc>
        <w:tc>
          <w:tcPr>
            <w:tcW w:w="1170" w:type="dxa"/>
            <w:tcBorders>
              <w:top w:val="single" w:sz="2" w:space="0" w:color="auto"/>
              <w:left w:val="single" w:sz="2" w:space="0" w:color="auto"/>
              <w:bottom w:val="single" w:sz="2" w:space="0" w:color="auto"/>
              <w:right w:val="single" w:sz="12" w:space="0" w:color="auto"/>
            </w:tcBorders>
            <w:vAlign w:val="center"/>
          </w:tcPr>
          <w:p w14:paraId="3154F71F" w14:textId="77777777" w:rsidR="001F4410" w:rsidRPr="003344BF" w:rsidRDefault="001F4410" w:rsidP="001F4410">
            <w:pPr>
              <w:pStyle w:val="TblTxtCenter"/>
            </w:pPr>
            <w:r w:rsidRPr="00BF5F51">
              <w:t>771</w:t>
            </w:r>
          </w:p>
        </w:tc>
        <w:tc>
          <w:tcPr>
            <w:tcW w:w="1170" w:type="dxa"/>
            <w:tcBorders>
              <w:top w:val="single" w:sz="2" w:space="0" w:color="auto"/>
              <w:left w:val="single" w:sz="12" w:space="0" w:color="auto"/>
              <w:bottom w:val="single" w:sz="2" w:space="0" w:color="auto"/>
              <w:right w:val="nil"/>
            </w:tcBorders>
            <w:vAlign w:val="center"/>
          </w:tcPr>
          <w:p w14:paraId="23993E13" w14:textId="77777777" w:rsidR="001F4410" w:rsidRPr="003344BF" w:rsidRDefault="001F4410" w:rsidP="001F4410">
            <w:pPr>
              <w:pStyle w:val="TblTxtCenter"/>
            </w:pPr>
            <w:r w:rsidRPr="00BF5F51">
              <w:t>12,606</w:t>
            </w:r>
          </w:p>
        </w:tc>
        <w:tc>
          <w:tcPr>
            <w:tcW w:w="1170" w:type="dxa"/>
            <w:tcBorders>
              <w:top w:val="single" w:sz="2" w:space="0" w:color="auto"/>
              <w:left w:val="single" w:sz="2" w:space="0" w:color="auto"/>
              <w:bottom w:val="single" w:sz="2" w:space="0" w:color="auto"/>
              <w:right w:val="nil"/>
            </w:tcBorders>
            <w:vAlign w:val="center"/>
          </w:tcPr>
          <w:p w14:paraId="48EF2243" w14:textId="77777777" w:rsidR="001F4410" w:rsidRPr="003344BF" w:rsidRDefault="001F4410" w:rsidP="001F4410">
            <w:pPr>
              <w:pStyle w:val="TblTxtCenter"/>
            </w:pPr>
            <w:r w:rsidRPr="00BF5F51">
              <w:t>4,112</w:t>
            </w:r>
          </w:p>
        </w:tc>
      </w:tr>
      <w:tr w:rsidR="001522EE" w:rsidRPr="00CD5861" w14:paraId="25A1627A" w14:textId="77777777" w:rsidTr="00816F17">
        <w:trPr>
          <w:trHeight w:val="152"/>
        </w:trPr>
        <w:tc>
          <w:tcPr>
            <w:tcW w:w="2070" w:type="dxa"/>
            <w:tcBorders>
              <w:top w:val="single" w:sz="2" w:space="0" w:color="auto"/>
              <w:left w:val="nil"/>
              <w:bottom w:val="single" w:sz="2" w:space="0" w:color="auto"/>
              <w:right w:val="single" w:sz="12" w:space="0" w:color="auto"/>
            </w:tcBorders>
          </w:tcPr>
          <w:p w14:paraId="07CA48DC" w14:textId="77777777" w:rsidR="001F4410" w:rsidRPr="008173A2" w:rsidRDefault="001F4410" w:rsidP="001F4410">
            <w:pPr>
              <w:spacing w:before="20" w:after="20"/>
              <w:rPr>
                <w:rFonts w:ascii="Arial Narrow" w:hAnsi="Arial Narrow"/>
                <w:kern w:val="20"/>
                <w:sz w:val="18"/>
                <w:szCs w:val="20"/>
                <w:vertAlign w:val="superscript"/>
              </w:rPr>
            </w:pPr>
            <w:r>
              <w:rPr>
                <w:rFonts w:ascii="Arial Narrow" w:hAnsi="Arial Narrow"/>
                <w:kern w:val="20"/>
                <w:sz w:val="18"/>
                <w:szCs w:val="20"/>
              </w:rPr>
              <w:t>Trucks</w:t>
            </w:r>
            <w:r>
              <w:rPr>
                <w:rFonts w:ascii="Arial Narrow" w:hAnsi="Arial Narrow"/>
                <w:kern w:val="20"/>
                <w:sz w:val="18"/>
                <w:szCs w:val="20"/>
                <w:vertAlign w:val="superscript"/>
              </w:rPr>
              <w:t>2</w:t>
            </w:r>
          </w:p>
        </w:tc>
        <w:tc>
          <w:tcPr>
            <w:tcW w:w="1260" w:type="dxa"/>
            <w:tcBorders>
              <w:top w:val="single" w:sz="2" w:space="0" w:color="auto"/>
              <w:left w:val="single" w:sz="12" w:space="0" w:color="auto"/>
              <w:bottom w:val="single" w:sz="2" w:space="0" w:color="auto"/>
              <w:right w:val="single" w:sz="2" w:space="0" w:color="auto"/>
            </w:tcBorders>
            <w:vAlign w:val="center"/>
          </w:tcPr>
          <w:p w14:paraId="7659CA7A" w14:textId="77777777" w:rsidR="001F4410" w:rsidRPr="003344BF" w:rsidRDefault="001F4410" w:rsidP="001F4410">
            <w:pPr>
              <w:pStyle w:val="TblTxtCenter"/>
            </w:pPr>
            <w:r w:rsidRPr="00BF5F51">
              <w:t>0</w:t>
            </w:r>
          </w:p>
        </w:tc>
        <w:tc>
          <w:tcPr>
            <w:tcW w:w="1170" w:type="dxa"/>
            <w:tcBorders>
              <w:top w:val="single" w:sz="2" w:space="0" w:color="auto"/>
              <w:left w:val="single" w:sz="2" w:space="0" w:color="auto"/>
              <w:bottom w:val="single" w:sz="2" w:space="0" w:color="auto"/>
              <w:right w:val="single" w:sz="12" w:space="0" w:color="auto"/>
            </w:tcBorders>
            <w:vAlign w:val="center"/>
          </w:tcPr>
          <w:p w14:paraId="6DB9B11D" w14:textId="77777777" w:rsidR="001F4410" w:rsidRPr="003344BF" w:rsidRDefault="001F4410" w:rsidP="001F4410">
            <w:pPr>
              <w:pStyle w:val="TblTxtCenter"/>
            </w:pPr>
            <w:r w:rsidRPr="00BF5F51">
              <w:t>0</w:t>
            </w:r>
          </w:p>
        </w:tc>
        <w:tc>
          <w:tcPr>
            <w:tcW w:w="1350" w:type="dxa"/>
            <w:tcBorders>
              <w:top w:val="single" w:sz="2" w:space="0" w:color="auto"/>
              <w:left w:val="single" w:sz="12" w:space="0" w:color="auto"/>
              <w:bottom w:val="single" w:sz="2" w:space="0" w:color="auto"/>
              <w:right w:val="single" w:sz="2" w:space="0" w:color="auto"/>
            </w:tcBorders>
            <w:vAlign w:val="center"/>
          </w:tcPr>
          <w:p w14:paraId="07CC9D0D" w14:textId="77777777" w:rsidR="001F4410" w:rsidRPr="003344BF" w:rsidRDefault="001F4410" w:rsidP="001F4410">
            <w:pPr>
              <w:pStyle w:val="TblTxtCenter"/>
            </w:pPr>
            <w:r w:rsidRPr="00BF5F51">
              <w:t>949,175</w:t>
            </w:r>
          </w:p>
        </w:tc>
        <w:tc>
          <w:tcPr>
            <w:tcW w:w="1170" w:type="dxa"/>
            <w:tcBorders>
              <w:top w:val="single" w:sz="2" w:space="0" w:color="auto"/>
              <w:left w:val="single" w:sz="2" w:space="0" w:color="auto"/>
              <w:bottom w:val="single" w:sz="2" w:space="0" w:color="auto"/>
              <w:right w:val="single" w:sz="12" w:space="0" w:color="auto"/>
            </w:tcBorders>
            <w:vAlign w:val="center"/>
          </w:tcPr>
          <w:p w14:paraId="4FB1A468" w14:textId="77777777" w:rsidR="001F4410" w:rsidRPr="003344BF" w:rsidRDefault="001F4410" w:rsidP="001F4410">
            <w:pPr>
              <w:pStyle w:val="TblTxtCenter"/>
            </w:pPr>
            <w:r w:rsidRPr="00BF5F51">
              <w:t>120,819</w:t>
            </w:r>
          </w:p>
        </w:tc>
        <w:tc>
          <w:tcPr>
            <w:tcW w:w="1170" w:type="dxa"/>
            <w:tcBorders>
              <w:top w:val="single" w:sz="2" w:space="0" w:color="auto"/>
              <w:left w:val="single" w:sz="12" w:space="0" w:color="auto"/>
              <w:bottom w:val="single" w:sz="2" w:space="0" w:color="auto"/>
              <w:right w:val="nil"/>
            </w:tcBorders>
            <w:vAlign w:val="center"/>
          </w:tcPr>
          <w:p w14:paraId="6CFD1BD2" w14:textId="77777777" w:rsidR="001F4410" w:rsidRPr="003344BF" w:rsidRDefault="001F4410" w:rsidP="001F4410">
            <w:pPr>
              <w:pStyle w:val="TblTxtCenter"/>
            </w:pPr>
            <w:r w:rsidRPr="00BF5F51">
              <w:t>0</w:t>
            </w:r>
          </w:p>
        </w:tc>
        <w:tc>
          <w:tcPr>
            <w:tcW w:w="1170" w:type="dxa"/>
            <w:tcBorders>
              <w:top w:val="single" w:sz="2" w:space="0" w:color="auto"/>
              <w:left w:val="single" w:sz="2" w:space="0" w:color="auto"/>
              <w:bottom w:val="single" w:sz="2" w:space="0" w:color="auto"/>
              <w:right w:val="nil"/>
            </w:tcBorders>
            <w:vAlign w:val="center"/>
          </w:tcPr>
          <w:p w14:paraId="452132A9" w14:textId="77777777" w:rsidR="001F4410" w:rsidRPr="003344BF" w:rsidRDefault="001F4410" w:rsidP="001F4410">
            <w:pPr>
              <w:pStyle w:val="TblTxtCenter"/>
            </w:pPr>
            <w:r w:rsidRPr="00BF5F51">
              <w:t>0</w:t>
            </w:r>
          </w:p>
        </w:tc>
      </w:tr>
      <w:tr w:rsidR="001522EE" w:rsidRPr="00CD5861" w14:paraId="1867E6D6" w14:textId="77777777" w:rsidTr="001A33F5">
        <w:trPr>
          <w:trHeight w:val="152"/>
        </w:trPr>
        <w:tc>
          <w:tcPr>
            <w:tcW w:w="2070" w:type="dxa"/>
            <w:tcBorders>
              <w:top w:val="single" w:sz="2" w:space="0" w:color="auto"/>
              <w:left w:val="nil"/>
              <w:bottom w:val="single" w:sz="12" w:space="0" w:color="auto"/>
              <w:right w:val="single" w:sz="12" w:space="0" w:color="auto"/>
            </w:tcBorders>
          </w:tcPr>
          <w:p w14:paraId="3B4B9712" w14:textId="77777777" w:rsidR="001F4410" w:rsidRPr="006E7949" w:rsidRDefault="001F4410" w:rsidP="001F4410">
            <w:pPr>
              <w:spacing w:before="20" w:after="20"/>
              <w:rPr>
                <w:rFonts w:ascii="Arial Narrow" w:hAnsi="Arial Narrow"/>
                <w:kern w:val="20"/>
                <w:sz w:val="18"/>
                <w:szCs w:val="20"/>
                <w:vertAlign w:val="superscript"/>
              </w:rPr>
            </w:pPr>
            <w:r>
              <w:rPr>
                <w:rFonts w:ascii="Arial Narrow" w:hAnsi="Arial Narrow"/>
                <w:kern w:val="20"/>
                <w:sz w:val="18"/>
                <w:szCs w:val="20"/>
              </w:rPr>
              <w:t>Off-Road Equipment</w:t>
            </w:r>
            <w:r>
              <w:rPr>
                <w:rFonts w:ascii="Arial Narrow" w:hAnsi="Arial Narrow"/>
                <w:kern w:val="20"/>
                <w:sz w:val="18"/>
                <w:szCs w:val="20"/>
                <w:vertAlign w:val="superscript"/>
              </w:rPr>
              <w:t>3,4,5</w:t>
            </w:r>
          </w:p>
        </w:tc>
        <w:tc>
          <w:tcPr>
            <w:tcW w:w="1260" w:type="dxa"/>
            <w:tcBorders>
              <w:top w:val="single" w:sz="2" w:space="0" w:color="auto"/>
              <w:left w:val="single" w:sz="12" w:space="0" w:color="auto"/>
              <w:bottom w:val="single" w:sz="12" w:space="0" w:color="auto"/>
              <w:right w:val="single" w:sz="2" w:space="0" w:color="auto"/>
            </w:tcBorders>
            <w:vAlign w:val="center"/>
          </w:tcPr>
          <w:p w14:paraId="5DEF6295" w14:textId="77777777" w:rsidR="001F4410" w:rsidRPr="00BF5F51" w:rsidRDefault="001F4410" w:rsidP="001F4410">
            <w:pPr>
              <w:pStyle w:val="TblTxtCenter"/>
            </w:pPr>
            <w:r>
              <w:t>0</w:t>
            </w:r>
          </w:p>
        </w:tc>
        <w:tc>
          <w:tcPr>
            <w:tcW w:w="1170" w:type="dxa"/>
            <w:tcBorders>
              <w:top w:val="single" w:sz="2" w:space="0" w:color="auto"/>
              <w:left w:val="single" w:sz="2" w:space="0" w:color="auto"/>
              <w:bottom w:val="single" w:sz="12" w:space="0" w:color="auto"/>
              <w:right w:val="single" w:sz="12" w:space="0" w:color="auto"/>
            </w:tcBorders>
            <w:vAlign w:val="center"/>
          </w:tcPr>
          <w:p w14:paraId="43A5CE30" w14:textId="77777777" w:rsidR="001F4410" w:rsidRPr="00BF5F51" w:rsidRDefault="001F4410" w:rsidP="001F4410">
            <w:pPr>
              <w:pStyle w:val="TblTxtCenter"/>
            </w:pPr>
            <w:r>
              <w:t>0</w:t>
            </w:r>
          </w:p>
        </w:tc>
        <w:tc>
          <w:tcPr>
            <w:tcW w:w="1350" w:type="dxa"/>
            <w:tcBorders>
              <w:top w:val="single" w:sz="2" w:space="0" w:color="auto"/>
              <w:left w:val="single" w:sz="12" w:space="0" w:color="auto"/>
              <w:bottom w:val="single" w:sz="12" w:space="0" w:color="auto"/>
              <w:right w:val="single" w:sz="2" w:space="0" w:color="auto"/>
            </w:tcBorders>
            <w:vAlign w:val="center"/>
          </w:tcPr>
          <w:p w14:paraId="4AE3DC08" w14:textId="77777777" w:rsidR="001F4410" w:rsidRPr="00BF5F51" w:rsidRDefault="001F4410" w:rsidP="001F4410">
            <w:pPr>
              <w:pStyle w:val="TblTxtCenter"/>
            </w:pPr>
            <w:r>
              <w:t>N/A</w:t>
            </w:r>
          </w:p>
        </w:tc>
        <w:tc>
          <w:tcPr>
            <w:tcW w:w="1170" w:type="dxa"/>
            <w:tcBorders>
              <w:top w:val="single" w:sz="2" w:space="0" w:color="auto"/>
              <w:left w:val="single" w:sz="2" w:space="0" w:color="auto"/>
              <w:bottom w:val="single" w:sz="12" w:space="0" w:color="auto"/>
              <w:right w:val="single" w:sz="12" w:space="0" w:color="auto"/>
            </w:tcBorders>
            <w:vAlign w:val="center"/>
          </w:tcPr>
          <w:p w14:paraId="227CFB85" w14:textId="77777777" w:rsidR="001F4410" w:rsidRPr="00BF5F51" w:rsidRDefault="001F4410" w:rsidP="001F4410">
            <w:pPr>
              <w:pStyle w:val="TblTxtCenter"/>
            </w:pPr>
            <w:r>
              <w:t>99,173</w:t>
            </w:r>
          </w:p>
        </w:tc>
        <w:tc>
          <w:tcPr>
            <w:tcW w:w="1170" w:type="dxa"/>
            <w:tcBorders>
              <w:top w:val="single" w:sz="2" w:space="0" w:color="auto"/>
              <w:left w:val="single" w:sz="12" w:space="0" w:color="auto"/>
              <w:bottom w:val="single" w:sz="12" w:space="0" w:color="auto"/>
              <w:right w:val="nil"/>
            </w:tcBorders>
            <w:vAlign w:val="center"/>
          </w:tcPr>
          <w:p w14:paraId="2FC9E446" w14:textId="77777777" w:rsidR="001F4410" w:rsidRPr="00BF5F51" w:rsidRDefault="001F4410" w:rsidP="001F4410">
            <w:pPr>
              <w:pStyle w:val="TblTxtCenter"/>
            </w:pPr>
            <w:r>
              <w:t>N/A</w:t>
            </w:r>
          </w:p>
        </w:tc>
        <w:tc>
          <w:tcPr>
            <w:tcW w:w="1170" w:type="dxa"/>
            <w:tcBorders>
              <w:top w:val="single" w:sz="2" w:space="0" w:color="auto"/>
              <w:left w:val="single" w:sz="2" w:space="0" w:color="auto"/>
              <w:bottom w:val="single" w:sz="12" w:space="0" w:color="auto"/>
              <w:right w:val="nil"/>
            </w:tcBorders>
            <w:vAlign w:val="center"/>
          </w:tcPr>
          <w:p w14:paraId="6F472BCA" w14:textId="77777777" w:rsidR="001F4410" w:rsidRPr="00BF5F51" w:rsidRDefault="001F4410" w:rsidP="001F4410">
            <w:pPr>
              <w:pStyle w:val="TblTxtCenter"/>
            </w:pPr>
            <w:r>
              <w:t>334,705</w:t>
            </w:r>
          </w:p>
        </w:tc>
      </w:tr>
      <w:tr w:rsidR="001522EE" w:rsidRPr="00CD5861" w14:paraId="3858B1B2" w14:textId="77777777" w:rsidTr="001A33F5">
        <w:trPr>
          <w:trHeight w:val="152"/>
        </w:trPr>
        <w:tc>
          <w:tcPr>
            <w:tcW w:w="2070" w:type="dxa"/>
            <w:tcBorders>
              <w:top w:val="single" w:sz="12" w:space="0" w:color="auto"/>
              <w:left w:val="nil"/>
              <w:bottom w:val="single" w:sz="12" w:space="0" w:color="auto"/>
              <w:right w:val="single" w:sz="12" w:space="0" w:color="auto"/>
            </w:tcBorders>
          </w:tcPr>
          <w:p w14:paraId="650F5C5B" w14:textId="77777777" w:rsidR="001F4410" w:rsidRPr="009B0045" w:rsidRDefault="001F4410" w:rsidP="001F4410">
            <w:pPr>
              <w:spacing w:before="20" w:after="20"/>
              <w:jc w:val="right"/>
              <w:rPr>
                <w:rFonts w:ascii="Arial Narrow" w:hAnsi="Arial Narrow"/>
                <w:b/>
                <w:bCs/>
                <w:kern w:val="20"/>
                <w:sz w:val="18"/>
                <w:szCs w:val="20"/>
              </w:rPr>
            </w:pPr>
            <w:r w:rsidRPr="009B0045">
              <w:rPr>
                <w:rFonts w:ascii="Arial Narrow" w:hAnsi="Arial Narrow"/>
                <w:b/>
                <w:bCs/>
                <w:kern w:val="20"/>
                <w:sz w:val="18"/>
                <w:szCs w:val="20"/>
              </w:rPr>
              <w:t>Total</w:t>
            </w:r>
          </w:p>
        </w:tc>
        <w:tc>
          <w:tcPr>
            <w:tcW w:w="1260" w:type="dxa"/>
            <w:tcBorders>
              <w:top w:val="single" w:sz="12" w:space="0" w:color="auto"/>
              <w:left w:val="single" w:sz="12" w:space="0" w:color="auto"/>
              <w:bottom w:val="single" w:sz="12" w:space="0" w:color="auto"/>
              <w:right w:val="single" w:sz="2" w:space="0" w:color="auto"/>
            </w:tcBorders>
            <w:vAlign w:val="center"/>
          </w:tcPr>
          <w:p w14:paraId="19570D3E" w14:textId="77777777" w:rsidR="001F4410" w:rsidRPr="00F929D7" w:rsidRDefault="001F4410" w:rsidP="001F4410">
            <w:pPr>
              <w:pStyle w:val="TblTxtCenter"/>
              <w:rPr>
                <w:b/>
                <w:bCs/>
              </w:rPr>
            </w:pPr>
            <w:r w:rsidRPr="00F929D7">
              <w:rPr>
                <w:b/>
                <w:bCs/>
              </w:rPr>
              <w:t>821,437</w:t>
            </w:r>
          </w:p>
        </w:tc>
        <w:tc>
          <w:tcPr>
            <w:tcW w:w="1170" w:type="dxa"/>
            <w:tcBorders>
              <w:top w:val="single" w:sz="12" w:space="0" w:color="auto"/>
              <w:left w:val="single" w:sz="2" w:space="0" w:color="auto"/>
              <w:bottom w:val="single" w:sz="12" w:space="0" w:color="auto"/>
              <w:right w:val="single" w:sz="12" w:space="0" w:color="auto"/>
            </w:tcBorders>
            <w:vAlign w:val="center"/>
          </w:tcPr>
          <w:p w14:paraId="3BA3B281" w14:textId="77777777" w:rsidR="001F4410" w:rsidRPr="00F929D7" w:rsidRDefault="001F4410" w:rsidP="001F4410">
            <w:pPr>
              <w:pStyle w:val="TblTxtCenter"/>
              <w:rPr>
                <w:b/>
                <w:bCs/>
              </w:rPr>
            </w:pPr>
            <w:r w:rsidRPr="00F929D7">
              <w:rPr>
                <w:b/>
                <w:bCs/>
              </w:rPr>
              <w:t>31,377</w:t>
            </w:r>
          </w:p>
        </w:tc>
        <w:tc>
          <w:tcPr>
            <w:tcW w:w="1350" w:type="dxa"/>
            <w:tcBorders>
              <w:top w:val="single" w:sz="12" w:space="0" w:color="auto"/>
              <w:left w:val="single" w:sz="12" w:space="0" w:color="auto"/>
              <w:bottom w:val="single" w:sz="12" w:space="0" w:color="auto"/>
              <w:right w:val="single" w:sz="2" w:space="0" w:color="auto"/>
            </w:tcBorders>
            <w:vAlign w:val="center"/>
          </w:tcPr>
          <w:p w14:paraId="1203D46F" w14:textId="77777777" w:rsidR="001F4410" w:rsidRPr="00F929D7" w:rsidRDefault="001F4410" w:rsidP="001F4410">
            <w:pPr>
              <w:pStyle w:val="TblTxtCenter"/>
              <w:rPr>
                <w:b/>
                <w:bCs/>
              </w:rPr>
            </w:pPr>
            <w:r w:rsidRPr="00F929D7">
              <w:rPr>
                <w:b/>
                <w:bCs/>
              </w:rPr>
              <w:t>968,809</w:t>
            </w:r>
          </w:p>
        </w:tc>
        <w:tc>
          <w:tcPr>
            <w:tcW w:w="1170" w:type="dxa"/>
            <w:tcBorders>
              <w:top w:val="single" w:sz="12" w:space="0" w:color="auto"/>
              <w:left w:val="single" w:sz="2" w:space="0" w:color="auto"/>
              <w:bottom w:val="single" w:sz="12" w:space="0" w:color="auto"/>
              <w:right w:val="single" w:sz="12" w:space="0" w:color="auto"/>
            </w:tcBorders>
            <w:vAlign w:val="center"/>
          </w:tcPr>
          <w:p w14:paraId="37F96A6F" w14:textId="77777777" w:rsidR="001F4410" w:rsidRPr="00F929D7" w:rsidRDefault="001F4410" w:rsidP="001F4410">
            <w:pPr>
              <w:pStyle w:val="TblTxtCenter"/>
              <w:rPr>
                <w:b/>
                <w:bCs/>
              </w:rPr>
            </w:pPr>
            <w:r>
              <w:rPr>
                <w:b/>
                <w:bCs/>
              </w:rPr>
              <w:t>220,763</w:t>
            </w:r>
          </w:p>
        </w:tc>
        <w:tc>
          <w:tcPr>
            <w:tcW w:w="1170" w:type="dxa"/>
            <w:tcBorders>
              <w:top w:val="single" w:sz="12" w:space="0" w:color="auto"/>
              <w:left w:val="single" w:sz="12" w:space="0" w:color="auto"/>
              <w:bottom w:val="single" w:sz="12" w:space="0" w:color="auto"/>
              <w:right w:val="nil"/>
            </w:tcBorders>
            <w:vAlign w:val="center"/>
          </w:tcPr>
          <w:p w14:paraId="7675026E" w14:textId="77777777" w:rsidR="001F4410" w:rsidRPr="00F929D7" w:rsidRDefault="001F4410" w:rsidP="001F4410">
            <w:pPr>
              <w:pStyle w:val="TblTxtCenter"/>
              <w:rPr>
                <w:b/>
                <w:bCs/>
              </w:rPr>
            </w:pPr>
            <w:r w:rsidRPr="00F929D7">
              <w:rPr>
                <w:b/>
                <w:bCs/>
              </w:rPr>
              <w:t>12,606</w:t>
            </w:r>
          </w:p>
        </w:tc>
        <w:tc>
          <w:tcPr>
            <w:tcW w:w="1170" w:type="dxa"/>
            <w:tcBorders>
              <w:top w:val="single" w:sz="12" w:space="0" w:color="auto"/>
              <w:left w:val="single" w:sz="2" w:space="0" w:color="auto"/>
              <w:bottom w:val="single" w:sz="12" w:space="0" w:color="auto"/>
              <w:right w:val="nil"/>
            </w:tcBorders>
            <w:vAlign w:val="center"/>
          </w:tcPr>
          <w:p w14:paraId="01EB3B90" w14:textId="77777777" w:rsidR="001F4410" w:rsidRPr="00F929D7" w:rsidRDefault="001F4410" w:rsidP="001F4410">
            <w:pPr>
              <w:pStyle w:val="TblTxtCenter"/>
              <w:rPr>
                <w:b/>
                <w:bCs/>
              </w:rPr>
            </w:pPr>
            <w:r>
              <w:rPr>
                <w:b/>
                <w:bCs/>
              </w:rPr>
              <w:t>338,817</w:t>
            </w:r>
          </w:p>
        </w:tc>
      </w:tr>
      <w:tr w:rsidR="001522EE" w:rsidRPr="00CD5861" w14:paraId="19F36B03" w14:textId="77777777" w:rsidTr="00816F17">
        <w:trPr>
          <w:trHeight w:val="152"/>
        </w:trPr>
        <w:tc>
          <w:tcPr>
            <w:tcW w:w="2070" w:type="dxa"/>
            <w:tcBorders>
              <w:top w:val="single" w:sz="12" w:space="0" w:color="auto"/>
              <w:left w:val="nil"/>
              <w:bottom w:val="single" w:sz="2" w:space="0" w:color="auto"/>
              <w:right w:val="nil"/>
            </w:tcBorders>
            <w:shd w:val="clear" w:color="auto" w:fill="D9D9D9" w:themeFill="background1" w:themeFillShade="D9"/>
          </w:tcPr>
          <w:p w14:paraId="3DA5BDDA" w14:textId="77777777" w:rsidR="001F4410" w:rsidRPr="0054037D" w:rsidRDefault="001F4410" w:rsidP="001F4410">
            <w:pPr>
              <w:spacing w:before="20" w:after="20"/>
              <w:rPr>
                <w:rFonts w:ascii="Arial Narrow" w:hAnsi="Arial Narrow"/>
                <w:b/>
                <w:bCs/>
                <w:kern w:val="20"/>
                <w:sz w:val="18"/>
                <w:szCs w:val="20"/>
              </w:rPr>
            </w:pPr>
            <w:r w:rsidRPr="0054037D">
              <w:rPr>
                <w:rFonts w:ascii="Arial Narrow" w:hAnsi="Arial Narrow"/>
                <w:b/>
                <w:bCs/>
                <w:kern w:val="20"/>
                <w:sz w:val="18"/>
                <w:szCs w:val="20"/>
              </w:rPr>
              <w:t>Net Change</w:t>
            </w:r>
          </w:p>
        </w:tc>
        <w:tc>
          <w:tcPr>
            <w:tcW w:w="1260" w:type="dxa"/>
            <w:tcBorders>
              <w:top w:val="single" w:sz="12" w:space="0" w:color="auto"/>
              <w:left w:val="nil"/>
              <w:bottom w:val="single" w:sz="2" w:space="0" w:color="auto"/>
              <w:right w:val="nil"/>
            </w:tcBorders>
            <w:shd w:val="clear" w:color="auto" w:fill="D9D9D9" w:themeFill="background1" w:themeFillShade="D9"/>
            <w:vAlign w:val="center"/>
          </w:tcPr>
          <w:p w14:paraId="1A7129EA" w14:textId="77777777" w:rsidR="001F4410" w:rsidRPr="003344BF" w:rsidRDefault="001F4410" w:rsidP="001F4410">
            <w:pPr>
              <w:pStyle w:val="TblTxtCenter"/>
            </w:pPr>
          </w:p>
        </w:tc>
        <w:tc>
          <w:tcPr>
            <w:tcW w:w="1170" w:type="dxa"/>
            <w:tcBorders>
              <w:top w:val="single" w:sz="12" w:space="0" w:color="auto"/>
              <w:left w:val="nil"/>
              <w:bottom w:val="single" w:sz="2" w:space="0" w:color="auto"/>
              <w:right w:val="nil"/>
            </w:tcBorders>
            <w:shd w:val="clear" w:color="auto" w:fill="D9D9D9" w:themeFill="background1" w:themeFillShade="D9"/>
            <w:vAlign w:val="center"/>
          </w:tcPr>
          <w:p w14:paraId="0261C80F" w14:textId="77777777" w:rsidR="001F4410" w:rsidRPr="003344BF" w:rsidRDefault="001F4410" w:rsidP="001F4410">
            <w:pPr>
              <w:pStyle w:val="TblTxtCenter"/>
            </w:pPr>
          </w:p>
        </w:tc>
        <w:tc>
          <w:tcPr>
            <w:tcW w:w="1350" w:type="dxa"/>
            <w:tcBorders>
              <w:top w:val="single" w:sz="12" w:space="0" w:color="auto"/>
              <w:left w:val="nil"/>
              <w:bottom w:val="single" w:sz="2" w:space="0" w:color="auto"/>
              <w:right w:val="nil"/>
            </w:tcBorders>
            <w:shd w:val="clear" w:color="auto" w:fill="D9D9D9" w:themeFill="background1" w:themeFillShade="D9"/>
            <w:vAlign w:val="center"/>
          </w:tcPr>
          <w:p w14:paraId="7C4496F3" w14:textId="77777777" w:rsidR="001F4410" w:rsidRPr="003344BF" w:rsidRDefault="001F4410" w:rsidP="001F4410">
            <w:pPr>
              <w:pStyle w:val="TblTxtCenter"/>
            </w:pPr>
          </w:p>
        </w:tc>
        <w:tc>
          <w:tcPr>
            <w:tcW w:w="1170" w:type="dxa"/>
            <w:tcBorders>
              <w:top w:val="single" w:sz="12" w:space="0" w:color="auto"/>
              <w:left w:val="nil"/>
              <w:bottom w:val="single" w:sz="2" w:space="0" w:color="auto"/>
              <w:right w:val="nil"/>
            </w:tcBorders>
            <w:shd w:val="clear" w:color="auto" w:fill="D9D9D9" w:themeFill="background1" w:themeFillShade="D9"/>
            <w:vAlign w:val="center"/>
          </w:tcPr>
          <w:p w14:paraId="6E5FEEA0" w14:textId="77777777" w:rsidR="001F4410" w:rsidRPr="003344BF" w:rsidRDefault="001F4410" w:rsidP="001F4410">
            <w:pPr>
              <w:pStyle w:val="TblTxtCenter"/>
            </w:pPr>
          </w:p>
        </w:tc>
        <w:tc>
          <w:tcPr>
            <w:tcW w:w="1170" w:type="dxa"/>
            <w:tcBorders>
              <w:top w:val="single" w:sz="12" w:space="0" w:color="auto"/>
              <w:left w:val="nil"/>
              <w:bottom w:val="single" w:sz="2" w:space="0" w:color="auto"/>
              <w:right w:val="nil"/>
            </w:tcBorders>
            <w:shd w:val="clear" w:color="auto" w:fill="D9D9D9" w:themeFill="background1" w:themeFillShade="D9"/>
            <w:vAlign w:val="center"/>
          </w:tcPr>
          <w:p w14:paraId="715254C0" w14:textId="77777777" w:rsidR="001F4410" w:rsidRPr="003344BF" w:rsidRDefault="001F4410" w:rsidP="001F4410">
            <w:pPr>
              <w:pStyle w:val="TblTxtCenter"/>
            </w:pPr>
          </w:p>
        </w:tc>
        <w:tc>
          <w:tcPr>
            <w:tcW w:w="1170" w:type="dxa"/>
            <w:tcBorders>
              <w:top w:val="single" w:sz="12" w:space="0" w:color="auto"/>
              <w:left w:val="nil"/>
              <w:bottom w:val="single" w:sz="2" w:space="0" w:color="auto"/>
              <w:right w:val="nil"/>
            </w:tcBorders>
            <w:shd w:val="clear" w:color="auto" w:fill="D9D9D9" w:themeFill="background1" w:themeFillShade="D9"/>
            <w:vAlign w:val="center"/>
          </w:tcPr>
          <w:p w14:paraId="7E8A47DA" w14:textId="77777777" w:rsidR="001F4410" w:rsidRPr="003344BF" w:rsidRDefault="001F4410" w:rsidP="001F4410">
            <w:pPr>
              <w:pStyle w:val="TblTxtCenter"/>
            </w:pPr>
          </w:p>
        </w:tc>
      </w:tr>
      <w:tr w:rsidR="001522EE" w:rsidRPr="00CD5861" w14:paraId="036B863B" w14:textId="77777777" w:rsidTr="00816F17">
        <w:trPr>
          <w:trHeight w:val="152"/>
        </w:trPr>
        <w:tc>
          <w:tcPr>
            <w:tcW w:w="2070" w:type="dxa"/>
            <w:tcBorders>
              <w:top w:val="single" w:sz="2" w:space="0" w:color="auto"/>
              <w:left w:val="nil"/>
              <w:bottom w:val="single" w:sz="2" w:space="0" w:color="auto"/>
              <w:right w:val="single" w:sz="12" w:space="0" w:color="auto"/>
            </w:tcBorders>
          </w:tcPr>
          <w:p w14:paraId="2A5D0C76" w14:textId="77777777" w:rsidR="001F4410" w:rsidRDefault="00C76FC8" w:rsidP="001F4410">
            <w:pPr>
              <w:spacing w:before="20" w:after="20"/>
              <w:rPr>
                <w:rFonts w:ascii="Arial Narrow" w:hAnsi="Arial Narrow"/>
                <w:kern w:val="20"/>
                <w:sz w:val="18"/>
                <w:szCs w:val="20"/>
              </w:rPr>
            </w:pPr>
            <w:r>
              <w:rPr>
                <w:rFonts w:ascii="Arial Narrow" w:hAnsi="Arial Narrow"/>
                <w:kern w:val="20"/>
                <w:sz w:val="18"/>
                <w:szCs w:val="20"/>
              </w:rPr>
              <w:t xml:space="preserve">Former </w:t>
            </w:r>
            <w:r w:rsidR="00421E2C" w:rsidRPr="00421E2C">
              <w:rPr>
                <w:rFonts w:ascii="Arial Narrow" w:hAnsi="Arial Narrow"/>
                <w:kern w:val="20"/>
                <w:sz w:val="18"/>
                <w:szCs w:val="20"/>
              </w:rPr>
              <w:t>Pepsi Bottling Factory</w:t>
            </w:r>
          </w:p>
        </w:tc>
        <w:tc>
          <w:tcPr>
            <w:tcW w:w="1260" w:type="dxa"/>
            <w:tcBorders>
              <w:top w:val="single" w:sz="2" w:space="0" w:color="auto"/>
              <w:left w:val="single" w:sz="12" w:space="0" w:color="auto"/>
              <w:bottom w:val="single" w:sz="2" w:space="0" w:color="auto"/>
              <w:right w:val="single" w:sz="2" w:space="0" w:color="auto"/>
            </w:tcBorders>
            <w:vAlign w:val="center"/>
          </w:tcPr>
          <w:p w14:paraId="4EB3D173" w14:textId="77777777" w:rsidR="001F4410" w:rsidRPr="003344BF" w:rsidRDefault="001F4410" w:rsidP="001F4410">
            <w:pPr>
              <w:pStyle w:val="TblTxtCenter"/>
            </w:pPr>
            <w:r w:rsidRPr="00757AE5">
              <w:t>363,903</w:t>
            </w:r>
          </w:p>
        </w:tc>
        <w:tc>
          <w:tcPr>
            <w:tcW w:w="1170" w:type="dxa"/>
            <w:tcBorders>
              <w:top w:val="single" w:sz="2" w:space="0" w:color="auto"/>
              <w:left w:val="single" w:sz="2" w:space="0" w:color="auto"/>
              <w:bottom w:val="single" w:sz="2" w:space="0" w:color="auto"/>
              <w:right w:val="single" w:sz="12" w:space="0" w:color="auto"/>
            </w:tcBorders>
            <w:vAlign w:val="center"/>
          </w:tcPr>
          <w:p w14:paraId="637706A9" w14:textId="77777777" w:rsidR="001F4410" w:rsidRPr="003344BF" w:rsidRDefault="001F4410" w:rsidP="001F4410">
            <w:pPr>
              <w:pStyle w:val="TblTxtCenter"/>
            </w:pPr>
            <w:r w:rsidRPr="00757AE5">
              <w:t>13,900</w:t>
            </w:r>
          </w:p>
        </w:tc>
        <w:tc>
          <w:tcPr>
            <w:tcW w:w="1350" w:type="dxa"/>
            <w:tcBorders>
              <w:top w:val="single" w:sz="2" w:space="0" w:color="auto"/>
              <w:left w:val="single" w:sz="12" w:space="0" w:color="auto"/>
              <w:bottom w:val="single" w:sz="2" w:space="0" w:color="auto"/>
              <w:right w:val="single" w:sz="2" w:space="0" w:color="auto"/>
            </w:tcBorders>
            <w:vAlign w:val="center"/>
          </w:tcPr>
          <w:p w14:paraId="68477216" w14:textId="77777777" w:rsidR="001F4410" w:rsidRPr="003344BF" w:rsidRDefault="001F4410" w:rsidP="001F4410">
            <w:pPr>
              <w:pStyle w:val="TblTxtCenter"/>
            </w:pPr>
            <w:r w:rsidRPr="00757AE5">
              <w:t>329,992</w:t>
            </w:r>
          </w:p>
        </w:tc>
        <w:tc>
          <w:tcPr>
            <w:tcW w:w="1170" w:type="dxa"/>
            <w:tcBorders>
              <w:top w:val="single" w:sz="2" w:space="0" w:color="auto"/>
              <w:left w:val="single" w:sz="2" w:space="0" w:color="auto"/>
              <w:bottom w:val="single" w:sz="2" w:space="0" w:color="auto"/>
              <w:right w:val="single" w:sz="12" w:space="0" w:color="auto"/>
            </w:tcBorders>
            <w:vAlign w:val="center"/>
          </w:tcPr>
          <w:p w14:paraId="17F09707" w14:textId="77777777" w:rsidR="001F4410" w:rsidRPr="003344BF" w:rsidRDefault="001F4410" w:rsidP="001F4410">
            <w:pPr>
              <w:pStyle w:val="TblTxtCenter"/>
            </w:pPr>
            <w:r w:rsidRPr="00757AE5">
              <w:t>39,979</w:t>
            </w:r>
          </w:p>
        </w:tc>
        <w:tc>
          <w:tcPr>
            <w:tcW w:w="1170" w:type="dxa"/>
            <w:tcBorders>
              <w:top w:val="single" w:sz="2" w:space="0" w:color="auto"/>
              <w:left w:val="single" w:sz="12" w:space="0" w:color="auto"/>
              <w:bottom w:val="single" w:sz="2" w:space="0" w:color="auto"/>
              <w:right w:val="nil"/>
            </w:tcBorders>
            <w:vAlign w:val="center"/>
          </w:tcPr>
          <w:p w14:paraId="03DEA3A4" w14:textId="77777777" w:rsidR="001F4410" w:rsidRPr="003344BF" w:rsidRDefault="001F4410" w:rsidP="001F4410">
            <w:pPr>
              <w:pStyle w:val="TblTxtCenter"/>
            </w:pPr>
            <w:r w:rsidRPr="00757AE5">
              <w:t>5,584</w:t>
            </w:r>
          </w:p>
        </w:tc>
        <w:tc>
          <w:tcPr>
            <w:tcW w:w="1170" w:type="dxa"/>
            <w:tcBorders>
              <w:top w:val="single" w:sz="2" w:space="0" w:color="auto"/>
              <w:left w:val="single" w:sz="2" w:space="0" w:color="auto"/>
              <w:bottom w:val="single" w:sz="2" w:space="0" w:color="auto"/>
              <w:right w:val="nil"/>
            </w:tcBorders>
            <w:vAlign w:val="center"/>
          </w:tcPr>
          <w:p w14:paraId="0F38719E" w14:textId="77777777" w:rsidR="001F4410" w:rsidRPr="003344BF" w:rsidRDefault="001F4410" w:rsidP="001F4410">
            <w:pPr>
              <w:pStyle w:val="TblTxtCenter"/>
            </w:pPr>
            <w:r w:rsidRPr="00757AE5">
              <w:t>1,836</w:t>
            </w:r>
          </w:p>
        </w:tc>
      </w:tr>
      <w:tr w:rsidR="001522EE" w:rsidRPr="00CD5861" w14:paraId="7A1F9A97" w14:textId="77777777" w:rsidTr="00816F17">
        <w:trPr>
          <w:trHeight w:val="152"/>
        </w:trPr>
        <w:tc>
          <w:tcPr>
            <w:tcW w:w="2070" w:type="dxa"/>
            <w:tcBorders>
              <w:top w:val="single" w:sz="2" w:space="0" w:color="auto"/>
              <w:left w:val="nil"/>
              <w:bottom w:val="single" w:sz="12" w:space="0" w:color="auto"/>
              <w:right w:val="single" w:sz="12" w:space="0" w:color="auto"/>
            </w:tcBorders>
          </w:tcPr>
          <w:p w14:paraId="4F093204" w14:textId="77777777" w:rsidR="001F4410" w:rsidRDefault="001F4410" w:rsidP="001F4410">
            <w:pPr>
              <w:spacing w:before="20" w:after="20"/>
              <w:rPr>
                <w:rFonts w:ascii="Arial Narrow" w:hAnsi="Arial Narrow"/>
                <w:kern w:val="20"/>
                <w:sz w:val="18"/>
                <w:szCs w:val="20"/>
              </w:rPr>
            </w:pPr>
            <w:r>
              <w:rPr>
                <w:rFonts w:ascii="Arial Narrow" w:hAnsi="Arial Narrow"/>
                <w:kern w:val="20"/>
                <w:sz w:val="18"/>
                <w:szCs w:val="20"/>
              </w:rPr>
              <w:t>Proposed Project</w:t>
            </w:r>
          </w:p>
        </w:tc>
        <w:tc>
          <w:tcPr>
            <w:tcW w:w="1260" w:type="dxa"/>
            <w:tcBorders>
              <w:top w:val="single" w:sz="2" w:space="0" w:color="auto"/>
              <w:left w:val="single" w:sz="12" w:space="0" w:color="auto"/>
              <w:bottom w:val="single" w:sz="12" w:space="0" w:color="auto"/>
              <w:right w:val="single" w:sz="2" w:space="0" w:color="auto"/>
            </w:tcBorders>
            <w:vAlign w:val="center"/>
          </w:tcPr>
          <w:p w14:paraId="2ED0A037" w14:textId="77777777" w:rsidR="001F4410" w:rsidRPr="003344BF" w:rsidRDefault="001F4410" w:rsidP="001F4410">
            <w:pPr>
              <w:pStyle w:val="TblTxtCenter"/>
            </w:pPr>
            <w:r w:rsidRPr="00B11672">
              <w:t>821,437</w:t>
            </w:r>
          </w:p>
        </w:tc>
        <w:tc>
          <w:tcPr>
            <w:tcW w:w="1170" w:type="dxa"/>
            <w:tcBorders>
              <w:top w:val="single" w:sz="2" w:space="0" w:color="auto"/>
              <w:left w:val="single" w:sz="2" w:space="0" w:color="auto"/>
              <w:bottom w:val="single" w:sz="12" w:space="0" w:color="auto"/>
              <w:right w:val="single" w:sz="12" w:space="0" w:color="auto"/>
            </w:tcBorders>
            <w:vAlign w:val="center"/>
          </w:tcPr>
          <w:p w14:paraId="149F32E1" w14:textId="77777777" w:rsidR="001F4410" w:rsidRPr="003344BF" w:rsidRDefault="001F4410" w:rsidP="001F4410">
            <w:pPr>
              <w:pStyle w:val="TblTxtCenter"/>
            </w:pPr>
            <w:r w:rsidRPr="00B11672">
              <w:t>31,377</w:t>
            </w:r>
          </w:p>
        </w:tc>
        <w:tc>
          <w:tcPr>
            <w:tcW w:w="1350" w:type="dxa"/>
            <w:tcBorders>
              <w:top w:val="single" w:sz="2" w:space="0" w:color="auto"/>
              <w:left w:val="single" w:sz="12" w:space="0" w:color="auto"/>
              <w:bottom w:val="single" w:sz="12" w:space="0" w:color="auto"/>
              <w:right w:val="single" w:sz="2" w:space="0" w:color="auto"/>
            </w:tcBorders>
            <w:vAlign w:val="center"/>
          </w:tcPr>
          <w:p w14:paraId="3A6F8D7F" w14:textId="77777777" w:rsidR="001F4410" w:rsidRPr="003344BF" w:rsidRDefault="001F4410" w:rsidP="001F4410">
            <w:pPr>
              <w:pStyle w:val="TblTxtCenter"/>
            </w:pPr>
            <w:r w:rsidRPr="00B11672">
              <w:t>968,809</w:t>
            </w:r>
          </w:p>
        </w:tc>
        <w:tc>
          <w:tcPr>
            <w:tcW w:w="1170" w:type="dxa"/>
            <w:tcBorders>
              <w:top w:val="single" w:sz="2" w:space="0" w:color="auto"/>
              <w:left w:val="single" w:sz="2" w:space="0" w:color="auto"/>
              <w:bottom w:val="single" w:sz="12" w:space="0" w:color="auto"/>
              <w:right w:val="single" w:sz="12" w:space="0" w:color="auto"/>
            </w:tcBorders>
            <w:vAlign w:val="center"/>
          </w:tcPr>
          <w:p w14:paraId="64941DF9" w14:textId="77777777" w:rsidR="001F4410" w:rsidRPr="003344BF" w:rsidRDefault="001F4410" w:rsidP="001F4410">
            <w:pPr>
              <w:pStyle w:val="TblTxtCenter"/>
            </w:pPr>
            <w:r>
              <w:t>220,763</w:t>
            </w:r>
          </w:p>
        </w:tc>
        <w:tc>
          <w:tcPr>
            <w:tcW w:w="1170" w:type="dxa"/>
            <w:tcBorders>
              <w:top w:val="single" w:sz="2" w:space="0" w:color="auto"/>
              <w:left w:val="single" w:sz="12" w:space="0" w:color="auto"/>
              <w:bottom w:val="single" w:sz="12" w:space="0" w:color="auto"/>
              <w:right w:val="nil"/>
            </w:tcBorders>
            <w:vAlign w:val="center"/>
          </w:tcPr>
          <w:p w14:paraId="214EB552" w14:textId="77777777" w:rsidR="001F4410" w:rsidRPr="003344BF" w:rsidRDefault="001F4410" w:rsidP="001F4410">
            <w:pPr>
              <w:pStyle w:val="TblTxtCenter"/>
            </w:pPr>
            <w:r w:rsidRPr="00B11672">
              <w:t>12,606</w:t>
            </w:r>
          </w:p>
        </w:tc>
        <w:tc>
          <w:tcPr>
            <w:tcW w:w="1170" w:type="dxa"/>
            <w:tcBorders>
              <w:top w:val="single" w:sz="2" w:space="0" w:color="auto"/>
              <w:left w:val="single" w:sz="2" w:space="0" w:color="auto"/>
              <w:bottom w:val="single" w:sz="12" w:space="0" w:color="auto"/>
              <w:right w:val="nil"/>
            </w:tcBorders>
            <w:vAlign w:val="center"/>
          </w:tcPr>
          <w:p w14:paraId="638ED8CA" w14:textId="77777777" w:rsidR="001F4410" w:rsidRPr="003344BF" w:rsidRDefault="001F4410" w:rsidP="001F4410">
            <w:pPr>
              <w:pStyle w:val="TblTxtCenter"/>
            </w:pPr>
            <w:r>
              <w:t>338,817</w:t>
            </w:r>
          </w:p>
        </w:tc>
      </w:tr>
      <w:tr w:rsidR="001522EE" w:rsidRPr="00CD5861" w14:paraId="20BB1C55" w14:textId="77777777" w:rsidTr="00816F17">
        <w:trPr>
          <w:trHeight w:val="152"/>
        </w:trPr>
        <w:tc>
          <w:tcPr>
            <w:tcW w:w="2070" w:type="dxa"/>
            <w:tcBorders>
              <w:top w:val="single" w:sz="4" w:space="0" w:color="auto"/>
              <w:left w:val="nil"/>
              <w:bottom w:val="single" w:sz="12" w:space="0" w:color="auto"/>
              <w:right w:val="single" w:sz="12" w:space="0" w:color="auto"/>
            </w:tcBorders>
          </w:tcPr>
          <w:p w14:paraId="297A9190" w14:textId="77777777" w:rsidR="001F4410" w:rsidRPr="00B35A23" w:rsidRDefault="001F4410" w:rsidP="001F4410">
            <w:pPr>
              <w:spacing w:before="20" w:after="20"/>
              <w:jc w:val="right"/>
              <w:rPr>
                <w:rFonts w:ascii="Arial Narrow" w:hAnsi="Arial Narrow"/>
                <w:b/>
                <w:bCs/>
                <w:kern w:val="20"/>
                <w:sz w:val="18"/>
                <w:szCs w:val="20"/>
              </w:rPr>
            </w:pPr>
            <w:r>
              <w:rPr>
                <w:rFonts w:ascii="Arial Narrow" w:hAnsi="Arial Narrow"/>
                <w:b/>
                <w:bCs/>
                <w:kern w:val="20"/>
                <w:sz w:val="18"/>
                <w:szCs w:val="20"/>
              </w:rPr>
              <w:t>Net Change</w:t>
            </w:r>
          </w:p>
        </w:tc>
        <w:tc>
          <w:tcPr>
            <w:tcW w:w="1260" w:type="dxa"/>
            <w:tcBorders>
              <w:top w:val="single" w:sz="4" w:space="0" w:color="auto"/>
              <w:left w:val="single" w:sz="12" w:space="0" w:color="auto"/>
              <w:bottom w:val="single" w:sz="12" w:space="0" w:color="auto"/>
              <w:right w:val="single" w:sz="2" w:space="0" w:color="auto"/>
            </w:tcBorders>
          </w:tcPr>
          <w:p w14:paraId="5E2EFAC8" w14:textId="77777777" w:rsidR="001F4410" w:rsidRPr="009B0045" w:rsidRDefault="001F4410" w:rsidP="001F4410">
            <w:pPr>
              <w:pStyle w:val="TblTxtCenter"/>
              <w:rPr>
                <w:b/>
                <w:bCs/>
              </w:rPr>
            </w:pPr>
            <w:r w:rsidRPr="009B0045">
              <w:rPr>
                <w:b/>
                <w:bCs/>
              </w:rPr>
              <w:t>457,534</w:t>
            </w:r>
          </w:p>
        </w:tc>
        <w:tc>
          <w:tcPr>
            <w:tcW w:w="1170" w:type="dxa"/>
            <w:tcBorders>
              <w:top w:val="single" w:sz="4" w:space="0" w:color="auto"/>
              <w:left w:val="single" w:sz="2" w:space="0" w:color="auto"/>
              <w:bottom w:val="single" w:sz="12" w:space="0" w:color="auto"/>
              <w:right w:val="single" w:sz="12" w:space="0" w:color="auto"/>
            </w:tcBorders>
          </w:tcPr>
          <w:p w14:paraId="4B57B0B5" w14:textId="77777777" w:rsidR="001F4410" w:rsidRPr="009B0045" w:rsidRDefault="001F4410" w:rsidP="001F4410">
            <w:pPr>
              <w:pStyle w:val="TblTxtCenter"/>
              <w:rPr>
                <w:b/>
                <w:bCs/>
              </w:rPr>
            </w:pPr>
            <w:r w:rsidRPr="009B0045">
              <w:rPr>
                <w:b/>
                <w:bCs/>
              </w:rPr>
              <w:t>17,476</w:t>
            </w:r>
          </w:p>
        </w:tc>
        <w:tc>
          <w:tcPr>
            <w:tcW w:w="1350" w:type="dxa"/>
            <w:tcBorders>
              <w:top w:val="single" w:sz="4" w:space="0" w:color="auto"/>
              <w:left w:val="single" w:sz="12" w:space="0" w:color="auto"/>
              <w:bottom w:val="single" w:sz="12" w:space="0" w:color="auto"/>
              <w:right w:val="single" w:sz="2" w:space="0" w:color="auto"/>
            </w:tcBorders>
          </w:tcPr>
          <w:p w14:paraId="7E22F8BA" w14:textId="77777777" w:rsidR="001F4410" w:rsidRPr="009B0045" w:rsidRDefault="001F4410" w:rsidP="001F4410">
            <w:pPr>
              <w:pStyle w:val="TblTxtCenter"/>
              <w:rPr>
                <w:b/>
                <w:bCs/>
              </w:rPr>
            </w:pPr>
            <w:r w:rsidRPr="009B0045">
              <w:rPr>
                <w:b/>
                <w:bCs/>
              </w:rPr>
              <w:t>638,817</w:t>
            </w:r>
          </w:p>
        </w:tc>
        <w:tc>
          <w:tcPr>
            <w:tcW w:w="1170" w:type="dxa"/>
            <w:tcBorders>
              <w:top w:val="single" w:sz="4" w:space="0" w:color="auto"/>
              <w:left w:val="single" w:sz="2" w:space="0" w:color="auto"/>
              <w:bottom w:val="single" w:sz="12" w:space="0" w:color="auto"/>
              <w:right w:val="single" w:sz="12" w:space="0" w:color="auto"/>
            </w:tcBorders>
          </w:tcPr>
          <w:p w14:paraId="1EACE3C5" w14:textId="77777777" w:rsidR="001F4410" w:rsidRPr="009B0045" w:rsidRDefault="001F4410" w:rsidP="001F4410">
            <w:pPr>
              <w:pStyle w:val="TblTxtCenter"/>
              <w:rPr>
                <w:b/>
                <w:bCs/>
              </w:rPr>
            </w:pPr>
            <w:r>
              <w:rPr>
                <w:b/>
                <w:bCs/>
              </w:rPr>
              <w:t>180,785</w:t>
            </w:r>
          </w:p>
        </w:tc>
        <w:tc>
          <w:tcPr>
            <w:tcW w:w="1170" w:type="dxa"/>
            <w:tcBorders>
              <w:top w:val="single" w:sz="4" w:space="0" w:color="auto"/>
              <w:left w:val="single" w:sz="12" w:space="0" w:color="auto"/>
              <w:bottom w:val="single" w:sz="12" w:space="0" w:color="auto"/>
              <w:right w:val="nil"/>
            </w:tcBorders>
          </w:tcPr>
          <w:p w14:paraId="69AABB21" w14:textId="77777777" w:rsidR="001F4410" w:rsidRPr="009B0045" w:rsidRDefault="001F4410" w:rsidP="001F4410">
            <w:pPr>
              <w:pStyle w:val="TblTxtCenter"/>
              <w:rPr>
                <w:b/>
                <w:bCs/>
              </w:rPr>
            </w:pPr>
            <w:r w:rsidRPr="009B0045">
              <w:rPr>
                <w:b/>
                <w:bCs/>
              </w:rPr>
              <w:t>7,021</w:t>
            </w:r>
          </w:p>
        </w:tc>
        <w:tc>
          <w:tcPr>
            <w:tcW w:w="1170" w:type="dxa"/>
            <w:tcBorders>
              <w:top w:val="single" w:sz="4" w:space="0" w:color="auto"/>
              <w:left w:val="single" w:sz="2" w:space="0" w:color="auto"/>
              <w:bottom w:val="single" w:sz="12" w:space="0" w:color="auto"/>
              <w:right w:val="nil"/>
            </w:tcBorders>
          </w:tcPr>
          <w:p w14:paraId="55D9D487" w14:textId="77777777" w:rsidR="001F4410" w:rsidRPr="009B0045" w:rsidRDefault="001F4410" w:rsidP="001F4410">
            <w:pPr>
              <w:pStyle w:val="TblTxtCenter"/>
              <w:rPr>
                <w:b/>
                <w:bCs/>
              </w:rPr>
            </w:pPr>
            <w:r>
              <w:rPr>
                <w:b/>
                <w:bCs/>
              </w:rPr>
              <w:t>336,981</w:t>
            </w:r>
          </w:p>
        </w:tc>
      </w:tr>
      <w:tr w:rsidR="000E40F4" w:rsidRPr="002F0118" w14:paraId="6C60A8D0" w14:textId="77777777" w:rsidTr="00816F17">
        <w:tc>
          <w:tcPr>
            <w:tcW w:w="9360" w:type="dxa"/>
            <w:gridSpan w:val="7"/>
            <w:tcBorders>
              <w:top w:val="single" w:sz="12" w:space="0" w:color="auto"/>
              <w:left w:val="nil"/>
              <w:bottom w:val="single" w:sz="12" w:space="0" w:color="auto"/>
              <w:right w:val="nil"/>
            </w:tcBorders>
          </w:tcPr>
          <w:p w14:paraId="453AA1D3" w14:textId="77777777" w:rsidR="000E40F4" w:rsidRDefault="000E40F4" w:rsidP="00FD0109">
            <w:pPr>
              <w:pStyle w:val="TblSourcesNotes"/>
            </w:pPr>
            <w:r w:rsidRPr="00FD1900">
              <w:t>Notes:</w:t>
            </w:r>
          </w:p>
          <w:p w14:paraId="755EF749" w14:textId="77777777" w:rsidR="000E40F4" w:rsidRPr="009C0CB6" w:rsidRDefault="000E40F4" w:rsidP="00FD0109">
            <w:pPr>
              <w:ind w:left="120" w:hanging="120"/>
              <w:rPr>
                <w:rFonts w:ascii="Arial Narrow" w:eastAsia="Batang" w:hAnsi="Arial Narrow"/>
                <w:sz w:val="15"/>
                <w:szCs w:val="15"/>
              </w:rPr>
            </w:pPr>
            <w:r>
              <w:rPr>
                <w:rFonts w:ascii="Arial Narrow" w:eastAsia="Batang" w:hAnsi="Arial Narrow"/>
                <w:sz w:val="15"/>
                <w:szCs w:val="15"/>
                <w:vertAlign w:val="superscript"/>
              </w:rPr>
              <w:t>1</w:t>
            </w:r>
            <w:r w:rsidRPr="003D7B74">
              <w:rPr>
                <w:rFonts w:ascii="Arial Narrow" w:eastAsia="Batang" w:hAnsi="Arial Narrow"/>
                <w:sz w:val="15"/>
                <w:szCs w:val="15"/>
              </w:rPr>
              <w:tab/>
            </w:r>
            <w:r w:rsidRPr="008173A2">
              <w:rPr>
                <w:rFonts w:ascii="Arial Narrow" w:eastAsia="Batang" w:hAnsi="Arial Narrow"/>
                <w:sz w:val="15"/>
                <w:szCs w:val="15"/>
              </w:rPr>
              <w:t xml:space="preserve">Based on calendar year 2022 EMFAC2017 v.1.0.3 </w:t>
            </w:r>
            <w:r>
              <w:rPr>
                <w:rFonts w:ascii="Arial Narrow" w:eastAsia="Batang" w:hAnsi="Arial Narrow"/>
                <w:sz w:val="15"/>
                <w:szCs w:val="15"/>
              </w:rPr>
              <w:t xml:space="preserve">fuel </w:t>
            </w:r>
            <w:r w:rsidRPr="009C0CB6">
              <w:rPr>
                <w:rFonts w:ascii="Arial Narrow" w:eastAsia="Batang" w:hAnsi="Arial Narrow"/>
                <w:sz w:val="15"/>
                <w:szCs w:val="15"/>
              </w:rPr>
              <w:t xml:space="preserve">consumption data, CalEEMod default trip lengths, and trip generation data provided by Urban Crossroads (Appendix </w:t>
            </w:r>
            <w:r>
              <w:rPr>
                <w:rFonts w:ascii="Arial Narrow" w:eastAsia="Batang" w:hAnsi="Arial Narrow"/>
                <w:sz w:val="15"/>
                <w:szCs w:val="15"/>
              </w:rPr>
              <w:t>I</w:t>
            </w:r>
            <w:r w:rsidRPr="009C0CB6">
              <w:rPr>
                <w:rFonts w:ascii="Arial Narrow" w:eastAsia="Batang" w:hAnsi="Arial Narrow"/>
                <w:sz w:val="15"/>
                <w:szCs w:val="15"/>
              </w:rPr>
              <w:t>).</w:t>
            </w:r>
          </w:p>
          <w:p w14:paraId="5741B157" w14:textId="77777777" w:rsidR="000E40F4" w:rsidRPr="009C0CB6" w:rsidRDefault="000E40F4" w:rsidP="00FD0109">
            <w:pPr>
              <w:ind w:left="120" w:hanging="120"/>
              <w:rPr>
                <w:rFonts w:ascii="Arial Narrow" w:eastAsia="Batang" w:hAnsi="Arial Narrow"/>
                <w:sz w:val="15"/>
                <w:szCs w:val="15"/>
              </w:rPr>
            </w:pPr>
            <w:r w:rsidRPr="009C0CB6">
              <w:rPr>
                <w:rFonts w:ascii="Arial Narrow" w:eastAsia="Batang" w:hAnsi="Arial Narrow"/>
                <w:sz w:val="15"/>
                <w:szCs w:val="15"/>
                <w:vertAlign w:val="superscript"/>
              </w:rPr>
              <w:t>2</w:t>
            </w:r>
            <w:r w:rsidR="001A33F5">
              <w:rPr>
                <w:rFonts w:ascii="Arial Narrow" w:eastAsia="Batang" w:hAnsi="Arial Narrow"/>
                <w:sz w:val="15"/>
                <w:szCs w:val="15"/>
              </w:rPr>
              <w:tab/>
            </w:r>
            <w:r w:rsidRPr="009C0CB6">
              <w:rPr>
                <w:rFonts w:ascii="Arial Narrow" w:eastAsia="Batang" w:hAnsi="Arial Narrow"/>
                <w:sz w:val="15"/>
                <w:szCs w:val="15"/>
              </w:rPr>
              <w:t xml:space="preserve">Based on calendar year 2022 EMFAC2017 v.1.0.3 fuel consumption data and trip generation data provided by Urban Crossroads (Appendix </w:t>
            </w:r>
            <w:r>
              <w:rPr>
                <w:rFonts w:ascii="Arial Narrow" w:eastAsia="Batang" w:hAnsi="Arial Narrow"/>
                <w:sz w:val="15"/>
                <w:szCs w:val="15"/>
              </w:rPr>
              <w:t>I</w:t>
            </w:r>
            <w:r w:rsidRPr="009C0CB6">
              <w:rPr>
                <w:rFonts w:ascii="Arial Narrow" w:eastAsia="Batang" w:hAnsi="Arial Narrow"/>
                <w:sz w:val="15"/>
                <w:szCs w:val="15"/>
              </w:rPr>
              <w:t>). Utilizes an average trip length of 39.9 miles per trip, which is derived from the SCAG’s Heavy-Duty Truck Regional Travel Demand model and represents the average class 8 truck trip distance within the SoCAB (South Coast AQMD 2021).</w:t>
            </w:r>
          </w:p>
          <w:p w14:paraId="0E3D4055" w14:textId="0E33FC73" w:rsidR="000E40F4" w:rsidRPr="00FD1900" w:rsidRDefault="000E40F4" w:rsidP="00FD0109">
            <w:pPr>
              <w:pStyle w:val="TblSourcesNotes"/>
            </w:pPr>
            <w:r w:rsidRPr="009C0CB6">
              <w:rPr>
                <w:vertAlign w:val="superscript"/>
              </w:rPr>
              <w:t>3</w:t>
            </w:r>
            <w:r w:rsidR="00AD2D1F">
              <w:tab/>
            </w:r>
            <w:r w:rsidRPr="009C0CB6">
              <w:t>Diesel and electricity consumption is based on operation of 5 diesel-powered forklifts and electric-powered forklifts and 10 diesel-powered</w:t>
            </w:r>
            <w:r w:rsidRPr="00FD1900">
              <w:t xml:space="preserve"> yard trucks and electric-powered yard trucks</w:t>
            </w:r>
            <w:r>
              <w:t xml:space="preserve"> at 7 hours per unit per day.</w:t>
            </w:r>
          </w:p>
          <w:p w14:paraId="5ED9BBAB" w14:textId="716188E3" w:rsidR="000E40F4" w:rsidRPr="00FD1900" w:rsidRDefault="000E40F4" w:rsidP="00FD0109">
            <w:pPr>
              <w:pStyle w:val="TblSourcesNotes"/>
            </w:pPr>
            <w:r>
              <w:rPr>
                <w:vertAlign w:val="superscript"/>
              </w:rPr>
              <w:t>4</w:t>
            </w:r>
            <w:r w:rsidR="00AD2D1F">
              <w:tab/>
            </w:r>
            <w:r w:rsidRPr="00FD1900">
              <w:t xml:space="preserve">Diesel-powered fuel consumption based on OFFROAD2017 v 1.0.1 fuel consumption data for a </w:t>
            </w:r>
            <w:r>
              <w:t>100-horsepower</w:t>
            </w:r>
            <w:r w:rsidRPr="00FD1900">
              <w:t xml:space="preserve"> forklift and </w:t>
            </w:r>
            <w:r>
              <w:t>175-horsepower</w:t>
            </w:r>
            <w:r w:rsidRPr="00FD1900">
              <w:t xml:space="preserve"> yard tractor.</w:t>
            </w:r>
          </w:p>
          <w:p w14:paraId="62017133" w14:textId="73A3BB51" w:rsidR="000E40F4" w:rsidRPr="00291CB1" w:rsidRDefault="000E40F4" w:rsidP="00FD0109">
            <w:pPr>
              <w:pStyle w:val="TblSourcesNotes"/>
              <w:rPr>
                <w:highlight w:val="lightGray"/>
              </w:rPr>
            </w:pPr>
            <w:r>
              <w:rPr>
                <w:vertAlign w:val="superscript"/>
              </w:rPr>
              <w:t>5</w:t>
            </w:r>
            <w:r w:rsidR="00AD2D1F">
              <w:tab/>
            </w:r>
            <w:r w:rsidRPr="00FD1900">
              <w:t>Electricity consumption for electric-powered forklifts is based on a consumption rate of 8.7 kWh per hour per unit (kWh/yr/unit) (EPRI 2021). Electricity consumption for electric-powered yard truck based on a consumption rate of 8.75 kWh/h</w:t>
            </w:r>
            <w:r>
              <w:t>r</w:t>
            </w:r>
            <w:r w:rsidRPr="00FD1900">
              <w:t>/unit (Transpower 2015).</w:t>
            </w:r>
          </w:p>
        </w:tc>
      </w:tr>
    </w:tbl>
    <w:p w14:paraId="533913FF" w14:textId="77777777" w:rsidR="000E40F4" w:rsidRPr="00940A5D" w:rsidRDefault="000E40F4" w:rsidP="000E40F4">
      <w:pPr>
        <w:pStyle w:val="BodyText"/>
      </w:pPr>
    </w:p>
    <w:p w14:paraId="4FC0EEC9" w14:textId="77777777" w:rsidR="000E40F4" w:rsidRPr="00FE1708" w:rsidRDefault="000E40F4" w:rsidP="00816F17">
      <w:pPr>
        <w:pStyle w:val="List"/>
        <w:numPr>
          <w:ilvl w:val="0"/>
          <w:numId w:val="54"/>
        </w:numPr>
        <w:spacing w:after="240" w:line="240" w:lineRule="auto"/>
        <w:rPr>
          <w:bCs/>
        </w:rPr>
      </w:pPr>
      <w:r w:rsidRPr="00FE1708">
        <w:rPr>
          <w:bCs/>
        </w:rPr>
        <w:t>Conflict with or obstruct a state or local plan for renewable energy or energy efficiency?</w:t>
      </w:r>
    </w:p>
    <w:p w14:paraId="379563FF" w14:textId="77777777" w:rsidR="000E40F4" w:rsidRPr="00262159" w:rsidRDefault="000E40F4" w:rsidP="000E40F4">
      <w:pPr>
        <w:pStyle w:val="BodyText"/>
        <w:rPr>
          <w:szCs w:val="22"/>
        </w:rPr>
      </w:pPr>
      <w:r w:rsidRPr="00FE1708">
        <w:rPr>
          <w:b/>
        </w:rPr>
        <w:t xml:space="preserve">No Impact. </w:t>
      </w:r>
      <w:r>
        <w:rPr>
          <w:szCs w:val="22"/>
        </w:rPr>
        <w:t xml:space="preserve">The </w:t>
      </w:r>
      <w:r w:rsidRPr="006C646E">
        <w:rPr>
          <w:szCs w:val="22"/>
        </w:rPr>
        <w:t>state’s electricity grid is transitioning to renewable energy under California’s Renewable Energy Program. Renewable sources of electricity include wind, small hydropower, solar, geothermal, biomass, and biogas. Electricity production from renewable sources is generally considered carbon neutral. Executive Order S-14-08, signed in November 2008, expanded the state’s renewable portfolios standard (RPS) to 33 percent renewable power by 2020. This standard was adopted by the legislature in 2011 (SB X1-2).</w:t>
      </w:r>
      <w:r w:rsidRPr="006C646E">
        <w:rPr>
          <w:kern w:val="0"/>
          <w:szCs w:val="24"/>
        </w:rPr>
        <w:t xml:space="preserve"> </w:t>
      </w:r>
      <w:r w:rsidRPr="006C646E">
        <w:rPr>
          <w:szCs w:val="22"/>
        </w:rPr>
        <w:t xml:space="preserve">Senate Bill </w:t>
      </w:r>
      <w:r>
        <w:rPr>
          <w:szCs w:val="22"/>
        </w:rPr>
        <w:t xml:space="preserve">(SB) </w:t>
      </w:r>
      <w:r w:rsidRPr="006C646E">
        <w:rPr>
          <w:szCs w:val="22"/>
        </w:rPr>
        <w:t xml:space="preserve">350 (de Leon) was signed into law September 2015 and establishes tiered increases to the RPS—40 percent by 2024, 45 percent by 2027, and 50 percent by 2030. </w:t>
      </w:r>
      <w:r>
        <w:rPr>
          <w:szCs w:val="22"/>
        </w:rPr>
        <w:t>SB</w:t>
      </w:r>
      <w:r w:rsidRPr="006C646E">
        <w:rPr>
          <w:szCs w:val="22"/>
        </w:rPr>
        <w:t xml:space="preserve"> 350 also set a new goal to double the energy-efficiency savings in electricity and natural gas through energy efficiency and conservation measures. </w:t>
      </w:r>
      <w:r w:rsidRPr="00F02404">
        <w:rPr>
          <w:szCs w:val="22"/>
        </w:rPr>
        <w:t>On September 10, 2018, Governor Brown signed SB 100, which supersedes the SB 350 requirements. Under SB 100, the RPS for public</w:t>
      </w:r>
      <w:r>
        <w:rPr>
          <w:szCs w:val="22"/>
        </w:rPr>
        <w:t>ly</w:t>
      </w:r>
      <w:r w:rsidRPr="00F02404">
        <w:rPr>
          <w:szCs w:val="22"/>
        </w:rPr>
        <w:t xml:space="preserve"> owned facilities and retail sellers </w:t>
      </w:r>
      <w:r>
        <w:rPr>
          <w:szCs w:val="22"/>
        </w:rPr>
        <w:t>must be</w:t>
      </w:r>
      <w:r w:rsidRPr="00F02404">
        <w:rPr>
          <w:szCs w:val="22"/>
        </w:rPr>
        <w:t xml:space="preserve"> 44 percent renewable energy by 2024, 52 percent by 2027, and 60 percent by 2030. SB 100 also </w:t>
      </w:r>
      <w:r>
        <w:rPr>
          <w:szCs w:val="22"/>
        </w:rPr>
        <w:t>set</w:t>
      </w:r>
      <w:r w:rsidRPr="00F02404">
        <w:rPr>
          <w:szCs w:val="22"/>
        </w:rPr>
        <w:t xml:space="preserve"> a new RPS requirement of 50 percent by 2026. </w:t>
      </w:r>
      <w:r>
        <w:rPr>
          <w:szCs w:val="22"/>
        </w:rPr>
        <w:t>It</w:t>
      </w:r>
      <w:r w:rsidRPr="006C646E">
        <w:rPr>
          <w:szCs w:val="22"/>
        </w:rPr>
        <w:t xml:space="preserve"> establishe</w:t>
      </w:r>
      <w:r>
        <w:rPr>
          <w:szCs w:val="22"/>
        </w:rPr>
        <w:t>d</w:t>
      </w:r>
      <w:r w:rsidRPr="006C646E">
        <w:rPr>
          <w:szCs w:val="22"/>
        </w:rPr>
        <w:t xml:space="preserve"> a state polic</w:t>
      </w:r>
      <w:r w:rsidRPr="00262159">
        <w:rPr>
          <w:szCs w:val="22"/>
        </w:rPr>
        <w:t xml:space="preserve">y that eligible renewable energy resources and zero-carbon resources supply 100 percent of all retail sales of electricity to California end-use customers and 100 percent of electricity procured to serve all state agencies by December 31, 2045. Under SB 100 the state cannot increase carbon emissions elsewhere in the western grid or allow resource shuffling to achieve the 100 percent carbon-free electricity target. </w:t>
      </w:r>
    </w:p>
    <w:p w14:paraId="7929F258" w14:textId="77777777" w:rsidR="000E40F4" w:rsidRDefault="000E40F4" w:rsidP="000E40F4">
      <w:pPr>
        <w:pStyle w:val="BodyText"/>
        <w:rPr>
          <w:szCs w:val="22"/>
        </w:rPr>
      </w:pPr>
      <w:r w:rsidRPr="00262159">
        <w:rPr>
          <w:szCs w:val="22"/>
        </w:rPr>
        <w:t xml:space="preserve">The statewide RPS goal is not directly applicable to individual development projects, but to utilities and energy providers such as SCE, which would provide all of electricity needs for the proposed project. </w:t>
      </w:r>
      <w:r>
        <w:rPr>
          <w:szCs w:val="22"/>
        </w:rPr>
        <w:t xml:space="preserve">The </w:t>
      </w:r>
      <w:r w:rsidRPr="00262159">
        <w:rPr>
          <w:szCs w:val="22"/>
        </w:rPr>
        <w:t>compliance of SCE in meeting the RPS goals would</w:t>
      </w:r>
      <w:r>
        <w:rPr>
          <w:szCs w:val="22"/>
        </w:rPr>
        <w:t xml:space="preserve"> contribute to</w:t>
      </w:r>
      <w:r w:rsidRPr="00262159">
        <w:rPr>
          <w:szCs w:val="22"/>
        </w:rPr>
        <w:t xml:space="preserve"> the State meeting its objective </w:t>
      </w:r>
      <w:r>
        <w:rPr>
          <w:szCs w:val="22"/>
        </w:rPr>
        <w:t>of</w:t>
      </w:r>
      <w:r w:rsidRPr="00262159">
        <w:rPr>
          <w:szCs w:val="22"/>
        </w:rPr>
        <w:t xml:space="preserve"> transitioning to renewable energy. </w:t>
      </w:r>
    </w:p>
    <w:p w14:paraId="59430976" w14:textId="77777777" w:rsidR="00D32735" w:rsidRPr="000E40F4" w:rsidRDefault="000E40F4" w:rsidP="004B2A05">
      <w:pPr>
        <w:pStyle w:val="BodyText"/>
        <w:rPr>
          <w:szCs w:val="22"/>
        </w:rPr>
      </w:pPr>
      <w:r w:rsidRPr="00262159">
        <w:rPr>
          <w:szCs w:val="22"/>
        </w:rPr>
        <w:t>T</w:t>
      </w:r>
      <w:r w:rsidRPr="00262159">
        <w:t xml:space="preserve">he </w:t>
      </w:r>
      <w:r w:rsidRPr="00262159">
        <w:rPr>
          <w:szCs w:val="22"/>
        </w:rPr>
        <w:t>proposed project</w:t>
      </w:r>
      <w:r w:rsidRPr="00262159">
        <w:t xml:space="preserve"> also would </w:t>
      </w:r>
      <w:r w:rsidRPr="00262159">
        <w:rPr>
          <w:szCs w:val="22"/>
        </w:rPr>
        <w:t xml:space="preserve">comply with the latest 2019 </w:t>
      </w:r>
      <w:r w:rsidRPr="00262159">
        <w:t xml:space="preserve">Building </w:t>
      </w:r>
      <w:r w:rsidRPr="00262159">
        <w:rPr>
          <w:szCs w:val="22"/>
        </w:rPr>
        <w:t>Energy Efficiency Standards. Therefore, implementation of the proposed project would not conflict or obstruct plans for renewable energy and energy efficiency</w:t>
      </w:r>
      <w:r>
        <w:rPr>
          <w:szCs w:val="22"/>
        </w:rPr>
        <w:t>,</w:t>
      </w:r>
      <w:r w:rsidRPr="00262159">
        <w:rPr>
          <w:szCs w:val="22"/>
        </w:rPr>
        <w:t xml:space="preserve"> and no impact would occur</w:t>
      </w:r>
      <w:r w:rsidR="00D32735" w:rsidRPr="00D32735">
        <w:rPr>
          <w:color w:val="4F81BD" w:themeColor="accent1"/>
        </w:rPr>
        <w:t>.</w:t>
      </w:r>
      <w:bookmarkEnd w:id="144"/>
    </w:p>
    <w:p w14:paraId="7BCED87E" w14:textId="77777777" w:rsidR="00D10CF6" w:rsidRDefault="00D10CF6" w:rsidP="00D10CF6">
      <w:pPr>
        <w:pStyle w:val="Heading2"/>
      </w:pPr>
      <w:bookmarkStart w:id="152" w:name="_Toc90882159"/>
      <w:r>
        <w:t>GEOLOGY AND SOILS</w:t>
      </w:r>
      <w:bookmarkEnd w:id="152"/>
    </w:p>
    <w:p w14:paraId="495457CD" w14:textId="77777777" w:rsidR="00C7544D" w:rsidRPr="009F1041" w:rsidRDefault="00C7544D" w:rsidP="00C7544D">
      <w:pPr>
        <w:pStyle w:val="BodyText"/>
      </w:pPr>
      <w:r w:rsidRPr="00617ACC">
        <w:t xml:space="preserve">The analysis in this section is based partly on the following technical study, which is included as Appendix </w:t>
      </w:r>
      <w:r w:rsidR="003A20AD">
        <w:t>D</w:t>
      </w:r>
      <w:r w:rsidRPr="00617ACC">
        <w:t xml:space="preserve"> </w:t>
      </w:r>
      <w:r w:rsidRPr="009F1041">
        <w:t>to this Initial Study:</w:t>
      </w:r>
    </w:p>
    <w:p w14:paraId="43B94164" w14:textId="77777777" w:rsidR="00C7544D" w:rsidRDefault="009F1041" w:rsidP="009F1041">
      <w:pPr>
        <w:pStyle w:val="Bullet1last"/>
      </w:pPr>
      <w:r w:rsidRPr="00D71ABD">
        <w:rPr>
          <w:i/>
          <w:iCs/>
        </w:rPr>
        <w:t>Geotechnical Investigation, Proposed Warehouse Building, 4116 Azusa Canyon Road</w:t>
      </w:r>
      <w:r w:rsidRPr="009F1041">
        <w:t>, Southern California Geotechnical, February 14, 2020.</w:t>
      </w:r>
    </w:p>
    <w:p w14:paraId="350E8513" w14:textId="77777777" w:rsidR="00F64019" w:rsidRDefault="00F64019" w:rsidP="00F64019">
      <w:pPr>
        <w:pStyle w:val="Bullet1last"/>
      </w:pPr>
      <w:bookmarkStart w:id="153" w:name="_Hlk82789820"/>
      <w:r w:rsidRPr="00F64019">
        <w:rPr>
          <w:i/>
          <w:iCs/>
        </w:rPr>
        <w:t xml:space="preserve">Results of Infiltration Testing </w:t>
      </w:r>
      <w:bookmarkEnd w:id="153"/>
      <w:r w:rsidRPr="00F64019">
        <w:rPr>
          <w:i/>
          <w:iCs/>
        </w:rPr>
        <w:t>Proposed Warehouse – Infiltration 4416 Azusa Canyon Road</w:t>
      </w:r>
      <w:r>
        <w:t xml:space="preserve">, </w:t>
      </w:r>
      <w:r w:rsidRPr="009F1041">
        <w:t>Southern California Geotechnical, February 1</w:t>
      </w:r>
      <w:r>
        <w:t>3</w:t>
      </w:r>
      <w:r w:rsidRPr="009F1041">
        <w:t>, 2020.</w:t>
      </w:r>
    </w:p>
    <w:p w14:paraId="09140B63" w14:textId="77777777" w:rsidR="00556B3E" w:rsidRPr="009F1041" w:rsidRDefault="00556B3E" w:rsidP="00556B3E">
      <w:pPr>
        <w:pStyle w:val="Bullet1last"/>
      </w:pPr>
      <w:r w:rsidRPr="00556B3E">
        <w:rPr>
          <w:i/>
          <w:iCs/>
        </w:rPr>
        <w:t>Response to Third-Party Geotechnical Review, Proposed Warehouse 4416 Azusa Canyon Road</w:t>
      </w:r>
      <w:r>
        <w:t xml:space="preserve">, </w:t>
      </w:r>
      <w:r w:rsidRPr="009F1041">
        <w:t xml:space="preserve">Southern California Geotechnical, </w:t>
      </w:r>
      <w:r>
        <w:t>August 30</w:t>
      </w:r>
      <w:r w:rsidRPr="009F1041">
        <w:t>, 202</w:t>
      </w:r>
      <w:r>
        <w:t>1</w:t>
      </w:r>
      <w:r w:rsidRPr="009F1041">
        <w:t>.</w:t>
      </w:r>
    </w:p>
    <w:p w14:paraId="61059481" w14:textId="77777777" w:rsidR="007C65C0" w:rsidRDefault="007C65C0" w:rsidP="007C65C0">
      <w:pPr>
        <w:pStyle w:val="BodyText"/>
      </w:pPr>
      <w:r>
        <w:t>Would the project:</w:t>
      </w:r>
    </w:p>
    <w:p w14:paraId="2E1EF3E7" w14:textId="77777777" w:rsidR="00D10CF6" w:rsidRDefault="00EA4D31" w:rsidP="009D6ECC">
      <w:pPr>
        <w:pStyle w:val="List"/>
        <w:numPr>
          <w:ilvl w:val="0"/>
          <w:numId w:val="41"/>
        </w:numPr>
      </w:pPr>
      <w:r w:rsidRPr="00EA4D31">
        <w:t>Directly or indirectly cause potential substantial adverse effects, including the risk of loss, injury, or death involving</w:t>
      </w:r>
      <w:r w:rsidR="00D10CF6">
        <w:t>:</w:t>
      </w:r>
    </w:p>
    <w:p w14:paraId="747FB2FE" w14:textId="77777777" w:rsidR="00D10CF6" w:rsidRDefault="00D10CF6" w:rsidP="009D6ECC">
      <w:pPr>
        <w:pStyle w:val="List"/>
        <w:numPr>
          <w:ilvl w:val="1"/>
          <w:numId w:val="17"/>
        </w:numPr>
      </w:pPr>
      <w:r>
        <w:t>Rupture of a known earthquake fault, as delineated on the most recent Alquist-Priolo Earthquake Fault Zoning map, issued by the State Geologist for the area or based on other substantial evidence of a known fault? Refer to Division of Mines and Geology Special Publication 42.</w:t>
      </w:r>
    </w:p>
    <w:p w14:paraId="62029E73" w14:textId="77777777" w:rsidR="00C7544D" w:rsidRPr="00617ACC" w:rsidRDefault="00C7544D" w:rsidP="00C7544D">
      <w:pPr>
        <w:pStyle w:val="BodyTextIndent5"/>
      </w:pPr>
      <w:r w:rsidRPr="00617ACC">
        <w:rPr>
          <w:rStyle w:val="BodyTextBoldChar"/>
        </w:rPr>
        <w:t xml:space="preserve">Less Than Significant Impact. </w:t>
      </w:r>
      <w:r w:rsidRPr="00617ACC">
        <w:t xml:space="preserve">The Alquist-Priolo Earthquake Fault Zoning Act was passed in 1972 to mitigate the hazard of surface faulting to structures for human occupancy. Surface rupture is the most easily avoided seismic hazard. Fault rupture generally occurs within 50 feet of an active fault line and is limited to the immediate area where the fault breaks along the surface. The main purpose of the Alquist-Priolo Earthquake Fault Zoning Act is to prevent construction of buildings used for human occupancy on the surface of active faults </w:t>
      </w:r>
      <w:r w:rsidR="00CA0028" w:rsidRPr="00617ACC">
        <w:t>to</w:t>
      </w:r>
      <w:r w:rsidRPr="00617ACC">
        <w:t xml:space="preserve"> minimize the hazard of surface rupture of a fault to people and habitable buildings. Before cities and counties can permit development within Alquist-Priolo Earthquake Fault Zones, geologic investigations are required to show that the proposed development site is not threatened by surface rupture from future earthquakes.</w:t>
      </w:r>
    </w:p>
    <w:p w14:paraId="19859C70" w14:textId="77777777" w:rsidR="00C7544D" w:rsidRPr="00571910" w:rsidRDefault="00C7544D" w:rsidP="00C7544D">
      <w:pPr>
        <w:pStyle w:val="BodyTextIndent5"/>
      </w:pPr>
      <w:r w:rsidRPr="00617ACC">
        <w:t>The project site is not within or near an established Alquist-Priolo Earthquake Fault Zone and is not in a “Zone of Required Investigation” (CGS 201</w:t>
      </w:r>
      <w:r w:rsidR="003D7E68">
        <w:t>5a</w:t>
      </w:r>
      <w:r w:rsidRPr="00617ACC">
        <w:t>, 2015</w:t>
      </w:r>
      <w:r w:rsidR="003D7E68">
        <w:t>b</w:t>
      </w:r>
      <w:r w:rsidRPr="00617ACC">
        <w:t xml:space="preserve">). The nearest mapped active fault—that is, a fault that has ruptured during Holocene time (the last 11,700 years)—is the </w:t>
      </w:r>
      <w:r w:rsidR="003D7E68">
        <w:t>Raymond</w:t>
      </w:r>
      <w:r w:rsidRPr="00617ACC">
        <w:t xml:space="preserve"> Fault approximately </w:t>
      </w:r>
      <w:r w:rsidR="003D7E68">
        <w:t>6.7</w:t>
      </w:r>
      <w:r w:rsidRPr="00617ACC">
        <w:t xml:space="preserve"> miles to the north</w:t>
      </w:r>
      <w:r w:rsidR="003D7E68">
        <w:t>we</w:t>
      </w:r>
      <w:r w:rsidRPr="00617ACC">
        <w:t>st (CGS 2015</w:t>
      </w:r>
      <w:r w:rsidR="003D7E68">
        <w:t>a</w:t>
      </w:r>
      <w:r w:rsidRPr="00617ACC">
        <w:t>). Due to the distance to the active fault, the potential for surface rupture of a fault on</w:t>
      </w:r>
      <w:r w:rsidR="00EF4C28">
        <w:t>-</w:t>
      </w:r>
      <w:r w:rsidRPr="00617ACC">
        <w:t xml:space="preserve">site is considered very low. Therefore, project development would not subject people or structures to hazards arising from surface rupture of a known active fault. Impacts would be less than </w:t>
      </w:r>
      <w:r w:rsidR="00CA0028" w:rsidRPr="00617ACC">
        <w:t>significant</w:t>
      </w:r>
      <w:r w:rsidRPr="00617ACC">
        <w:t xml:space="preserve">. </w:t>
      </w:r>
    </w:p>
    <w:p w14:paraId="35CF356D" w14:textId="77777777" w:rsidR="00D10CF6" w:rsidRDefault="00D10CF6" w:rsidP="009D6ECC">
      <w:pPr>
        <w:pStyle w:val="List"/>
        <w:numPr>
          <w:ilvl w:val="1"/>
          <w:numId w:val="28"/>
        </w:numPr>
      </w:pPr>
      <w:r>
        <w:t>Strong seismic ground shaking?</w:t>
      </w:r>
    </w:p>
    <w:p w14:paraId="69416E09" w14:textId="77777777" w:rsidR="003D7E68" w:rsidRPr="00617ACC" w:rsidRDefault="003D7E68" w:rsidP="003D7E68">
      <w:pPr>
        <w:pStyle w:val="BodyTextIndent5"/>
      </w:pPr>
      <w:r w:rsidRPr="00617ACC">
        <w:rPr>
          <w:rStyle w:val="BodyTextBoldChar"/>
        </w:rPr>
        <w:t>Less Than Significant Impact.</w:t>
      </w:r>
      <w:r w:rsidRPr="00617ACC">
        <w:t xml:space="preserve"> The most significant geologic hazard to the design life of the </w:t>
      </w:r>
      <w:r>
        <w:t>proposed p</w:t>
      </w:r>
      <w:r w:rsidRPr="00617ACC">
        <w:t xml:space="preserve">roject is the potential for moderate to strong ground shaking resulting from earthquakes generated on the faults in seismically active southern California. As with other areas in southern California, it is anticipated that the project site will likely be subject to strong ground shaking due to earthquakes on nearby faults. </w:t>
      </w:r>
    </w:p>
    <w:p w14:paraId="0E274E80" w14:textId="77777777" w:rsidR="003D7E68" w:rsidRPr="00617ACC" w:rsidRDefault="003D7E68" w:rsidP="003D7E68">
      <w:pPr>
        <w:pStyle w:val="BodyTextIndent5"/>
      </w:pPr>
      <w:r w:rsidRPr="00617ACC">
        <w:t xml:space="preserve">As noted above, the </w:t>
      </w:r>
      <w:r>
        <w:t xml:space="preserve">Raymond </w:t>
      </w:r>
      <w:r w:rsidRPr="00617ACC">
        <w:t xml:space="preserve">Fault is approximately </w:t>
      </w:r>
      <w:r>
        <w:t>6.7</w:t>
      </w:r>
      <w:r w:rsidRPr="00617ACC">
        <w:t xml:space="preserve"> miles to the north</w:t>
      </w:r>
      <w:r>
        <w:t>we</w:t>
      </w:r>
      <w:r w:rsidRPr="00617ACC">
        <w:t xml:space="preserve">st of the site. This </w:t>
      </w:r>
      <w:r w:rsidR="003900C1">
        <w:t>and</w:t>
      </w:r>
      <w:r w:rsidRPr="00617ACC">
        <w:t xml:space="preserve"> other</w:t>
      </w:r>
      <w:r w:rsidR="003900C1">
        <w:t xml:space="preserve"> fault</w:t>
      </w:r>
      <w:r w:rsidRPr="00617ACC">
        <w:t>s in the region—Newport-Inglewood-Rose Canyon fault zone (north Los Angeles basin section)</w:t>
      </w:r>
      <w:r w:rsidR="003900C1">
        <w:t>,</w:t>
      </w:r>
      <w:r w:rsidRPr="00617ACC">
        <w:t xml:space="preserve"> approximately </w:t>
      </w:r>
      <w:r>
        <w:t>26</w:t>
      </w:r>
      <w:r w:rsidRPr="00617ACC">
        <w:t xml:space="preserve"> miles southwest of the project site</w:t>
      </w:r>
      <w:r w:rsidR="003900C1">
        <w:t>,</w:t>
      </w:r>
      <w:r w:rsidRPr="00617ACC">
        <w:t xml:space="preserve"> and San Andreas Fault</w:t>
      </w:r>
      <w:r w:rsidR="003900C1">
        <w:t>,</w:t>
      </w:r>
      <w:r w:rsidRPr="00617ACC">
        <w:t xml:space="preserve"> approximately 35 miles northeast of the site (CGS 2015</w:t>
      </w:r>
      <w:r>
        <w:t>a</w:t>
      </w:r>
      <w:r w:rsidRPr="00617ACC">
        <w:t>)—are considered capable of producing strong shaking at the project site, thereby exposing people or structures on the site to potential substantial adverse effects, including the risk of loss, injury, or death. Earthquakes along these faults are generally capable of generating ground shaking of engineering significance to the project site. The intensity of ground shaking on the project site would depend on the magnitude of the earthquake, distance to the epicenter, and the geology of the area between the epicenter and the project site.</w:t>
      </w:r>
    </w:p>
    <w:p w14:paraId="14FB4850" w14:textId="77777777" w:rsidR="003D7E68" w:rsidRPr="00617ACC" w:rsidRDefault="003D7E68" w:rsidP="003D7E68">
      <w:pPr>
        <w:pStyle w:val="BodyTextIndent5"/>
      </w:pPr>
      <w:r w:rsidRPr="00617ACC">
        <w:t xml:space="preserve">However, the project site is not at a greater risk of seismic activity or impacts than other sites in southern California. Seismic shaking is a risk throughout southern California. Additionally, California regulates development in the state through a variety of tools that reduce hazards from earthquakes and other geologic hazards. The </w:t>
      </w:r>
      <w:r w:rsidR="003900C1">
        <w:t>project</w:t>
      </w:r>
      <w:r w:rsidRPr="00617ACC">
        <w:t xml:space="preserve"> structures would be designed and constructed in accordance with California regulations. For example, structures for human occupancy would be required to meet or exceed the most current California Building Code (CBC; California </w:t>
      </w:r>
      <w:r w:rsidRPr="003D7E68">
        <w:t xml:space="preserve">Code of Regulations, Title 24, Part 2) standards for earthquake resistance. The CBC is adopted by reference in </w:t>
      </w:r>
      <w:r w:rsidR="003900C1">
        <w:t xml:space="preserve">Chapter 1, </w:t>
      </w:r>
      <w:r w:rsidRPr="003D7E68">
        <w:t>Title 26</w:t>
      </w:r>
      <w:r w:rsidR="007222FB">
        <w:t xml:space="preserve">, </w:t>
      </w:r>
      <w:r w:rsidR="00A57CA8">
        <w:t>“</w:t>
      </w:r>
      <w:r w:rsidRPr="00D71ABD">
        <w:t>Building Code</w:t>
      </w:r>
      <w:r w:rsidR="007222FB">
        <w:t>,</w:t>
      </w:r>
      <w:r w:rsidR="00A57CA8">
        <w:t>”</w:t>
      </w:r>
      <w:r w:rsidR="007222FB">
        <w:t xml:space="preserve"> </w:t>
      </w:r>
      <w:r w:rsidRPr="003D7E68">
        <w:t>of the Los Angeles County Code of Ordinances. The Los Angeles County Building Code is adopted by reference in Chapter 15.04 of the Irwindale Municipal Code.</w:t>
      </w:r>
      <w:r w:rsidRPr="00617ACC">
        <w:t xml:space="preserve"> The CBC contains provisions to safeguard against major structural failures or loss of life caused by earthquakes or other geologic hazards; it </w:t>
      </w:r>
      <w:r w:rsidR="00A57CA8">
        <w:t>has</w:t>
      </w:r>
      <w:r w:rsidR="00A57CA8" w:rsidRPr="00617ACC">
        <w:t xml:space="preserve"> </w:t>
      </w:r>
      <w:r w:rsidRPr="00617ACC">
        <w:t>provisions for earthquake safety based on factors including occupancy type, the types of soil and rock on</w:t>
      </w:r>
      <w:r w:rsidR="00A57CA8">
        <w:t>-</w:t>
      </w:r>
      <w:r w:rsidRPr="00617ACC">
        <w:t xml:space="preserve">site, and the strength of ground motion with a specified probability of occurring </w:t>
      </w:r>
      <w:r w:rsidR="00A57CA8">
        <w:t>on</w:t>
      </w:r>
      <w:r w:rsidR="00A57CA8" w:rsidRPr="00617ACC">
        <w:t xml:space="preserve"> </w:t>
      </w:r>
      <w:r w:rsidRPr="00617ACC">
        <w:t>the project site. The proposed development would be required to adhere to the provisions of the CBC, which are enforced by the City during the development review and building plan check process. Compliance with the requirements of the CBC for structural safety during a seismic event would reduce hazards from strong seismic ground shaking.</w:t>
      </w:r>
    </w:p>
    <w:p w14:paraId="0711E74E" w14:textId="77777777" w:rsidR="00BB507A" w:rsidRDefault="003D7E68" w:rsidP="003D7E68">
      <w:pPr>
        <w:pStyle w:val="BodyTextIndent5"/>
      </w:pPr>
      <w:r w:rsidRPr="00617ACC">
        <w:t>Furthermore, requirements for geotechnical investigations are included in CBC Appendix J</w:t>
      </w:r>
      <w:r>
        <w:t>,</w:t>
      </w:r>
      <w:r w:rsidRPr="00617ACC">
        <w:t xml:space="preserve"> Section J104.3</w:t>
      </w:r>
      <w:r>
        <w:t xml:space="preserve">, </w:t>
      </w:r>
      <w:r w:rsidRPr="00D71ABD">
        <w:t>Geotechnical Reports</w:t>
      </w:r>
      <w:r w:rsidRPr="00354C3D">
        <w:t>.</w:t>
      </w:r>
      <w:r w:rsidRPr="00617ACC">
        <w:t xml:space="preserve"> The project applicant </w:t>
      </w:r>
      <w:r w:rsidR="007222FB">
        <w:t xml:space="preserve">prepared a preliminary geotechnical report </w:t>
      </w:r>
      <w:r w:rsidRPr="00617ACC">
        <w:t>pursuant to the CBC</w:t>
      </w:r>
      <w:r w:rsidR="007222FB">
        <w:t xml:space="preserve"> and would prepare a final report </w:t>
      </w:r>
      <w:r w:rsidR="007222FB" w:rsidRPr="00617ACC">
        <w:t>prior to the issuance of grading permits</w:t>
      </w:r>
      <w:r w:rsidR="007222FB">
        <w:t xml:space="preserve">. The preparation of a final report </w:t>
      </w:r>
      <w:r w:rsidRPr="00617ACC">
        <w:t xml:space="preserve">would be imposed by the City as a condition of </w:t>
      </w:r>
      <w:r w:rsidR="008A3937">
        <w:t>p</w:t>
      </w:r>
      <w:r>
        <w:t>roject</w:t>
      </w:r>
      <w:r w:rsidRPr="00617ACC">
        <w:t xml:space="preserve"> approval. The geotechnical report would include calculations of seismic design parameters that must be used in the design of proposed buildings and structures. For example, testing samples from subsurface investigations (such as from borings or test pits) would be undertaken as a part of the geotechnical report. The soil samples would be analyzed to</w:t>
      </w:r>
      <w:r w:rsidR="007222FB">
        <w:t>,</w:t>
      </w:r>
      <w:r w:rsidRPr="00617ACC">
        <w:t xml:space="preserve"> among other factors</w:t>
      </w:r>
      <w:r w:rsidR="007222FB">
        <w:t>,</w:t>
      </w:r>
      <w:r w:rsidRPr="00617ACC">
        <w:t xml:space="preserve"> evaluate slope stability, soil strength, position and adequacy of load-bearing soils, the effect of moisture variation on load-bearing capacity, compressibility, liquefaction, differential settlement, and expansiveness. Also, CBC Section 1705.6 sets forth requirements for inspection and observation during and after grading. Compliance with the provisions of the CBC and design recommendations outlined in the geotechnical report would be ensured through the City’s development review and building plan check process.</w:t>
      </w:r>
      <w:r w:rsidR="00BB507A">
        <w:t xml:space="preserve"> </w:t>
      </w:r>
    </w:p>
    <w:p w14:paraId="54E33E54" w14:textId="77777777" w:rsidR="00BB507A" w:rsidRPr="00617ACC" w:rsidRDefault="00BB507A" w:rsidP="00BB507A">
      <w:pPr>
        <w:pStyle w:val="BodyTextIndent5"/>
      </w:pPr>
      <w:r w:rsidRPr="00617ACC">
        <w:t xml:space="preserve">In summary, compliance with the provisions of the CBC and </w:t>
      </w:r>
      <w:r>
        <w:t xml:space="preserve">required </w:t>
      </w:r>
      <w:r w:rsidRPr="00617ACC">
        <w:t xml:space="preserve">implementation of the recommended design recommendations outlined in the </w:t>
      </w:r>
      <w:r>
        <w:t xml:space="preserve">final </w:t>
      </w:r>
      <w:r w:rsidRPr="00617ACC">
        <w:t>geotechnical report</w:t>
      </w:r>
      <w:r>
        <w:t xml:space="preserve"> prepared</w:t>
      </w:r>
      <w:r w:rsidRPr="003E626D">
        <w:t xml:space="preserve"> pursuant to the CBC</w:t>
      </w:r>
      <w:r w:rsidR="00A57CA8">
        <w:t xml:space="preserve"> </w:t>
      </w:r>
      <w:r w:rsidRPr="00617ACC">
        <w:t>would reduce hazards arising from strong seismic ground shaking. Therefore, impacts would be less than significant</w:t>
      </w:r>
      <w:r>
        <w:t xml:space="preserve">. </w:t>
      </w:r>
    </w:p>
    <w:p w14:paraId="2CDAEFB0" w14:textId="77777777" w:rsidR="00D10CF6" w:rsidRDefault="00D10CF6" w:rsidP="009D6ECC">
      <w:pPr>
        <w:pStyle w:val="List"/>
        <w:numPr>
          <w:ilvl w:val="1"/>
          <w:numId w:val="28"/>
        </w:numPr>
      </w:pPr>
      <w:r>
        <w:t>Seismic-related ground failure, including liquefaction?</w:t>
      </w:r>
    </w:p>
    <w:p w14:paraId="6629FE3D" w14:textId="77777777" w:rsidR="008A3937" w:rsidRDefault="008A3937" w:rsidP="008A3937">
      <w:pPr>
        <w:pStyle w:val="BodyTextIndent5"/>
      </w:pPr>
      <w:r w:rsidRPr="008A3937">
        <w:rPr>
          <w:rStyle w:val="BodyTextBoldChar"/>
        </w:rPr>
        <w:t xml:space="preserve">Less Than Significant Impact. </w:t>
      </w:r>
      <w:bookmarkStart w:id="154" w:name="_Hlk507488341"/>
      <w:r w:rsidRPr="008A3937">
        <w:t>Liquefaction refers to lose, saturated sand or silt deposits that behave as a liquid and lose their load-supporting capability when strongly shaken. Loose granular soils and silts that are saturated by relatively shallow groundwater are susceptible to liquefaction.</w:t>
      </w:r>
      <w:bookmarkEnd w:id="154"/>
      <w:r w:rsidRPr="008A3937">
        <w:t xml:space="preserve"> Liquefaction occurs when three general conditions coexist: 1) shallow groundwater; 2) low density noncohesive (granular) soils; and 3) high-intensity ground motion. Lateral spreading is the downslope movement of surface sediment due to liquefaction in a subsurface layer.</w:t>
      </w:r>
    </w:p>
    <w:p w14:paraId="740B590D" w14:textId="77777777" w:rsidR="008A3937" w:rsidRDefault="008A3937" w:rsidP="00D24CA7">
      <w:pPr>
        <w:pStyle w:val="BodyTextIndent5"/>
      </w:pPr>
      <w:r w:rsidRPr="008A3937">
        <w:t>Maps of seismic hazard zones are issued by the California Geological Survey (CGS) in accordance with the Seismic Hazards Mapping Act enacted in April 1997. The intent of the Seismic Hazards Mapping Act is to provide for a statewide seismic hazard mapping and technical advisory program to assist cities and counties in developing compliance requirements to protect the public health and safety from the effects of strong ground shaking, liquefaction, landslides or other ground failure</w:t>
      </w:r>
      <w:r w:rsidR="00BD4BD3">
        <w:t>,</w:t>
      </w:r>
      <w:r w:rsidRPr="008A3937">
        <w:t xml:space="preserve"> and other seismic hazards caused by earthquakes. </w:t>
      </w:r>
    </w:p>
    <w:p w14:paraId="72644154" w14:textId="77777777" w:rsidR="009F1041" w:rsidRPr="00710DE1" w:rsidRDefault="009F1041" w:rsidP="009F1041">
      <w:pPr>
        <w:pStyle w:val="BodyTextIndent5"/>
      </w:pPr>
      <w:r>
        <w:t>The Seismic Hazards Map for the Baldwin Park, California 7.5 Minute Quadrangle, published by the CGS</w:t>
      </w:r>
      <w:r w:rsidR="00BD4BD3">
        <w:t>,</w:t>
      </w:r>
      <w:r>
        <w:t xml:space="preserve"> indicates that the subject site is not located within a designated liquefaction hazard zone. In addition, the subsurface conditions encountered at the site are not considered </w:t>
      </w:r>
      <w:r w:rsidRPr="00710DE1">
        <w:t>to be conducive to liquefaction. Based on the mapping performed by CGS and the conditions encountered at the trench</w:t>
      </w:r>
      <w:r w:rsidR="007222FB">
        <w:t>es analyzed on</w:t>
      </w:r>
      <w:r w:rsidR="00BD4BD3">
        <w:t>-</w:t>
      </w:r>
      <w:r w:rsidR="007222FB">
        <w:t>site</w:t>
      </w:r>
      <w:r w:rsidRPr="00710DE1">
        <w:t>, liquefaction is not considered a significant design concern for th</w:t>
      </w:r>
      <w:r w:rsidR="00D24CA7" w:rsidRPr="00710DE1">
        <w:t>e proposed</w:t>
      </w:r>
      <w:r w:rsidRPr="00710DE1">
        <w:t xml:space="preserve"> project.</w:t>
      </w:r>
    </w:p>
    <w:p w14:paraId="0B2B2C3B" w14:textId="77777777" w:rsidR="008A3937" w:rsidRPr="00710DE1" w:rsidRDefault="008A3937" w:rsidP="008A3937">
      <w:pPr>
        <w:pStyle w:val="BodyTextIndent5"/>
      </w:pPr>
      <w:r w:rsidRPr="00710DE1">
        <w:t xml:space="preserve">Additionally, project site grading, design, and construction would conform with the recommended design parameters of the required geotechnical report. Preparation of the </w:t>
      </w:r>
      <w:r w:rsidR="007222FB">
        <w:t xml:space="preserve">final </w:t>
      </w:r>
      <w:r w:rsidRPr="00710DE1">
        <w:t>geotechnical report would be required prior to the issuance of grading permits. Compliance with the design parameter</w:t>
      </w:r>
      <w:r w:rsidR="00710DE1" w:rsidRPr="00710DE1">
        <w:t>s</w:t>
      </w:r>
      <w:r w:rsidRPr="00710DE1">
        <w:t xml:space="preserve"> of the geotechnical report would be ensured through the City’s building plan check and development review process.</w:t>
      </w:r>
    </w:p>
    <w:p w14:paraId="124C7887" w14:textId="77777777" w:rsidR="008A3937" w:rsidRPr="00710DE1" w:rsidRDefault="008A3937" w:rsidP="008A3937">
      <w:pPr>
        <w:pStyle w:val="BodyTextIndent5"/>
      </w:pPr>
      <w:r w:rsidRPr="00710DE1">
        <w:t xml:space="preserve">Therefore, impacts associated with liquefaction would be less than significant. </w:t>
      </w:r>
    </w:p>
    <w:p w14:paraId="1AB88326" w14:textId="77777777" w:rsidR="00D10CF6" w:rsidRDefault="00D10CF6" w:rsidP="009D6ECC">
      <w:pPr>
        <w:pStyle w:val="List"/>
        <w:numPr>
          <w:ilvl w:val="1"/>
          <w:numId w:val="28"/>
        </w:numPr>
      </w:pPr>
      <w:r>
        <w:t>Landslides?</w:t>
      </w:r>
    </w:p>
    <w:p w14:paraId="338C13CF" w14:textId="230FD166" w:rsidR="00556B3E" w:rsidRPr="00556B3E" w:rsidRDefault="00F111C5" w:rsidP="00556B3E">
      <w:pPr>
        <w:pStyle w:val="BodyTextIndent5"/>
        <w:rPr>
          <w:color w:val="000000" w:themeColor="text1"/>
        </w:rPr>
      </w:pPr>
      <w:r>
        <w:rPr>
          <w:rStyle w:val="BodyTextBoldChar"/>
        </w:rPr>
        <w:t xml:space="preserve">Less Than Significant Impact. </w:t>
      </w:r>
      <w:r w:rsidR="00556B3E" w:rsidRPr="00556B3E">
        <w:rPr>
          <w:color w:val="000000" w:themeColor="text1"/>
        </w:rPr>
        <w:t xml:space="preserve">Landslides are the downslope movement of geologic materials. Slope failures in the form of landslides are common during strong seismic shaking in areas of steep hills. The overall site topography can be characterized as relatively flat, with no notable change in elevation. The site generally slopes downward to the southwest at a gradient of 1 to 2 percent. However, a few hundred feet east of the site, beyond Azusa Canyon Road and Big Dalton Wash, is the </w:t>
      </w:r>
      <w:r w:rsidR="00517DEE">
        <w:rPr>
          <w:color w:val="000000" w:themeColor="text1"/>
        </w:rPr>
        <w:t>Olive Pit mine site/sand and gravel quarry</w:t>
      </w:r>
      <w:r w:rsidR="00B82EBB">
        <w:rPr>
          <w:color w:val="000000" w:themeColor="text1"/>
        </w:rPr>
        <w:t>, which</w:t>
      </w:r>
      <w:r w:rsidR="00556B3E" w:rsidRPr="00556B3E">
        <w:rPr>
          <w:color w:val="000000" w:themeColor="text1"/>
        </w:rPr>
        <w:t xml:space="preserve"> began operations in 1925 and ceased operations in the mid</w:t>
      </w:r>
      <w:r w:rsidR="00B82EBB">
        <w:rPr>
          <w:color w:val="000000" w:themeColor="text1"/>
        </w:rPr>
        <w:t>-</w:t>
      </w:r>
      <w:r w:rsidR="00556B3E" w:rsidRPr="00556B3E">
        <w:rPr>
          <w:color w:val="000000" w:themeColor="text1"/>
        </w:rPr>
        <w:t>1970s. The bottom of the Olive Pit</w:t>
      </w:r>
      <w:r w:rsidR="00C90E4F" w:rsidRPr="00C90E4F">
        <w:rPr>
          <w:color w:val="000000" w:themeColor="text1"/>
        </w:rPr>
        <w:t xml:space="preserve"> </w:t>
      </w:r>
      <w:r w:rsidR="00C90E4F">
        <w:rPr>
          <w:color w:val="000000" w:themeColor="text1"/>
        </w:rPr>
        <w:t>mine site/sand and gravel quarry</w:t>
      </w:r>
      <w:r w:rsidR="00556B3E" w:rsidRPr="00556B3E">
        <w:rPr>
          <w:color w:val="000000" w:themeColor="text1"/>
        </w:rPr>
        <w:t xml:space="preserve"> excavation is approximately 200 feet below the adjacent street grades and contains side slopes ranging from approximately 50 percent to 100 percent</w:t>
      </w:r>
      <w:r w:rsidR="00B85BC9">
        <w:rPr>
          <w:color w:val="000000" w:themeColor="text1"/>
        </w:rPr>
        <w:t xml:space="preserve">. </w:t>
      </w:r>
    </w:p>
    <w:p w14:paraId="1FE0BF39" w14:textId="30E10D33" w:rsidR="00556B3E" w:rsidRPr="00556B3E" w:rsidRDefault="00556B3E" w:rsidP="00556B3E">
      <w:pPr>
        <w:pStyle w:val="BodyTextIndent5"/>
        <w:rPr>
          <w:color w:val="000000" w:themeColor="text1"/>
        </w:rPr>
      </w:pPr>
      <w:r w:rsidRPr="00556B3E">
        <w:rPr>
          <w:color w:val="000000" w:themeColor="text1"/>
        </w:rPr>
        <w:t xml:space="preserve">Based on the results of the geotechnical analysis and in accordance with Section 111 of the Los Angeles County Building Code, the proposed development would not be subject to landslides and would not adversely affect the geologic stability of the adjacent properties. </w:t>
      </w:r>
      <w:r w:rsidR="00302932">
        <w:rPr>
          <w:color w:val="000000" w:themeColor="text1"/>
        </w:rPr>
        <w:t>The</w:t>
      </w:r>
      <w:r w:rsidRPr="00556B3E">
        <w:rPr>
          <w:color w:val="000000" w:themeColor="text1"/>
        </w:rPr>
        <w:t xml:space="preserve"> proposed structure would consist of a new warehouse building of concrete tilt-up construction supported on conventional shallow foundations. Based on the anticipated foundation loads, the lateral extent of foundation influence will not significantly extend beyond the area of the proposed structure. Because the proposed structure will be more than 100 feet from the </w:t>
      </w:r>
      <w:r w:rsidR="00517DEE">
        <w:rPr>
          <w:color w:val="000000" w:themeColor="text1"/>
        </w:rPr>
        <w:t>Olive Pit mine site/sand and gravel quarry</w:t>
      </w:r>
      <w:r w:rsidRPr="00556B3E">
        <w:rPr>
          <w:color w:val="000000" w:themeColor="text1"/>
        </w:rPr>
        <w:t xml:space="preserve">, </w:t>
      </w:r>
      <w:r w:rsidR="00302932">
        <w:rPr>
          <w:color w:val="000000" w:themeColor="text1"/>
        </w:rPr>
        <w:t xml:space="preserve">and the Big Dalton wash culvert is between the site and the quarry, </w:t>
      </w:r>
      <w:r w:rsidRPr="00556B3E">
        <w:rPr>
          <w:color w:val="000000" w:themeColor="text1"/>
        </w:rPr>
        <w:t xml:space="preserve">the proposed project would have no significant hazard related to the mining quarry. </w:t>
      </w:r>
      <w:r w:rsidR="00B82EBB">
        <w:rPr>
          <w:color w:val="000000" w:themeColor="text1"/>
        </w:rPr>
        <w:t>T</w:t>
      </w:r>
      <w:r w:rsidR="00302932">
        <w:rPr>
          <w:color w:val="000000" w:themeColor="text1"/>
        </w:rPr>
        <w:t>he</w:t>
      </w:r>
      <w:r w:rsidR="00302932" w:rsidRPr="00302932">
        <w:rPr>
          <w:color w:val="000000" w:themeColor="text1"/>
        </w:rPr>
        <w:t xml:space="preserve"> </w:t>
      </w:r>
      <w:r w:rsidR="00302932">
        <w:rPr>
          <w:color w:val="000000" w:themeColor="text1"/>
        </w:rPr>
        <w:t>west</w:t>
      </w:r>
      <w:r w:rsidR="00302932" w:rsidRPr="00302932">
        <w:rPr>
          <w:color w:val="000000" w:themeColor="text1"/>
        </w:rPr>
        <w:t xml:space="preserve"> side of the culvert is partially within a required zone of investigation for earthquake-induced landslides due to the </w:t>
      </w:r>
      <w:r w:rsidR="00302932">
        <w:rPr>
          <w:color w:val="000000" w:themeColor="text1"/>
        </w:rPr>
        <w:t>mining quarry</w:t>
      </w:r>
      <w:r w:rsidR="00302932" w:rsidRPr="00302932">
        <w:rPr>
          <w:color w:val="000000" w:themeColor="text1"/>
        </w:rPr>
        <w:t xml:space="preserve">, but </w:t>
      </w:r>
      <w:r w:rsidR="00302932">
        <w:rPr>
          <w:color w:val="000000" w:themeColor="text1"/>
        </w:rPr>
        <w:t>the area of investigation</w:t>
      </w:r>
      <w:r w:rsidR="00302932" w:rsidRPr="00302932">
        <w:rPr>
          <w:color w:val="000000" w:themeColor="text1"/>
        </w:rPr>
        <w:t xml:space="preserve"> does not extend past the mainline of the culvert. </w:t>
      </w:r>
      <w:r w:rsidRPr="00556B3E">
        <w:rPr>
          <w:color w:val="000000" w:themeColor="text1"/>
        </w:rPr>
        <w:t xml:space="preserve">Therefore, impacts would be less than significant. </w:t>
      </w:r>
    </w:p>
    <w:p w14:paraId="0C14AB14" w14:textId="77777777" w:rsidR="00D10CF6" w:rsidRDefault="00D10CF6" w:rsidP="00D10CF6">
      <w:pPr>
        <w:pStyle w:val="List"/>
        <w:numPr>
          <w:ilvl w:val="0"/>
          <w:numId w:val="6"/>
        </w:numPr>
      </w:pPr>
      <w:r>
        <w:t>Result in substantial soil erosion or the loss of topsoil?</w:t>
      </w:r>
    </w:p>
    <w:p w14:paraId="0FF3C8AE" w14:textId="77777777" w:rsidR="008A3937" w:rsidRPr="00090352" w:rsidRDefault="008A3937" w:rsidP="008A3937">
      <w:pPr>
        <w:pStyle w:val="BodyText"/>
      </w:pPr>
      <w:r w:rsidRPr="00090352">
        <w:rPr>
          <w:rStyle w:val="BodyTextBoldChar"/>
        </w:rPr>
        <w:t>Less Than Significant Impact.</w:t>
      </w:r>
      <w:r w:rsidRPr="00090352">
        <w:t xml:space="preserve"> Erosion is the movement of rock and soil from place to place and is a natural process. Common agents of erosion in the project region include wind and flowing water. Significant erosion typically occurs on steep slopes where stormwater and high winds can carry topsoil down hillsides. Erosion can be increased greatly by earth-moving activities if erosion control measures are not used. </w:t>
      </w:r>
    </w:p>
    <w:p w14:paraId="16666759" w14:textId="77777777" w:rsidR="008A3937" w:rsidRPr="00090352" w:rsidRDefault="008A3937" w:rsidP="008A3937">
      <w:pPr>
        <w:pStyle w:val="BodyText"/>
      </w:pPr>
      <w:r w:rsidRPr="00090352">
        <w:t xml:space="preserve">Following is a discussion of the potential erosion impacts resulting from the </w:t>
      </w:r>
      <w:r w:rsidR="00090352" w:rsidRPr="00090352">
        <w:t>proposed p</w:t>
      </w:r>
      <w:r w:rsidRPr="00090352">
        <w:t>roject’s construction and operational phases.</w:t>
      </w:r>
    </w:p>
    <w:p w14:paraId="71977448" w14:textId="77777777" w:rsidR="008A3937" w:rsidRPr="00090352" w:rsidRDefault="008A3937" w:rsidP="008A3937">
      <w:pPr>
        <w:pStyle w:val="Heading5"/>
      </w:pPr>
      <w:r w:rsidRPr="00090352">
        <w:t>Construction Phase</w:t>
      </w:r>
    </w:p>
    <w:p w14:paraId="5A54DBC6" w14:textId="44C41A85" w:rsidR="008A3937" w:rsidRPr="00090352" w:rsidRDefault="008A3937" w:rsidP="008A3937">
      <w:pPr>
        <w:pStyle w:val="BodyText"/>
      </w:pPr>
      <w:r w:rsidRPr="00090352">
        <w:t xml:space="preserve">Project development would involve </w:t>
      </w:r>
      <w:r w:rsidR="00090352" w:rsidRPr="00090352">
        <w:t xml:space="preserve">demolition, </w:t>
      </w:r>
      <w:r w:rsidRPr="00090352">
        <w:t>excavation, grading, and construction activities that would disturb soil and leave exposed soil on the ground surface. Common means of soil erosion from construction sites include water, wind, and track</w:t>
      </w:r>
      <w:r w:rsidR="007222FB">
        <w:t>ing</w:t>
      </w:r>
      <w:r w:rsidRPr="00090352">
        <w:t xml:space="preserve"> off</w:t>
      </w:r>
      <w:r w:rsidR="00BD4BD3">
        <w:t>-</w:t>
      </w:r>
      <w:r w:rsidRPr="00090352">
        <w:t xml:space="preserve">site by vehicles. These activities could result in soil erosion. However, development on the project site is subject to local and state codes and requirements for erosion control and grading during construction. For example, project development is required to comply with </w:t>
      </w:r>
      <w:r w:rsidR="001C7EE0">
        <w:t>SCAQMD</w:t>
      </w:r>
      <w:r w:rsidRPr="00090352">
        <w:t xml:space="preserve"> Rules 402</w:t>
      </w:r>
      <w:r w:rsidR="007222FB">
        <w:t xml:space="preserve">, </w:t>
      </w:r>
      <w:r w:rsidRPr="00D71ABD">
        <w:t>Nuisance</w:t>
      </w:r>
      <w:r w:rsidR="007222FB">
        <w:t>,</w:t>
      </w:r>
      <w:r w:rsidRPr="00090352">
        <w:t xml:space="preserve"> and 403</w:t>
      </w:r>
      <w:r w:rsidR="007222FB">
        <w:t xml:space="preserve">, </w:t>
      </w:r>
      <w:r w:rsidRPr="00D71ABD">
        <w:t>Fugitive Dust</w:t>
      </w:r>
      <w:r w:rsidRPr="00354C3D">
        <w:t xml:space="preserve">, </w:t>
      </w:r>
      <w:r w:rsidRPr="00090352">
        <w:t xml:space="preserve">which would reduce construction erosion impacts. Rule 403 requires that fugitive dust be controlled with best available control measures so that </w:t>
      </w:r>
      <w:r w:rsidR="00BD4BD3">
        <w:t>it</w:t>
      </w:r>
      <w:r w:rsidRPr="00090352">
        <w:t xml:space="preserve"> does not remain visible in the atmosphere beyond the property line of the emissions source. Rule 402 requires dust suppression techniques to prevent dust and soil erosion from creating a nuisance off</w:t>
      </w:r>
      <w:r w:rsidR="00BD4BD3">
        <w:t>-</w:t>
      </w:r>
      <w:r w:rsidRPr="00090352">
        <w:t xml:space="preserve">site. For example, control measures to reduce erosion during grading and construction activities include stabilizing fill materials when not actively handling, stabilizing soils during </w:t>
      </w:r>
      <w:r w:rsidR="007222FB" w:rsidRPr="00090352">
        <w:t>clearing</w:t>
      </w:r>
      <w:r w:rsidR="007222FB">
        <w:t xml:space="preserve"> </w:t>
      </w:r>
      <w:r w:rsidRPr="00090352">
        <w:t xml:space="preserve">and grubbing activities, and stabilizing soils during and after cut-and-fill activities. </w:t>
      </w:r>
    </w:p>
    <w:p w14:paraId="0480313F" w14:textId="77777777" w:rsidR="008A3937" w:rsidRPr="00090352" w:rsidRDefault="008A3937" w:rsidP="008A3937">
      <w:pPr>
        <w:pStyle w:val="BodyText"/>
      </w:pPr>
      <w:bookmarkStart w:id="155" w:name="_Hlk486257838"/>
      <w:r w:rsidRPr="00090352">
        <w:t xml:space="preserve">Additionally, the Construction General Permit (CGP) issued by the State Water Resources Control Board, effective July 17, 2012, regulates construction activities to minimize water pollution, including sediment risk from construction activities to receiving waters. </w:t>
      </w:r>
      <w:bookmarkEnd w:id="155"/>
      <w:r w:rsidRPr="00090352">
        <w:t xml:space="preserve">Project development would be subject to the National Pollution Discharge Elimination System (NPDES) permitting regulations, including the development and implementation of a Stormwater Pollution Prevention Plan (SWPPP), which is further discussed in Section 3.10, </w:t>
      </w:r>
      <w:r w:rsidRPr="00090352">
        <w:rPr>
          <w:rStyle w:val="BodyTextItalicChar"/>
        </w:rPr>
        <w:t>Hydrology and Water Quality</w:t>
      </w:r>
      <w:r w:rsidRPr="00090352">
        <w:t xml:space="preserve">. The </w:t>
      </w:r>
      <w:r w:rsidR="00090352" w:rsidRPr="00090352">
        <w:t>proposed p</w:t>
      </w:r>
      <w:r w:rsidRPr="00090352">
        <w:t xml:space="preserve">roject’s construction contractor would be required to prepare and implement a SWPPP and associated best management practices (BMPs) in compliance with the CGP during grading and construction. </w:t>
      </w:r>
      <w:r w:rsidR="000461C3">
        <w:t>T</w:t>
      </w:r>
      <w:r w:rsidRPr="00090352">
        <w:t xml:space="preserve">ypes of BMPs that are incorporated in SWPPPs and would help minimize impacts from soil erosion include: </w:t>
      </w:r>
    </w:p>
    <w:p w14:paraId="44EDEA18" w14:textId="7E012BC5" w:rsidR="008A3937" w:rsidRPr="00090352" w:rsidRDefault="008A3937" w:rsidP="008A3937">
      <w:pPr>
        <w:pStyle w:val="Bullet1last"/>
      </w:pPr>
      <w:r w:rsidRPr="00090352">
        <w:rPr>
          <w:b/>
          <w:bCs/>
        </w:rPr>
        <w:t>Erosion controls:</w:t>
      </w:r>
      <w:r w:rsidRPr="00090352">
        <w:t xml:space="preserve"> </w:t>
      </w:r>
      <w:r w:rsidR="001C7EE0">
        <w:t>C</w:t>
      </w:r>
      <w:r w:rsidRPr="00090352">
        <w:t>over and/or bind soil surface to prevent soil particles from being detached and transported by water or wind. Erosion control BMPs include mulch, soil binders, and mats.</w:t>
      </w:r>
    </w:p>
    <w:p w14:paraId="763A7B00" w14:textId="77777777" w:rsidR="008A3937" w:rsidRPr="00090352" w:rsidRDefault="008A3937" w:rsidP="008A3937">
      <w:pPr>
        <w:pStyle w:val="Bullet1last"/>
      </w:pPr>
      <w:r w:rsidRPr="00090352">
        <w:rPr>
          <w:b/>
          <w:bCs/>
        </w:rPr>
        <w:t>Sediment controls:</w:t>
      </w:r>
      <w:r w:rsidRPr="00090352">
        <w:t xml:space="preserve"> Filter out soil particles that have been detached and transported in water. Sediment control BMPs include barriers, and cleaning measures such as street sweeping.</w:t>
      </w:r>
    </w:p>
    <w:p w14:paraId="3C8D9880" w14:textId="77777777" w:rsidR="008A3937" w:rsidRPr="00090352" w:rsidRDefault="008A3937" w:rsidP="008A3937">
      <w:pPr>
        <w:pStyle w:val="Bullet1last"/>
      </w:pPr>
      <w:r w:rsidRPr="00090352">
        <w:rPr>
          <w:b/>
          <w:bCs/>
        </w:rPr>
        <w:t>Tracking controls:</w:t>
      </w:r>
      <w:r w:rsidRPr="00090352">
        <w:t xml:space="preserve"> Tracking control BMPs minimize the tracking of soil offsite by vehicles; for instance, stabilizing construction roadways and entrances/exits.</w:t>
      </w:r>
    </w:p>
    <w:p w14:paraId="1F2036C0" w14:textId="77777777" w:rsidR="008A3937" w:rsidRPr="00090352" w:rsidRDefault="008A3937" w:rsidP="008A3937">
      <w:pPr>
        <w:pStyle w:val="BodyText"/>
      </w:pPr>
      <w:r w:rsidRPr="00090352">
        <w:t xml:space="preserve">Adherence to the BMPs in the SWPPP and adherence with local and state codes and requirements for erosion control and grading during construction would reduce, prevent, or minimize soil erosion from project-related grading and construction activities. Therefore, soil erosion impacts from project-related grading and construction activities would be less than significant and no mitigation measures are necessary. </w:t>
      </w:r>
    </w:p>
    <w:p w14:paraId="31E12BD5" w14:textId="77777777" w:rsidR="008A3937" w:rsidRPr="00090352" w:rsidRDefault="008A3937" w:rsidP="008A3937">
      <w:pPr>
        <w:pStyle w:val="Heading5"/>
      </w:pPr>
      <w:r w:rsidRPr="00090352">
        <w:t>Operation Phase</w:t>
      </w:r>
    </w:p>
    <w:p w14:paraId="265B5A2E" w14:textId="77777777" w:rsidR="008A3937" w:rsidRPr="00090352" w:rsidRDefault="008A3937" w:rsidP="008A3937">
      <w:pPr>
        <w:pStyle w:val="BodyText"/>
      </w:pPr>
      <w:r w:rsidRPr="00090352">
        <w:t xml:space="preserve">As shown in Figure 3, </w:t>
      </w:r>
      <w:r w:rsidRPr="00090352">
        <w:rPr>
          <w:rStyle w:val="BodyTextItalicChar"/>
        </w:rPr>
        <w:t>Aerial Photograph</w:t>
      </w:r>
      <w:r w:rsidRPr="00090352">
        <w:t xml:space="preserve">, </w:t>
      </w:r>
      <w:r w:rsidR="00C47708" w:rsidRPr="00090352">
        <w:t>most of</w:t>
      </w:r>
      <w:r w:rsidRPr="00090352">
        <w:t xml:space="preserve"> the project site is </w:t>
      </w:r>
      <w:r w:rsidR="00090352" w:rsidRPr="00090352">
        <w:t>developed. The overall site topography generally slopes downward to the southwest at a gradient of 1 to 2 percent</w:t>
      </w:r>
      <w:r w:rsidRPr="00090352">
        <w:t>. There are no steep hills or bluffs on</w:t>
      </w:r>
      <w:r w:rsidR="00090352" w:rsidRPr="00090352">
        <w:t xml:space="preserve"> or </w:t>
      </w:r>
      <w:r w:rsidRPr="00090352">
        <w:t>adjacent to the project site.</w:t>
      </w:r>
    </w:p>
    <w:p w14:paraId="199F5B59" w14:textId="77777777" w:rsidR="008A3937" w:rsidRPr="00090352" w:rsidRDefault="008A3937" w:rsidP="008A3937">
      <w:pPr>
        <w:pStyle w:val="BodyText"/>
      </w:pPr>
      <w:r w:rsidRPr="00090352">
        <w:t xml:space="preserve">After project completion, the project site would be developed with a new warehouse and </w:t>
      </w:r>
      <w:r w:rsidR="00090352" w:rsidRPr="00090352">
        <w:t>manufacturing</w:t>
      </w:r>
      <w:r w:rsidRPr="00090352">
        <w:t xml:space="preserve"> facility and associated hardscape and landscape improvements. All landscaped areas would be required to comply with the provisions of the Model Water Efficient Landscape Ordinance and Chapter </w:t>
      </w:r>
      <w:r w:rsidR="00090352" w:rsidRPr="00090352">
        <w:t xml:space="preserve">15.30, </w:t>
      </w:r>
      <w:r w:rsidR="000461C3">
        <w:t>“</w:t>
      </w:r>
      <w:r w:rsidR="00090352" w:rsidRPr="00D71ABD">
        <w:t>Water Efficient Landscape Standards and Guidelines</w:t>
      </w:r>
      <w:r w:rsidR="00090352" w:rsidRPr="00090352">
        <w:t>,</w:t>
      </w:r>
      <w:r w:rsidR="000461C3">
        <w:t>”</w:t>
      </w:r>
      <w:r w:rsidR="00090352" w:rsidRPr="00090352">
        <w:t xml:space="preserve"> </w:t>
      </w:r>
      <w:r w:rsidRPr="00090352">
        <w:t xml:space="preserve">of the </w:t>
      </w:r>
      <w:r w:rsidR="00090352" w:rsidRPr="00090352">
        <w:t>Irwindale Municipal Code</w:t>
      </w:r>
      <w:r w:rsidRPr="00090352">
        <w:t>. For example, the proposed landscaping would be water conserving and enable soil stabilization and minimize erosion. Upon project completion, the potential for soil erosion or the loss of topsoil would be expected to be extremely low.</w:t>
      </w:r>
    </w:p>
    <w:p w14:paraId="1180277F" w14:textId="77777777" w:rsidR="008A3937" w:rsidRPr="00090352" w:rsidRDefault="008A3937" w:rsidP="008A3937">
      <w:pPr>
        <w:pStyle w:val="BodyText"/>
      </w:pPr>
      <w:r w:rsidRPr="00090352">
        <w:t xml:space="preserve">Furthermore, in </w:t>
      </w:r>
      <w:r w:rsidRPr="00056011">
        <w:t xml:space="preserve">accordance with the City’s initial requirements for development projects, the project applicant prepared a preliminary </w:t>
      </w:r>
      <w:r w:rsidR="000461C3" w:rsidRPr="00056011">
        <w:t xml:space="preserve">low impact development </w:t>
      </w:r>
      <w:r w:rsidR="00090352" w:rsidRPr="00056011">
        <w:t>(</w:t>
      </w:r>
      <w:r w:rsidR="00056011" w:rsidRPr="00056011">
        <w:t>LID</w:t>
      </w:r>
      <w:r w:rsidR="00090352" w:rsidRPr="00056011">
        <w:t>)</w:t>
      </w:r>
      <w:r w:rsidRPr="00056011">
        <w:t xml:space="preserve"> </w:t>
      </w:r>
      <w:r w:rsidR="000461C3" w:rsidRPr="00056011">
        <w:t>p</w:t>
      </w:r>
      <w:r w:rsidR="00056011" w:rsidRPr="00056011">
        <w:t xml:space="preserve">lan </w:t>
      </w:r>
      <w:r w:rsidRPr="00056011">
        <w:t>for City</w:t>
      </w:r>
      <w:r w:rsidRPr="00090352">
        <w:t xml:space="preserve"> </w:t>
      </w:r>
      <w:r w:rsidRPr="00CA0028">
        <w:t xml:space="preserve">review (Appendix </w:t>
      </w:r>
      <w:r w:rsidR="003A20AD">
        <w:t>F</w:t>
      </w:r>
      <w:r w:rsidRPr="00CA0028">
        <w:t>). BMPs</w:t>
      </w:r>
      <w:r w:rsidRPr="00090352">
        <w:t xml:space="preserve"> specified for the </w:t>
      </w:r>
      <w:r w:rsidR="00090352" w:rsidRPr="00090352">
        <w:t xml:space="preserve">proposed project in the </w:t>
      </w:r>
      <w:r w:rsidR="00C47708">
        <w:t xml:space="preserve">LID </w:t>
      </w:r>
      <w:r w:rsidR="000461C3">
        <w:t>p</w:t>
      </w:r>
      <w:r w:rsidR="00C47708">
        <w:t>lan</w:t>
      </w:r>
      <w:r w:rsidRPr="00090352">
        <w:t xml:space="preserve"> would </w:t>
      </w:r>
      <w:r w:rsidR="00BB507A">
        <w:t xml:space="preserve">also </w:t>
      </w:r>
      <w:r w:rsidRPr="00090352">
        <w:t>minimize sediment pollution of stormwater</w:t>
      </w:r>
      <w:r w:rsidR="00BB507A">
        <w:t xml:space="preserve">. </w:t>
      </w:r>
      <w:r w:rsidRPr="00C47708">
        <w:t xml:space="preserve">BMPs </w:t>
      </w:r>
      <w:r w:rsidR="00090352" w:rsidRPr="00C47708">
        <w:t>a</w:t>
      </w:r>
      <w:r w:rsidR="00C47708">
        <w:t>re</w:t>
      </w:r>
      <w:r w:rsidRPr="00C47708">
        <w:t xml:space="preserve"> discussed</w:t>
      </w:r>
      <w:r w:rsidRPr="00090352">
        <w:t xml:space="preserve"> further in Section 3.10, </w:t>
      </w:r>
      <w:r w:rsidRPr="00090352">
        <w:rPr>
          <w:i/>
          <w:iCs/>
        </w:rPr>
        <w:t>Hydrology and Water Quality</w:t>
      </w:r>
      <w:r w:rsidRPr="00090352">
        <w:t xml:space="preserve">. Implementation of the BMPs would help ensure that soil erosion would not occur </w:t>
      </w:r>
      <w:r w:rsidR="000461C3">
        <w:t>during</w:t>
      </w:r>
      <w:r w:rsidR="000461C3" w:rsidRPr="00090352">
        <w:t xml:space="preserve"> </w:t>
      </w:r>
      <w:r w:rsidRPr="00090352">
        <w:t xml:space="preserve">the </w:t>
      </w:r>
      <w:r w:rsidR="00C47708">
        <w:t>proposed p</w:t>
      </w:r>
      <w:r w:rsidRPr="00090352">
        <w:t>roject’s operation phase. BMP implementation would be ensured through the City’s building plan check and development review process.</w:t>
      </w:r>
    </w:p>
    <w:p w14:paraId="7C77F585" w14:textId="77777777" w:rsidR="008A3937" w:rsidRPr="00090352" w:rsidRDefault="008A3937" w:rsidP="00D10CF6">
      <w:pPr>
        <w:pStyle w:val="BodyText"/>
      </w:pPr>
      <w:r w:rsidRPr="00090352">
        <w:t xml:space="preserve">Therefore, soil erosion impacts from the </w:t>
      </w:r>
      <w:r w:rsidR="00090352">
        <w:t>proposed p</w:t>
      </w:r>
      <w:r w:rsidRPr="00090352">
        <w:t>roject’s operation phase would be less than significant.</w:t>
      </w:r>
    </w:p>
    <w:p w14:paraId="2112ECF9" w14:textId="77777777" w:rsidR="00D10CF6" w:rsidRDefault="00D10CF6" w:rsidP="00D10CF6">
      <w:pPr>
        <w:pStyle w:val="List"/>
        <w:numPr>
          <w:ilvl w:val="0"/>
          <w:numId w:val="6"/>
        </w:numPr>
      </w:pPr>
      <w:r>
        <w:t>Be located on a geologic unit or soil that is unstable, or that would become unstable as a result of the project, and potentially result in on- or off-site landslide, lateral spreading, subsidence, liquefaction, or collapse?</w:t>
      </w:r>
    </w:p>
    <w:p w14:paraId="6E19D775" w14:textId="62FC0DA8" w:rsidR="008A3937" w:rsidRPr="008E3C2E" w:rsidRDefault="009515DC" w:rsidP="008A3937">
      <w:pPr>
        <w:pStyle w:val="BodyText"/>
      </w:pPr>
      <w:r w:rsidRPr="00556B3E">
        <w:rPr>
          <w:rStyle w:val="BodyTextBoldChar"/>
        </w:rPr>
        <w:t xml:space="preserve">Less Than Significant Impact. </w:t>
      </w:r>
      <w:r w:rsidR="008A3937" w:rsidRPr="00556B3E">
        <w:t xml:space="preserve">Hazards from liquefaction are addressed in Section 3.7.a.iii, and landslide hazards are addressed in Section 3.6.a.iv. </w:t>
      </w:r>
      <w:r w:rsidR="008A3937" w:rsidRPr="00485695">
        <w:t xml:space="preserve">As concluded in these sections, </w:t>
      </w:r>
      <w:r w:rsidR="00485695" w:rsidRPr="00485695">
        <w:t>impacts would be less than significant</w:t>
      </w:r>
      <w:r w:rsidR="008A3937" w:rsidRPr="00485695">
        <w:t>.</w:t>
      </w:r>
      <w:r w:rsidR="008A3937" w:rsidRPr="008E3C2E">
        <w:t xml:space="preserve"> </w:t>
      </w:r>
    </w:p>
    <w:p w14:paraId="706B9CE3" w14:textId="77777777" w:rsidR="008A3937" w:rsidRPr="008E3C2E" w:rsidRDefault="008A3937" w:rsidP="008A3937">
      <w:pPr>
        <w:pStyle w:val="BodyText"/>
      </w:pPr>
      <w:bookmarkStart w:id="156" w:name="_Hlk21083237"/>
      <w:r w:rsidRPr="008E3C2E">
        <w:t xml:space="preserve">Following is a discussion of the potential erosion impacts resulting from other site geologic and soil conditions. </w:t>
      </w:r>
    </w:p>
    <w:p w14:paraId="6B6E9431" w14:textId="77777777" w:rsidR="008A3937" w:rsidRPr="008E3C2E" w:rsidRDefault="008A3937" w:rsidP="008A3937">
      <w:pPr>
        <w:pStyle w:val="Heading5"/>
      </w:pPr>
      <w:bookmarkStart w:id="157" w:name="_Hlk21083399"/>
      <w:bookmarkEnd w:id="156"/>
      <w:r w:rsidRPr="008E3C2E">
        <w:t>Lateral Spreading</w:t>
      </w:r>
    </w:p>
    <w:p w14:paraId="0C381304" w14:textId="0DF92260" w:rsidR="008A3937" w:rsidRPr="008E3C2E" w:rsidRDefault="008A3937" w:rsidP="008A3937">
      <w:pPr>
        <w:pStyle w:val="BodyText"/>
      </w:pPr>
      <w:r w:rsidRPr="008E3C2E">
        <w:t>Lateral spreading is a phenomenon that occurs in association with liquefaction and includes the movement of nonliquefied soil materials. Due to the low risk of liquefaction on the project site, lateral spreading is not considered a hazard to the site</w:t>
      </w:r>
      <w:r w:rsidR="000461C3">
        <w:t>,</w:t>
      </w:r>
      <w:r w:rsidRPr="008E3C2E">
        <w:t xml:space="preserve"> and no impacts </w:t>
      </w:r>
      <w:r w:rsidR="0005407F">
        <w:t>are expected to</w:t>
      </w:r>
      <w:r w:rsidR="0005407F" w:rsidRPr="008E3C2E">
        <w:t xml:space="preserve"> </w:t>
      </w:r>
      <w:r w:rsidRPr="008E3C2E">
        <w:t xml:space="preserve">occur. </w:t>
      </w:r>
    </w:p>
    <w:p w14:paraId="5E3E33A1" w14:textId="77777777" w:rsidR="008A3937" w:rsidRPr="008E3C2E" w:rsidRDefault="008A3937" w:rsidP="008A3937">
      <w:pPr>
        <w:pStyle w:val="Heading5"/>
      </w:pPr>
      <w:r w:rsidRPr="008E3C2E">
        <w:t>Subsidence</w:t>
      </w:r>
    </w:p>
    <w:p w14:paraId="134F83A7" w14:textId="77777777" w:rsidR="008A3937" w:rsidRPr="008E3C2E" w:rsidRDefault="008A3937" w:rsidP="008A3937">
      <w:pPr>
        <w:pStyle w:val="BodyText"/>
      </w:pPr>
      <w:r w:rsidRPr="008E3C2E">
        <w:t>The major cause of ground subsidence is the excessive withdrawal of groundwater. Soils with high silt or clay content are particularly susceptible to subsidence. The project site is not mapped in an area of subsidence by the US Geological Survey (USGS 20</w:t>
      </w:r>
      <w:r w:rsidR="002C1FC9">
        <w:t>21</w:t>
      </w:r>
      <w:r w:rsidRPr="008E3C2E">
        <w:t>)</w:t>
      </w:r>
      <w:r w:rsidR="000461C3">
        <w:t>,</w:t>
      </w:r>
      <w:r w:rsidRPr="008E3C2E">
        <w:t xml:space="preserve"> and the </w:t>
      </w:r>
      <w:r w:rsidR="008E3C2E" w:rsidRPr="008E3C2E">
        <w:t>proposed p</w:t>
      </w:r>
      <w:r w:rsidRPr="008E3C2E">
        <w:t xml:space="preserve">roject does not propose any groundwater withdrawal that would create or worsen ground subsidence. </w:t>
      </w:r>
      <w:bookmarkStart w:id="158" w:name="_Hlk21522824"/>
      <w:r w:rsidR="008E3C2E" w:rsidRPr="008E3C2E">
        <w:t xml:space="preserve">Additionally, minor ground subsidence is expected due to settlement and machinery working. The subsidence is estimated to be </w:t>
      </w:r>
      <w:r w:rsidR="000461C3">
        <w:t xml:space="preserve">about </w:t>
      </w:r>
      <w:r w:rsidR="008E3C2E" w:rsidRPr="008E3C2E">
        <w:t>0.</w:t>
      </w:r>
      <w:r w:rsidR="008E3C2E">
        <w:t>1</w:t>
      </w:r>
      <w:r w:rsidR="008E3C2E" w:rsidRPr="008E3C2E">
        <w:t xml:space="preserve"> feet. </w:t>
      </w:r>
      <w:r w:rsidRPr="008E3C2E">
        <w:t>Therefore, impacts associated with subsidence would be less than significant</w:t>
      </w:r>
      <w:bookmarkEnd w:id="158"/>
      <w:r w:rsidRPr="008E3C2E">
        <w:t>.</w:t>
      </w:r>
      <w:r w:rsidR="002C1FC9">
        <w:t xml:space="preserve"> </w:t>
      </w:r>
    </w:p>
    <w:bookmarkEnd w:id="157"/>
    <w:p w14:paraId="6C7A612D" w14:textId="77777777" w:rsidR="008A3937" w:rsidRPr="00E51AA0" w:rsidRDefault="008A3937" w:rsidP="008A3937">
      <w:pPr>
        <w:pStyle w:val="Heading5"/>
      </w:pPr>
      <w:r w:rsidRPr="00E51AA0">
        <w:t>Collapsible Soils</w:t>
      </w:r>
    </w:p>
    <w:p w14:paraId="2DEEEE70" w14:textId="77777777" w:rsidR="00556B3E" w:rsidRPr="00C7350C" w:rsidRDefault="00556B3E" w:rsidP="00D07A61">
      <w:pPr>
        <w:pStyle w:val="BodyText"/>
        <w:rPr>
          <w:color w:val="000000" w:themeColor="text1"/>
        </w:rPr>
      </w:pPr>
      <w:r w:rsidRPr="00C7350C">
        <w:rPr>
          <w:color w:val="000000" w:themeColor="text1"/>
        </w:rPr>
        <w:t>Collapsible soils shrink upon being wetted and/or subject</w:t>
      </w:r>
      <w:r w:rsidR="00B82EBB">
        <w:rPr>
          <w:color w:val="000000" w:themeColor="text1"/>
        </w:rPr>
        <w:t>ed</w:t>
      </w:r>
      <w:r w:rsidRPr="00C7350C">
        <w:rPr>
          <w:color w:val="000000" w:themeColor="text1"/>
        </w:rPr>
        <w:t xml:space="preserve"> to a load. </w:t>
      </w:r>
      <w:r w:rsidR="00D07A61" w:rsidRPr="00C7350C">
        <w:rPr>
          <w:color w:val="000000" w:themeColor="text1"/>
        </w:rPr>
        <w:t>Based on the presence of fine to coarse gravel, cobbles, and boulders at the project site</w:t>
      </w:r>
      <w:r w:rsidR="00B82EBB">
        <w:rPr>
          <w:color w:val="000000" w:themeColor="text1"/>
        </w:rPr>
        <w:t>,</w:t>
      </w:r>
      <w:r w:rsidR="00D07A61" w:rsidRPr="00C7350C">
        <w:rPr>
          <w:color w:val="000000" w:themeColor="text1"/>
        </w:rPr>
        <w:t xml:space="preserve"> the near-surface native alluvial soils possess high relative densities and low void ratios.</w:t>
      </w:r>
      <w:r w:rsidR="00D07A61" w:rsidRPr="00C7350C">
        <w:rPr>
          <w:rStyle w:val="FootnoteReference"/>
          <w:color w:val="000000" w:themeColor="text1"/>
        </w:rPr>
        <w:footnoteReference w:id="11"/>
      </w:r>
      <w:r w:rsidR="00D07A61" w:rsidRPr="00C7350C">
        <w:rPr>
          <w:color w:val="000000" w:themeColor="text1"/>
        </w:rPr>
        <w:t xml:space="preserve"> Furthermore, during subsurface exploration, </w:t>
      </w:r>
      <w:r w:rsidR="00C7350C" w:rsidRPr="00C7350C">
        <w:rPr>
          <w:color w:val="000000" w:themeColor="text1"/>
        </w:rPr>
        <w:t>no</w:t>
      </w:r>
      <w:r w:rsidR="00D07A61" w:rsidRPr="00C7350C">
        <w:rPr>
          <w:color w:val="000000" w:themeColor="text1"/>
        </w:rPr>
        <w:t xml:space="preserve"> apparent porosity in the native alluvium </w:t>
      </w:r>
      <w:r w:rsidR="00C7350C" w:rsidRPr="00C7350C">
        <w:rPr>
          <w:color w:val="000000" w:themeColor="text1"/>
        </w:rPr>
        <w:t xml:space="preserve">was </w:t>
      </w:r>
      <w:r w:rsidR="00D07A61" w:rsidRPr="00C7350C">
        <w:rPr>
          <w:color w:val="000000" w:themeColor="text1"/>
        </w:rPr>
        <w:t xml:space="preserve">encountered in </w:t>
      </w:r>
      <w:r w:rsidR="00C7350C" w:rsidRPr="00C7350C">
        <w:rPr>
          <w:color w:val="000000" w:themeColor="text1"/>
        </w:rPr>
        <w:t>the</w:t>
      </w:r>
      <w:r w:rsidR="00D07A61" w:rsidRPr="00C7350C">
        <w:rPr>
          <w:color w:val="000000" w:themeColor="text1"/>
        </w:rPr>
        <w:t xml:space="preserve"> test pits.</w:t>
      </w:r>
      <w:r w:rsidR="00C7350C" w:rsidRPr="00C7350C">
        <w:rPr>
          <w:rStyle w:val="FootnoteReference"/>
          <w:color w:val="000000" w:themeColor="text1"/>
        </w:rPr>
        <w:footnoteReference w:id="12"/>
      </w:r>
      <w:r w:rsidR="00D07A61" w:rsidRPr="00C7350C">
        <w:rPr>
          <w:color w:val="000000" w:themeColor="text1"/>
        </w:rPr>
        <w:t xml:space="preserve"> Based on these considerations, the collapse potential of the near surface native alluvium at th</w:t>
      </w:r>
      <w:r w:rsidR="00C7350C" w:rsidRPr="00C7350C">
        <w:rPr>
          <w:color w:val="000000" w:themeColor="text1"/>
        </w:rPr>
        <w:t>e</w:t>
      </w:r>
      <w:r w:rsidR="00D07A61" w:rsidRPr="00C7350C">
        <w:rPr>
          <w:color w:val="000000" w:themeColor="text1"/>
        </w:rPr>
        <w:t xml:space="preserve"> site is relatively low.</w:t>
      </w:r>
      <w:r w:rsidR="00C7350C" w:rsidRPr="00C7350C">
        <w:rPr>
          <w:color w:val="000000" w:themeColor="text1"/>
        </w:rPr>
        <w:t xml:space="preserve"> </w:t>
      </w:r>
      <w:r w:rsidR="00D07A61" w:rsidRPr="00C7350C">
        <w:rPr>
          <w:color w:val="000000" w:themeColor="text1"/>
        </w:rPr>
        <w:t xml:space="preserve">Any artificial fill materials </w:t>
      </w:r>
      <w:r w:rsidR="00B82EBB">
        <w:rPr>
          <w:color w:val="000000" w:themeColor="text1"/>
        </w:rPr>
        <w:t>that</w:t>
      </w:r>
      <w:r w:rsidR="00B82EBB" w:rsidRPr="00C7350C">
        <w:rPr>
          <w:color w:val="000000" w:themeColor="text1"/>
        </w:rPr>
        <w:t xml:space="preserve"> </w:t>
      </w:r>
      <w:r w:rsidR="00D07A61" w:rsidRPr="00C7350C">
        <w:rPr>
          <w:color w:val="000000" w:themeColor="text1"/>
        </w:rPr>
        <w:t>may possess some potential for collapse w</w:t>
      </w:r>
      <w:r w:rsidR="00C7350C" w:rsidRPr="00C7350C">
        <w:rPr>
          <w:color w:val="000000" w:themeColor="text1"/>
        </w:rPr>
        <w:t>ould</w:t>
      </w:r>
      <w:r w:rsidR="00D07A61" w:rsidRPr="00C7350C">
        <w:rPr>
          <w:color w:val="000000" w:themeColor="text1"/>
        </w:rPr>
        <w:t xml:space="preserve"> be removed from the proposed building area and replaced </w:t>
      </w:r>
      <w:r w:rsidR="00C7350C" w:rsidRPr="00C7350C">
        <w:rPr>
          <w:color w:val="000000" w:themeColor="text1"/>
        </w:rPr>
        <w:t>by</w:t>
      </w:r>
      <w:r w:rsidR="00D07A61" w:rsidRPr="00C7350C">
        <w:rPr>
          <w:color w:val="000000" w:themeColor="text1"/>
        </w:rPr>
        <w:t xml:space="preserve"> compacted structural fill.</w:t>
      </w:r>
    </w:p>
    <w:p w14:paraId="423E1887" w14:textId="77777777" w:rsidR="00556B3E" w:rsidRPr="00C7350C" w:rsidRDefault="00556B3E" w:rsidP="00556B3E">
      <w:pPr>
        <w:pStyle w:val="BodyText"/>
        <w:rPr>
          <w:color w:val="000000" w:themeColor="text1"/>
        </w:rPr>
      </w:pPr>
      <w:r w:rsidRPr="00C7350C">
        <w:rPr>
          <w:color w:val="000000" w:themeColor="text1"/>
        </w:rPr>
        <w:t xml:space="preserve">Additionally, the project applicant </w:t>
      </w:r>
      <w:r w:rsidR="00C7350C" w:rsidRPr="00C7350C">
        <w:rPr>
          <w:color w:val="000000" w:themeColor="text1"/>
        </w:rPr>
        <w:t>has</w:t>
      </w:r>
      <w:r w:rsidRPr="00C7350C">
        <w:rPr>
          <w:color w:val="000000" w:themeColor="text1"/>
        </w:rPr>
        <w:t xml:space="preserve"> </w:t>
      </w:r>
      <w:r w:rsidR="00C7350C" w:rsidRPr="00C7350C">
        <w:rPr>
          <w:color w:val="000000" w:themeColor="text1"/>
        </w:rPr>
        <w:t>prepared</w:t>
      </w:r>
      <w:r w:rsidRPr="00C7350C">
        <w:rPr>
          <w:color w:val="000000" w:themeColor="text1"/>
        </w:rPr>
        <w:t xml:space="preserve"> a </w:t>
      </w:r>
      <w:r w:rsidR="00C7350C" w:rsidRPr="00C7350C">
        <w:rPr>
          <w:color w:val="000000" w:themeColor="text1"/>
        </w:rPr>
        <w:t xml:space="preserve">preliminary </w:t>
      </w:r>
      <w:r w:rsidRPr="00C7350C">
        <w:rPr>
          <w:color w:val="000000" w:themeColor="text1"/>
        </w:rPr>
        <w:t xml:space="preserve">site-specific geotechnical </w:t>
      </w:r>
      <w:r w:rsidR="00C7350C" w:rsidRPr="00C7350C">
        <w:rPr>
          <w:color w:val="000000" w:themeColor="text1"/>
        </w:rPr>
        <w:t>investigation</w:t>
      </w:r>
      <w:r w:rsidRPr="00C7350C">
        <w:rPr>
          <w:color w:val="000000" w:themeColor="text1"/>
        </w:rPr>
        <w:t xml:space="preserve"> pursuant to the CBC</w:t>
      </w:r>
      <w:r w:rsidR="00C7350C" w:rsidRPr="00C7350C">
        <w:rPr>
          <w:color w:val="000000" w:themeColor="text1"/>
        </w:rPr>
        <w:t xml:space="preserve">. A final geotechnical investigation </w:t>
      </w:r>
      <w:r w:rsidRPr="00C7350C">
        <w:rPr>
          <w:color w:val="000000" w:themeColor="text1"/>
        </w:rPr>
        <w:t>would be required prior to the issuance of grading permits</w:t>
      </w:r>
      <w:r w:rsidR="00C7350C" w:rsidRPr="00C7350C">
        <w:rPr>
          <w:color w:val="000000" w:themeColor="text1"/>
        </w:rPr>
        <w:t xml:space="preserve"> and would be imposed by the City as a condition of project approval.</w:t>
      </w:r>
      <w:r w:rsidRPr="00C7350C">
        <w:rPr>
          <w:color w:val="000000" w:themeColor="text1"/>
        </w:rPr>
        <w:t xml:space="preserve"> The geotechnical </w:t>
      </w:r>
      <w:r w:rsidR="00C7350C" w:rsidRPr="00C7350C">
        <w:rPr>
          <w:color w:val="000000" w:themeColor="text1"/>
        </w:rPr>
        <w:t>investigation includes</w:t>
      </w:r>
      <w:r w:rsidRPr="00C7350C">
        <w:rPr>
          <w:color w:val="000000" w:themeColor="text1"/>
        </w:rPr>
        <w:t xml:space="preserve"> a detailed assessment of the suitability of site soils for supporting the proposed structures and other site improvements, and it provide</w:t>
      </w:r>
      <w:r w:rsidR="00C7350C" w:rsidRPr="00C7350C">
        <w:rPr>
          <w:color w:val="000000" w:themeColor="text1"/>
        </w:rPr>
        <w:t>s</w:t>
      </w:r>
      <w:r w:rsidRPr="00C7350C">
        <w:rPr>
          <w:color w:val="000000" w:themeColor="text1"/>
        </w:rPr>
        <w:t xml:space="preserve"> needed design recommendations for remedial grading and for foundation design to minimize hazards from unsuitable soils. Site grading, design, and construction of the </w:t>
      </w:r>
      <w:r w:rsidR="00C7350C" w:rsidRPr="00C7350C">
        <w:rPr>
          <w:color w:val="000000" w:themeColor="text1"/>
        </w:rPr>
        <w:t>proposed p</w:t>
      </w:r>
      <w:r w:rsidRPr="00C7350C">
        <w:rPr>
          <w:color w:val="000000" w:themeColor="text1"/>
        </w:rPr>
        <w:t xml:space="preserve">roject would conform </w:t>
      </w:r>
      <w:r w:rsidR="00B82EBB">
        <w:rPr>
          <w:color w:val="000000" w:themeColor="text1"/>
        </w:rPr>
        <w:t>to</w:t>
      </w:r>
      <w:r w:rsidR="00B82EBB" w:rsidRPr="00C7350C">
        <w:rPr>
          <w:color w:val="000000" w:themeColor="text1"/>
        </w:rPr>
        <w:t xml:space="preserve"> </w:t>
      </w:r>
      <w:r w:rsidRPr="00C7350C">
        <w:rPr>
          <w:color w:val="000000" w:themeColor="text1"/>
        </w:rPr>
        <w:t xml:space="preserve">the design recommendations of the geotechnical report. </w:t>
      </w:r>
    </w:p>
    <w:p w14:paraId="633FC4B7" w14:textId="77777777" w:rsidR="00556B3E" w:rsidRPr="00C7350C" w:rsidRDefault="00556B3E" w:rsidP="00556B3E">
      <w:pPr>
        <w:pStyle w:val="BodyText"/>
        <w:rPr>
          <w:color w:val="000000" w:themeColor="text1"/>
          <w:highlight w:val="yellow"/>
        </w:rPr>
      </w:pPr>
      <w:r w:rsidRPr="00C7350C">
        <w:rPr>
          <w:color w:val="000000" w:themeColor="text1"/>
        </w:rPr>
        <w:t>Further, CBC Section 1705.6 sets requirements for inspection and observation during and after grading. Compliance with the provisions of the CBC and design recommendations outlined in the geotechnical report would be ensured through the City’s development review and building plan check process.</w:t>
      </w:r>
    </w:p>
    <w:p w14:paraId="206A79DF" w14:textId="77777777" w:rsidR="00556B3E" w:rsidRPr="00C7350C" w:rsidRDefault="00556B3E" w:rsidP="00D10CF6">
      <w:pPr>
        <w:pStyle w:val="BodyText"/>
        <w:rPr>
          <w:color w:val="000000" w:themeColor="text1"/>
          <w:highlight w:val="yellow"/>
        </w:rPr>
      </w:pPr>
      <w:r w:rsidRPr="00C7350C">
        <w:rPr>
          <w:color w:val="000000" w:themeColor="text1"/>
        </w:rPr>
        <w:t xml:space="preserve">Therefore, </w:t>
      </w:r>
      <w:r w:rsidR="00C7350C" w:rsidRPr="00C7350C">
        <w:rPr>
          <w:color w:val="000000" w:themeColor="text1"/>
        </w:rPr>
        <w:t>p</w:t>
      </w:r>
      <w:r w:rsidRPr="00C7350C">
        <w:rPr>
          <w:color w:val="000000" w:themeColor="text1"/>
        </w:rPr>
        <w:t xml:space="preserve">roject development would not cause substantial hazards arising from collapsible soils. Impacts would be less than significant. </w:t>
      </w:r>
    </w:p>
    <w:p w14:paraId="2FD22E3D" w14:textId="77777777" w:rsidR="00D10CF6" w:rsidRDefault="00EA4D31" w:rsidP="00EA4D31">
      <w:pPr>
        <w:pStyle w:val="List"/>
      </w:pPr>
      <w:r w:rsidRPr="00EA4D31">
        <w:t xml:space="preserve">Be located on </w:t>
      </w:r>
      <w:r w:rsidR="007C65C0">
        <w:t>expansive soil, as defined in Table 18-1-B of the Uniform Building Code (1994), creating substantial direct or indirect risks to life or property</w:t>
      </w:r>
      <w:r w:rsidR="00D10CF6">
        <w:t>?</w:t>
      </w:r>
    </w:p>
    <w:p w14:paraId="2D44A5EA" w14:textId="7AA4CE54" w:rsidR="008A3937" w:rsidRPr="0057497A" w:rsidRDefault="008A3937" w:rsidP="00D10CF6">
      <w:pPr>
        <w:pStyle w:val="BodyText"/>
        <w:rPr>
          <w:rFonts w:eastAsia="Batang"/>
          <w:bCs/>
        </w:rPr>
      </w:pPr>
      <w:r w:rsidRPr="0057497A">
        <w:rPr>
          <w:rStyle w:val="BodyTextBoldChar"/>
        </w:rPr>
        <w:t xml:space="preserve">No Impact. </w:t>
      </w:r>
      <w:r w:rsidRPr="0057497A">
        <w:t xml:space="preserve">Expansive soils shrink or swell as the moisture content decreases or increases; the shrinking or swelling can shift, crack, or break structures built on such soils. </w:t>
      </w:r>
      <w:r w:rsidR="0057497A" w:rsidRPr="0057497A">
        <w:t>The near-surface soils on the project site generally consist of silty sands and gravelly sands with only trace amounts of clay nodules present in the fill soils. These materials are classified as very low to nonexpansive. Therefore, no design considerations related to expansive soils are considered warranted for the site.</w:t>
      </w:r>
      <w:r w:rsidR="0057497A" w:rsidRPr="0057497A">
        <w:rPr>
          <w:rFonts w:eastAsia="Batang"/>
          <w:bCs/>
        </w:rPr>
        <w:t xml:space="preserve"> </w:t>
      </w:r>
      <w:r w:rsidRPr="0057497A">
        <w:rPr>
          <w:rFonts w:eastAsia="Batang"/>
          <w:bCs/>
        </w:rPr>
        <w:t xml:space="preserve">Additionally, project site grading, design, and construction would conform with the recommended design parameters of the geotechnical report. </w:t>
      </w:r>
      <w:r w:rsidRPr="0057497A">
        <w:t xml:space="preserve">Therefore, no impact </w:t>
      </w:r>
      <w:r w:rsidR="003A1EE4">
        <w:t>is expected to</w:t>
      </w:r>
      <w:r w:rsidR="003A1EE4" w:rsidRPr="0057497A">
        <w:t xml:space="preserve"> </w:t>
      </w:r>
      <w:r w:rsidR="00C47708" w:rsidRPr="0057497A">
        <w:t>occur</w:t>
      </w:r>
      <w:r w:rsidRPr="0057497A">
        <w:t>.</w:t>
      </w:r>
    </w:p>
    <w:p w14:paraId="3D9DCDFC" w14:textId="77777777" w:rsidR="00EA4D31" w:rsidRDefault="00EA4D31" w:rsidP="00EA4D31">
      <w:pPr>
        <w:pStyle w:val="List"/>
        <w:numPr>
          <w:ilvl w:val="0"/>
          <w:numId w:val="6"/>
        </w:numPr>
      </w:pPr>
      <w:r>
        <w:t>Have soils incapable of adequately supporting the use of septic tanks or alternative waste water disposal systems where sewers are not available for the disposal of waste water?</w:t>
      </w:r>
    </w:p>
    <w:p w14:paraId="69F41D6D" w14:textId="1F8C66BA" w:rsidR="008A3937" w:rsidRPr="008A3937" w:rsidRDefault="008A3937" w:rsidP="00EA4D31">
      <w:pPr>
        <w:pStyle w:val="BodyText"/>
      </w:pPr>
      <w:r w:rsidRPr="008A3937">
        <w:rPr>
          <w:rStyle w:val="BodyTextBoldChar"/>
        </w:rPr>
        <w:t>No Impact.</w:t>
      </w:r>
      <w:r w:rsidRPr="008A3937">
        <w:t xml:space="preserve"> The proposed project would include construction of sewer laterals to existing sewers in surrounding roadways. The proposed project would not involve the use of septic tanks or other alternative wastewater disposal systems. Therefore, no impact </w:t>
      </w:r>
      <w:r w:rsidR="003A1EE4">
        <w:t xml:space="preserve">is expected to </w:t>
      </w:r>
      <w:r w:rsidR="00C47708" w:rsidRPr="008A3937">
        <w:t>occur</w:t>
      </w:r>
      <w:r w:rsidRPr="008A3937">
        <w:t xml:space="preserve">. </w:t>
      </w:r>
    </w:p>
    <w:p w14:paraId="5519D97B" w14:textId="77777777" w:rsidR="00D10CF6" w:rsidRDefault="00EA4D31" w:rsidP="00EA4D31">
      <w:pPr>
        <w:pStyle w:val="List"/>
      </w:pPr>
      <w:r w:rsidRPr="00EA4D31">
        <w:t>Directly or indirectly destroy a unique paleontological resource or site or unique geologic feature</w:t>
      </w:r>
      <w:r w:rsidR="00D10CF6">
        <w:t>?</w:t>
      </w:r>
    </w:p>
    <w:p w14:paraId="5BB91953" w14:textId="77777777" w:rsidR="008A3937" w:rsidRPr="004E3A04" w:rsidRDefault="00EC7480" w:rsidP="008A3937">
      <w:pPr>
        <w:pStyle w:val="BodyText"/>
      </w:pPr>
      <w:r w:rsidRPr="006567BC">
        <w:rPr>
          <w:rStyle w:val="BodyTextBoldChar"/>
        </w:rPr>
        <w:t>Less Than Significant Impact</w:t>
      </w:r>
      <w:r>
        <w:rPr>
          <w:rStyle w:val="BodyTextBoldChar"/>
        </w:rPr>
        <w:t xml:space="preserve"> with Mitigation Incorporated</w:t>
      </w:r>
      <w:r w:rsidRPr="006567BC">
        <w:rPr>
          <w:rStyle w:val="BodyTextBoldChar"/>
        </w:rPr>
        <w:t xml:space="preserve">. </w:t>
      </w:r>
      <w:r w:rsidR="008A3937" w:rsidRPr="004E3A04">
        <w:t>Paleontological resources are fossils, that is, the recognizable remains or evidence of past life on earth</w:t>
      </w:r>
      <w:r w:rsidR="000461C3" w:rsidRPr="004E3A04">
        <w:t xml:space="preserve"> </w:t>
      </w:r>
      <w:r w:rsidR="000461C3">
        <w:t>such as</w:t>
      </w:r>
      <w:r w:rsidR="000461C3" w:rsidRPr="004E3A04">
        <w:t xml:space="preserve"> </w:t>
      </w:r>
      <w:r w:rsidR="008A3937" w:rsidRPr="004E3A04">
        <w:t xml:space="preserve">bones, shells, leaves, tracks, burrows, and impressions. </w:t>
      </w:r>
    </w:p>
    <w:p w14:paraId="670D7697" w14:textId="684DAAEF" w:rsidR="009133FB" w:rsidRPr="009133FB" w:rsidRDefault="008A3937" w:rsidP="008A3937">
      <w:pPr>
        <w:pStyle w:val="BodyText"/>
      </w:pPr>
      <w:r w:rsidRPr="004E3A04">
        <w:t xml:space="preserve">As shown in Figure 3, </w:t>
      </w:r>
      <w:r w:rsidRPr="004E3A04">
        <w:rPr>
          <w:i/>
        </w:rPr>
        <w:t>Aerial Photograph</w:t>
      </w:r>
      <w:r w:rsidRPr="004E3A04">
        <w:t xml:space="preserve">, the project site is in a highly urbanized area of the </w:t>
      </w:r>
      <w:r w:rsidR="00EA39CA">
        <w:t>C</w:t>
      </w:r>
      <w:r w:rsidR="003D1238" w:rsidRPr="004E3A04">
        <w:t>ity</w:t>
      </w:r>
      <w:r w:rsidR="000461C3">
        <w:t>,</w:t>
      </w:r>
      <w:r w:rsidR="009133FB">
        <w:t xml:space="preserve"> and</w:t>
      </w:r>
      <w:r w:rsidRPr="004E3A04">
        <w:t xml:space="preserve"> most of the site has already been disturbed due to grading and construction activities associated with current and past uses of the site. </w:t>
      </w:r>
      <w:r w:rsidR="003D1238" w:rsidRPr="003D1238">
        <w:t xml:space="preserve">The </w:t>
      </w:r>
      <w:r w:rsidR="003D1238">
        <w:t>project site</w:t>
      </w:r>
      <w:r w:rsidR="003D1238" w:rsidRPr="003D1238">
        <w:t xml:space="preserve"> is mapped as late Pleistocene to Holocene young alluvial fan deposits.</w:t>
      </w:r>
      <w:r w:rsidR="003D1238">
        <w:t xml:space="preserve"> T</w:t>
      </w:r>
      <w:r w:rsidR="003D1238" w:rsidRPr="003D1238">
        <w:t xml:space="preserve">he paleontological records search revealed that all the fossils previously recovered within an 18-mile radius </w:t>
      </w:r>
      <w:r w:rsidR="003D1238">
        <w:t xml:space="preserve">of the project site </w:t>
      </w:r>
      <w:r w:rsidR="003D1238" w:rsidRPr="003D1238">
        <w:t xml:space="preserve">were a minimum of two feet deep in deposits mapped as Pleistocene at the surface. Sediments with a </w:t>
      </w:r>
      <w:r w:rsidR="003D1238" w:rsidRPr="009133FB">
        <w:t xml:space="preserve">Holocene component, such as those </w:t>
      </w:r>
      <w:r w:rsidR="000461C3">
        <w:t>on</w:t>
      </w:r>
      <w:r w:rsidR="000461C3" w:rsidRPr="009133FB">
        <w:t xml:space="preserve"> </w:t>
      </w:r>
      <w:r w:rsidR="003D1238" w:rsidRPr="009133FB">
        <w:t xml:space="preserve">the project site, produced fossils starting at 24 feet deep. </w:t>
      </w:r>
      <w:r w:rsidR="009133FB" w:rsidRPr="009133FB">
        <w:t xml:space="preserve">Therefore, sediments less than 20 feet below the surface within the boundaries of the project site are assigned a low potential for fossils, </w:t>
      </w:r>
      <w:r w:rsidR="000461C3">
        <w:t>and</w:t>
      </w:r>
      <w:r w:rsidR="000461C3" w:rsidRPr="009133FB">
        <w:t xml:space="preserve"> </w:t>
      </w:r>
      <w:r w:rsidR="009133FB" w:rsidRPr="009133FB">
        <w:t xml:space="preserve">deeper deposits are assigned a moderate potential. </w:t>
      </w:r>
      <w:r w:rsidR="00720279" w:rsidRPr="009133FB">
        <w:t xml:space="preserve">Sediment disturbance associated with the development of the proposed project is expected to reach a maximum of 12 feet for grading and utilities. </w:t>
      </w:r>
      <w:r w:rsidR="00EC7480">
        <w:t>Even though</w:t>
      </w:r>
      <w:r w:rsidR="00720279" w:rsidRPr="009133FB">
        <w:t xml:space="preserve"> </w:t>
      </w:r>
      <w:r w:rsidR="009133FB" w:rsidRPr="009133FB">
        <w:t>construction activities on</w:t>
      </w:r>
      <w:r w:rsidR="000461C3">
        <w:t>-</w:t>
      </w:r>
      <w:r w:rsidR="009133FB" w:rsidRPr="009133FB">
        <w:t xml:space="preserve">site have a low potential to produce fossils </w:t>
      </w:r>
      <w:r w:rsidR="0004109E">
        <w:t>of</w:t>
      </w:r>
      <w:r w:rsidR="0004109E" w:rsidRPr="009133FB">
        <w:t xml:space="preserve"> </w:t>
      </w:r>
      <w:r w:rsidR="009133FB" w:rsidRPr="009133FB">
        <w:t>significance</w:t>
      </w:r>
      <w:r w:rsidR="00EC7480" w:rsidRPr="006C6833">
        <w:t xml:space="preserve">, potential impacts could occur </w:t>
      </w:r>
      <w:r w:rsidR="00EC7480">
        <w:t>to paleontological resources during excavation</w:t>
      </w:r>
      <w:r w:rsidR="00EC7480" w:rsidRPr="006C6833">
        <w:t xml:space="preserve">. However, with </w:t>
      </w:r>
      <w:r w:rsidR="00EC7480">
        <w:t xml:space="preserve">the </w:t>
      </w:r>
      <w:r w:rsidR="00EC7480" w:rsidRPr="006C6833">
        <w:t xml:space="preserve">implementation of Mitigation Measure </w:t>
      </w:r>
      <w:r w:rsidR="00EC7480">
        <w:t>GEO</w:t>
      </w:r>
      <w:r w:rsidR="00EC7480" w:rsidRPr="006C6833">
        <w:t>-1, impacts would be reduced to a less than significant level.</w:t>
      </w:r>
    </w:p>
    <w:p w14:paraId="0A8B7F36" w14:textId="77777777" w:rsidR="009133FB" w:rsidRDefault="009133FB" w:rsidP="008A3937">
      <w:pPr>
        <w:pStyle w:val="BodyText"/>
      </w:pPr>
      <w:r w:rsidRPr="009133FB">
        <w:t xml:space="preserve">Furthermore, to implement the </w:t>
      </w:r>
      <w:r>
        <w:t>proposed p</w:t>
      </w:r>
      <w:r w:rsidRPr="009133FB">
        <w:t xml:space="preserve">roject, it is </w:t>
      </w:r>
      <w:r w:rsidRPr="00BB67ED">
        <w:t xml:space="preserve">anticipated that </w:t>
      </w:r>
      <w:r w:rsidR="00BB67ED" w:rsidRPr="00BB67ED">
        <w:t>up to</w:t>
      </w:r>
      <w:r w:rsidRPr="00BB67ED">
        <w:t xml:space="preserve"> 14,933 cubic yards of soil would be imported during the grading phase to balance the site and complete the ground improvement surcharge program. </w:t>
      </w:r>
      <w:r w:rsidR="0004109E" w:rsidRPr="00BB67ED">
        <w:t xml:space="preserve">No </w:t>
      </w:r>
      <w:r w:rsidRPr="00BB67ED">
        <w:t>soil export would occur.</w:t>
      </w:r>
      <w:r w:rsidRPr="009133FB">
        <w:t xml:space="preserve"> </w:t>
      </w:r>
    </w:p>
    <w:p w14:paraId="249BF3DD" w14:textId="77777777" w:rsidR="008A3937" w:rsidRDefault="008A3937" w:rsidP="00D10CF6">
      <w:pPr>
        <w:pStyle w:val="BodyText"/>
      </w:pPr>
      <w:r w:rsidRPr="00EC7480">
        <w:t>Based on the</w:t>
      </w:r>
      <w:r w:rsidR="0004109E">
        <w:t>se</w:t>
      </w:r>
      <w:r w:rsidRPr="00EC7480">
        <w:t xml:space="preserve"> </w:t>
      </w:r>
      <w:r w:rsidR="0004109E">
        <w:t>factors</w:t>
      </w:r>
      <w:r w:rsidRPr="00EC7480">
        <w:t xml:space="preserve">, impacts to paleontological resources would be less than significant </w:t>
      </w:r>
      <w:r w:rsidR="00EC7480" w:rsidRPr="00EC7480">
        <w:t>with the implementation of Mitigation Measure GEO-1.</w:t>
      </w:r>
    </w:p>
    <w:p w14:paraId="0DE73670" w14:textId="77777777" w:rsidR="00EC7480" w:rsidRPr="00200463" w:rsidRDefault="00EC7480" w:rsidP="00EC7480">
      <w:pPr>
        <w:pStyle w:val="Heading5"/>
      </w:pPr>
      <w:r w:rsidRPr="00200463">
        <w:t xml:space="preserve">Mitigation Measures </w:t>
      </w:r>
    </w:p>
    <w:p w14:paraId="7A200F4C" w14:textId="77777777" w:rsidR="00D77D6E" w:rsidRDefault="00EC7480" w:rsidP="00B26FEE">
      <w:pPr>
        <w:pStyle w:val="MitigationText"/>
      </w:pPr>
      <w:r>
        <w:t>GEO</w:t>
      </w:r>
      <w:r w:rsidRPr="005C4C20">
        <w:t>-1</w:t>
      </w:r>
      <w:r w:rsidRPr="005C4C20">
        <w:tab/>
      </w:r>
      <w:r w:rsidR="000D1847" w:rsidRPr="009C4340">
        <w:t>If construction personnel, including the Native American monitor</w:t>
      </w:r>
      <w:r w:rsidR="000D1847">
        <w:t>,</w:t>
      </w:r>
      <w:r w:rsidR="000D1847" w:rsidRPr="009C4340">
        <w:t xml:space="preserve"> identify paleontological resources</w:t>
      </w:r>
      <w:r w:rsidR="000D1847">
        <w:t xml:space="preserve"> during ground-disturbing activities,</w:t>
      </w:r>
      <w:r w:rsidR="000D1847" w:rsidRPr="009C4340">
        <w:t xml:space="preserve"> they </w:t>
      </w:r>
      <w:r w:rsidR="000D1847">
        <w:t>shall</w:t>
      </w:r>
      <w:r w:rsidR="000D1847" w:rsidRPr="009C4340">
        <w:t xml:space="preserve"> inform the site construction superintendent who will notify the City and project </w:t>
      </w:r>
      <w:r w:rsidR="000D1847">
        <w:t>applicant</w:t>
      </w:r>
      <w:r w:rsidR="000D1847" w:rsidRPr="009C4340">
        <w:t xml:space="preserve">. The project </w:t>
      </w:r>
      <w:r w:rsidR="000D1847">
        <w:t>applicant shall</w:t>
      </w:r>
      <w:r w:rsidR="000D1847" w:rsidRPr="009C4340">
        <w:t xml:space="preserve"> then contact </w:t>
      </w:r>
      <w:r w:rsidR="000D1847">
        <w:t xml:space="preserve">a qualified paleontologist and </w:t>
      </w:r>
      <w:r w:rsidR="000D1847" w:rsidRPr="005C4C20">
        <w:t xml:space="preserve">all </w:t>
      </w:r>
      <w:r w:rsidR="000D1847">
        <w:t>ground-disturbing</w:t>
      </w:r>
      <w:r w:rsidR="000D1847" w:rsidRPr="005C4C20">
        <w:t xml:space="preserve"> activity shall cease in the immediate area of the find (within a 50-foot buffer)</w:t>
      </w:r>
      <w:r w:rsidR="000D1847">
        <w:t xml:space="preserve"> </w:t>
      </w:r>
      <w:r w:rsidR="000D1847">
        <w:rPr>
          <w:sz w:val="23"/>
          <w:szCs w:val="23"/>
        </w:rPr>
        <w:t>until the paleontologist can evaluate the find.</w:t>
      </w:r>
    </w:p>
    <w:p w14:paraId="3AF7C1AF" w14:textId="77777777" w:rsidR="00EC7480" w:rsidRDefault="00D77D6E" w:rsidP="00EC7480">
      <w:pPr>
        <w:pStyle w:val="MitigationText"/>
      </w:pPr>
      <w:r>
        <w:tab/>
      </w:r>
      <w:r w:rsidRPr="00D77D6E">
        <w:t>If the discoveries are determined to be significant, full-time paleontological monitoring will be recommended for the remainder of ground disturbance for the project. Paleontological monitoring shall entail the visual inspection of excavated or graded areas and trench sidewalls. If a paleontological resource is discovered, the monitor shall have the authority to temporarily divert the construction equipment around the find until it is assessed for scientific significance and collected. Monitoring efforts can be reduced or eliminated at the discretion of the project paleontologist.</w:t>
      </w:r>
    </w:p>
    <w:p w14:paraId="4DCE1FC7" w14:textId="77777777" w:rsidR="00EC7480" w:rsidRPr="009133FB" w:rsidRDefault="00D77D6E" w:rsidP="00D77D6E">
      <w:pPr>
        <w:pStyle w:val="MitigationText"/>
        <w:ind w:firstLine="0"/>
      </w:pPr>
      <w:r>
        <w:rPr>
          <w:sz w:val="23"/>
          <w:szCs w:val="23"/>
        </w:rPr>
        <w:t xml:space="preserve">Upon completion of fieldwork, all significant fossils collected shall be prepared in a properly equipped paleontology laboratory to a point ready for curation. Preparation shall include the careful removal of excess matrix from fossil materials and stabilizing and repairing specimens, as necessary. Following laboratory work, all fossil specimens shall be identified to the most specific taxonomic level possible, cataloged, analyzed, and delivered the Natural History Museum of Los Angeles County for permanent curation and storage. The cost of curation is assessed by the repository and shall be </w:t>
      </w:r>
      <w:r w:rsidR="00E152AC">
        <w:rPr>
          <w:sz w:val="23"/>
          <w:szCs w:val="23"/>
        </w:rPr>
        <w:t xml:space="preserve">the </w:t>
      </w:r>
      <w:r>
        <w:rPr>
          <w:sz w:val="23"/>
          <w:szCs w:val="23"/>
        </w:rPr>
        <w:t>responsibility of the project applicant. At the conclusion of laboratory work and museum curation, a final Paleontological Monitoring Report shall be prepared describing the results of the paleontological mitigation monitoring efforts associated with the project. The report shall include a summary of the field and laboratory methods, an overview of the project area geology and paleontology, a list of taxa recovered, an analysis of fossils recovered and their scientific significance, and recommendations. A copy of the report shall be submitted to the Natural History Museum of Los Angeles County.</w:t>
      </w:r>
    </w:p>
    <w:p w14:paraId="77A600E3" w14:textId="77777777" w:rsidR="00D10CF6" w:rsidRDefault="00D10CF6" w:rsidP="00D10CF6">
      <w:pPr>
        <w:pStyle w:val="Heading2"/>
      </w:pPr>
      <w:bookmarkStart w:id="159" w:name="_Toc90882160"/>
      <w:r w:rsidRPr="003E5494">
        <w:t>GREENHOUSE GAS EMISSIONS</w:t>
      </w:r>
      <w:bookmarkEnd w:id="159"/>
    </w:p>
    <w:p w14:paraId="367CFE60" w14:textId="05266B76" w:rsidR="000E40F4" w:rsidRPr="0056616C" w:rsidRDefault="000E40F4" w:rsidP="000E40F4">
      <w:pPr>
        <w:pStyle w:val="BodyText"/>
      </w:pPr>
      <w:r w:rsidRPr="0056616C">
        <w:t>Scientists have concluded that human activities are contributing to global climate change by adding large amounts of heat-trapping gases, known as greenhouse gases (GHGs), into the atmosphere. The primary source of these GHG</w:t>
      </w:r>
      <w:r w:rsidR="004B2198">
        <w:t>s</w:t>
      </w:r>
      <w:r w:rsidRPr="0056616C">
        <w:t xml:space="preserve"> is fossil fuel use. The Intergovernmental Panel on Climate Change has identified four major GHGs—water vapor, carbon dioxide (CO</w:t>
      </w:r>
      <w:r w:rsidRPr="0056616C">
        <w:rPr>
          <w:vertAlign w:val="subscript"/>
        </w:rPr>
        <w:t>2</w:t>
      </w:r>
      <w:r w:rsidRPr="0056616C">
        <w:t>), methane (CH</w:t>
      </w:r>
      <w:r w:rsidRPr="0056616C">
        <w:rPr>
          <w:vertAlign w:val="subscript"/>
        </w:rPr>
        <w:t>4</w:t>
      </w:r>
      <w:r w:rsidRPr="0056616C">
        <w:t>), and ozone (O</w:t>
      </w:r>
      <w:r w:rsidRPr="0056616C">
        <w:rPr>
          <w:vertAlign w:val="subscript"/>
        </w:rPr>
        <w:t>3</w:t>
      </w:r>
      <w:r w:rsidRPr="0056616C">
        <w:t>)—that are the likely cause of an increase in global average temperatures observed within the 20</w:t>
      </w:r>
      <w:r w:rsidRPr="00871D4A">
        <w:t>th</w:t>
      </w:r>
      <w:r w:rsidRPr="0056616C">
        <w:t xml:space="preserve"> and 21</w:t>
      </w:r>
      <w:r w:rsidRPr="00871D4A">
        <w:t>st</w:t>
      </w:r>
      <w:r w:rsidRPr="0056616C">
        <w:t xml:space="preserve"> centuries. Other GHG</w:t>
      </w:r>
      <w:r>
        <w:t>s</w:t>
      </w:r>
      <w:r w:rsidRPr="0056616C">
        <w:t xml:space="preserve"> identified by the Intergovernmental Panel that contribute to global warming to a lesser extent include nitrous oxide (N</w:t>
      </w:r>
      <w:r w:rsidRPr="0056616C">
        <w:rPr>
          <w:vertAlign w:val="subscript"/>
        </w:rPr>
        <w:t>2</w:t>
      </w:r>
      <w:r w:rsidRPr="0056616C">
        <w:t>O</w:t>
      </w:r>
      <w:r>
        <w:t>)</w:t>
      </w:r>
      <w:r w:rsidRPr="0056616C">
        <w:t>, sulfur hexafluoride (SF</w:t>
      </w:r>
      <w:r w:rsidRPr="0056616C">
        <w:rPr>
          <w:vertAlign w:val="subscript"/>
        </w:rPr>
        <w:t>6</w:t>
      </w:r>
      <w:r w:rsidRPr="0056616C">
        <w:t>), hydrofluorocarbons, perfluorocarbons, and chlorofluorocarbons.</w:t>
      </w:r>
      <w:r w:rsidRPr="0056616C">
        <w:rPr>
          <w:vertAlign w:val="superscript"/>
        </w:rPr>
        <w:footnoteReference w:id="13"/>
      </w:r>
      <w:r w:rsidRPr="0056616C">
        <w:rPr>
          <w:vertAlign w:val="superscript"/>
        </w:rPr>
        <w:t xml:space="preserve">, </w:t>
      </w:r>
      <w:r w:rsidRPr="0056616C">
        <w:rPr>
          <w:vertAlign w:val="superscript"/>
        </w:rPr>
        <w:footnoteReference w:id="14"/>
      </w:r>
      <w:r w:rsidRPr="0056616C">
        <w:t xml:space="preserve">  </w:t>
      </w:r>
    </w:p>
    <w:p w14:paraId="743770BA" w14:textId="77777777" w:rsidR="000E40F4" w:rsidRPr="0056616C" w:rsidRDefault="000E40F4" w:rsidP="000E40F4">
      <w:pPr>
        <w:pStyle w:val="BodyText"/>
      </w:pPr>
      <w:r w:rsidRPr="0056616C">
        <w:t xml:space="preserve">This section analyzes the project’s contribution to global climate change impacts in California through an analysis of project-related GHG emissions. Information on manufacture of cement, steel, and other “life cycle” emissions as a result of the project </w:t>
      </w:r>
      <w:r>
        <w:t>is</w:t>
      </w:r>
      <w:r w:rsidRPr="0056616C">
        <w:t xml:space="preserve"> not applicable and not included in this analysis.</w:t>
      </w:r>
      <w:r w:rsidRPr="0056616C">
        <w:rPr>
          <w:vertAlign w:val="superscript"/>
        </w:rPr>
        <w:footnoteReference w:id="15"/>
      </w:r>
      <w:r w:rsidRPr="0056616C">
        <w:t xml:space="preserve"> </w:t>
      </w:r>
      <w:r w:rsidRPr="00373709">
        <w:t xml:space="preserve">Black carbon emissions are not included in the GHG analysis because CARB does not include this short-lived pollutant in the state’s AB 32 inventory </w:t>
      </w:r>
      <w:r>
        <w:t>but</w:t>
      </w:r>
      <w:r w:rsidRPr="00373709">
        <w:t xml:space="preserve"> treats </w:t>
      </w:r>
      <w:r>
        <w:t>it</w:t>
      </w:r>
      <w:r w:rsidRPr="00373709">
        <w:t xml:space="preserve"> separately (CARB 2017</w:t>
      </w:r>
      <w:r>
        <w:t>a</w:t>
      </w:r>
      <w:r w:rsidRPr="00373709">
        <w:t>).</w:t>
      </w:r>
      <w:r w:rsidRPr="00373709">
        <w:rPr>
          <w:vertAlign w:val="superscript"/>
        </w:rPr>
        <w:footnoteReference w:id="16"/>
      </w:r>
      <w:r w:rsidRPr="00373709">
        <w:t xml:space="preserve"> </w:t>
      </w:r>
      <w:r w:rsidRPr="0056616C">
        <w:t xml:space="preserve">A background discussion on the GHG regulatory setting and GHG modeling can be found in </w:t>
      </w:r>
      <w:r>
        <w:t>Appendix A</w:t>
      </w:r>
      <w:r w:rsidRPr="0056616C">
        <w:t xml:space="preserve"> to this Initial Study.</w:t>
      </w:r>
    </w:p>
    <w:p w14:paraId="0DEC9732" w14:textId="77777777" w:rsidR="000E40F4" w:rsidRPr="0056616C" w:rsidRDefault="000E40F4" w:rsidP="000E40F4">
      <w:pPr>
        <w:pStyle w:val="BodyText"/>
      </w:pPr>
      <w:r w:rsidRPr="0056616C">
        <w:t>Where available, the significance criteria established by the applicable air quality management or air pollution control district may be relied upon to make the following determinations.</w:t>
      </w:r>
    </w:p>
    <w:p w14:paraId="487103F3" w14:textId="77777777" w:rsidR="000E40F4" w:rsidRPr="000F6431" w:rsidRDefault="000E40F4" w:rsidP="000E40F4">
      <w:pPr>
        <w:pStyle w:val="BodyText"/>
      </w:pPr>
      <w:r w:rsidRPr="00E96A80">
        <w:t>Would the proposed project:</w:t>
      </w:r>
    </w:p>
    <w:p w14:paraId="32B15041" w14:textId="77777777" w:rsidR="000E40F4" w:rsidRDefault="000E40F4" w:rsidP="000E40F4">
      <w:pPr>
        <w:pStyle w:val="List"/>
        <w:numPr>
          <w:ilvl w:val="0"/>
          <w:numId w:val="16"/>
        </w:numPr>
      </w:pPr>
      <w:r w:rsidRPr="003E5494">
        <w:t>Generate greenhouse gas emissions, either directly or indirectly, that may have a significant impact on the environment?</w:t>
      </w:r>
    </w:p>
    <w:p w14:paraId="57609252" w14:textId="77777777" w:rsidR="000E40F4" w:rsidRPr="000F6431" w:rsidRDefault="000E40F4" w:rsidP="000E40F4">
      <w:pPr>
        <w:pStyle w:val="BodyText"/>
        <w:rPr>
          <w:rFonts w:eastAsia="Batang"/>
        </w:rPr>
      </w:pPr>
      <w:r w:rsidRPr="00710D5E">
        <w:rPr>
          <w:rStyle w:val="BodyTextBoldChar"/>
        </w:rPr>
        <w:t>Less Than Significant Impact.</w:t>
      </w:r>
      <w:r w:rsidRPr="00655D6B">
        <w:rPr>
          <w:rStyle w:val="BodyTextBoldChar"/>
        </w:rPr>
        <w:t xml:space="preserve"> </w:t>
      </w:r>
      <w:r w:rsidRPr="000F6431">
        <w:rPr>
          <w:rFonts w:eastAsia="Batang"/>
        </w:rPr>
        <w:t xml:space="preserve">Global climate change is not confined to a particular project area and is generally accepted as the consequence of global industrialization over the last 200 years. A typical project, even a very large one, does not generate enough greenhouse gas emissions on its own to influence global climate change significantly; hence, the issue of global climate change is by definition a cumulative environmental impact. </w:t>
      </w:r>
    </w:p>
    <w:p w14:paraId="2EDA4349" w14:textId="35EFAA34" w:rsidR="000E40F4" w:rsidRPr="00BB7329" w:rsidRDefault="000E40F4" w:rsidP="000E40F4">
      <w:pPr>
        <w:pStyle w:val="BodyText"/>
      </w:pPr>
      <w:r w:rsidRPr="00906DF7">
        <w:t xml:space="preserve">Project-related construction and operation-phase GHG </w:t>
      </w:r>
      <w:r w:rsidRPr="00BB7329">
        <w:t xml:space="preserve">emissions are shown in Table 13. As shown in the table, the proposed project would generate GHG emissions from </w:t>
      </w:r>
      <w:r>
        <w:t xml:space="preserve">project </w:t>
      </w:r>
      <w:r w:rsidRPr="00BB7329">
        <w:t>vehicle trips (e.g., employees and truck trips), use of off-road equipment for daily operations, energy use (indirectly from purchased electricity use and directly</w:t>
      </w:r>
      <w:r w:rsidRPr="00BB7329">
        <w:rPr>
          <w:kern w:val="0"/>
          <w:szCs w:val="24"/>
        </w:rPr>
        <w:t xml:space="preserve"> </w:t>
      </w:r>
      <w:r w:rsidRPr="00BB7329">
        <w:t xml:space="preserve">through fuel consumed for building heating), area sources (e.g., landscaping equipment used on-site, consumer products, coatings), water/wastewater generation, and waste disposal. Annual average construction emissions were amortized over 30 years and included in the emissions inventory to account for one-time GHG emissions from the construction phase of the project. Overall, development and operation of the proposed project would generate overall net annual GHG emissions </w:t>
      </w:r>
      <w:r>
        <w:t>equivalent to</w:t>
      </w:r>
      <w:r w:rsidRPr="00BB7329">
        <w:t xml:space="preserve"> 2,223 metric tons of carbon dioxide per year (MTCO</w:t>
      </w:r>
      <w:r w:rsidRPr="00BB7329">
        <w:rPr>
          <w:vertAlign w:val="subscript"/>
        </w:rPr>
        <w:t>2</w:t>
      </w:r>
      <w:r w:rsidRPr="00BB7329">
        <w:t xml:space="preserve">e/yr) and would not exceed the </w:t>
      </w:r>
      <w:r w:rsidR="004B2198">
        <w:t>SC</w:t>
      </w:r>
      <w:r w:rsidRPr="00BB7329">
        <w:t>AQMD bright-line threshold of 3,000 MTCO</w:t>
      </w:r>
      <w:r w:rsidRPr="00BB7329">
        <w:rPr>
          <w:vertAlign w:val="subscript"/>
        </w:rPr>
        <w:t>2</w:t>
      </w:r>
      <w:r w:rsidRPr="00BB7329">
        <w:t>e per year (</w:t>
      </w:r>
      <w:r w:rsidR="004B2198">
        <w:t>SC</w:t>
      </w:r>
      <w:r w:rsidRPr="00BB7329">
        <w:t>AQMD 2010). Therefore, the proposed project’s cumulative contribution to GHG emissions would be less than significant.</w:t>
      </w:r>
    </w:p>
    <w:tbl>
      <w:tblPr>
        <w:tblW w:w="9360" w:type="dxa"/>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4044"/>
        <w:gridCol w:w="2658"/>
        <w:gridCol w:w="2658"/>
      </w:tblGrid>
      <w:tr w:rsidR="000E40F4" w:rsidRPr="00EF3937" w14:paraId="606EC7AF" w14:textId="77777777" w:rsidTr="007A023D">
        <w:trPr>
          <w:trHeight w:val="576"/>
          <w:tblHeader/>
          <w:jc w:val="center"/>
        </w:trPr>
        <w:tc>
          <w:tcPr>
            <w:tcW w:w="7290" w:type="dxa"/>
            <w:gridSpan w:val="3"/>
            <w:tcBorders>
              <w:top w:val="nil"/>
              <w:bottom w:val="single" w:sz="12" w:space="0" w:color="auto"/>
            </w:tcBorders>
            <w:shd w:val="clear" w:color="auto" w:fill="auto"/>
            <w:noWrap/>
            <w:vAlign w:val="bottom"/>
          </w:tcPr>
          <w:p w14:paraId="065405CA" w14:textId="77777777" w:rsidR="000E40F4" w:rsidRPr="00EF3937" w:rsidRDefault="000E40F4" w:rsidP="00FD0109">
            <w:pPr>
              <w:pStyle w:val="TblTitles"/>
              <w:rPr>
                <w:rFonts w:cs="Arial"/>
                <w:kern w:val="28"/>
                <w:sz w:val="18"/>
                <w:szCs w:val="18"/>
              </w:rPr>
            </w:pPr>
            <w:r w:rsidRPr="00BB7329">
              <w:rPr>
                <w:b w:val="0"/>
                <w:sz w:val="18"/>
                <w:szCs w:val="18"/>
              </w:rPr>
              <w:br w:type="page"/>
            </w:r>
            <w:bookmarkStart w:id="160" w:name="_Toc90882259"/>
            <w:r w:rsidRPr="00BB7329">
              <w:rPr>
                <w:szCs w:val="22"/>
              </w:rPr>
              <w:t>Table 13</w:t>
            </w:r>
            <w:r w:rsidRPr="00BB7329">
              <w:rPr>
                <w:szCs w:val="22"/>
              </w:rPr>
              <w:tab/>
              <w:t>Net Project-Related Operation GHG Emissions</w:t>
            </w:r>
            <w:bookmarkEnd w:id="160"/>
          </w:p>
        </w:tc>
      </w:tr>
      <w:tr w:rsidR="000E40F4" w:rsidRPr="00EF3937" w14:paraId="7746399A" w14:textId="77777777" w:rsidTr="007A023D">
        <w:trPr>
          <w:trHeight w:val="397"/>
          <w:tblHeader/>
          <w:jc w:val="center"/>
        </w:trPr>
        <w:tc>
          <w:tcPr>
            <w:tcW w:w="3150" w:type="dxa"/>
            <w:tcBorders>
              <w:top w:val="single" w:sz="12" w:space="0" w:color="auto"/>
              <w:bottom w:val="single" w:sz="12" w:space="0" w:color="auto"/>
              <w:right w:val="single" w:sz="2" w:space="0" w:color="auto"/>
            </w:tcBorders>
            <w:shd w:val="clear" w:color="auto" w:fill="auto"/>
            <w:noWrap/>
            <w:vAlign w:val="bottom"/>
          </w:tcPr>
          <w:p w14:paraId="14EF7259" w14:textId="77777777" w:rsidR="000E40F4" w:rsidRPr="00EF3937" w:rsidRDefault="000E40F4" w:rsidP="00FD0109">
            <w:pPr>
              <w:pStyle w:val="TblColumnHeads"/>
              <w:rPr>
                <w:szCs w:val="16"/>
              </w:rPr>
            </w:pPr>
            <w:r w:rsidRPr="00EF3937">
              <w:rPr>
                <w:szCs w:val="16"/>
              </w:rPr>
              <w:t>Source</w:t>
            </w:r>
          </w:p>
        </w:tc>
        <w:tc>
          <w:tcPr>
            <w:tcW w:w="2070" w:type="dxa"/>
            <w:tcBorders>
              <w:top w:val="single" w:sz="12" w:space="0" w:color="auto"/>
              <w:left w:val="single" w:sz="2" w:space="0" w:color="auto"/>
              <w:bottom w:val="single" w:sz="12" w:space="0" w:color="auto"/>
              <w:right w:val="nil"/>
            </w:tcBorders>
            <w:shd w:val="clear" w:color="auto" w:fill="auto"/>
            <w:vAlign w:val="bottom"/>
          </w:tcPr>
          <w:p w14:paraId="410277C7" w14:textId="77777777" w:rsidR="000E40F4" w:rsidRPr="00EF3937" w:rsidRDefault="000E40F4" w:rsidP="00FD0109">
            <w:pPr>
              <w:pStyle w:val="TblColumnHeads"/>
              <w:rPr>
                <w:szCs w:val="16"/>
              </w:rPr>
            </w:pPr>
            <w:r w:rsidRPr="00EF3937">
              <w:rPr>
                <w:szCs w:val="16"/>
              </w:rPr>
              <w:t>GHG (MTCO</w:t>
            </w:r>
            <w:r w:rsidRPr="00EF3937">
              <w:rPr>
                <w:szCs w:val="16"/>
                <w:vertAlign w:val="subscript"/>
              </w:rPr>
              <w:t>2</w:t>
            </w:r>
            <w:r w:rsidRPr="00EF3937">
              <w:rPr>
                <w:szCs w:val="16"/>
              </w:rPr>
              <w:t>e/Year)</w:t>
            </w:r>
          </w:p>
        </w:tc>
        <w:tc>
          <w:tcPr>
            <w:tcW w:w="2070" w:type="dxa"/>
            <w:tcBorders>
              <w:top w:val="single" w:sz="12" w:space="0" w:color="auto"/>
              <w:left w:val="single" w:sz="2" w:space="0" w:color="auto"/>
              <w:bottom w:val="single" w:sz="12" w:space="0" w:color="auto"/>
              <w:right w:val="nil"/>
            </w:tcBorders>
            <w:shd w:val="clear" w:color="auto" w:fill="auto"/>
            <w:vAlign w:val="bottom"/>
          </w:tcPr>
          <w:p w14:paraId="16B9F705" w14:textId="77777777" w:rsidR="000E40F4" w:rsidRPr="00EF3937" w:rsidRDefault="000E40F4" w:rsidP="00FD0109">
            <w:pPr>
              <w:pStyle w:val="TblColumnHeads"/>
              <w:rPr>
                <w:szCs w:val="16"/>
              </w:rPr>
            </w:pPr>
            <w:r w:rsidRPr="00EF3937">
              <w:rPr>
                <w:szCs w:val="16"/>
              </w:rPr>
              <w:t>Percent</w:t>
            </w:r>
            <w:r>
              <w:rPr>
                <w:szCs w:val="16"/>
              </w:rPr>
              <w:t>age</w:t>
            </w:r>
            <w:r w:rsidRPr="00EF3937">
              <w:rPr>
                <w:szCs w:val="16"/>
              </w:rPr>
              <w:t xml:space="preserve"> of Total Emissions</w:t>
            </w:r>
          </w:p>
        </w:tc>
      </w:tr>
      <w:tr w:rsidR="000E40F4" w:rsidRPr="00EF3937" w14:paraId="0B45B98A" w14:textId="77777777" w:rsidTr="007A023D">
        <w:trPr>
          <w:trHeight w:val="268"/>
          <w:jc w:val="center"/>
        </w:trPr>
        <w:tc>
          <w:tcPr>
            <w:tcW w:w="3150" w:type="dxa"/>
            <w:tcBorders>
              <w:top w:val="single" w:sz="12" w:space="0" w:color="auto"/>
              <w:bottom w:val="single" w:sz="4" w:space="0" w:color="auto"/>
              <w:right w:val="nil"/>
            </w:tcBorders>
            <w:shd w:val="clear" w:color="auto" w:fill="D9D9D9" w:themeFill="background1" w:themeFillShade="D9"/>
            <w:noWrap/>
            <w:vAlign w:val="center"/>
          </w:tcPr>
          <w:p w14:paraId="5C1CD163" w14:textId="77777777" w:rsidR="000E40F4" w:rsidRPr="00EF3937" w:rsidRDefault="00114C61" w:rsidP="00FD0109">
            <w:pPr>
              <w:pStyle w:val="TblTxt"/>
              <w:rPr>
                <w:b/>
                <w:bCs/>
                <w:szCs w:val="18"/>
              </w:rPr>
            </w:pPr>
            <w:r>
              <w:rPr>
                <w:b/>
                <w:bCs/>
                <w:szCs w:val="18"/>
              </w:rPr>
              <w:t>Former Pepsi Bottling Plant</w:t>
            </w:r>
          </w:p>
        </w:tc>
        <w:tc>
          <w:tcPr>
            <w:tcW w:w="2070" w:type="dxa"/>
            <w:tcBorders>
              <w:top w:val="single" w:sz="12" w:space="0" w:color="auto"/>
              <w:left w:val="nil"/>
              <w:bottom w:val="single" w:sz="4" w:space="0" w:color="auto"/>
              <w:right w:val="nil"/>
            </w:tcBorders>
            <w:shd w:val="clear" w:color="auto" w:fill="D9D9D9" w:themeFill="background1" w:themeFillShade="D9"/>
          </w:tcPr>
          <w:p w14:paraId="5899BA53" w14:textId="77777777" w:rsidR="000E40F4" w:rsidRPr="00EF3937" w:rsidRDefault="000E40F4" w:rsidP="00FD0109">
            <w:pPr>
              <w:pStyle w:val="TblTxtCenter"/>
              <w:rPr>
                <w:b/>
                <w:bCs/>
                <w:szCs w:val="18"/>
              </w:rPr>
            </w:pPr>
          </w:p>
        </w:tc>
        <w:tc>
          <w:tcPr>
            <w:tcW w:w="2070" w:type="dxa"/>
            <w:tcBorders>
              <w:top w:val="single" w:sz="12" w:space="0" w:color="auto"/>
              <w:left w:val="nil"/>
              <w:bottom w:val="single" w:sz="4" w:space="0" w:color="auto"/>
            </w:tcBorders>
            <w:shd w:val="clear" w:color="auto" w:fill="D9D9D9" w:themeFill="background1" w:themeFillShade="D9"/>
          </w:tcPr>
          <w:p w14:paraId="1C8DE98E" w14:textId="77777777" w:rsidR="000E40F4" w:rsidRPr="00EF3937" w:rsidRDefault="000E40F4" w:rsidP="00FD0109">
            <w:pPr>
              <w:pStyle w:val="TblTxtCenter"/>
              <w:rPr>
                <w:b/>
                <w:bCs/>
                <w:szCs w:val="18"/>
              </w:rPr>
            </w:pPr>
          </w:p>
        </w:tc>
      </w:tr>
      <w:tr w:rsidR="000E40F4" w:rsidRPr="00EF3937" w14:paraId="2F307538" w14:textId="77777777" w:rsidTr="007A023D">
        <w:trPr>
          <w:trHeight w:val="268"/>
          <w:jc w:val="center"/>
        </w:trPr>
        <w:tc>
          <w:tcPr>
            <w:tcW w:w="3150" w:type="dxa"/>
            <w:tcBorders>
              <w:top w:val="single" w:sz="4" w:space="0" w:color="auto"/>
              <w:bottom w:val="single" w:sz="4" w:space="0" w:color="auto"/>
              <w:right w:val="single" w:sz="2" w:space="0" w:color="auto"/>
            </w:tcBorders>
            <w:shd w:val="clear" w:color="auto" w:fill="auto"/>
            <w:noWrap/>
            <w:vAlign w:val="center"/>
          </w:tcPr>
          <w:p w14:paraId="0CEBAB84" w14:textId="77777777" w:rsidR="000E40F4" w:rsidRPr="00EF3937" w:rsidRDefault="000E40F4" w:rsidP="00FD0109">
            <w:pPr>
              <w:pStyle w:val="TblTxt"/>
              <w:rPr>
                <w:szCs w:val="18"/>
              </w:rPr>
            </w:pPr>
            <w:r w:rsidRPr="00EF3937">
              <w:rPr>
                <w:szCs w:val="18"/>
              </w:rPr>
              <w:t>Area</w:t>
            </w:r>
          </w:p>
        </w:tc>
        <w:tc>
          <w:tcPr>
            <w:tcW w:w="2070" w:type="dxa"/>
            <w:tcBorders>
              <w:top w:val="single" w:sz="4" w:space="0" w:color="auto"/>
              <w:left w:val="single" w:sz="2" w:space="0" w:color="auto"/>
            </w:tcBorders>
            <w:shd w:val="clear" w:color="auto" w:fill="auto"/>
          </w:tcPr>
          <w:p w14:paraId="481FAC43" w14:textId="77777777" w:rsidR="000E40F4" w:rsidRPr="00EF3937" w:rsidRDefault="000E40F4" w:rsidP="00FD0109">
            <w:pPr>
              <w:pStyle w:val="TblTxtCenter"/>
              <w:rPr>
                <w:szCs w:val="18"/>
              </w:rPr>
            </w:pPr>
            <w:r w:rsidRPr="00EF3937">
              <w:rPr>
                <w:szCs w:val="18"/>
              </w:rPr>
              <w:t>&lt;1</w:t>
            </w:r>
          </w:p>
        </w:tc>
        <w:tc>
          <w:tcPr>
            <w:tcW w:w="2070" w:type="dxa"/>
            <w:tcBorders>
              <w:top w:val="single" w:sz="4" w:space="0" w:color="auto"/>
              <w:left w:val="single" w:sz="2" w:space="0" w:color="auto"/>
            </w:tcBorders>
            <w:shd w:val="clear" w:color="auto" w:fill="auto"/>
          </w:tcPr>
          <w:p w14:paraId="022060DB" w14:textId="77777777" w:rsidR="000E40F4" w:rsidRPr="00EF3937" w:rsidRDefault="000E40F4" w:rsidP="00FD0109">
            <w:pPr>
              <w:pStyle w:val="TblTxtCenter"/>
              <w:rPr>
                <w:szCs w:val="18"/>
              </w:rPr>
            </w:pPr>
            <w:r>
              <w:rPr>
                <w:szCs w:val="18"/>
              </w:rPr>
              <w:t>&lt;1%</w:t>
            </w:r>
          </w:p>
        </w:tc>
      </w:tr>
      <w:tr w:rsidR="000E40F4" w:rsidRPr="00EF3937" w14:paraId="73441E2E" w14:textId="77777777" w:rsidTr="007A023D">
        <w:trPr>
          <w:trHeight w:val="268"/>
          <w:jc w:val="center"/>
        </w:trPr>
        <w:tc>
          <w:tcPr>
            <w:tcW w:w="3150" w:type="dxa"/>
            <w:tcBorders>
              <w:bottom w:val="single" w:sz="4" w:space="0" w:color="auto"/>
              <w:right w:val="single" w:sz="2" w:space="0" w:color="auto"/>
            </w:tcBorders>
            <w:shd w:val="clear" w:color="auto" w:fill="auto"/>
            <w:noWrap/>
            <w:vAlign w:val="center"/>
          </w:tcPr>
          <w:p w14:paraId="710DC002" w14:textId="77777777" w:rsidR="000E40F4" w:rsidRPr="0054037D" w:rsidRDefault="000E40F4" w:rsidP="00FD0109">
            <w:pPr>
              <w:pStyle w:val="TblTxt"/>
              <w:rPr>
                <w:szCs w:val="18"/>
                <w:vertAlign w:val="superscript"/>
              </w:rPr>
            </w:pPr>
            <w:r w:rsidRPr="00EF3937">
              <w:rPr>
                <w:szCs w:val="18"/>
              </w:rPr>
              <w:t>Energy</w:t>
            </w:r>
            <w:r>
              <w:rPr>
                <w:szCs w:val="18"/>
                <w:vertAlign w:val="superscript"/>
              </w:rPr>
              <w:t>1</w:t>
            </w:r>
          </w:p>
        </w:tc>
        <w:tc>
          <w:tcPr>
            <w:tcW w:w="2070" w:type="dxa"/>
            <w:tcBorders>
              <w:left w:val="single" w:sz="2" w:space="0" w:color="auto"/>
            </w:tcBorders>
            <w:shd w:val="clear" w:color="auto" w:fill="auto"/>
          </w:tcPr>
          <w:p w14:paraId="378BF554" w14:textId="77777777" w:rsidR="000E40F4" w:rsidRPr="00EF3937" w:rsidRDefault="000E40F4" w:rsidP="00FD0109">
            <w:pPr>
              <w:pStyle w:val="TblTxtCenter"/>
              <w:rPr>
                <w:szCs w:val="18"/>
              </w:rPr>
            </w:pPr>
            <w:r>
              <w:rPr>
                <w:szCs w:val="18"/>
              </w:rPr>
              <w:t>76</w:t>
            </w:r>
          </w:p>
        </w:tc>
        <w:tc>
          <w:tcPr>
            <w:tcW w:w="2070" w:type="dxa"/>
            <w:tcBorders>
              <w:left w:val="single" w:sz="2" w:space="0" w:color="auto"/>
            </w:tcBorders>
            <w:shd w:val="clear" w:color="auto" w:fill="auto"/>
          </w:tcPr>
          <w:p w14:paraId="0F4F60E0" w14:textId="77777777" w:rsidR="000E40F4" w:rsidRPr="00EF3937" w:rsidRDefault="000E40F4" w:rsidP="00FD0109">
            <w:pPr>
              <w:pStyle w:val="TblTxtCenter"/>
              <w:rPr>
                <w:szCs w:val="18"/>
              </w:rPr>
            </w:pPr>
            <w:r>
              <w:rPr>
                <w:szCs w:val="18"/>
              </w:rPr>
              <w:t>10%</w:t>
            </w:r>
          </w:p>
        </w:tc>
      </w:tr>
      <w:tr w:rsidR="000E40F4" w:rsidRPr="00EF3937" w14:paraId="3E65A4BA" w14:textId="77777777" w:rsidTr="007A023D">
        <w:trPr>
          <w:trHeight w:val="268"/>
          <w:jc w:val="center"/>
        </w:trPr>
        <w:tc>
          <w:tcPr>
            <w:tcW w:w="3150" w:type="dxa"/>
            <w:tcBorders>
              <w:bottom w:val="single" w:sz="4" w:space="0" w:color="auto"/>
              <w:right w:val="single" w:sz="2" w:space="0" w:color="auto"/>
            </w:tcBorders>
            <w:shd w:val="clear" w:color="auto" w:fill="auto"/>
            <w:noWrap/>
            <w:vAlign w:val="center"/>
          </w:tcPr>
          <w:p w14:paraId="1746BC61" w14:textId="77777777" w:rsidR="000E40F4" w:rsidRPr="00EF3937" w:rsidRDefault="000E40F4" w:rsidP="00FD0109">
            <w:pPr>
              <w:pStyle w:val="TblTxt"/>
              <w:rPr>
                <w:szCs w:val="18"/>
              </w:rPr>
            </w:pPr>
            <w:r w:rsidRPr="00EF3937">
              <w:rPr>
                <w:szCs w:val="18"/>
              </w:rPr>
              <w:t>Mobile – Passenger Vehicles</w:t>
            </w:r>
            <w:r w:rsidRPr="00EF3937">
              <w:rPr>
                <w:szCs w:val="18"/>
                <w:vertAlign w:val="superscript"/>
              </w:rPr>
              <w:t>2</w:t>
            </w:r>
          </w:p>
        </w:tc>
        <w:tc>
          <w:tcPr>
            <w:tcW w:w="2070" w:type="dxa"/>
            <w:tcBorders>
              <w:left w:val="single" w:sz="2" w:space="0" w:color="auto"/>
            </w:tcBorders>
            <w:shd w:val="clear" w:color="auto" w:fill="auto"/>
          </w:tcPr>
          <w:p w14:paraId="0FB59DD9" w14:textId="77777777" w:rsidR="000E40F4" w:rsidRPr="00EF3937" w:rsidRDefault="000E40F4" w:rsidP="00FD0109">
            <w:pPr>
              <w:pStyle w:val="TblTxtCenter"/>
              <w:rPr>
                <w:szCs w:val="18"/>
              </w:rPr>
            </w:pPr>
            <w:r>
              <w:rPr>
                <w:szCs w:val="18"/>
              </w:rPr>
              <w:t>127</w:t>
            </w:r>
          </w:p>
        </w:tc>
        <w:tc>
          <w:tcPr>
            <w:tcW w:w="2070" w:type="dxa"/>
            <w:tcBorders>
              <w:left w:val="single" w:sz="2" w:space="0" w:color="auto"/>
            </w:tcBorders>
            <w:shd w:val="clear" w:color="auto" w:fill="auto"/>
          </w:tcPr>
          <w:p w14:paraId="457541AF" w14:textId="77777777" w:rsidR="000E40F4" w:rsidRPr="00EF3937" w:rsidRDefault="000E40F4" w:rsidP="00FD0109">
            <w:pPr>
              <w:pStyle w:val="TblTxtCenter"/>
              <w:rPr>
                <w:szCs w:val="18"/>
              </w:rPr>
            </w:pPr>
            <w:r>
              <w:rPr>
                <w:szCs w:val="18"/>
              </w:rPr>
              <w:t>17%</w:t>
            </w:r>
          </w:p>
        </w:tc>
      </w:tr>
      <w:tr w:rsidR="000E40F4" w:rsidRPr="00EF3937" w14:paraId="2390BDAD" w14:textId="77777777" w:rsidTr="007A023D">
        <w:trPr>
          <w:trHeight w:val="268"/>
          <w:jc w:val="center"/>
        </w:trPr>
        <w:tc>
          <w:tcPr>
            <w:tcW w:w="3150" w:type="dxa"/>
            <w:tcBorders>
              <w:bottom w:val="single" w:sz="4" w:space="0" w:color="auto"/>
              <w:right w:val="single" w:sz="2" w:space="0" w:color="auto"/>
            </w:tcBorders>
            <w:shd w:val="clear" w:color="auto" w:fill="auto"/>
            <w:noWrap/>
            <w:vAlign w:val="center"/>
          </w:tcPr>
          <w:p w14:paraId="5C6D385A" w14:textId="77777777" w:rsidR="000E40F4" w:rsidRPr="00EF3937" w:rsidRDefault="000E40F4" w:rsidP="00FD0109">
            <w:pPr>
              <w:pStyle w:val="TblTxt"/>
              <w:rPr>
                <w:szCs w:val="18"/>
              </w:rPr>
            </w:pPr>
            <w:r w:rsidRPr="00EF3937">
              <w:rPr>
                <w:szCs w:val="18"/>
              </w:rPr>
              <w:t>Mobile – Trucks</w:t>
            </w:r>
            <w:r>
              <w:rPr>
                <w:szCs w:val="18"/>
                <w:vertAlign w:val="superscript"/>
              </w:rPr>
              <w:t>3</w:t>
            </w:r>
          </w:p>
        </w:tc>
        <w:tc>
          <w:tcPr>
            <w:tcW w:w="2070" w:type="dxa"/>
            <w:tcBorders>
              <w:left w:val="single" w:sz="2" w:space="0" w:color="auto"/>
            </w:tcBorders>
            <w:shd w:val="clear" w:color="auto" w:fill="auto"/>
          </w:tcPr>
          <w:p w14:paraId="6517CB28" w14:textId="77777777" w:rsidR="000E40F4" w:rsidRPr="00EF3937" w:rsidRDefault="000E40F4" w:rsidP="00FD0109">
            <w:pPr>
              <w:pStyle w:val="TblTxtCenter"/>
              <w:rPr>
                <w:szCs w:val="18"/>
              </w:rPr>
            </w:pPr>
            <w:r>
              <w:rPr>
                <w:szCs w:val="18"/>
              </w:rPr>
              <w:t>445</w:t>
            </w:r>
          </w:p>
        </w:tc>
        <w:tc>
          <w:tcPr>
            <w:tcW w:w="2070" w:type="dxa"/>
            <w:tcBorders>
              <w:left w:val="single" w:sz="2" w:space="0" w:color="auto"/>
            </w:tcBorders>
            <w:shd w:val="clear" w:color="auto" w:fill="auto"/>
          </w:tcPr>
          <w:p w14:paraId="5CD99E0A" w14:textId="77777777" w:rsidR="000E40F4" w:rsidRPr="00EF3937" w:rsidRDefault="000E40F4" w:rsidP="00FD0109">
            <w:pPr>
              <w:pStyle w:val="TblTxtCenter"/>
              <w:rPr>
                <w:szCs w:val="18"/>
              </w:rPr>
            </w:pPr>
            <w:r>
              <w:rPr>
                <w:szCs w:val="18"/>
              </w:rPr>
              <w:t>61%</w:t>
            </w:r>
          </w:p>
        </w:tc>
      </w:tr>
      <w:tr w:rsidR="000E40F4" w:rsidRPr="00EF3937" w14:paraId="4B1635A0" w14:textId="77777777" w:rsidTr="007A023D">
        <w:trPr>
          <w:trHeight w:val="268"/>
          <w:jc w:val="center"/>
        </w:trPr>
        <w:tc>
          <w:tcPr>
            <w:tcW w:w="3150" w:type="dxa"/>
            <w:tcBorders>
              <w:bottom w:val="single" w:sz="4" w:space="0" w:color="auto"/>
              <w:right w:val="single" w:sz="2" w:space="0" w:color="auto"/>
            </w:tcBorders>
            <w:shd w:val="clear" w:color="auto" w:fill="auto"/>
            <w:noWrap/>
            <w:vAlign w:val="center"/>
          </w:tcPr>
          <w:p w14:paraId="02C959BD" w14:textId="77777777" w:rsidR="000E40F4" w:rsidRPr="00EF3937" w:rsidRDefault="000E40F4" w:rsidP="00FD0109">
            <w:pPr>
              <w:pStyle w:val="TblTxt"/>
              <w:rPr>
                <w:szCs w:val="18"/>
              </w:rPr>
            </w:pPr>
            <w:r w:rsidRPr="00EF3937">
              <w:rPr>
                <w:szCs w:val="18"/>
              </w:rPr>
              <w:t>Solid Waste</w:t>
            </w:r>
          </w:p>
        </w:tc>
        <w:tc>
          <w:tcPr>
            <w:tcW w:w="2070" w:type="dxa"/>
            <w:tcBorders>
              <w:left w:val="single" w:sz="2" w:space="0" w:color="auto"/>
            </w:tcBorders>
            <w:shd w:val="clear" w:color="auto" w:fill="auto"/>
          </w:tcPr>
          <w:p w14:paraId="01844A82" w14:textId="77777777" w:rsidR="000E40F4" w:rsidRPr="00EF3937" w:rsidRDefault="000E40F4" w:rsidP="00FD0109">
            <w:pPr>
              <w:pStyle w:val="TblTxtCenter"/>
              <w:rPr>
                <w:szCs w:val="18"/>
              </w:rPr>
            </w:pPr>
            <w:r>
              <w:rPr>
                <w:szCs w:val="18"/>
              </w:rPr>
              <w:t>82</w:t>
            </w:r>
          </w:p>
        </w:tc>
        <w:tc>
          <w:tcPr>
            <w:tcW w:w="2070" w:type="dxa"/>
            <w:tcBorders>
              <w:left w:val="single" w:sz="2" w:space="0" w:color="auto"/>
            </w:tcBorders>
            <w:shd w:val="clear" w:color="auto" w:fill="auto"/>
          </w:tcPr>
          <w:p w14:paraId="4B2AFC19" w14:textId="77777777" w:rsidR="000E40F4" w:rsidRPr="00EF3937" w:rsidRDefault="000E40F4" w:rsidP="00FD0109">
            <w:pPr>
              <w:pStyle w:val="TblTxtCenter"/>
              <w:rPr>
                <w:szCs w:val="18"/>
              </w:rPr>
            </w:pPr>
            <w:r>
              <w:rPr>
                <w:szCs w:val="18"/>
              </w:rPr>
              <w:t>11%</w:t>
            </w:r>
          </w:p>
        </w:tc>
      </w:tr>
      <w:tr w:rsidR="000E40F4" w:rsidRPr="00EF3937" w14:paraId="6E3AB722" w14:textId="77777777" w:rsidTr="001A33F5">
        <w:trPr>
          <w:trHeight w:val="268"/>
          <w:jc w:val="center"/>
        </w:trPr>
        <w:tc>
          <w:tcPr>
            <w:tcW w:w="3150" w:type="dxa"/>
            <w:tcBorders>
              <w:bottom w:val="single" w:sz="12" w:space="0" w:color="auto"/>
              <w:right w:val="single" w:sz="2" w:space="0" w:color="auto"/>
            </w:tcBorders>
            <w:shd w:val="clear" w:color="auto" w:fill="auto"/>
            <w:noWrap/>
            <w:vAlign w:val="center"/>
          </w:tcPr>
          <w:p w14:paraId="2E140D19" w14:textId="77777777" w:rsidR="000E40F4" w:rsidRPr="00EF3937" w:rsidRDefault="000E40F4" w:rsidP="00FD0109">
            <w:pPr>
              <w:pStyle w:val="TblTxt"/>
              <w:rPr>
                <w:szCs w:val="18"/>
              </w:rPr>
            </w:pPr>
            <w:r w:rsidRPr="00EF3937">
              <w:rPr>
                <w:szCs w:val="18"/>
              </w:rPr>
              <w:t>Water</w:t>
            </w:r>
          </w:p>
        </w:tc>
        <w:tc>
          <w:tcPr>
            <w:tcW w:w="2070" w:type="dxa"/>
            <w:tcBorders>
              <w:left w:val="single" w:sz="2" w:space="0" w:color="auto"/>
              <w:bottom w:val="single" w:sz="12" w:space="0" w:color="auto"/>
            </w:tcBorders>
            <w:shd w:val="clear" w:color="auto" w:fill="auto"/>
          </w:tcPr>
          <w:p w14:paraId="524746FB" w14:textId="77777777" w:rsidR="000E40F4" w:rsidRPr="00EF3937" w:rsidRDefault="000E40F4" w:rsidP="00FD0109">
            <w:pPr>
              <w:pStyle w:val="TblTxtCenter"/>
              <w:rPr>
                <w:szCs w:val="18"/>
              </w:rPr>
            </w:pPr>
            <w:r>
              <w:rPr>
                <w:szCs w:val="18"/>
              </w:rPr>
              <w:t>1</w:t>
            </w:r>
          </w:p>
        </w:tc>
        <w:tc>
          <w:tcPr>
            <w:tcW w:w="2070" w:type="dxa"/>
            <w:tcBorders>
              <w:left w:val="single" w:sz="2" w:space="0" w:color="auto"/>
              <w:bottom w:val="single" w:sz="12" w:space="0" w:color="auto"/>
            </w:tcBorders>
            <w:shd w:val="clear" w:color="auto" w:fill="auto"/>
          </w:tcPr>
          <w:p w14:paraId="137AEF4A" w14:textId="77777777" w:rsidR="000E40F4" w:rsidRPr="00EF3937" w:rsidRDefault="000E40F4" w:rsidP="00FD0109">
            <w:pPr>
              <w:pStyle w:val="TblTxtCenter"/>
              <w:rPr>
                <w:szCs w:val="18"/>
              </w:rPr>
            </w:pPr>
            <w:r>
              <w:rPr>
                <w:szCs w:val="18"/>
              </w:rPr>
              <w:t>&lt;1</w:t>
            </w:r>
          </w:p>
        </w:tc>
      </w:tr>
      <w:tr w:rsidR="000E40F4" w:rsidRPr="00EF3937" w14:paraId="71AD0585" w14:textId="77777777" w:rsidTr="001A33F5">
        <w:trPr>
          <w:trHeight w:val="268"/>
          <w:jc w:val="center"/>
        </w:trPr>
        <w:tc>
          <w:tcPr>
            <w:tcW w:w="3150" w:type="dxa"/>
            <w:tcBorders>
              <w:top w:val="single" w:sz="12" w:space="0" w:color="auto"/>
              <w:bottom w:val="single" w:sz="12" w:space="0" w:color="auto"/>
              <w:right w:val="single" w:sz="2" w:space="0" w:color="auto"/>
            </w:tcBorders>
            <w:shd w:val="clear" w:color="auto" w:fill="auto"/>
            <w:noWrap/>
            <w:vAlign w:val="center"/>
          </w:tcPr>
          <w:p w14:paraId="5D90779B" w14:textId="77777777" w:rsidR="000E40F4" w:rsidRPr="00EF3937" w:rsidRDefault="000E40F4" w:rsidP="00FD0109">
            <w:pPr>
              <w:pStyle w:val="TblTxt"/>
              <w:jc w:val="right"/>
              <w:rPr>
                <w:b/>
                <w:bCs/>
                <w:szCs w:val="18"/>
              </w:rPr>
            </w:pPr>
            <w:r w:rsidRPr="00EF3937">
              <w:rPr>
                <w:b/>
                <w:bCs/>
                <w:szCs w:val="18"/>
              </w:rPr>
              <w:t>Total</w:t>
            </w:r>
          </w:p>
        </w:tc>
        <w:tc>
          <w:tcPr>
            <w:tcW w:w="2070" w:type="dxa"/>
            <w:tcBorders>
              <w:top w:val="single" w:sz="12" w:space="0" w:color="auto"/>
              <w:left w:val="single" w:sz="2" w:space="0" w:color="auto"/>
              <w:bottom w:val="single" w:sz="12" w:space="0" w:color="auto"/>
            </w:tcBorders>
            <w:shd w:val="clear" w:color="auto" w:fill="auto"/>
          </w:tcPr>
          <w:p w14:paraId="0A4950A6" w14:textId="77777777" w:rsidR="000E40F4" w:rsidRPr="00CB7F06" w:rsidRDefault="000E40F4" w:rsidP="00FD0109">
            <w:pPr>
              <w:pStyle w:val="TblTxtCenter"/>
              <w:rPr>
                <w:b/>
                <w:bCs/>
                <w:szCs w:val="18"/>
              </w:rPr>
            </w:pPr>
            <w:r w:rsidRPr="00CB7F06">
              <w:rPr>
                <w:b/>
                <w:bCs/>
                <w:szCs w:val="18"/>
              </w:rPr>
              <w:t>731</w:t>
            </w:r>
          </w:p>
        </w:tc>
        <w:tc>
          <w:tcPr>
            <w:tcW w:w="2070" w:type="dxa"/>
            <w:tcBorders>
              <w:top w:val="single" w:sz="12" w:space="0" w:color="auto"/>
              <w:left w:val="single" w:sz="2" w:space="0" w:color="auto"/>
              <w:bottom w:val="single" w:sz="12" w:space="0" w:color="auto"/>
            </w:tcBorders>
            <w:shd w:val="clear" w:color="auto" w:fill="auto"/>
          </w:tcPr>
          <w:p w14:paraId="39A7B3E4" w14:textId="77777777" w:rsidR="000E40F4" w:rsidRPr="00CB7F06" w:rsidRDefault="000E40F4" w:rsidP="00FD0109">
            <w:pPr>
              <w:pStyle w:val="TblTxtCenter"/>
              <w:rPr>
                <w:b/>
                <w:bCs/>
                <w:szCs w:val="18"/>
              </w:rPr>
            </w:pPr>
            <w:r w:rsidRPr="00CB7F06">
              <w:rPr>
                <w:b/>
                <w:bCs/>
                <w:szCs w:val="18"/>
              </w:rPr>
              <w:t>100%</w:t>
            </w:r>
          </w:p>
        </w:tc>
      </w:tr>
      <w:tr w:rsidR="000E40F4" w:rsidRPr="00EF3937" w14:paraId="41A7A60C" w14:textId="77777777" w:rsidTr="007A023D">
        <w:trPr>
          <w:trHeight w:val="268"/>
          <w:jc w:val="center"/>
        </w:trPr>
        <w:tc>
          <w:tcPr>
            <w:tcW w:w="3150" w:type="dxa"/>
            <w:tcBorders>
              <w:top w:val="single" w:sz="12" w:space="0" w:color="auto"/>
              <w:bottom w:val="single" w:sz="4" w:space="0" w:color="auto"/>
              <w:right w:val="nil"/>
            </w:tcBorders>
            <w:shd w:val="clear" w:color="auto" w:fill="D9D9D9" w:themeFill="background1" w:themeFillShade="D9"/>
            <w:noWrap/>
            <w:vAlign w:val="center"/>
          </w:tcPr>
          <w:p w14:paraId="15B9BB67" w14:textId="77777777" w:rsidR="000E40F4" w:rsidRPr="00EF3937" w:rsidRDefault="000E40F4" w:rsidP="00FD0109">
            <w:pPr>
              <w:pStyle w:val="TblTxt"/>
              <w:rPr>
                <w:b/>
                <w:bCs/>
                <w:szCs w:val="18"/>
              </w:rPr>
            </w:pPr>
            <w:r w:rsidRPr="00EF3937">
              <w:rPr>
                <w:b/>
                <w:bCs/>
                <w:szCs w:val="18"/>
              </w:rPr>
              <w:t>Proposed Project</w:t>
            </w:r>
          </w:p>
        </w:tc>
        <w:tc>
          <w:tcPr>
            <w:tcW w:w="2070" w:type="dxa"/>
            <w:tcBorders>
              <w:top w:val="single" w:sz="12" w:space="0" w:color="auto"/>
              <w:left w:val="nil"/>
              <w:bottom w:val="single" w:sz="4" w:space="0" w:color="auto"/>
              <w:right w:val="nil"/>
            </w:tcBorders>
            <w:shd w:val="clear" w:color="auto" w:fill="D9D9D9" w:themeFill="background1" w:themeFillShade="D9"/>
          </w:tcPr>
          <w:p w14:paraId="11570A1B" w14:textId="77777777" w:rsidR="000E40F4" w:rsidRPr="00EF3937" w:rsidRDefault="000E40F4" w:rsidP="00FD0109">
            <w:pPr>
              <w:pStyle w:val="TblTxtCenter"/>
              <w:rPr>
                <w:b/>
                <w:bCs/>
                <w:szCs w:val="18"/>
              </w:rPr>
            </w:pPr>
          </w:p>
        </w:tc>
        <w:tc>
          <w:tcPr>
            <w:tcW w:w="2070" w:type="dxa"/>
            <w:tcBorders>
              <w:top w:val="single" w:sz="12" w:space="0" w:color="auto"/>
              <w:left w:val="nil"/>
              <w:bottom w:val="single" w:sz="4" w:space="0" w:color="auto"/>
            </w:tcBorders>
            <w:shd w:val="clear" w:color="auto" w:fill="D9D9D9" w:themeFill="background1" w:themeFillShade="D9"/>
          </w:tcPr>
          <w:p w14:paraId="532B5D50" w14:textId="77777777" w:rsidR="000E40F4" w:rsidRPr="00EF3937" w:rsidRDefault="000E40F4" w:rsidP="00FD0109">
            <w:pPr>
              <w:pStyle w:val="TblTxtCenter"/>
              <w:rPr>
                <w:b/>
                <w:bCs/>
                <w:szCs w:val="18"/>
              </w:rPr>
            </w:pPr>
          </w:p>
        </w:tc>
      </w:tr>
      <w:tr w:rsidR="000E40F4" w:rsidRPr="00EF3937" w14:paraId="6368C78B" w14:textId="77777777" w:rsidTr="007A023D">
        <w:trPr>
          <w:trHeight w:val="268"/>
          <w:jc w:val="center"/>
        </w:trPr>
        <w:tc>
          <w:tcPr>
            <w:tcW w:w="3150" w:type="dxa"/>
            <w:tcBorders>
              <w:top w:val="single" w:sz="4" w:space="0" w:color="auto"/>
              <w:bottom w:val="single" w:sz="4" w:space="0" w:color="auto"/>
              <w:right w:val="single" w:sz="2" w:space="0" w:color="auto"/>
            </w:tcBorders>
            <w:shd w:val="clear" w:color="auto" w:fill="auto"/>
            <w:noWrap/>
            <w:vAlign w:val="center"/>
          </w:tcPr>
          <w:p w14:paraId="5799E7FC" w14:textId="77777777" w:rsidR="000E40F4" w:rsidRPr="00EF3937" w:rsidRDefault="000E40F4" w:rsidP="00FD0109">
            <w:pPr>
              <w:pStyle w:val="TblTxt"/>
              <w:rPr>
                <w:szCs w:val="18"/>
              </w:rPr>
            </w:pPr>
            <w:r w:rsidRPr="00EF3937">
              <w:rPr>
                <w:szCs w:val="18"/>
              </w:rPr>
              <w:t>Area</w:t>
            </w:r>
          </w:p>
        </w:tc>
        <w:tc>
          <w:tcPr>
            <w:tcW w:w="2070" w:type="dxa"/>
            <w:tcBorders>
              <w:top w:val="single" w:sz="4" w:space="0" w:color="auto"/>
              <w:left w:val="single" w:sz="2" w:space="0" w:color="auto"/>
            </w:tcBorders>
            <w:shd w:val="clear" w:color="auto" w:fill="auto"/>
          </w:tcPr>
          <w:p w14:paraId="46658F47" w14:textId="77777777" w:rsidR="000E40F4" w:rsidRPr="00EF3937" w:rsidRDefault="000E40F4" w:rsidP="00FD0109">
            <w:pPr>
              <w:pStyle w:val="TblTxtCenter"/>
              <w:rPr>
                <w:szCs w:val="18"/>
              </w:rPr>
            </w:pPr>
            <w:r>
              <w:rPr>
                <w:szCs w:val="18"/>
              </w:rPr>
              <w:t>&lt;1</w:t>
            </w:r>
          </w:p>
        </w:tc>
        <w:tc>
          <w:tcPr>
            <w:tcW w:w="2070" w:type="dxa"/>
            <w:tcBorders>
              <w:top w:val="single" w:sz="4" w:space="0" w:color="auto"/>
              <w:left w:val="single" w:sz="2" w:space="0" w:color="auto"/>
            </w:tcBorders>
            <w:shd w:val="clear" w:color="auto" w:fill="auto"/>
          </w:tcPr>
          <w:p w14:paraId="413683BD" w14:textId="77777777" w:rsidR="000E40F4" w:rsidRPr="00EF3937" w:rsidRDefault="000E40F4" w:rsidP="00FD0109">
            <w:pPr>
              <w:pStyle w:val="TblTxtCenter"/>
              <w:rPr>
                <w:szCs w:val="18"/>
              </w:rPr>
            </w:pPr>
            <w:r>
              <w:rPr>
                <w:szCs w:val="18"/>
              </w:rPr>
              <w:t>&lt;1%</w:t>
            </w:r>
          </w:p>
        </w:tc>
      </w:tr>
      <w:tr w:rsidR="000E40F4" w:rsidRPr="00EF3937" w14:paraId="0571D821" w14:textId="77777777" w:rsidTr="007A023D">
        <w:trPr>
          <w:trHeight w:val="268"/>
          <w:jc w:val="center"/>
        </w:trPr>
        <w:tc>
          <w:tcPr>
            <w:tcW w:w="3150" w:type="dxa"/>
            <w:tcBorders>
              <w:bottom w:val="single" w:sz="4" w:space="0" w:color="auto"/>
              <w:right w:val="single" w:sz="2" w:space="0" w:color="auto"/>
            </w:tcBorders>
            <w:shd w:val="clear" w:color="auto" w:fill="auto"/>
            <w:noWrap/>
            <w:vAlign w:val="center"/>
          </w:tcPr>
          <w:p w14:paraId="45BC1030" w14:textId="77777777" w:rsidR="000E40F4" w:rsidRPr="00EF3937" w:rsidRDefault="000E40F4" w:rsidP="00FD0109">
            <w:pPr>
              <w:pStyle w:val="TblTxt"/>
              <w:rPr>
                <w:szCs w:val="18"/>
              </w:rPr>
            </w:pPr>
            <w:r w:rsidRPr="00EF3937">
              <w:rPr>
                <w:szCs w:val="18"/>
              </w:rPr>
              <w:t xml:space="preserve">Energy </w:t>
            </w:r>
          </w:p>
        </w:tc>
        <w:tc>
          <w:tcPr>
            <w:tcW w:w="2070" w:type="dxa"/>
            <w:tcBorders>
              <w:left w:val="single" w:sz="2" w:space="0" w:color="auto"/>
            </w:tcBorders>
            <w:shd w:val="clear" w:color="auto" w:fill="auto"/>
          </w:tcPr>
          <w:p w14:paraId="5AC5E278" w14:textId="77777777" w:rsidR="000E40F4" w:rsidRPr="00EF3937" w:rsidRDefault="000E40F4" w:rsidP="00FD0109">
            <w:pPr>
              <w:pStyle w:val="TblTxtCenter"/>
              <w:rPr>
                <w:szCs w:val="18"/>
              </w:rPr>
            </w:pPr>
            <w:r>
              <w:rPr>
                <w:szCs w:val="18"/>
              </w:rPr>
              <w:t>166</w:t>
            </w:r>
          </w:p>
        </w:tc>
        <w:tc>
          <w:tcPr>
            <w:tcW w:w="2070" w:type="dxa"/>
            <w:tcBorders>
              <w:left w:val="single" w:sz="2" w:space="0" w:color="auto"/>
            </w:tcBorders>
            <w:shd w:val="clear" w:color="auto" w:fill="auto"/>
          </w:tcPr>
          <w:p w14:paraId="748DF80C" w14:textId="77777777" w:rsidR="000E40F4" w:rsidRPr="00EF3937" w:rsidRDefault="000E40F4" w:rsidP="00FD0109">
            <w:pPr>
              <w:pStyle w:val="TblTxtCenter"/>
              <w:rPr>
                <w:szCs w:val="18"/>
              </w:rPr>
            </w:pPr>
            <w:r>
              <w:rPr>
                <w:szCs w:val="18"/>
              </w:rPr>
              <w:t>6%</w:t>
            </w:r>
          </w:p>
        </w:tc>
      </w:tr>
      <w:tr w:rsidR="000E40F4" w:rsidRPr="00EF3937" w14:paraId="76468135" w14:textId="77777777" w:rsidTr="007A023D">
        <w:trPr>
          <w:trHeight w:val="268"/>
          <w:jc w:val="center"/>
        </w:trPr>
        <w:tc>
          <w:tcPr>
            <w:tcW w:w="3150" w:type="dxa"/>
            <w:tcBorders>
              <w:bottom w:val="single" w:sz="4" w:space="0" w:color="auto"/>
              <w:right w:val="single" w:sz="2" w:space="0" w:color="auto"/>
            </w:tcBorders>
            <w:shd w:val="clear" w:color="auto" w:fill="auto"/>
            <w:noWrap/>
            <w:vAlign w:val="center"/>
          </w:tcPr>
          <w:p w14:paraId="7B7D0F86" w14:textId="77777777" w:rsidR="000E40F4" w:rsidRPr="00EF3937" w:rsidRDefault="000E40F4" w:rsidP="00FD0109">
            <w:pPr>
              <w:pStyle w:val="TblTxt"/>
              <w:rPr>
                <w:szCs w:val="18"/>
                <w:vertAlign w:val="superscript"/>
              </w:rPr>
            </w:pPr>
            <w:r w:rsidRPr="00EF3937">
              <w:rPr>
                <w:szCs w:val="18"/>
              </w:rPr>
              <w:t>Mobile – Passenger Vehicles</w:t>
            </w:r>
            <w:r>
              <w:rPr>
                <w:szCs w:val="18"/>
                <w:vertAlign w:val="superscript"/>
              </w:rPr>
              <w:t>4</w:t>
            </w:r>
          </w:p>
        </w:tc>
        <w:tc>
          <w:tcPr>
            <w:tcW w:w="2070" w:type="dxa"/>
            <w:tcBorders>
              <w:left w:val="single" w:sz="2" w:space="0" w:color="auto"/>
            </w:tcBorders>
            <w:shd w:val="clear" w:color="auto" w:fill="auto"/>
          </w:tcPr>
          <w:p w14:paraId="07C987F6" w14:textId="77777777" w:rsidR="000E40F4" w:rsidRPr="00EF3937" w:rsidRDefault="000E40F4" w:rsidP="00FD0109">
            <w:pPr>
              <w:pStyle w:val="TblTxtCenter"/>
            </w:pPr>
            <w:r>
              <w:t>280</w:t>
            </w:r>
          </w:p>
        </w:tc>
        <w:tc>
          <w:tcPr>
            <w:tcW w:w="2070" w:type="dxa"/>
            <w:tcBorders>
              <w:left w:val="single" w:sz="2" w:space="0" w:color="auto"/>
            </w:tcBorders>
            <w:shd w:val="clear" w:color="auto" w:fill="auto"/>
          </w:tcPr>
          <w:p w14:paraId="59719AA5" w14:textId="77777777" w:rsidR="000E40F4" w:rsidRPr="00EF3937" w:rsidRDefault="000E40F4" w:rsidP="00FD0109">
            <w:pPr>
              <w:pStyle w:val="TblTxtCenter"/>
            </w:pPr>
            <w:r>
              <w:t>9%</w:t>
            </w:r>
          </w:p>
        </w:tc>
      </w:tr>
      <w:tr w:rsidR="000E40F4" w:rsidRPr="00EF3937" w14:paraId="46AE175C" w14:textId="77777777" w:rsidTr="007A023D">
        <w:trPr>
          <w:trHeight w:val="268"/>
          <w:jc w:val="center"/>
        </w:trPr>
        <w:tc>
          <w:tcPr>
            <w:tcW w:w="3150" w:type="dxa"/>
            <w:tcBorders>
              <w:top w:val="single" w:sz="4" w:space="0" w:color="auto"/>
              <w:bottom w:val="single" w:sz="4" w:space="0" w:color="auto"/>
              <w:right w:val="single" w:sz="2" w:space="0" w:color="auto"/>
            </w:tcBorders>
            <w:shd w:val="clear" w:color="auto" w:fill="auto"/>
            <w:noWrap/>
            <w:vAlign w:val="center"/>
          </w:tcPr>
          <w:p w14:paraId="09D7C338" w14:textId="77777777" w:rsidR="000E40F4" w:rsidRPr="00EF3937" w:rsidRDefault="000E40F4" w:rsidP="00FD0109">
            <w:pPr>
              <w:pStyle w:val="TblTxt"/>
              <w:rPr>
                <w:szCs w:val="18"/>
                <w:vertAlign w:val="superscript"/>
              </w:rPr>
            </w:pPr>
            <w:r w:rsidRPr="00EF3937">
              <w:rPr>
                <w:szCs w:val="18"/>
              </w:rPr>
              <w:t>Mobile – Trucks</w:t>
            </w:r>
            <w:r>
              <w:rPr>
                <w:szCs w:val="18"/>
                <w:vertAlign w:val="superscript"/>
              </w:rPr>
              <w:t>5</w:t>
            </w:r>
          </w:p>
        </w:tc>
        <w:tc>
          <w:tcPr>
            <w:tcW w:w="2070" w:type="dxa"/>
            <w:tcBorders>
              <w:left w:val="single" w:sz="2" w:space="0" w:color="auto"/>
            </w:tcBorders>
            <w:shd w:val="clear" w:color="auto" w:fill="auto"/>
          </w:tcPr>
          <w:p w14:paraId="356903A7" w14:textId="77777777" w:rsidR="000E40F4" w:rsidRPr="00EF3937" w:rsidRDefault="000E40F4" w:rsidP="00FD0109">
            <w:pPr>
              <w:pStyle w:val="TblTxtCenter"/>
              <w:rPr>
                <w:szCs w:val="18"/>
              </w:rPr>
            </w:pPr>
            <w:r>
              <w:rPr>
                <w:szCs w:val="18"/>
              </w:rPr>
              <w:t>1,306</w:t>
            </w:r>
          </w:p>
        </w:tc>
        <w:tc>
          <w:tcPr>
            <w:tcW w:w="2070" w:type="dxa"/>
            <w:tcBorders>
              <w:left w:val="single" w:sz="2" w:space="0" w:color="auto"/>
            </w:tcBorders>
            <w:shd w:val="clear" w:color="auto" w:fill="auto"/>
          </w:tcPr>
          <w:p w14:paraId="18BDDC03" w14:textId="77777777" w:rsidR="000E40F4" w:rsidRPr="00EF3937" w:rsidRDefault="000E40F4" w:rsidP="00FD0109">
            <w:pPr>
              <w:pStyle w:val="TblTxtCenter"/>
              <w:rPr>
                <w:szCs w:val="18"/>
              </w:rPr>
            </w:pPr>
            <w:r>
              <w:rPr>
                <w:szCs w:val="18"/>
              </w:rPr>
              <w:t>44%</w:t>
            </w:r>
          </w:p>
        </w:tc>
      </w:tr>
      <w:tr w:rsidR="000E40F4" w:rsidRPr="00EF3937" w14:paraId="38BFA5B1" w14:textId="77777777" w:rsidTr="007A023D">
        <w:trPr>
          <w:trHeight w:val="268"/>
          <w:jc w:val="center"/>
        </w:trPr>
        <w:tc>
          <w:tcPr>
            <w:tcW w:w="3150" w:type="dxa"/>
            <w:tcBorders>
              <w:top w:val="single" w:sz="4" w:space="0" w:color="auto"/>
              <w:bottom w:val="single" w:sz="4" w:space="0" w:color="auto"/>
              <w:right w:val="single" w:sz="2" w:space="0" w:color="auto"/>
            </w:tcBorders>
            <w:shd w:val="clear" w:color="auto" w:fill="auto"/>
            <w:noWrap/>
            <w:vAlign w:val="center"/>
          </w:tcPr>
          <w:p w14:paraId="1FC30E13" w14:textId="77777777" w:rsidR="000E40F4" w:rsidRPr="0054037D" w:rsidRDefault="000E40F4" w:rsidP="00FD0109">
            <w:pPr>
              <w:pStyle w:val="TblTxt"/>
              <w:rPr>
                <w:szCs w:val="18"/>
                <w:vertAlign w:val="superscript"/>
              </w:rPr>
            </w:pPr>
            <w:r>
              <w:rPr>
                <w:szCs w:val="18"/>
              </w:rPr>
              <w:t xml:space="preserve">Diesel </w:t>
            </w:r>
            <w:r w:rsidRPr="00EF3937">
              <w:rPr>
                <w:szCs w:val="18"/>
              </w:rPr>
              <w:t>Off-Road Equipment</w:t>
            </w:r>
            <w:r>
              <w:rPr>
                <w:szCs w:val="18"/>
                <w:vertAlign w:val="superscript"/>
              </w:rPr>
              <w:t>6</w:t>
            </w:r>
          </w:p>
        </w:tc>
        <w:tc>
          <w:tcPr>
            <w:tcW w:w="2070" w:type="dxa"/>
            <w:tcBorders>
              <w:left w:val="single" w:sz="2" w:space="0" w:color="auto"/>
            </w:tcBorders>
            <w:shd w:val="clear" w:color="auto" w:fill="auto"/>
          </w:tcPr>
          <w:p w14:paraId="18FFA6BA" w14:textId="77777777" w:rsidR="000E40F4" w:rsidRPr="00EF3937" w:rsidRDefault="000E40F4" w:rsidP="00FD0109">
            <w:pPr>
              <w:pStyle w:val="TblTxtCenter"/>
            </w:pPr>
            <w:r>
              <w:t>945</w:t>
            </w:r>
          </w:p>
        </w:tc>
        <w:tc>
          <w:tcPr>
            <w:tcW w:w="2070" w:type="dxa"/>
            <w:tcBorders>
              <w:left w:val="single" w:sz="2" w:space="0" w:color="auto"/>
            </w:tcBorders>
            <w:shd w:val="clear" w:color="auto" w:fill="auto"/>
          </w:tcPr>
          <w:p w14:paraId="22ABED69" w14:textId="77777777" w:rsidR="000E40F4" w:rsidRPr="00EF3937" w:rsidRDefault="000E40F4" w:rsidP="00FD0109">
            <w:pPr>
              <w:pStyle w:val="TblTxtCenter"/>
            </w:pPr>
            <w:r>
              <w:t>32%</w:t>
            </w:r>
          </w:p>
        </w:tc>
      </w:tr>
      <w:tr w:rsidR="000E40F4" w:rsidRPr="00EF3937" w14:paraId="5BD13CAD" w14:textId="77777777" w:rsidTr="00F1091F">
        <w:trPr>
          <w:trHeight w:val="268"/>
          <w:jc w:val="center"/>
        </w:trPr>
        <w:tc>
          <w:tcPr>
            <w:tcW w:w="3150" w:type="dxa"/>
            <w:tcBorders>
              <w:top w:val="single" w:sz="4" w:space="0" w:color="auto"/>
              <w:bottom w:val="single" w:sz="4" w:space="0" w:color="auto"/>
              <w:right w:val="single" w:sz="2" w:space="0" w:color="auto"/>
            </w:tcBorders>
            <w:shd w:val="clear" w:color="auto" w:fill="auto"/>
            <w:noWrap/>
            <w:vAlign w:val="center"/>
          </w:tcPr>
          <w:p w14:paraId="2B445B42" w14:textId="77777777" w:rsidR="000E40F4" w:rsidRDefault="000E40F4" w:rsidP="00FD0109">
            <w:pPr>
              <w:pStyle w:val="TblTxt"/>
              <w:rPr>
                <w:szCs w:val="18"/>
              </w:rPr>
            </w:pPr>
            <w:r>
              <w:rPr>
                <w:szCs w:val="18"/>
              </w:rPr>
              <w:t>Electric Off-Road Equipment</w:t>
            </w:r>
            <w:r w:rsidRPr="00DF350A">
              <w:rPr>
                <w:szCs w:val="18"/>
                <w:vertAlign w:val="superscript"/>
              </w:rPr>
              <w:t>7</w:t>
            </w:r>
            <w:r>
              <w:rPr>
                <w:szCs w:val="18"/>
                <w:vertAlign w:val="superscript"/>
              </w:rPr>
              <w:t>,8</w:t>
            </w:r>
          </w:p>
        </w:tc>
        <w:tc>
          <w:tcPr>
            <w:tcW w:w="2070" w:type="dxa"/>
            <w:tcBorders>
              <w:left w:val="single" w:sz="2" w:space="0" w:color="auto"/>
              <w:bottom w:val="single" w:sz="4" w:space="0" w:color="auto"/>
            </w:tcBorders>
            <w:shd w:val="clear" w:color="auto" w:fill="auto"/>
          </w:tcPr>
          <w:p w14:paraId="786DB24A" w14:textId="77777777" w:rsidR="000E40F4" w:rsidRDefault="000E40F4" w:rsidP="00FD0109">
            <w:pPr>
              <w:pStyle w:val="TblTxtCenter"/>
            </w:pPr>
            <w:r>
              <w:t>78</w:t>
            </w:r>
          </w:p>
        </w:tc>
        <w:tc>
          <w:tcPr>
            <w:tcW w:w="2070" w:type="dxa"/>
            <w:tcBorders>
              <w:left w:val="single" w:sz="2" w:space="0" w:color="auto"/>
              <w:bottom w:val="single" w:sz="4" w:space="0" w:color="auto"/>
            </w:tcBorders>
            <w:shd w:val="clear" w:color="auto" w:fill="auto"/>
          </w:tcPr>
          <w:p w14:paraId="235DAD62" w14:textId="77777777" w:rsidR="000E40F4" w:rsidRDefault="000E40F4" w:rsidP="00FD0109">
            <w:pPr>
              <w:pStyle w:val="TblTxtCenter"/>
            </w:pPr>
            <w:r>
              <w:t>3%</w:t>
            </w:r>
          </w:p>
        </w:tc>
      </w:tr>
      <w:tr w:rsidR="000E40F4" w:rsidRPr="00EF3937" w14:paraId="66D921FA" w14:textId="77777777" w:rsidTr="00F1091F">
        <w:trPr>
          <w:trHeight w:val="276"/>
          <w:jc w:val="center"/>
        </w:trPr>
        <w:tc>
          <w:tcPr>
            <w:tcW w:w="3150" w:type="dxa"/>
            <w:tcBorders>
              <w:top w:val="single" w:sz="4" w:space="0" w:color="auto"/>
              <w:bottom w:val="single" w:sz="4" w:space="0" w:color="auto"/>
              <w:right w:val="single" w:sz="2" w:space="0" w:color="auto"/>
            </w:tcBorders>
            <w:shd w:val="clear" w:color="auto" w:fill="auto"/>
            <w:noWrap/>
            <w:vAlign w:val="center"/>
          </w:tcPr>
          <w:p w14:paraId="05119BE8" w14:textId="77777777" w:rsidR="000E40F4" w:rsidRPr="00EF3937" w:rsidRDefault="000E40F4" w:rsidP="00FD0109">
            <w:pPr>
              <w:pStyle w:val="TblTxt"/>
              <w:rPr>
                <w:szCs w:val="18"/>
              </w:rPr>
            </w:pPr>
            <w:r w:rsidRPr="00EF3937">
              <w:rPr>
                <w:szCs w:val="18"/>
              </w:rPr>
              <w:t>Solid Waste</w:t>
            </w:r>
          </w:p>
        </w:tc>
        <w:tc>
          <w:tcPr>
            <w:tcW w:w="2070" w:type="dxa"/>
            <w:tcBorders>
              <w:top w:val="single" w:sz="4" w:space="0" w:color="auto"/>
              <w:left w:val="single" w:sz="2" w:space="0" w:color="auto"/>
              <w:bottom w:val="single" w:sz="4" w:space="0" w:color="auto"/>
            </w:tcBorders>
            <w:shd w:val="clear" w:color="auto" w:fill="auto"/>
          </w:tcPr>
          <w:p w14:paraId="0F96CBB5" w14:textId="77777777" w:rsidR="000E40F4" w:rsidRPr="00EF3937" w:rsidRDefault="000E40F4" w:rsidP="00FD0109">
            <w:pPr>
              <w:pStyle w:val="TblTxtCenter"/>
              <w:rPr>
                <w:szCs w:val="18"/>
              </w:rPr>
            </w:pPr>
            <w:r>
              <w:rPr>
                <w:szCs w:val="18"/>
              </w:rPr>
              <w:t>162</w:t>
            </w:r>
          </w:p>
        </w:tc>
        <w:tc>
          <w:tcPr>
            <w:tcW w:w="2070" w:type="dxa"/>
            <w:tcBorders>
              <w:top w:val="single" w:sz="4" w:space="0" w:color="auto"/>
              <w:left w:val="single" w:sz="2" w:space="0" w:color="auto"/>
              <w:bottom w:val="single" w:sz="4" w:space="0" w:color="auto"/>
            </w:tcBorders>
            <w:shd w:val="clear" w:color="auto" w:fill="auto"/>
          </w:tcPr>
          <w:p w14:paraId="2711899D" w14:textId="77777777" w:rsidR="000E40F4" w:rsidRPr="00EF3937" w:rsidRDefault="000E40F4" w:rsidP="00FD0109">
            <w:pPr>
              <w:pStyle w:val="TblTxtCenter"/>
              <w:rPr>
                <w:szCs w:val="18"/>
              </w:rPr>
            </w:pPr>
            <w:r>
              <w:rPr>
                <w:szCs w:val="18"/>
              </w:rPr>
              <w:t>5%</w:t>
            </w:r>
          </w:p>
        </w:tc>
      </w:tr>
      <w:tr w:rsidR="000E40F4" w:rsidRPr="00EF3937" w14:paraId="492D9B63" w14:textId="77777777" w:rsidTr="00F1091F">
        <w:trPr>
          <w:trHeight w:val="268"/>
          <w:jc w:val="center"/>
        </w:trPr>
        <w:tc>
          <w:tcPr>
            <w:tcW w:w="3150" w:type="dxa"/>
            <w:tcBorders>
              <w:top w:val="single" w:sz="4" w:space="0" w:color="auto"/>
              <w:bottom w:val="single" w:sz="4" w:space="0" w:color="auto"/>
              <w:right w:val="single" w:sz="2" w:space="0" w:color="auto"/>
            </w:tcBorders>
            <w:shd w:val="clear" w:color="auto" w:fill="auto"/>
            <w:noWrap/>
            <w:vAlign w:val="center"/>
          </w:tcPr>
          <w:p w14:paraId="32F95AC6" w14:textId="77777777" w:rsidR="000E40F4" w:rsidRPr="00EF3937" w:rsidRDefault="000E40F4" w:rsidP="008614BA">
            <w:pPr>
              <w:pStyle w:val="TblTxt"/>
              <w:pageBreakBefore/>
              <w:rPr>
                <w:szCs w:val="18"/>
              </w:rPr>
            </w:pPr>
            <w:r w:rsidRPr="00EF3937">
              <w:rPr>
                <w:szCs w:val="18"/>
              </w:rPr>
              <w:t>Water</w:t>
            </w:r>
          </w:p>
        </w:tc>
        <w:tc>
          <w:tcPr>
            <w:tcW w:w="2070" w:type="dxa"/>
            <w:tcBorders>
              <w:top w:val="single" w:sz="4" w:space="0" w:color="auto"/>
              <w:left w:val="single" w:sz="2" w:space="0" w:color="auto"/>
              <w:bottom w:val="single" w:sz="4" w:space="0" w:color="auto"/>
            </w:tcBorders>
            <w:shd w:val="clear" w:color="auto" w:fill="auto"/>
          </w:tcPr>
          <w:p w14:paraId="231C2770" w14:textId="77777777" w:rsidR="000E40F4" w:rsidRPr="00EF3937" w:rsidRDefault="000E40F4" w:rsidP="00FD0109">
            <w:pPr>
              <w:pStyle w:val="TblTxtCenter"/>
              <w:rPr>
                <w:szCs w:val="18"/>
              </w:rPr>
            </w:pPr>
            <w:r>
              <w:rPr>
                <w:szCs w:val="18"/>
              </w:rPr>
              <w:t>2</w:t>
            </w:r>
          </w:p>
        </w:tc>
        <w:tc>
          <w:tcPr>
            <w:tcW w:w="2070" w:type="dxa"/>
            <w:tcBorders>
              <w:top w:val="single" w:sz="4" w:space="0" w:color="auto"/>
              <w:left w:val="single" w:sz="2" w:space="0" w:color="auto"/>
              <w:bottom w:val="single" w:sz="4" w:space="0" w:color="auto"/>
            </w:tcBorders>
            <w:shd w:val="clear" w:color="auto" w:fill="auto"/>
          </w:tcPr>
          <w:p w14:paraId="0A21AE6F" w14:textId="77777777" w:rsidR="000E40F4" w:rsidRPr="00EF3937" w:rsidRDefault="000E40F4" w:rsidP="00FD0109">
            <w:pPr>
              <w:pStyle w:val="TblTxtCenter"/>
              <w:rPr>
                <w:szCs w:val="18"/>
              </w:rPr>
            </w:pPr>
            <w:r>
              <w:rPr>
                <w:szCs w:val="18"/>
              </w:rPr>
              <w:t>&lt;1%</w:t>
            </w:r>
          </w:p>
        </w:tc>
      </w:tr>
      <w:tr w:rsidR="000E40F4" w:rsidRPr="00EF3937" w14:paraId="2C94C8AF" w14:textId="77777777" w:rsidTr="00AD2D1F">
        <w:trPr>
          <w:trHeight w:val="268"/>
          <w:jc w:val="center"/>
        </w:trPr>
        <w:tc>
          <w:tcPr>
            <w:tcW w:w="3150" w:type="dxa"/>
            <w:tcBorders>
              <w:top w:val="single" w:sz="4" w:space="0" w:color="auto"/>
              <w:bottom w:val="single" w:sz="12" w:space="0" w:color="auto"/>
              <w:right w:val="single" w:sz="2" w:space="0" w:color="auto"/>
            </w:tcBorders>
            <w:shd w:val="clear" w:color="auto" w:fill="auto"/>
            <w:noWrap/>
            <w:vAlign w:val="center"/>
          </w:tcPr>
          <w:p w14:paraId="75AEEE3E" w14:textId="16B1FEBA" w:rsidR="000E40F4" w:rsidRPr="00EF3937" w:rsidRDefault="000E40F4" w:rsidP="00FD0109">
            <w:pPr>
              <w:pStyle w:val="TblTxt"/>
              <w:rPr>
                <w:szCs w:val="18"/>
              </w:rPr>
            </w:pPr>
            <w:r w:rsidRPr="00EF3937">
              <w:rPr>
                <w:szCs w:val="18"/>
              </w:rPr>
              <w:t>Amortized Construction Emissions</w:t>
            </w:r>
            <w:r>
              <w:rPr>
                <w:szCs w:val="18"/>
                <w:vertAlign w:val="superscript"/>
              </w:rPr>
              <w:t>9</w:t>
            </w:r>
            <w:r w:rsidR="00262F57">
              <w:rPr>
                <w:szCs w:val="18"/>
                <w:vertAlign w:val="superscript"/>
              </w:rPr>
              <w:t>,10</w:t>
            </w:r>
          </w:p>
        </w:tc>
        <w:tc>
          <w:tcPr>
            <w:tcW w:w="2070" w:type="dxa"/>
            <w:tcBorders>
              <w:top w:val="single" w:sz="4" w:space="0" w:color="auto"/>
              <w:left w:val="single" w:sz="2" w:space="0" w:color="auto"/>
              <w:bottom w:val="single" w:sz="12" w:space="0" w:color="auto"/>
            </w:tcBorders>
            <w:shd w:val="clear" w:color="auto" w:fill="auto"/>
          </w:tcPr>
          <w:p w14:paraId="52F6B317" w14:textId="77777777" w:rsidR="000E40F4" w:rsidRDefault="000E40F4" w:rsidP="00FD0109">
            <w:pPr>
              <w:pStyle w:val="TblTxtCenter"/>
              <w:rPr>
                <w:szCs w:val="18"/>
              </w:rPr>
            </w:pPr>
            <w:r>
              <w:rPr>
                <w:szCs w:val="18"/>
              </w:rPr>
              <w:t>15</w:t>
            </w:r>
          </w:p>
        </w:tc>
        <w:tc>
          <w:tcPr>
            <w:tcW w:w="2070" w:type="dxa"/>
            <w:tcBorders>
              <w:top w:val="single" w:sz="4" w:space="0" w:color="auto"/>
              <w:left w:val="single" w:sz="2" w:space="0" w:color="auto"/>
              <w:bottom w:val="single" w:sz="12" w:space="0" w:color="auto"/>
            </w:tcBorders>
            <w:shd w:val="clear" w:color="auto" w:fill="auto"/>
          </w:tcPr>
          <w:p w14:paraId="5D4148DA" w14:textId="77777777" w:rsidR="000E40F4" w:rsidRDefault="000E40F4" w:rsidP="00FD0109">
            <w:pPr>
              <w:pStyle w:val="TblTxtCenter"/>
              <w:rPr>
                <w:szCs w:val="18"/>
              </w:rPr>
            </w:pPr>
            <w:r>
              <w:rPr>
                <w:szCs w:val="18"/>
              </w:rPr>
              <w:t>1%</w:t>
            </w:r>
          </w:p>
        </w:tc>
      </w:tr>
      <w:tr w:rsidR="000E40F4" w:rsidRPr="00EF3937" w14:paraId="62CAA134" w14:textId="77777777" w:rsidTr="00AD2D1F">
        <w:trPr>
          <w:trHeight w:val="268"/>
          <w:jc w:val="center"/>
        </w:trPr>
        <w:tc>
          <w:tcPr>
            <w:tcW w:w="3150" w:type="dxa"/>
            <w:tcBorders>
              <w:top w:val="single" w:sz="12" w:space="0" w:color="auto"/>
              <w:bottom w:val="single" w:sz="12" w:space="0" w:color="auto"/>
              <w:right w:val="single" w:sz="2" w:space="0" w:color="auto"/>
            </w:tcBorders>
            <w:shd w:val="clear" w:color="auto" w:fill="auto"/>
            <w:noWrap/>
            <w:vAlign w:val="center"/>
          </w:tcPr>
          <w:p w14:paraId="62E3B438" w14:textId="77777777" w:rsidR="000E40F4" w:rsidRPr="00EF3937" w:rsidRDefault="000E40F4" w:rsidP="00FD0109">
            <w:pPr>
              <w:pStyle w:val="TblTxt"/>
              <w:jc w:val="right"/>
              <w:rPr>
                <w:b/>
                <w:bCs/>
                <w:szCs w:val="18"/>
              </w:rPr>
            </w:pPr>
            <w:r w:rsidRPr="00EF3937">
              <w:rPr>
                <w:b/>
                <w:bCs/>
                <w:szCs w:val="18"/>
              </w:rPr>
              <w:t>Total</w:t>
            </w:r>
          </w:p>
        </w:tc>
        <w:tc>
          <w:tcPr>
            <w:tcW w:w="2070" w:type="dxa"/>
            <w:tcBorders>
              <w:top w:val="single" w:sz="12" w:space="0" w:color="auto"/>
              <w:left w:val="single" w:sz="2" w:space="0" w:color="auto"/>
              <w:bottom w:val="single" w:sz="12" w:space="0" w:color="auto"/>
            </w:tcBorders>
            <w:shd w:val="clear" w:color="auto" w:fill="auto"/>
          </w:tcPr>
          <w:p w14:paraId="5485AF98" w14:textId="77777777" w:rsidR="000E40F4" w:rsidRPr="00CB7F06" w:rsidRDefault="000E40F4" w:rsidP="00FD0109">
            <w:pPr>
              <w:pStyle w:val="TblTxtCenter"/>
              <w:rPr>
                <w:b/>
                <w:bCs/>
                <w:szCs w:val="18"/>
              </w:rPr>
            </w:pPr>
            <w:r w:rsidRPr="00CB7F06">
              <w:rPr>
                <w:b/>
                <w:bCs/>
                <w:szCs w:val="18"/>
              </w:rPr>
              <w:t>2,954</w:t>
            </w:r>
          </w:p>
        </w:tc>
        <w:tc>
          <w:tcPr>
            <w:tcW w:w="2070" w:type="dxa"/>
            <w:tcBorders>
              <w:top w:val="single" w:sz="12" w:space="0" w:color="auto"/>
              <w:left w:val="single" w:sz="2" w:space="0" w:color="auto"/>
              <w:bottom w:val="single" w:sz="12" w:space="0" w:color="auto"/>
            </w:tcBorders>
            <w:shd w:val="clear" w:color="auto" w:fill="auto"/>
          </w:tcPr>
          <w:p w14:paraId="27AE3F99" w14:textId="77777777" w:rsidR="000E40F4" w:rsidRPr="00CB7F06" w:rsidRDefault="000E40F4" w:rsidP="00FD0109">
            <w:pPr>
              <w:pStyle w:val="TblTxtCenter"/>
              <w:rPr>
                <w:b/>
                <w:bCs/>
                <w:szCs w:val="18"/>
              </w:rPr>
            </w:pPr>
            <w:r w:rsidRPr="00CB7F06">
              <w:rPr>
                <w:b/>
                <w:bCs/>
                <w:szCs w:val="18"/>
              </w:rPr>
              <w:t>100%</w:t>
            </w:r>
          </w:p>
        </w:tc>
      </w:tr>
      <w:tr w:rsidR="000E40F4" w:rsidRPr="00EF3937" w14:paraId="46936A7C" w14:textId="77777777" w:rsidTr="007A023D">
        <w:trPr>
          <w:trHeight w:val="268"/>
          <w:jc w:val="center"/>
        </w:trPr>
        <w:tc>
          <w:tcPr>
            <w:tcW w:w="3150" w:type="dxa"/>
            <w:tcBorders>
              <w:top w:val="single" w:sz="12" w:space="0" w:color="auto"/>
              <w:bottom w:val="single" w:sz="4" w:space="0" w:color="auto"/>
              <w:right w:val="nil"/>
            </w:tcBorders>
            <w:shd w:val="clear" w:color="auto" w:fill="D9D9D9" w:themeFill="background1" w:themeFillShade="D9"/>
            <w:noWrap/>
            <w:vAlign w:val="center"/>
          </w:tcPr>
          <w:p w14:paraId="129732D1" w14:textId="77777777" w:rsidR="000E40F4" w:rsidRPr="00EF3937" w:rsidRDefault="000E40F4" w:rsidP="00FD0109">
            <w:pPr>
              <w:pStyle w:val="TblTxt"/>
              <w:rPr>
                <w:b/>
                <w:bCs/>
                <w:szCs w:val="18"/>
              </w:rPr>
            </w:pPr>
            <w:r w:rsidRPr="00EF3937">
              <w:rPr>
                <w:b/>
                <w:bCs/>
                <w:szCs w:val="18"/>
              </w:rPr>
              <w:t>Net Change</w:t>
            </w:r>
          </w:p>
        </w:tc>
        <w:tc>
          <w:tcPr>
            <w:tcW w:w="2070" w:type="dxa"/>
            <w:tcBorders>
              <w:top w:val="single" w:sz="12" w:space="0" w:color="auto"/>
              <w:left w:val="nil"/>
              <w:bottom w:val="single" w:sz="4" w:space="0" w:color="auto"/>
              <w:right w:val="nil"/>
            </w:tcBorders>
            <w:shd w:val="clear" w:color="auto" w:fill="D9D9D9" w:themeFill="background1" w:themeFillShade="D9"/>
          </w:tcPr>
          <w:p w14:paraId="4D85371E" w14:textId="77777777" w:rsidR="000E40F4" w:rsidRPr="00EF3937" w:rsidRDefault="000E40F4" w:rsidP="00FD0109">
            <w:pPr>
              <w:pStyle w:val="TblTxtCenter"/>
              <w:rPr>
                <w:szCs w:val="18"/>
              </w:rPr>
            </w:pPr>
          </w:p>
        </w:tc>
        <w:tc>
          <w:tcPr>
            <w:tcW w:w="2070" w:type="dxa"/>
            <w:tcBorders>
              <w:top w:val="single" w:sz="12" w:space="0" w:color="auto"/>
              <w:left w:val="nil"/>
              <w:bottom w:val="single" w:sz="4" w:space="0" w:color="auto"/>
            </w:tcBorders>
            <w:shd w:val="clear" w:color="auto" w:fill="D9D9D9" w:themeFill="background1" w:themeFillShade="D9"/>
          </w:tcPr>
          <w:p w14:paraId="0AA066C6" w14:textId="77777777" w:rsidR="000E40F4" w:rsidRPr="00EF3937" w:rsidRDefault="000E40F4" w:rsidP="00FD0109">
            <w:pPr>
              <w:pStyle w:val="TblTxtCenter"/>
              <w:rPr>
                <w:szCs w:val="18"/>
              </w:rPr>
            </w:pPr>
          </w:p>
        </w:tc>
      </w:tr>
      <w:tr w:rsidR="000E40F4" w:rsidRPr="00EF3937" w14:paraId="2E34A94A" w14:textId="77777777" w:rsidTr="007A023D">
        <w:trPr>
          <w:trHeight w:val="268"/>
          <w:jc w:val="center"/>
        </w:trPr>
        <w:tc>
          <w:tcPr>
            <w:tcW w:w="3150" w:type="dxa"/>
            <w:tcBorders>
              <w:top w:val="single" w:sz="4" w:space="0" w:color="auto"/>
              <w:bottom w:val="single" w:sz="4" w:space="0" w:color="auto"/>
              <w:right w:val="single" w:sz="2" w:space="0" w:color="auto"/>
            </w:tcBorders>
            <w:shd w:val="clear" w:color="auto" w:fill="auto"/>
            <w:noWrap/>
            <w:vAlign w:val="center"/>
          </w:tcPr>
          <w:p w14:paraId="2068E580" w14:textId="77777777" w:rsidR="000E40F4" w:rsidRPr="00EF3937" w:rsidRDefault="00FB604B" w:rsidP="00FD0109">
            <w:pPr>
              <w:pStyle w:val="TblTxt"/>
              <w:rPr>
                <w:szCs w:val="18"/>
              </w:rPr>
            </w:pPr>
            <w:r>
              <w:rPr>
                <w:szCs w:val="18"/>
              </w:rPr>
              <w:t xml:space="preserve">Former </w:t>
            </w:r>
            <w:r w:rsidR="00114C61">
              <w:rPr>
                <w:szCs w:val="18"/>
              </w:rPr>
              <w:t>Pepsi Bottling Plant</w:t>
            </w:r>
            <w:r w:rsidR="000E40F4">
              <w:rPr>
                <w:szCs w:val="18"/>
              </w:rPr>
              <w:t xml:space="preserve"> Total</w:t>
            </w:r>
          </w:p>
        </w:tc>
        <w:tc>
          <w:tcPr>
            <w:tcW w:w="2070" w:type="dxa"/>
            <w:tcBorders>
              <w:top w:val="single" w:sz="4" w:space="0" w:color="auto"/>
              <w:left w:val="single" w:sz="2" w:space="0" w:color="auto"/>
            </w:tcBorders>
            <w:shd w:val="clear" w:color="auto" w:fill="auto"/>
          </w:tcPr>
          <w:p w14:paraId="733919CB" w14:textId="77777777" w:rsidR="000E40F4" w:rsidRPr="00EF3937" w:rsidRDefault="000E40F4" w:rsidP="00FD0109">
            <w:pPr>
              <w:pStyle w:val="TblTxtCenter"/>
              <w:rPr>
                <w:szCs w:val="18"/>
              </w:rPr>
            </w:pPr>
            <w:r>
              <w:rPr>
                <w:szCs w:val="18"/>
              </w:rPr>
              <w:t>731</w:t>
            </w:r>
          </w:p>
        </w:tc>
        <w:tc>
          <w:tcPr>
            <w:tcW w:w="2070" w:type="dxa"/>
            <w:tcBorders>
              <w:top w:val="single" w:sz="4" w:space="0" w:color="auto"/>
              <w:left w:val="single" w:sz="2" w:space="0" w:color="auto"/>
            </w:tcBorders>
            <w:shd w:val="clear" w:color="auto" w:fill="auto"/>
          </w:tcPr>
          <w:p w14:paraId="709F66B9" w14:textId="77777777" w:rsidR="000E40F4" w:rsidRPr="00EF3937" w:rsidRDefault="000E40F4" w:rsidP="00FD0109">
            <w:pPr>
              <w:pStyle w:val="TblTxtCenter"/>
              <w:rPr>
                <w:szCs w:val="18"/>
              </w:rPr>
            </w:pPr>
            <w:r>
              <w:rPr>
                <w:szCs w:val="18"/>
              </w:rPr>
              <w:t>N/A</w:t>
            </w:r>
          </w:p>
        </w:tc>
      </w:tr>
      <w:tr w:rsidR="000E40F4" w:rsidRPr="00EF3937" w14:paraId="2A00784A" w14:textId="77777777" w:rsidTr="007A023D">
        <w:trPr>
          <w:trHeight w:val="268"/>
          <w:jc w:val="center"/>
        </w:trPr>
        <w:tc>
          <w:tcPr>
            <w:tcW w:w="3150" w:type="dxa"/>
            <w:tcBorders>
              <w:top w:val="single" w:sz="4" w:space="0" w:color="auto"/>
              <w:bottom w:val="single" w:sz="12" w:space="0" w:color="auto"/>
              <w:right w:val="single" w:sz="2" w:space="0" w:color="auto"/>
            </w:tcBorders>
            <w:shd w:val="clear" w:color="auto" w:fill="auto"/>
            <w:noWrap/>
            <w:vAlign w:val="center"/>
          </w:tcPr>
          <w:p w14:paraId="354F4CE2" w14:textId="77777777" w:rsidR="000E40F4" w:rsidRPr="00EF3937" w:rsidRDefault="000E40F4" w:rsidP="00FD0109">
            <w:pPr>
              <w:pStyle w:val="TblTxt"/>
              <w:rPr>
                <w:b/>
                <w:szCs w:val="18"/>
                <w:vertAlign w:val="superscript"/>
              </w:rPr>
            </w:pPr>
            <w:r w:rsidRPr="00EF3937">
              <w:rPr>
                <w:szCs w:val="18"/>
              </w:rPr>
              <w:t>Proposed Project Total</w:t>
            </w:r>
          </w:p>
        </w:tc>
        <w:tc>
          <w:tcPr>
            <w:tcW w:w="2070" w:type="dxa"/>
            <w:tcBorders>
              <w:left w:val="single" w:sz="2" w:space="0" w:color="auto"/>
              <w:bottom w:val="single" w:sz="12" w:space="0" w:color="auto"/>
            </w:tcBorders>
            <w:shd w:val="clear" w:color="auto" w:fill="auto"/>
          </w:tcPr>
          <w:p w14:paraId="3E453B24" w14:textId="77777777" w:rsidR="000E40F4" w:rsidRPr="00EF3937" w:rsidRDefault="000E40F4" w:rsidP="00FD0109">
            <w:pPr>
              <w:pStyle w:val="TblTxtCenter"/>
              <w:rPr>
                <w:szCs w:val="18"/>
              </w:rPr>
            </w:pPr>
            <w:r>
              <w:rPr>
                <w:szCs w:val="18"/>
              </w:rPr>
              <w:t>2,954</w:t>
            </w:r>
          </w:p>
        </w:tc>
        <w:tc>
          <w:tcPr>
            <w:tcW w:w="2070" w:type="dxa"/>
            <w:tcBorders>
              <w:left w:val="single" w:sz="2" w:space="0" w:color="auto"/>
              <w:bottom w:val="single" w:sz="12" w:space="0" w:color="auto"/>
            </w:tcBorders>
            <w:shd w:val="clear" w:color="auto" w:fill="auto"/>
          </w:tcPr>
          <w:p w14:paraId="00FAA109" w14:textId="77777777" w:rsidR="000E40F4" w:rsidRPr="00EF3937" w:rsidRDefault="000E40F4" w:rsidP="00FD0109">
            <w:pPr>
              <w:pStyle w:val="TblTxtCenter"/>
              <w:rPr>
                <w:szCs w:val="18"/>
              </w:rPr>
            </w:pPr>
            <w:r>
              <w:rPr>
                <w:szCs w:val="18"/>
              </w:rPr>
              <w:t>N/A</w:t>
            </w:r>
          </w:p>
        </w:tc>
      </w:tr>
      <w:tr w:rsidR="000E40F4" w:rsidRPr="00EF3937" w14:paraId="386685CF" w14:textId="77777777" w:rsidTr="007A023D">
        <w:trPr>
          <w:trHeight w:val="268"/>
          <w:jc w:val="center"/>
        </w:trPr>
        <w:tc>
          <w:tcPr>
            <w:tcW w:w="3150" w:type="dxa"/>
            <w:tcBorders>
              <w:top w:val="single" w:sz="12" w:space="0" w:color="auto"/>
              <w:bottom w:val="single" w:sz="2" w:space="0" w:color="auto"/>
              <w:right w:val="single" w:sz="2" w:space="0" w:color="auto"/>
            </w:tcBorders>
            <w:shd w:val="clear" w:color="auto" w:fill="auto"/>
            <w:noWrap/>
            <w:vAlign w:val="center"/>
          </w:tcPr>
          <w:p w14:paraId="6F137431" w14:textId="77777777" w:rsidR="000E40F4" w:rsidRPr="00EF3937" w:rsidRDefault="000E40F4" w:rsidP="00FD0109">
            <w:pPr>
              <w:pStyle w:val="TblTxt"/>
              <w:jc w:val="right"/>
              <w:rPr>
                <w:b/>
                <w:szCs w:val="18"/>
              </w:rPr>
            </w:pPr>
            <w:r>
              <w:rPr>
                <w:b/>
                <w:szCs w:val="18"/>
              </w:rPr>
              <w:t>Net Change</w:t>
            </w:r>
          </w:p>
        </w:tc>
        <w:tc>
          <w:tcPr>
            <w:tcW w:w="2070" w:type="dxa"/>
            <w:tcBorders>
              <w:top w:val="single" w:sz="12" w:space="0" w:color="auto"/>
              <w:left w:val="single" w:sz="2" w:space="0" w:color="auto"/>
              <w:bottom w:val="single" w:sz="2" w:space="0" w:color="auto"/>
            </w:tcBorders>
            <w:shd w:val="clear" w:color="auto" w:fill="auto"/>
          </w:tcPr>
          <w:p w14:paraId="585D61D1" w14:textId="77777777" w:rsidR="000E40F4" w:rsidRPr="00EF3937" w:rsidRDefault="000E40F4" w:rsidP="00FD0109">
            <w:pPr>
              <w:pStyle w:val="TblTxtCenter"/>
              <w:rPr>
                <w:b/>
                <w:bCs/>
                <w:szCs w:val="18"/>
              </w:rPr>
            </w:pPr>
            <w:r>
              <w:rPr>
                <w:b/>
                <w:bCs/>
                <w:szCs w:val="18"/>
              </w:rPr>
              <w:t>2,223</w:t>
            </w:r>
          </w:p>
        </w:tc>
        <w:tc>
          <w:tcPr>
            <w:tcW w:w="2070" w:type="dxa"/>
            <w:tcBorders>
              <w:top w:val="single" w:sz="12" w:space="0" w:color="auto"/>
              <w:left w:val="single" w:sz="2" w:space="0" w:color="auto"/>
              <w:bottom w:val="single" w:sz="2" w:space="0" w:color="auto"/>
            </w:tcBorders>
            <w:shd w:val="clear" w:color="auto" w:fill="auto"/>
          </w:tcPr>
          <w:p w14:paraId="117E6146" w14:textId="77777777" w:rsidR="000E40F4" w:rsidRPr="00EF3937" w:rsidRDefault="000E40F4" w:rsidP="00FD0109">
            <w:pPr>
              <w:pStyle w:val="TblTxtCenter"/>
              <w:rPr>
                <w:b/>
                <w:bCs/>
                <w:szCs w:val="18"/>
              </w:rPr>
            </w:pPr>
            <w:r>
              <w:rPr>
                <w:b/>
                <w:bCs/>
                <w:szCs w:val="18"/>
              </w:rPr>
              <w:t>N/A</w:t>
            </w:r>
          </w:p>
        </w:tc>
      </w:tr>
      <w:tr w:rsidR="000E40F4" w:rsidRPr="00EF3937" w14:paraId="085A91D1" w14:textId="77777777" w:rsidTr="007A023D">
        <w:trPr>
          <w:trHeight w:val="268"/>
          <w:jc w:val="center"/>
        </w:trPr>
        <w:tc>
          <w:tcPr>
            <w:tcW w:w="3150" w:type="dxa"/>
            <w:tcBorders>
              <w:top w:val="single" w:sz="12" w:space="0" w:color="auto"/>
              <w:bottom w:val="single" w:sz="2" w:space="0" w:color="auto"/>
              <w:right w:val="single" w:sz="2" w:space="0" w:color="auto"/>
            </w:tcBorders>
            <w:shd w:val="clear" w:color="auto" w:fill="auto"/>
            <w:noWrap/>
            <w:vAlign w:val="center"/>
          </w:tcPr>
          <w:p w14:paraId="502825B3" w14:textId="77777777" w:rsidR="000E40F4" w:rsidRPr="00EF3937" w:rsidRDefault="000E40F4" w:rsidP="00FD0109">
            <w:pPr>
              <w:pStyle w:val="TblTxt"/>
              <w:rPr>
                <w:szCs w:val="18"/>
              </w:rPr>
            </w:pPr>
            <w:r w:rsidRPr="00EF3937">
              <w:rPr>
                <w:szCs w:val="18"/>
              </w:rPr>
              <w:t>South Coast AQMD Bright-Line Threshold</w:t>
            </w:r>
          </w:p>
        </w:tc>
        <w:tc>
          <w:tcPr>
            <w:tcW w:w="4140" w:type="dxa"/>
            <w:gridSpan w:val="2"/>
            <w:tcBorders>
              <w:top w:val="single" w:sz="12" w:space="0" w:color="auto"/>
              <w:left w:val="single" w:sz="2" w:space="0" w:color="auto"/>
              <w:bottom w:val="single" w:sz="2" w:space="0" w:color="auto"/>
            </w:tcBorders>
            <w:shd w:val="clear" w:color="auto" w:fill="auto"/>
            <w:vAlign w:val="center"/>
          </w:tcPr>
          <w:p w14:paraId="2F3B1327" w14:textId="77777777" w:rsidR="000E40F4" w:rsidRPr="00EF3937" w:rsidRDefault="000E40F4" w:rsidP="00FD0109">
            <w:pPr>
              <w:pStyle w:val="TblTxtCenter"/>
              <w:rPr>
                <w:szCs w:val="18"/>
              </w:rPr>
            </w:pPr>
            <w:r w:rsidRPr="00EF3937">
              <w:rPr>
                <w:szCs w:val="18"/>
              </w:rPr>
              <w:t>3,000 MTCO</w:t>
            </w:r>
            <w:r w:rsidRPr="00EF3937">
              <w:rPr>
                <w:szCs w:val="18"/>
                <w:vertAlign w:val="subscript"/>
              </w:rPr>
              <w:t>2</w:t>
            </w:r>
            <w:r w:rsidRPr="00EF3937">
              <w:rPr>
                <w:szCs w:val="18"/>
              </w:rPr>
              <w:t>e/Yr</w:t>
            </w:r>
          </w:p>
        </w:tc>
      </w:tr>
      <w:tr w:rsidR="000E40F4" w:rsidRPr="00EF3937" w14:paraId="3F83B52D" w14:textId="77777777" w:rsidTr="007A023D">
        <w:trPr>
          <w:trHeight w:val="148"/>
          <w:jc w:val="center"/>
        </w:trPr>
        <w:tc>
          <w:tcPr>
            <w:tcW w:w="3150" w:type="dxa"/>
            <w:tcBorders>
              <w:top w:val="single" w:sz="2" w:space="0" w:color="auto"/>
              <w:bottom w:val="single" w:sz="12" w:space="0" w:color="auto"/>
              <w:right w:val="single" w:sz="2" w:space="0" w:color="auto"/>
            </w:tcBorders>
            <w:shd w:val="clear" w:color="auto" w:fill="auto"/>
            <w:noWrap/>
            <w:vAlign w:val="center"/>
          </w:tcPr>
          <w:p w14:paraId="1598BFD1" w14:textId="77777777" w:rsidR="000E40F4" w:rsidRPr="00EF3937" w:rsidRDefault="000E40F4" w:rsidP="00FD0109">
            <w:pPr>
              <w:pStyle w:val="TblTxt"/>
              <w:rPr>
                <w:b/>
                <w:szCs w:val="18"/>
              </w:rPr>
            </w:pPr>
            <w:r w:rsidRPr="00EF3937">
              <w:rPr>
                <w:b/>
                <w:szCs w:val="18"/>
              </w:rPr>
              <w:t>Exceeds Bright-Line Threshold?</w:t>
            </w:r>
          </w:p>
        </w:tc>
        <w:tc>
          <w:tcPr>
            <w:tcW w:w="4140" w:type="dxa"/>
            <w:gridSpan w:val="2"/>
            <w:tcBorders>
              <w:top w:val="single" w:sz="2" w:space="0" w:color="auto"/>
              <w:left w:val="single" w:sz="2" w:space="0" w:color="auto"/>
              <w:bottom w:val="single" w:sz="12" w:space="0" w:color="auto"/>
            </w:tcBorders>
            <w:shd w:val="clear" w:color="auto" w:fill="auto"/>
            <w:vAlign w:val="center"/>
          </w:tcPr>
          <w:p w14:paraId="200373F1" w14:textId="77777777" w:rsidR="000E40F4" w:rsidRPr="00EF3937" w:rsidRDefault="000E40F4" w:rsidP="00FD0109">
            <w:pPr>
              <w:pStyle w:val="TblTxtCenter"/>
              <w:rPr>
                <w:b/>
                <w:bCs/>
                <w:szCs w:val="18"/>
              </w:rPr>
            </w:pPr>
            <w:r>
              <w:rPr>
                <w:b/>
                <w:bCs/>
                <w:szCs w:val="18"/>
              </w:rPr>
              <w:t>No</w:t>
            </w:r>
          </w:p>
        </w:tc>
      </w:tr>
      <w:tr w:rsidR="000E40F4" w:rsidRPr="00B33FB4" w14:paraId="5C1B39E3" w14:textId="77777777" w:rsidTr="007A023D">
        <w:trPr>
          <w:trHeight w:val="268"/>
          <w:jc w:val="center"/>
        </w:trPr>
        <w:tc>
          <w:tcPr>
            <w:tcW w:w="7290" w:type="dxa"/>
            <w:gridSpan w:val="3"/>
            <w:tcBorders>
              <w:top w:val="single" w:sz="12" w:space="0" w:color="auto"/>
            </w:tcBorders>
            <w:shd w:val="clear" w:color="auto" w:fill="auto"/>
            <w:noWrap/>
            <w:vAlign w:val="bottom"/>
          </w:tcPr>
          <w:p w14:paraId="3ACA43E8" w14:textId="77777777" w:rsidR="000E40F4" w:rsidRPr="00EF3937" w:rsidRDefault="000E40F4" w:rsidP="00FD0109">
            <w:pPr>
              <w:pStyle w:val="Tblnote"/>
              <w:rPr>
                <w:szCs w:val="15"/>
              </w:rPr>
            </w:pPr>
            <w:r w:rsidRPr="00EF3937">
              <w:rPr>
                <w:szCs w:val="15"/>
              </w:rPr>
              <w:t>Source: CalEEMod, Version 2020.4.0. Summation of the individual sources may not equal the total shown due to rounding.</w:t>
            </w:r>
          </w:p>
          <w:p w14:paraId="7C9BFCD6" w14:textId="77777777" w:rsidR="000E40F4" w:rsidRPr="00EF3937" w:rsidRDefault="000E40F4" w:rsidP="00FD0109">
            <w:pPr>
              <w:pStyle w:val="Tblnote"/>
              <w:rPr>
                <w:szCs w:val="15"/>
              </w:rPr>
            </w:pPr>
            <w:r w:rsidRPr="00EF3937">
              <w:rPr>
                <w:szCs w:val="15"/>
              </w:rPr>
              <w:t>Notes: MTons: metric tons; MTCO</w:t>
            </w:r>
            <w:r w:rsidRPr="00EF3937">
              <w:rPr>
                <w:szCs w:val="15"/>
                <w:vertAlign w:val="subscript"/>
              </w:rPr>
              <w:t>2</w:t>
            </w:r>
            <w:r w:rsidRPr="00EF3937">
              <w:rPr>
                <w:szCs w:val="15"/>
              </w:rPr>
              <w:t xml:space="preserve">e: equivalent </w:t>
            </w:r>
            <w:r>
              <w:rPr>
                <w:szCs w:val="15"/>
              </w:rPr>
              <w:t xml:space="preserve">to a </w:t>
            </w:r>
            <w:r w:rsidRPr="00EF3937">
              <w:rPr>
                <w:szCs w:val="15"/>
              </w:rPr>
              <w:t xml:space="preserve">metric ton of carbon dioxide </w:t>
            </w:r>
          </w:p>
          <w:p w14:paraId="073F8A9E" w14:textId="77777777" w:rsidR="000E40F4" w:rsidRPr="003D7B74" w:rsidRDefault="000E40F4" w:rsidP="00FD0109">
            <w:pPr>
              <w:ind w:left="120" w:hanging="120"/>
              <w:rPr>
                <w:rFonts w:ascii="Arial Narrow" w:eastAsia="Batang" w:hAnsi="Arial Narrow"/>
                <w:sz w:val="15"/>
                <w:szCs w:val="15"/>
              </w:rPr>
            </w:pPr>
            <w:r w:rsidRPr="003D7B74">
              <w:rPr>
                <w:rFonts w:ascii="Arial Narrow" w:eastAsia="Batang" w:hAnsi="Arial Narrow"/>
                <w:sz w:val="15"/>
                <w:szCs w:val="15"/>
                <w:vertAlign w:val="superscript"/>
              </w:rPr>
              <w:t>1</w:t>
            </w:r>
            <w:r w:rsidRPr="003D7B74">
              <w:rPr>
                <w:rFonts w:ascii="Arial Narrow" w:eastAsia="Batang" w:hAnsi="Arial Narrow"/>
                <w:sz w:val="15"/>
                <w:szCs w:val="15"/>
              </w:rPr>
              <w:t xml:space="preserve"> </w:t>
            </w:r>
            <w:r w:rsidR="001A33F5">
              <w:rPr>
                <w:rFonts w:ascii="Arial Narrow" w:eastAsia="Batang" w:hAnsi="Arial Narrow"/>
                <w:sz w:val="15"/>
                <w:szCs w:val="15"/>
              </w:rPr>
              <w:tab/>
            </w:r>
            <w:r w:rsidRPr="003D7B74">
              <w:rPr>
                <w:rFonts w:ascii="Arial Narrow" w:eastAsia="Batang" w:hAnsi="Arial Narrow"/>
                <w:sz w:val="15"/>
                <w:szCs w:val="15"/>
              </w:rPr>
              <w:t>For purposes of this analysis, the default CalEEMod historical energy rates, which are based on the 2005 Building Energy Standards, are utilized.</w:t>
            </w:r>
          </w:p>
          <w:p w14:paraId="2BB58007" w14:textId="77777777" w:rsidR="000E40F4" w:rsidRPr="00DD31E5" w:rsidRDefault="000E40F4" w:rsidP="00FD0109">
            <w:pPr>
              <w:ind w:left="120" w:hanging="120"/>
              <w:rPr>
                <w:rFonts w:ascii="Arial Narrow" w:eastAsia="Batang" w:hAnsi="Arial Narrow"/>
                <w:sz w:val="15"/>
                <w:szCs w:val="15"/>
              </w:rPr>
            </w:pPr>
            <w:r w:rsidRPr="00074582">
              <w:rPr>
                <w:rFonts w:ascii="Arial Narrow" w:eastAsia="Batang" w:hAnsi="Arial Narrow"/>
                <w:sz w:val="15"/>
                <w:szCs w:val="15"/>
                <w:vertAlign w:val="superscript"/>
              </w:rPr>
              <w:t>2</w:t>
            </w:r>
            <w:r w:rsidRPr="00074582">
              <w:rPr>
                <w:rFonts w:ascii="Arial Narrow" w:eastAsia="Batang" w:hAnsi="Arial Narrow"/>
                <w:sz w:val="15"/>
                <w:szCs w:val="15"/>
              </w:rPr>
              <w:t xml:space="preserve"> </w:t>
            </w:r>
            <w:r w:rsidR="001A33F5">
              <w:rPr>
                <w:rFonts w:ascii="Arial Narrow" w:eastAsia="Batang" w:hAnsi="Arial Narrow"/>
                <w:sz w:val="15"/>
                <w:szCs w:val="15"/>
              </w:rPr>
              <w:tab/>
            </w:r>
            <w:r w:rsidRPr="00074582">
              <w:rPr>
                <w:rFonts w:ascii="Arial Narrow" w:eastAsia="Batang" w:hAnsi="Arial Narrow"/>
                <w:sz w:val="15"/>
                <w:szCs w:val="15"/>
              </w:rPr>
              <w:t>Based on trip generation data provided by Urban Crossroads (</w:t>
            </w:r>
            <w:r w:rsidRPr="00DD31E5">
              <w:rPr>
                <w:rFonts w:ascii="Arial Narrow" w:eastAsia="Batang" w:hAnsi="Arial Narrow"/>
                <w:sz w:val="15"/>
                <w:szCs w:val="15"/>
              </w:rPr>
              <w:t xml:space="preserve">Appendix </w:t>
            </w:r>
            <w:r>
              <w:rPr>
                <w:rFonts w:ascii="Arial Narrow" w:eastAsia="Batang" w:hAnsi="Arial Narrow"/>
                <w:sz w:val="15"/>
                <w:szCs w:val="15"/>
              </w:rPr>
              <w:t>I</w:t>
            </w:r>
            <w:r w:rsidRPr="00DD31E5">
              <w:rPr>
                <w:rFonts w:ascii="Arial Narrow" w:eastAsia="Batang" w:hAnsi="Arial Narrow"/>
                <w:sz w:val="15"/>
                <w:szCs w:val="15"/>
              </w:rPr>
              <w:t>) and CalEEMod default calendar year 2021 emissions data and trip lengths.</w:t>
            </w:r>
          </w:p>
          <w:p w14:paraId="6CFD61F5" w14:textId="77777777" w:rsidR="000E40F4" w:rsidRPr="00DD31E5" w:rsidRDefault="000E40F4" w:rsidP="00FD0109">
            <w:pPr>
              <w:pStyle w:val="TblSourcesNotes"/>
            </w:pPr>
            <w:r w:rsidRPr="00DD31E5">
              <w:rPr>
                <w:vertAlign w:val="superscript"/>
              </w:rPr>
              <w:t>3</w:t>
            </w:r>
            <w:r w:rsidRPr="00DD31E5">
              <w:t xml:space="preserve"> </w:t>
            </w:r>
            <w:r w:rsidR="001A33F5">
              <w:tab/>
            </w:r>
            <w:r w:rsidRPr="00DD31E5">
              <w:t xml:space="preserve">Based on </w:t>
            </w:r>
            <w:r w:rsidRPr="00DD31E5">
              <w:rPr>
                <w:rFonts w:eastAsia="Batang"/>
                <w:szCs w:val="15"/>
              </w:rPr>
              <w:t xml:space="preserve">trip generation data provided by Urban Crossroads (Appendix </w:t>
            </w:r>
            <w:r>
              <w:rPr>
                <w:rFonts w:eastAsia="Batang"/>
                <w:szCs w:val="15"/>
              </w:rPr>
              <w:t>I</w:t>
            </w:r>
            <w:r w:rsidRPr="00DD31E5">
              <w:rPr>
                <w:rFonts w:eastAsia="Batang"/>
                <w:szCs w:val="15"/>
              </w:rPr>
              <w:t xml:space="preserve">) and </w:t>
            </w:r>
            <w:r w:rsidRPr="00DD31E5">
              <w:t>Ca</w:t>
            </w:r>
            <w:r>
              <w:t>l</w:t>
            </w:r>
            <w:r w:rsidRPr="00DD31E5">
              <w:t>EEMod default calendar year 2021 emission rates. Utilizes an average trip length of 39.9 miles per trip, which is derived from the SCAG’s Heavy-Duty Truck Regional Travel Demand model and represents the average class 8 truck trip distance within the SoCAB (South Coast AQMD 2021).</w:t>
            </w:r>
          </w:p>
          <w:p w14:paraId="4FA3F6E7" w14:textId="77777777" w:rsidR="000E40F4" w:rsidRPr="00DD31E5" w:rsidRDefault="000E40F4" w:rsidP="00FD0109">
            <w:pPr>
              <w:ind w:left="120" w:hanging="120"/>
              <w:rPr>
                <w:rFonts w:ascii="Arial Narrow" w:eastAsia="Batang" w:hAnsi="Arial Narrow"/>
                <w:sz w:val="15"/>
                <w:szCs w:val="15"/>
              </w:rPr>
            </w:pPr>
            <w:r w:rsidRPr="00DD31E5">
              <w:rPr>
                <w:rFonts w:ascii="Arial Narrow" w:hAnsi="Arial Narrow"/>
                <w:kern w:val="20"/>
                <w:sz w:val="15"/>
                <w:szCs w:val="20"/>
                <w:vertAlign w:val="superscript"/>
              </w:rPr>
              <w:t>4</w:t>
            </w:r>
            <w:r w:rsidRPr="00DD31E5">
              <w:rPr>
                <w:rFonts w:ascii="Arial Narrow" w:hAnsi="Arial Narrow"/>
                <w:kern w:val="20"/>
                <w:sz w:val="15"/>
                <w:szCs w:val="20"/>
              </w:rPr>
              <w:t xml:space="preserve"> </w:t>
            </w:r>
            <w:r w:rsidR="001A33F5">
              <w:rPr>
                <w:rFonts w:ascii="Arial Narrow" w:hAnsi="Arial Narrow"/>
                <w:kern w:val="20"/>
                <w:sz w:val="15"/>
                <w:szCs w:val="20"/>
              </w:rPr>
              <w:tab/>
            </w:r>
            <w:r w:rsidRPr="00DD31E5">
              <w:rPr>
                <w:rFonts w:ascii="Arial Narrow" w:eastAsia="Batang" w:hAnsi="Arial Narrow"/>
                <w:sz w:val="15"/>
                <w:szCs w:val="15"/>
              </w:rPr>
              <w:t xml:space="preserve">Based on trip generation data provided by Urban Crossroads (Appendix </w:t>
            </w:r>
            <w:r>
              <w:rPr>
                <w:rFonts w:ascii="Arial Narrow" w:eastAsia="Batang" w:hAnsi="Arial Narrow"/>
                <w:sz w:val="15"/>
                <w:szCs w:val="15"/>
              </w:rPr>
              <w:t>I</w:t>
            </w:r>
            <w:r w:rsidRPr="00DD31E5">
              <w:rPr>
                <w:rFonts w:ascii="Arial Narrow" w:eastAsia="Batang" w:hAnsi="Arial Narrow"/>
                <w:sz w:val="15"/>
                <w:szCs w:val="15"/>
              </w:rPr>
              <w:t>) and CalEEMod default calendar year 2022 emissions data and trip lengths.</w:t>
            </w:r>
          </w:p>
          <w:p w14:paraId="6043E258" w14:textId="77777777" w:rsidR="000E40F4" w:rsidRPr="00074582" w:rsidRDefault="000E40F4" w:rsidP="00FD0109">
            <w:pPr>
              <w:pStyle w:val="TblSourcesNotes"/>
            </w:pPr>
            <w:r w:rsidRPr="00DD31E5">
              <w:rPr>
                <w:vertAlign w:val="superscript"/>
              </w:rPr>
              <w:t>5</w:t>
            </w:r>
            <w:r w:rsidRPr="00DD31E5">
              <w:t xml:space="preserve"> </w:t>
            </w:r>
            <w:r w:rsidR="001A33F5">
              <w:tab/>
            </w:r>
            <w:r w:rsidRPr="00DD31E5">
              <w:t xml:space="preserve">Based on </w:t>
            </w:r>
            <w:r w:rsidRPr="00DD31E5">
              <w:rPr>
                <w:rFonts w:eastAsia="Batang"/>
                <w:szCs w:val="15"/>
              </w:rPr>
              <w:t xml:space="preserve">trip generation data provided by Urban Crossroads (Appendix </w:t>
            </w:r>
            <w:r>
              <w:rPr>
                <w:rFonts w:eastAsia="Batang"/>
                <w:szCs w:val="15"/>
              </w:rPr>
              <w:t>I</w:t>
            </w:r>
            <w:r w:rsidRPr="00DD31E5">
              <w:rPr>
                <w:rFonts w:eastAsia="Batang"/>
                <w:szCs w:val="15"/>
              </w:rPr>
              <w:t xml:space="preserve">) and </w:t>
            </w:r>
            <w:r w:rsidRPr="00DD31E5">
              <w:t>CalEEMod default calendar year 2022 emission rates. Utilizes an average trip length of 39.9 miles per trip, which is derived from</w:t>
            </w:r>
            <w:r w:rsidRPr="00074582">
              <w:t xml:space="preserve"> the SCAG’s Heavy-Duty Truck Regional Travel Demand model and represents the average class 8 truck trip distance within the SoCAB (South Coast AQMD 2021).</w:t>
            </w:r>
          </w:p>
          <w:p w14:paraId="274F2F6C" w14:textId="77777777" w:rsidR="000E40F4" w:rsidRPr="00FD1900" w:rsidRDefault="000E40F4" w:rsidP="00FD0109">
            <w:pPr>
              <w:pStyle w:val="TblSourcesNotes"/>
            </w:pPr>
            <w:r w:rsidRPr="00074582">
              <w:rPr>
                <w:vertAlign w:val="superscript"/>
              </w:rPr>
              <w:t>6</w:t>
            </w:r>
            <w:r w:rsidRPr="00074582">
              <w:t xml:space="preserve"> </w:t>
            </w:r>
            <w:r w:rsidR="001A33F5">
              <w:tab/>
            </w:r>
            <w:r w:rsidRPr="00074582">
              <w:t>Based on operation of 5 diesel-powered forklifts and 10 diesel-powered yard trucks at 7 hours per unit per day. Utilizes OFFROAD2017 v 1.0.1 calendar year 2022 emissions data for a 100-horsepower forklift</w:t>
            </w:r>
            <w:r w:rsidRPr="00FD1900">
              <w:t xml:space="preserve"> and </w:t>
            </w:r>
            <w:r>
              <w:t>175-horsepower</w:t>
            </w:r>
            <w:r w:rsidRPr="00FD1900">
              <w:t xml:space="preserve"> yard tractor.</w:t>
            </w:r>
          </w:p>
          <w:p w14:paraId="23DB19D4" w14:textId="77777777" w:rsidR="000E40F4" w:rsidRPr="00871D4A" w:rsidRDefault="000E40F4" w:rsidP="00561213">
            <w:pPr>
              <w:pStyle w:val="TableSourceFootnote"/>
              <w:ind w:left="130" w:hanging="144"/>
              <w:rPr>
                <w:rFonts w:ascii="Arial Narrow" w:hAnsi="Arial Narrow"/>
                <w:kern w:val="20"/>
                <w:sz w:val="15"/>
              </w:rPr>
            </w:pPr>
            <w:r w:rsidRPr="00AD6FE2">
              <w:rPr>
                <w:rFonts w:ascii="Arial Narrow" w:hAnsi="Arial Narrow"/>
                <w:kern w:val="20"/>
                <w:sz w:val="15"/>
                <w:vertAlign w:val="superscript"/>
              </w:rPr>
              <w:t>7</w:t>
            </w:r>
            <w:r w:rsidR="001A33F5">
              <w:rPr>
                <w:rFonts w:ascii="Arial Narrow" w:hAnsi="Arial Narrow"/>
                <w:kern w:val="20"/>
                <w:sz w:val="15"/>
              </w:rPr>
              <w:tab/>
            </w:r>
            <w:r>
              <w:rPr>
                <w:rFonts w:ascii="Arial Narrow" w:hAnsi="Arial Narrow"/>
                <w:kern w:val="20"/>
                <w:sz w:val="15"/>
              </w:rPr>
              <w:t xml:space="preserve">Based on operation of </w:t>
            </w:r>
            <w:r w:rsidRPr="00091985">
              <w:rPr>
                <w:rFonts w:ascii="Arial Narrow" w:hAnsi="Arial Narrow"/>
                <w:kern w:val="20"/>
                <w:sz w:val="15"/>
              </w:rPr>
              <w:t xml:space="preserve">5 </w:t>
            </w:r>
            <w:r>
              <w:rPr>
                <w:rFonts w:ascii="Arial Narrow" w:hAnsi="Arial Narrow"/>
                <w:kern w:val="20"/>
                <w:sz w:val="15"/>
              </w:rPr>
              <w:t xml:space="preserve">electric-powered </w:t>
            </w:r>
            <w:r w:rsidRPr="00091985">
              <w:rPr>
                <w:rFonts w:ascii="Arial Narrow" w:hAnsi="Arial Narrow"/>
                <w:kern w:val="20"/>
                <w:sz w:val="15"/>
              </w:rPr>
              <w:t xml:space="preserve">forklifts and 10 </w:t>
            </w:r>
            <w:r>
              <w:rPr>
                <w:rFonts w:ascii="Arial Narrow" w:hAnsi="Arial Narrow"/>
                <w:kern w:val="20"/>
                <w:sz w:val="15"/>
              </w:rPr>
              <w:t>electric</w:t>
            </w:r>
            <w:r w:rsidRPr="00091985">
              <w:rPr>
                <w:rFonts w:ascii="Arial Narrow" w:hAnsi="Arial Narrow"/>
                <w:kern w:val="20"/>
                <w:sz w:val="15"/>
              </w:rPr>
              <w:t>-powered yard trucks</w:t>
            </w:r>
            <w:r>
              <w:rPr>
                <w:rFonts w:ascii="Arial Narrow" w:hAnsi="Arial Narrow"/>
                <w:kern w:val="20"/>
                <w:sz w:val="15"/>
              </w:rPr>
              <w:t xml:space="preserve"> at 7 hours per unit per day.</w:t>
            </w:r>
            <w:r w:rsidRPr="00871D4A">
              <w:rPr>
                <w:rFonts w:ascii="Arial Narrow" w:hAnsi="Arial Narrow"/>
                <w:kern w:val="20"/>
                <w:sz w:val="15"/>
              </w:rPr>
              <w:t xml:space="preserve"> </w:t>
            </w:r>
          </w:p>
          <w:p w14:paraId="277A9A75" w14:textId="77777777" w:rsidR="000E40F4" w:rsidRPr="00DF350A" w:rsidRDefault="000E40F4" w:rsidP="00AD6FE2">
            <w:pPr>
              <w:ind w:left="144" w:hanging="144"/>
              <w:rPr>
                <w:rFonts w:ascii="Arial Narrow" w:hAnsi="Arial Narrow"/>
                <w:kern w:val="20"/>
                <w:sz w:val="15"/>
                <w:szCs w:val="20"/>
              </w:rPr>
            </w:pPr>
            <w:r w:rsidRPr="00AD6FE2">
              <w:rPr>
                <w:rFonts w:ascii="Arial Narrow" w:hAnsi="Arial Narrow"/>
                <w:kern w:val="20"/>
                <w:sz w:val="15"/>
                <w:szCs w:val="20"/>
                <w:vertAlign w:val="superscript"/>
              </w:rPr>
              <w:t>8</w:t>
            </w:r>
            <w:r w:rsidRPr="00091985">
              <w:rPr>
                <w:rFonts w:ascii="Arial Narrow" w:hAnsi="Arial Narrow"/>
                <w:kern w:val="20"/>
                <w:sz w:val="15"/>
                <w:szCs w:val="20"/>
              </w:rPr>
              <w:t xml:space="preserve"> </w:t>
            </w:r>
            <w:r w:rsidR="001A33F5">
              <w:rPr>
                <w:rFonts w:ascii="Arial Narrow" w:hAnsi="Arial Narrow"/>
                <w:kern w:val="20"/>
                <w:sz w:val="15"/>
                <w:szCs w:val="20"/>
              </w:rPr>
              <w:tab/>
            </w:r>
            <w:r>
              <w:rPr>
                <w:rFonts w:ascii="Arial Narrow" w:hAnsi="Arial Narrow"/>
                <w:kern w:val="20"/>
                <w:sz w:val="15"/>
                <w:szCs w:val="20"/>
              </w:rPr>
              <w:t>B</w:t>
            </w:r>
            <w:r w:rsidRPr="00DF350A">
              <w:rPr>
                <w:rFonts w:ascii="Arial Narrow" w:hAnsi="Arial Narrow"/>
                <w:kern w:val="20"/>
                <w:sz w:val="15"/>
                <w:szCs w:val="20"/>
              </w:rPr>
              <w:t xml:space="preserve">ased on a </w:t>
            </w:r>
            <w:r>
              <w:rPr>
                <w:rFonts w:ascii="Arial Narrow" w:hAnsi="Arial Narrow"/>
                <w:kern w:val="20"/>
                <w:sz w:val="15"/>
                <w:szCs w:val="20"/>
              </w:rPr>
              <w:t xml:space="preserve">power </w:t>
            </w:r>
            <w:r w:rsidRPr="00DF350A">
              <w:rPr>
                <w:rFonts w:ascii="Arial Narrow" w:hAnsi="Arial Narrow"/>
                <w:kern w:val="20"/>
                <w:sz w:val="15"/>
                <w:szCs w:val="20"/>
              </w:rPr>
              <w:t>consumption rate of 8.7</w:t>
            </w:r>
            <w:r>
              <w:rPr>
                <w:rFonts w:ascii="Arial Narrow" w:hAnsi="Arial Narrow"/>
                <w:kern w:val="20"/>
                <w:sz w:val="15"/>
                <w:szCs w:val="20"/>
              </w:rPr>
              <w:t>0</w:t>
            </w:r>
            <w:r w:rsidRPr="00DF350A">
              <w:rPr>
                <w:rFonts w:ascii="Arial Narrow" w:hAnsi="Arial Narrow"/>
                <w:kern w:val="20"/>
                <w:sz w:val="15"/>
                <w:szCs w:val="20"/>
              </w:rPr>
              <w:t xml:space="preserve"> kWh per hour per unit (kWh/yr/unit) </w:t>
            </w:r>
            <w:r>
              <w:rPr>
                <w:rFonts w:ascii="Arial Narrow" w:hAnsi="Arial Narrow"/>
                <w:kern w:val="20"/>
                <w:sz w:val="15"/>
                <w:szCs w:val="20"/>
              </w:rPr>
              <w:t xml:space="preserve">for an electric forklift with a lift capacity of 6,000 pounds </w:t>
            </w:r>
            <w:r w:rsidRPr="00DF350A">
              <w:rPr>
                <w:rFonts w:ascii="Arial Narrow" w:hAnsi="Arial Narrow"/>
                <w:kern w:val="20"/>
                <w:sz w:val="15"/>
                <w:szCs w:val="20"/>
              </w:rPr>
              <w:t>(EPRI 2021). Electricity consumption for electric-powered yard truck based on a consumption rate of 8.75 kWh/hr/unit (Transpower 2015).</w:t>
            </w:r>
          </w:p>
          <w:p w14:paraId="1B9BB914" w14:textId="77777777" w:rsidR="000E40F4" w:rsidRDefault="000E40F4" w:rsidP="00561213">
            <w:pPr>
              <w:pStyle w:val="TblSourcesNotes"/>
            </w:pPr>
            <w:r w:rsidRPr="00AD6FE2">
              <w:rPr>
                <w:vertAlign w:val="superscript"/>
              </w:rPr>
              <w:t>9</w:t>
            </w:r>
            <w:r>
              <w:t xml:space="preserve"> </w:t>
            </w:r>
            <w:r w:rsidR="001A33F5">
              <w:tab/>
            </w:r>
            <w:r w:rsidRPr="00DF350A">
              <w:t>Total construction emission are amortized over a 30</w:t>
            </w:r>
            <w:r w:rsidRPr="00DF350A">
              <w:noBreakHyphen/>
              <w:t xml:space="preserve">year project lifetime </w:t>
            </w:r>
            <w:r>
              <w:t>according to</w:t>
            </w:r>
            <w:r w:rsidRPr="00DF350A">
              <w:t xml:space="preserve"> recommended South Coast AQMD methodology (South Coast AQMD 2009).</w:t>
            </w:r>
          </w:p>
          <w:p w14:paraId="25843613" w14:textId="7AA9EF91" w:rsidR="00262F57" w:rsidRPr="00EF3937" w:rsidRDefault="00262F57" w:rsidP="00606A79">
            <w:pPr>
              <w:pStyle w:val="Tblnote"/>
            </w:pPr>
            <w:r>
              <w:rPr>
                <w:rFonts w:eastAsia="Batang"/>
                <w:vertAlign w:val="superscript"/>
              </w:rPr>
              <w:t>10</w:t>
            </w:r>
            <w:r w:rsidRPr="006079CF">
              <w:rPr>
                <w:rFonts w:eastAsia="Batang"/>
              </w:rPr>
              <w:tab/>
            </w:r>
            <w:r>
              <w:t>The proposed project may start construction in April 2022. While the emissions modeling is based on a February 2022 start date, a later start date in April 2022 would result in either the same emissions results or slightly lower emissions than what is shown in this table. In general, on-road and off-road emissions data utilized in CalEEMod decrease with each passing calendar year to account for stricter emissions standards and/or replacement of older vehicles and equipment with newer and cleaner units.</w:t>
            </w:r>
          </w:p>
        </w:tc>
      </w:tr>
    </w:tbl>
    <w:p w14:paraId="1B88A224" w14:textId="77777777" w:rsidR="000E40F4" w:rsidRDefault="000E40F4" w:rsidP="000E40F4">
      <w:pPr>
        <w:pStyle w:val="BodyText"/>
      </w:pPr>
    </w:p>
    <w:p w14:paraId="63C10F66" w14:textId="77777777" w:rsidR="000E40F4" w:rsidRDefault="000E40F4" w:rsidP="000E40F4">
      <w:pPr>
        <w:pStyle w:val="List"/>
      </w:pPr>
      <w:r w:rsidRPr="003E5494">
        <w:t>Conflict with an applicable plan, policy or regulation adopted for the purpose of reducing the emissions of greenhouse gases?</w:t>
      </w:r>
    </w:p>
    <w:p w14:paraId="0078B179" w14:textId="77777777" w:rsidR="000E40F4" w:rsidRPr="000F6431" w:rsidRDefault="000E40F4" w:rsidP="000E40F4">
      <w:pPr>
        <w:pStyle w:val="BodyText"/>
      </w:pPr>
      <w:r w:rsidRPr="00655D6B">
        <w:rPr>
          <w:rStyle w:val="BodyTextBoldChar"/>
        </w:rPr>
        <w:t xml:space="preserve">No Impact. </w:t>
      </w:r>
      <w:r w:rsidRPr="000F6431">
        <w:rPr>
          <w:rFonts w:eastAsia="Batang"/>
        </w:rPr>
        <w:t>Applicable plans adopted for the purpose of reducing GHG emissions include the California Air Resources Board’s (CARB) Scoping Plan and SCAG</w:t>
      </w:r>
      <w:r>
        <w:rPr>
          <w:rFonts w:eastAsia="Batang"/>
        </w:rPr>
        <w:t>’s</w:t>
      </w:r>
      <w:r w:rsidRPr="000F6431">
        <w:rPr>
          <w:rFonts w:eastAsia="Batang"/>
        </w:rPr>
        <w:t xml:space="preserve"> </w:t>
      </w:r>
      <w:r w:rsidRPr="000F6431">
        <w:t>Regional</w:t>
      </w:r>
      <w:r w:rsidRPr="000F6431">
        <w:rPr>
          <w:rFonts w:eastAsia="Batang"/>
        </w:rPr>
        <w:t xml:space="preserve"> Transportation Plan/Sustainable Communities Strategy (RTP/SCS). A consistency analysis with these plans is presented below.</w:t>
      </w:r>
    </w:p>
    <w:p w14:paraId="313D1446" w14:textId="77777777" w:rsidR="000E40F4" w:rsidRPr="000F6431" w:rsidRDefault="000E40F4" w:rsidP="000E40F4">
      <w:pPr>
        <w:pStyle w:val="Heading5"/>
      </w:pPr>
      <w:r w:rsidRPr="000F6431">
        <w:t>CARB Scoping Plan</w:t>
      </w:r>
    </w:p>
    <w:p w14:paraId="0F3F8671" w14:textId="77777777" w:rsidR="000E40F4" w:rsidRPr="009359EB" w:rsidRDefault="000E40F4" w:rsidP="000E40F4">
      <w:pPr>
        <w:pStyle w:val="BodyText"/>
        <w:rPr>
          <w:color w:val="000000" w:themeColor="text1"/>
        </w:rPr>
      </w:pPr>
      <w:r>
        <w:rPr>
          <w:color w:val="000000" w:themeColor="text1"/>
        </w:rPr>
        <w:t xml:space="preserve">The </w:t>
      </w:r>
      <w:r w:rsidRPr="009359EB">
        <w:rPr>
          <w:color w:val="000000" w:themeColor="text1"/>
        </w:rPr>
        <w:t xml:space="preserve">CARB Scoping Plan is California’s GHG reduction strategy to achieve the state’s GHG emissions reduction target established by AB 32, which is to return to 1990 emission levels by year 2020, and SB 32, which is </w:t>
      </w:r>
      <w:r>
        <w:rPr>
          <w:color w:val="000000" w:themeColor="text1"/>
        </w:rPr>
        <w:t xml:space="preserve">to </w:t>
      </w:r>
      <w:r w:rsidRPr="009359EB">
        <w:rPr>
          <w:color w:val="000000" w:themeColor="text1"/>
        </w:rPr>
        <w:t>reduce emissions 40 percent below 1990 levels by 2030</w:t>
      </w:r>
      <w:r>
        <w:rPr>
          <w:color w:val="000000" w:themeColor="text1"/>
        </w:rPr>
        <w:t xml:space="preserve"> (CARB 2017b)</w:t>
      </w:r>
      <w:r w:rsidRPr="009359EB">
        <w:rPr>
          <w:color w:val="000000" w:themeColor="text1"/>
        </w:rPr>
        <w:t>. The Scoping Plan is applicable to state agencies and is not directly applicable to cities/counties and individual projects. Nonetheless, the Scoping Plan has been the primary tool that is used to develop performance-based and efficiency-based CEQA criteria and GHG reduction targets for climate action planning efforts.</w:t>
      </w:r>
    </w:p>
    <w:p w14:paraId="13156732" w14:textId="77777777" w:rsidR="000E40F4" w:rsidRPr="009359EB" w:rsidRDefault="000E40F4" w:rsidP="000E40F4">
      <w:pPr>
        <w:pStyle w:val="BodyText"/>
        <w:rPr>
          <w:color w:val="000000" w:themeColor="text1"/>
        </w:rPr>
      </w:pPr>
      <w:r w:rsidRPr="009359EB">
        <w:rPr>
          <w:color w:val="000000" w:themeColor="text1"/>
        </w:rPr>
        <w:t xml:space="preserve">Since adoption of the Scoping Plan, state agencies have adopted programs identified in the plan, and the legislature has passed additional legislation to achieve the GHG reduction targets. Statewide strategies to reduce GHG emissions include the Low Carbon Fuel Standard, California Appliance Energy Efficiency regulations, California Renewable Energy Portfolio standard, changes in the Corporate Average Fuel Economy standards, and other early action measures as necessary to ensure the state is on target to achieve the GHG emissions reduction goals of AB 32 and SB 32. Also, new buildings are required to comply with the current Building Energy Efficiency Standards and California Green Building Code. </w:t>
      </w:r>
      <w:r>
        <w:rPr>
          <w:color w:val="000000" w:themeColor="text1"/>
        </w:rPr>
        <w:t>Although</w:t>
      </w:r>
      <w:r w:rsidRPr="009359EB">
        <w:rPr>
          <w:color w:val="000000" w:themeColor="text1"/>
        </w:rPr>
        <w:t xml:space="preserve"> measures in the Scoping Plan apply to state agencies and not the proposed project, the project’s GHG emissions would be reduced </w:t>
      </w:r>
      <w:r>
        <w:rPr>
          <w:color w:val="000000" w:themeColor="text1"/>
        </w:rPr>
        <w:t>by</w:t>
      </w:r>
      <w:r w:rsidRPr="009359EB">
        <w:rPr>
          <w:color w:val="000000" w:themeColor="text1"/>
        </w:rPr>
        <w:t xml:space="preserve"> </w:t>
      </w:r>
      <w:r>
        <w:rPr>
          <w:color w:val="000000" w:themeColor="text1"/>
        </w:rPr>
        <w:t xml:space="preserve">regional implementation and </w:t>
      </w:r>
      <w:r w:rsidRPr="009359EB">
        <w:rPr>
          <w:color w:val="000000" w:themeColor="text1"/>
        </w:rPr>
        <w:t xml:space="preserve">compliance with statewide measures that have been adopted since AB 32 and SB 32 were adopted. Therefore, the proposed project would not obstruct implementation of the CARB Scoping Plan. </w:t>
      </w:r>
    </w:p>
    <w:p w14:paraId="3724A598" w14:textId="77777777" w:rsidR="000E40F4" w:rsidRPr="000F6431" w:rsidRDefault="000E40F4" w:rsidP="000E40F4">
      <w:pPr>
        <w:pStyle w:val="Heading5"/>
      </w:pPr>
      <w:r w:rsidRPr="000F6431">
        <w:t>SCAG’s Regional Transportation Plan/Sustainable Communities Strategy</w:t>
      </w:r>
    </w:p>
    <w:p w14:paraId="13F191CC" w14:textId="77777777" w:rsidR="000E40F4" w:rsidRDefault="000E40F4" w:rsidP="00AD2D1F">
      <w:pPr>
        <w:pStyle w:val="BodyText"/>
        <w:rPr>
          <w:rFonts w:eastAsia="Batang"/>
        </w:rPr>
      </w:pPr>
      <w:bookmarkStart w:id="161" w:name="_Hlk66709838"/>
      <w:r w:rsidRPr="00720826">
        <w:t xml:space="preserve">SCAG adopted the 2020-2045 RTP/SCS (Connect SoCal) in September 2020. Connect SoCal </w:t>
      </w:r>
      <w:r>
        <w:t>found</w:t>
      </w:r>
      <w:r w:rsidRPr="00720826">
        <w:t xml:space="preserve"> that land use strategies focus</w:t>
      </w:r>
      <w:r>
        <w:t>ing</w:t>
      </w:r>
      <w:r w:rsidRPr="00720826">
        <w:t xml:space="preserve"> on new housing and job growth in areas rich with destinations and mobility options</w:t>
      </w:r>
      <w:bookmarkEnd w:id="161"/>
      <w:r w:rsidRPr="00720826">
        <w:t xml:space="preserve"> are consistent with a land use development pattern that supports and complements the proposed transportation network. The overarching strategy in Connect SoCal is to plan for the southern California region to grow in more compact communities in transit priority areas and priority growth areas; provide neighborhoods with efficient and plentiful public transit; establish abundant and safe opportunities to walk, bike, and pursue other forms of active transportation; and preserve more of the region’s remaining natural lands and farmlands</w:t>
      </w:r>
      <w:r>
        <w:t xml:space="preserve"> (SCAG 2020a)</w:t>
      </w:r>
      <w:r w:rsidRPr="00720826">
        <w:t>. Connect SoCal’s transportation projects help more efficiently distribute population, housing, and employment growth, and forecast development is generally consistent with regional-level general plan data to promote active transportation and reduce GHG emissions. The projected regional development, when integrated with the proposed regional transportation network in Connect SoCal, would reduce per-capita GHG emissions related to vehicular travel and achieve the GHG reduction per capita targets for the SCAG region.</w:t>
      </w:r>
      <w:r>
        <w:t xml:space="preserve"> </w:t>
      </w:r>
      <w:r w:rsidRPr="00F70DD9">
        <w:rPr>
          <w:rFonts w:eastAsia="Batang"/>
        </w:rPr>
        <w:t>The Connect SoCal Plan</w:t>
      </w:r>
      <w:r w:rsidRPr="00F70DD9" w:rsidDel="00143419">
        <w:rPr>
          <w:rFonts w:eastAsia="Batang"/>
        </w:rPr>
        <w:t xml:space="preserve"> </w:t>
      </w:r>
      <w:r w:rsidRPr="00F70DD9">
        <w:rPr>
          <w:rFonts w:eastAsia="Batang"/>
        </w:rPr>
        <w:t xml:space="preserve">does not require that local general plans, specific plans, or zoning be consistent with the SCS, but provides incentives for consistency </w:t>
      </w:r>
      <w:r>
        <w:rPr>
          <w:rFonts w:eastAsia="Batang"/>
        </w:rPr>
        <w:t>to</w:t>
      </w:r>
      <w:r w:rsidRPr="00F70DD9">
        <w:rPr>
          <w:rFonts w:eastAsia="Batang"/>
        </w:rPr>
        <w:t xml:space="preserve"> governments and developers</w:t>
      </w:r>
      <w:r w:rsidR="00B85BC9">
        <w:rPr>
          <w:rFonts w:eastAsia="Batang"/>
        </w:rPr>
        <w:t xml:space="preserve">. </w:t>
      </w:r>
    </w:p>
    <w:p w14:paraId="35730B8A" w14:textId="77777777" w:rsidR="000E40F4" w:rsidRDefault="000E40F4" w:rsidP="000E40F4">
      <w:pPr>
        <w:pStyle w:val="BodyText"/>
      </w:pPr>
      <w:r w:rsidRPr="00F70DD9">
        <w:rPr>
          <w:color w:val="000000" w:themeColor="text1"/>
        </w:rPr>
        <w:t>A</w:t>
      </w:r>
      <w:r w:rsidRPr="00F70DD9">
        <w:t>s</w:t>
      </w:r>
      <w:r>
        <w:t xml:space="preserve"> discussed in Section 3.17.b of this Initial Study, the proposed project would have a less than significant impact with regard to VMT because it would not generate the threshold number of daily passenger vehicle trips. As discussed in Section 3.14.a, long-term and short-term (i.e., construction) jobs would likely be absorbed by the local and regional labor force, which would contribute to minimizing passenger vehicle VMT. </w:t>
      </w:r>
    </w:p>
    <w:p w14:paraId="198E6B1A" w14:textId="77777777" w:rsidR="000E40F4" w:rsidRPr="00E42C32" w:rsidRDefault="000E40F4" w:rsidP="000E40F4">
      <w:pPr>
        <w:pStyle w:val="BodyText"/>
      </w:pPr>
      <w:r>
        <w:t>VMT associated with heavy duty trucks involved in goods movement is outside the realm of the RTP/SCS, which primarily focuses on VMT associated with passenger vehicles. Under Connect SoCal, the focus remains on improving freight mobility in the region and transitioning to near-zero and zero-emissions technology. T</w:t>
      </w:r>
      <w:r w:rsidRPr="00E42C32">
        <w:t xml:space="preserve">he following list of </w:t>
      </w:r>
      <w:r>
        <w:t>Connect SoCal</w:t>
      </w:r>
      <w:r w:rsidRPr="00E42C32">
        <w:t xml:space="preserve"> goods-movement strategies are applicable to the proposed project</w:t>
      </w:r>
      <w:r>
        <w:t xml:space="preserve"> and could provide benefits from a regional and larger scale</w:t>
      </w:r>
      <w:r w:rsidRPr="00E42C32">
        <w:t xml:space="preserve">: </w:t>
      </w:r>
    </w:p>
    <w:p w14:paraId="07AF803E" w14:textId="77777777" w:rsidR="000E40F4" w:rsidRDefault="000E40F4" w:rsidP="000E40F4">
      <w:pPr>
        <w:pStyle w:val="Bullet1last"/>
        <w:numPr>
          <w:ilvl w:val="0"/>
          <w:numId w:val="22"/>
        </w:numPr>
      </w:pPr>
      <w:r w:rsidRPr="0039169B">
        <w:rPr>
          <w:b/>
          <w:bCs/>
        </w:rPr>
        <w:t>Clean Freight Corridor System</w:t>
      </w:r>
      <w:r>
        <w:rPr>
          <w:b/>
          <w:bCs/>
        </w:rPr>
        <w:t xml:space="preserve"> </w:t>
      </w:r>
      <w:r w:rsidRPr="0039169B">
        <w:rPr>
          <w:b/>
          <w:bCs/>
        </w:rPr>
        <w:t>/</w:t>
      </w:r>
      <w:r>
        <w:rPr>
          <w:b/>
          <w:bCs/>
        </w:rPr>
        <w:t xml:space="preserve"> </w:t>
      </w:r>
      <w:r w:rsidRPr="0039169B">
        <w:rPr>
          <w:b/>
          <w:bCs/>
        </w:rPr>
        <w:t>East-West Freight Corridor.</w:t>
      </w:r>
      <w:r w:rsidRPr="00405B2D">
        <w:t xml:space="preserve"> Establish a freight corridor system to connect the San Pedro ports and industrial cluster areas in Los Angeles and the Inland Empire.</w:t>
      </w:r>
    </w:p>
    <w:p w14:paraId="72D77C0C" w14:textId="46615CC4" w:rsidR="000E40F4" w:rsidRDefault="000E40F4" w:rsidP="000E40F4">
      <w:pPr>
        <w:pStyle w:val="Bullet1last"/>
        <w:numPr>
          <w:ilvl w:val="0"/>
          <w:numId w:val="22"/>
        </w:numPr>
      </w:pPr>
      <w:r w:rsidRPr="0039169B">
        <w:rPr>
          <w:b/>
          <w:bCs/>
        </w:rPr>
        <w:t>Truck Bottleneck Relief Strategy.</w:t>
      </w:r>
      <w:r w:rsidRPr="00405B2D">
        <w:t xml:space="preserve"> Relieve the top 57 truck bottlenecks. Strategies include ramp metering, extension of merging lanes, ramp and interchange improvements, capacity improvements</w:t>
      </w:r>
      <w:r>
        <w:t>,</w:t>
      </w:r>
      <w:r w:rsidRPr="00405B2D">
        <w:t xml:space="preserve"> and auxiliary lane additions.</w:t>
      </w:r>
    </w:p>
    <w:p w14:paraId="4FBEDB09" w14:textId="77777777" w:rsidR="000E40F4" w:rsidRDefault="000E40F4" w:rsidP="000E40F4">
      <w:pPr>
        <w:pStyle w:val="Bullet1last"/>
        <w:numPr>
          <w:ilvl w:val="0"/>
          <w:numId w:val="22"/>
        </w:numPr>
      </w:pPr>
      <w:r w:rsidRPr="0039169B">
        <w:rPr>
          <w:b/>
          <w:bCs/>
        </w:rPr>
        <w:t>Truck Climbing Lanes.</w:t>
      </w:r>
      <w:r>
        <w:t xml:space="preserve"> Install dedicated truck climbing lanes along key corridors, such as Interstate 5 (I-5), I-10, I-15, State Route 57 (SR-57) and SR-60, to enable other vehicles to move at a faster pace, thereby reducing congestion.</w:t>
      </w:r>
    </w:p>
    <w:p w14:paraId="67E5B9B7" w14:textId="77777777" w:rsidR="000E40F4" w:rsidRDefault="000E40F4" w:rsidP="000E40F4">
      <w:pPr>
        <w:pStyle w:val="Bullet1last"/>
        <w:numPr>
          <w:ilvl w:val="0"/>
          <w:numId w:val="22"/>
        </w:numPr>
      </w:pPr>
      <w:r w:rsidRPr="0039169B">
        <w:rPr>
          <w:b/>
          <w:bCs/>
        </w:rPr>
        <w:t>Goods Movement Environmental Strategy and Technology Advancement Plan.</w:t>
      </w:r>
      <w:r w:rsidRPr="00405B2D">
        <w:t xml:space="preserve"> Reduc</w:t>
      </w:r>
      <w:r>
        <w:t>e</w:t>
      </w:r>
      <w:r w:rsidRPr="00405B2D">
        <w:t xml:space="preserve"> environmental impacts by supporting the deployment of commercially available low-emission trucks and advancing technologies to implement a zero- and near</w:t>
      </w:r>
      <w:r>
        <w:t>-</w:t>
      </w:r>
      <w:r w:rsidRPr="00405B2D">
        <w:t>zero-emission freight system.</w:t>
      </w:r>
    </w:p>
    <w:p w14:paraId="73128C53" w14:textId="77777777" w:rsidR="00D10CF6" w:rsidRPr="003E5494" w:rsidRDefault="000E40F4" w:rsidP="000E40F4">
      <w:pPr>
        <w:pStyle w:val="BodyText"/>
      </w:pPr>
      <w:r>
        <w:t>In addition, as discussed in Section 3.11.b of this Initial Study, the uses proposed under the project would be consistent with the overall Connect SoCal Plan Goods Movement strategy, which identifies the large demand for warehouse space in the SCAG region. Overall, the proposed project would not conflict or interfere with implementation of the Connect SoCal Plan</w:t>
      </w:r>
      <w:r w:rsidR="00D10CF6" w:rsidRPr="00DD0DA5">
        <w:rPr>
          <w:rStyle w:val="InsertText"/>
        </w:rPr>
        <w:t>.</w:t>
      </w:r>
    </w:p>
    <w:p w14:paraId="299E4D1B" w14:textId="77777777" w:rsidR="00D10CF6" w:rsidRDefault="00D10CF6" w:rsidP="00D10CF6">
      <w:pPr>
        <w:pStyle w:val="Heading2"/>
      </w:pPr>
      <w:bookmarkStart w:id="162" w:name="_Toc90882161"/>
      <w:r>
        <w:t>HAZARDS AND HAZARDOUS MATERIALS</w:t>
      </w:r>
      <w:bookmarkEnd w:id="162"/>
    </w:p>
    <w:p w14:paraId="3900CF83" w14:textId="77777777" w:rsidR="00F65898" w:rsidRPr="002B2540" w:rsidRDefault="00F65898" w:rsidP="00F65898">
      <w:pPr>
        <w:pStyle w:val="BodyText"/>
      </w:pPr>
      <w:r w:rsidRPr="00617ACC">
        <w:t xml:space="preserve">The </w:t>
      </w:r>
      <w:r w:rsidRPr="002B2540">
        <w:t xml:space="preserve">analysis in this section is based partly on the following technical study, which is included as Appendix </w:t>
      </w:r>
      <w:r w:rsidR="003A20AD">
        <w:t>E</w:t>
      </w:r>
      <w:r w:rsidRPr="002B2540">
        <w:t xml:space="preserve"> to this Initial Study.</w:t>
      </w:r>
    </w:p>
    <w:p w14:paraId="6F25B219" w14:textId="77777777" w:rsidR="00F65898" w:rsidRPr="002B2540" w:rsidRDefault="00F65898" w:rsidP="00F65898">
      <w:pPr>
        <w:pStyle w:val="Bullet1last"/>
      </w:pPr>
      <w:r w:rsidRPr="002B2540">
        <w:rPr>
          <w:i/>
        </w:rPr>
        <w:t>Phase I Environmental Assessment</w:t>
      </w:r>
      <w:r w:rsidRPr="00D71ABD">
        <w:rPr>
          <w:iCs/>
        </w:rPr>
        <w:t xml:space="preserve">, </w:t>
      </w:r>
      <w:r w:rsidR="002B2540" w:rsidRPr="00D71ABD">
        <w:rPr>
          <w:iCs/>
        </w:rPr>
        <w:t>PlaceWorks</w:t>
      </w:r>
      <w:r w:rsidRPr="002B2540">
        <w:t xml:space="preserve">, </w:t>
      </w:r>
      <w:r w:rsidR="002B2540" w:rsidRPr="002B2540">
        <w:t>July 6, 2021</w:t>
      </w:r>
      <w:r w:rsidRPr="002B2540">
        <w:t>.</w:t>
      </w:r>
    </w:p>
    <w:p w14:paraId="142E5D4C" w14:textId="77777777" w:rsidR="00F65898" w:rsidRPr="00617ACC" w:rsidRDefault="00F65898" w:rsidP="00D71ABD">
      <w:pPr>
        <w:pStyle w:val="BodyText"/>
        <w:keepNext/>
      </w:pPr>
      <w:r w:rsidRPr="00617ACC">
        <w:t>Would the project:</w:t>
      </w:r>
    </w:p>
    <w:p w14:paraId="51BDFBF5" w14:textId="77777777" w:rsidR="00D10CF6" w:rsidRDefault="00D10CF6" w:rsidP="00D10CF6">
      <w:pPr>
        <w:pStyle w:val="List"/>
        <w:numPr>
          <w:ilvl w:val="0"/>
          <w:numId w:val="7"/>
        </w:numPr>
      </w:pPr>
      <w:r>
        <w:t>Create a significant hazard to the public or the environment through the routine transport, use or disposal of hazardous materials?</w:t>
      </w:r>
    </w:p>
    <w:p w14:paraId="0077CD8F" w14:textId="77777777" w:rsidR="00F65898" w:rsidRPr="005859DF" w:rsidRDefault="00F65898" w:rsidP="00F65898">
      <w:pPr>
        <w:pStyle w:val="BodyText"/>
      </w:pPr>
      <w:r w:rsidRPr="005859DF">
        <w:rPr>
          <w:rStyle w:val="BodyTextBoldChar"/>
        </w:rPr>
        <w:t>Less Than Significant Impact</w:t>
      </w:r>
      <w:r w:rsidR="00BB3DD7">
        <w:rPr>
          <w:rStyle w:val="BodyTextBoldChar"/>
        </w:rPr>
        <w:t xml:space="preserve"> with Mitigation Incorporated</w:t>
      </w:r>
      <w:r w:rsidRPr="005859DF">
        <w:rPr>
          <w:rStyle w:val="BodyTextBoldChar"/>
        </w:rPr>
        <w:t>.</w:t>
      </w:r>
      <w:bookmarkStart w:id="163" w:name="_Hlk511205512"/>
      <w:r w:rsidRPr="005859DF">
        <w:t xml:space="preserve"> The term “hazardous material” can be defined in different ways. For purposes of this environmental document, the definition of “hazardous material” is the one outlined in the California Health and Safety Code, Section 25501:</w:t>
      </w:r>
    </w:p>
    <w:p w14:paraId="0F159B7A" w14:textId="77777777" w:rsidR="00F65898" w:rsidRPr="005859DF" w:rsidRDefault="00F65898" w:rsidP="00F65898">
      <w:pPr>
        <w:pStyle w:val="BodyText"/>
        <w:ind w:left="720" w:right="720"/>
        <w:rPr>
          <w:sz w:val="21"/>
          <w:szCs w:val="21"/>
        </w:rPr>
      </w:pPr>
      <w:r w:rsidRPr="005859DF">
        <w:rPr>
          <w:sz w:val="21"/>
          <w:szCs w:val="21"/>
        </w:rPr>
        <w:t>Hazardous materials that, because of their quantity, concentration, or physical or chemical characteristics, pose a significant present or potential hazard to human health and safety or to the environment if released into the workplace or the environment. Hazardous materials include, but are not limited to, hazardous substances, hazardous waste, and any material that a handler or the unified program agency has a reasonable basis for believing that it would be injurious to the health and safety of persons or harmful to the environment if released into the workplace or the environment.</w:t>
      </w:r>
    </w:p>
    <w:p w14:paraId="4AFA5776" w14:textId="77777777" w:rsidR="00F65898" w:rsidRPr="005859DF" w:rsidRDefault="00F65898" w:rsidP="00F65898">
      <w:pPr>
        <w:pStyle w:val="BodyText"/>
      </w:pPr>
      <w:r w:rsidRPr="005859DF">
        <w:t>“Hazardous waste” is a subset of hazardous materials, and the definition is essentially the same as in the California Health and Safety Code, Section 25117, and in the California Code of Regulations, Title 22, Section 66261.2:</w:t>
      </w:r>
    </w:p>
    <w:p w14:paraId="00FA1B6E" w14:textId="77777777" w:rsidR="00F65898" w:rsidRPr="005859DF" w:rsidRDefault="00F65898" w:rsidP="00F65898">
      <w:pPr>
        <w:pStyle w:val="BodyText"/>
        <w:ind w:left="720" w:right="720"/>
        <w:rPr>
          <w:sz w:val="21"/>
          <w:szCs w:val="21"/>
        </w:rPr>
      </w:pPr>
      <w:r w:rsidRPr="005859DF">
        <w:rPr>
          <w:sz w:val="21"/>
          <w:szCs w:val="21"/>
        </w:rPr>
        <w:t>Hazardous wastes are those that, because of their quantity, concentration, or physical, chemical, or infectious characteristics, may either cause, or significantly contribute to an increase in mortality or an increase in serious illness, or pose a substantial present or potential hazard to human health or the environment when improperly treated, stored, transported, disposed of, or otherwise managed.</w:t>
      </w:r>
    </w:p>
    <w:p w14:paraId="15FB06C2" w14:textId="77777777" w:rsidR="00F65898" w:rsidRPr="005859DF" w:rsidRDefault="00F65898" w:rsidP="00F65898">
      <w:pPr>
        <w:pStyle w:val="BodyText"/>
      </w:pPr>
      <w:r w:rsidRPr="005859DF">
        <w:t>Hazardous materials can be categorized as hazardous nonradioactive chemical materials, radioactive materials, and biohazardous materials (infectious agents such as microorganisms, bacteria, molds, parasites, viruses, and medical waste).</w:t>
      </w:r>
    </w:p>
    <w:bookmarkEnd w:id="163"/>
    <w:p w14:paraId="5A3EF201" w14:textId="77777777" w:rsidR="00F65898" w:rsidRPr="005859DF" w:rsidRDefault="00F65898" w:rsidP="00F65898">
      <w:pPr>
        <w:pStyle w:val="BodyText"/>
      </w:pPr>
      <w:r w:rsidRPr="005859DF">
        <w:t>Exposure of the public or the environment to hazardous materials could occur through but not limited to the following means: improper handling or use of hazardous materials or waste, particularly by untrained personnel; transportation accident; environmentally unsound disposal methods; and/or fire, explosion, or other emergencies. The severity of potential effects varies with the activity conducted, the concentration and type of hazardous material or wastes present, and the proximity of sensitive receptors.</w:t>
      </w:r>
    </w:p>
    <w:p w14:paraId="3BD6F82D" w14:textId="77777777" w:rsidR="00F65898" w:rsidRPr="005859DF" w:rsidRDefault="00F65898" w:rsidP="00F65898">
      <w:pPr>
        <w:pStyle w:val="BodyText"/>
      </w:pPr>
      <w:r w:rsidRPr="005859DF">
        <w:t xml:space="preserve">Following is a discussion of the </w:t>
      </w:r>
      <w:r w:rsidR="005859DF" w:rsidRPr="005859DF">
        <w:t>p</w:t>
      </w:r>
      <w:r w:rsidRPr="005859DF">
        <w:t xml:space="preserve">roposed </w:t>
      </w:r>
      <w:r w:rsidR="005859DF" w:rsidRPr="005859DF">
        <w:t>p</w:t>
      </w:r>
      <w:r w:rsidRPr="005859DF">
        <w:t>roject’s potential to create a significant hazard to the public or the environment through the routine use, storage, transport, or disposal of hazardous materials during the operational and construction phases.</w:t>
      </w:r>
    </w:p>
    <w:p w14:paraId="40FBB668" w14:textId="77777777" w:rsidR="00F65898" w:rsidRPr="005537C9" w:rsidRDefault="00F65898" w:rsidP="00F65898">
      <w:pPr>
        <w:pStyle w:val="Heading5"/>
      </w:pPr>
      <w:r w:rsidRPr="005537C9">
        <w:t>Project Operation</w:t>
      </w:r>
    </w:p>
    <w:p w14:paraId="13918861" w14:textId="762C8282" w:rsidR="005537C9" w:rsidRPr="005537C9" w:rsidRDefault="0098027A" w:rsidP="0098027A">
      <w:pPr>
        <w:pStyle w:val="BodyText"/>
      </w:pPr>
      <w:bookmarkStart w:id="164" w:name="_Hlk71806729"/>
      <w:r>
        <w:t xml:space="preserve">Specific end users for the proposed building have not been </w:t>
      </w:r>
      <w:r w:rsidRPr="00664BD0">
        <w:t xml:space="preserve">established at this time. </w:t>
      </w:r>
      <w:r w:rsidR="00D8644B" w:rsidRPr="00664BD0">
        <w:t xml:space="preserve">For warehousing purposes, </w:t>
      </w:r>
      <w:r w:rsidR="00C47708" w:rsidRPr="00664BD0">
        <w:t>cold storage</w:t>
      </w:r>
      <w:r w:rsidR="00D8644B" w:rsidRPr="00664BD0">
        <w:t xml:space="preserve"> uses would </w:t>
      </w:r>
      <w:r w:rsidR="00664BD0" w:rsidRPr="00664BD0">
        <w:t xml:space="preserve">not </w:t>
      </w:r>
      <w:r w:rsidR="00D8644B" w:rsidRPr="00664BD0">
        <w:t>be allowed to operate on</w:t>
      </w:r>
      <w:r w:rsidR="0004109E">
        <w:t>-</w:t>
      </w:r>
      <w:r w:rsidR="00D8644B" w:rsidRPr="00664BD0">
        <w:t>site.</w:t>
      </w:r>
      <w:r w:rsidR="00EC294C" w:rsidRPr="00EC294C">
        <w:rPr>
          <w:rStyle w:val="FootnoteReference"/>
        </w:rPr>
        <w:t xml:space="preserve"> </w:t>
      </w:r>
      <w:r w:rsidR="00EC294C">
        <w:rPr>
          <w:rStyle w:val="FootnoteReference"/>
        </w:rPr>
        <w:footnoteReference w:id="17"/>
      </w:r>
      <w:r w:rsidR="00EC294C" w:rsidRPr="00664BD0">
        <w:t xml:space="preserve"> </w:t>
      </w:r>
      <w:r w:rsidR="00D8644B" w:rsidRPr="00664BD0">
        <w:t>Manufacturing</w:t>
      </w:r>
      <w:r w:rsidR="00D8644B">
        <w:t xml:space="preserve"> uses on</w:t>
      </w:r>
      <w:r w:rsidR="0004109E">
        <w:t>-</w:t>
      </w:r>
      <w:r w:rsidR="00D8644B">
        <w:t xml:space="preserve">site would be </w:t>
      </w:r>
      <w:r>
        <w:t>uses allowed under the Industrial/Business Park land use designation and M-1</w:t>
      </w:r>
      <w:r w:rsidR="008F22FC">
        <w:t>(</w:t>
      </w:r>
      <w:r>
        <w:t>Light Manufacturing</w:t>
      </w:r>
      <w:r w:rsidR="008F22FC">
        <w:t>)</w:t>
      </w:r>
      <w:r>
        <w:t xml:space="preserve"> zon</w:t>
      </w:r>
      <w:r w:rsidR="001618E9">
        <w:t>e</w:t>
      </w:r>
      <w:r>
        <w:t xml:space="preserve"> </w:t>
      </w:r>
      <w:r w:rsidR="00C47708">
        <w:t>and would not include heavy industrial uses such as</w:t>
      </w:r>
      <w:r w:rsidR="008D1D27">
        <w:t xml:space="preserve"> petroleum refining, metal fabrication plants, mills, or batching plants</w:t>
      </w:r>
      <w:r>
        <w:t xml:space="preserve">. </w:t>
      </w:r>
      <w:bookmarkEnd w:id="164"/>
      <w:r>
        <w:t xml:space="preserve">The ultimate end user would risk release of hazardous materials into the environment if </w:t>
      </w:r>
      <w:r w:rsidR="0004109E">
        <w:t xml:space="preserve">they are </w:t>
      </w:r>
      <w:r>
        <w:t xml:space="preserve">not stored and handled in accordance with best management practices. There is a wide variety of hazardous materials that could be used as part of </w:t>
      </w:r>
      <w:r w:rsidR="008D1D27">
        <w:t xml:space="preserve">light </w:t>
      </w:r>
      <w:r>
        <w:t>industrial and warehousing operations in the proposed building.</w:t>
      </w:r>
    </w:p>
    <w:p w14:paraId="5129A77C" w14:textId="77777777" w:rsidR="005537C9" w:rsidRPr="005537C9" w:rsidRDefault="005537C9" w:rsidP="005537C9">
      <w:pPr>
        <w:pStyle w:val="BodyText"/>
        <w:rPr>
          <w:color w:val="4F81BD" w:themeColor="accent1"/>
        </w:rPr>
      </w:pPr>
      <w:r w:rsidRPr="005537C9">
        <w:t xml:space="preserve">The building is designed </w:t>
      </w:r>
      <w:r w:rsidR="0004109E">
        <w:t>so</w:t>
      </w:r>
      <w:r w:rsidR="0004109E" w:rsidRPr="005537C9">
        <w:t xml:space="preserve"> </w:t>
      </w:r>
      <w:r w:rsidRPr="005537C9">
        <w:t xml:space="preserve">that business operations would be conducted </w:t>
      </w:r>
      <w:r w:rsidR="0004109E">
        <w:t>inside</w:t>
      </w:r>
      <w:r w:rsidR="0004109E" w:rsidRPr="005537C9">
        <w:t xml:space="preserve"> </w:t>
      </w:r>
      <w:r w:rsidRPr="005537C9">
        <w:t xml:space="preserve">the enclosed building, </w:t>
      </w:r>
      <w:r w:rsidR="008D1D27" w:rsidRPr="005537C9">
        <w:t>except for</w:t>
      </w:r>
      <w:r w:rsidRPr="005537C9">
        <w:t xml:space="preserve"> traffic movement, parking, and the movement of truck trailers in the truck yard. Also, loading and unloading of truck trailers would be restricted to the exterior loading dock area. </w:t>
      </w:r>
    </w:p>
    <w:p w14:paraId="460B2D5E" w14:textId="1BA4673F" w:rsidR="005537C9" w:rsidRPr="005537C9" w:rsidRDefault="0098027A" w:rsidP="005537C9">
      <w:pPr>
        <w:pStyle w:val="BodyText"/>
      </w:pPr>
      <w:r>
        <w:t>The</w:t>
      </w:r>
      <w:r w:rsidR="005537C9" w:rsidRPr="005537C9">
        <w:t xml:space="preserve"> use, storage, transport, and disposal of hazardous materials would be governed by existing regulations of several agencies, including the </w:t>
      </w:r>
      <w:r w:rsidR="0004109E">
        <w:t>EPA</w:t>
      </w:r>
      <w:r w:rsidR="005537C9" w:rsidRPr="005537C9">
        <w:t xml:space="preserve">, US Department of Transportation, California Division of Occupational Safety and Health, Los Angeles County Department of Public Health, and the </w:t>
      </w:r>
      <w:r w:rsidR="00EC294C">
        <w:t>Los Angeles County Fire Department (</w:t>
      </w:r>
      <w:r w:rsidR="00EC294C" w:rsidRPr="005537C9">
        <w:t>LACFD</w:t>
      </w:r>
      <w:r w:rsidR="00EC294C">
        <w:t>)</w:t>
      </w:r>
      <w:r w:rsidR="005537C9" w:rsidRPr="005537C9">
        <w:t>, which includes the Health Haz Mat Division.</w:t>
      </w:r>
      <w:r w:rsidR="005537C9" w:rsidRPr="005537C9">
        <w:rPr>
          <w:vertAlign w:val="superscript"/>
        </w:rPr>
        <w:footnoteReference w:id="18"/>
      </w:r>
      <w:r w:rsidR="005537C9" w:rsidRPr="005537C9">
        <w:t xml:space="preserve"> For example, the future building tenant would be required to comply with</w:t>
      </w:r>
      <w:r w:rsidR="0004109E">
        <w:t xml:space="preserve"> the </w:t>
      </w:r>
      <w:r w:rsidR="0004109E" w:rsidRPr="005537C9">
        <w:t xml:space="preserve">EPA’s </w:t>
      </w:r>
      <w:r w:rsidR="005537C9" w:rsidRPr="005537C9">
        <w:t xml:space="preserve">Hazardous Materials Transportation Act, Title 42, Section 11022 of the </w:t>
      </w:r>
      <w:r w:rsidR="0004109E">
        <w:t>US</w:t>
      </w:r>
      <w:r w:rsidR="005537C9" w:rsidRPr="005537C9">
        <w:t xml:space="preserve"> Code and Chapter 6.95</w:t>
      </w:r>
      <w:r w:rsidR="008D1D27">
        <w:t xml:space="preserve">, </w:t>
      </w:r>
      <w:r w:rsidR="0004109E">
        <w:t>“</w:t>
      </w:r>
      <w:r w:rsidR="005537C9" w:rsidRPr="00D71ABD">
        <w:t>Hazardous Materials Release Response Plans and Inventory</w:t>
      </w:r>
      <w:r w:rsidR="008D1D27" w:rsidRPr="00354C3D">
        <w:t>,</w:t>
      </w:r>
      <w:r w:rsidR="0004109E">
        <w:t>”</w:t>
      </w:r>
      <w:r w:rsidR="008D1D27">
        <w:t xml:space="preserve"> </w:t>
      </w:r>
      <w:r w:rsidR="005537C9" w:rsidRPr="005537C9">
        <w:t>of the California Health and Safety Code</w:t>
      </w:r>
      <w:r w:rsidR="0004109E">
        <w:t>,</w:t>
      </w:r>
      <w:r w:rsidR="005537C9" w:rsidRPr="005537C9">
        <w:t xml:space="preserve"> which requires the reporting of hazardous materials when used or stored in certain quantities. Compliance with applicable laws and regulations governing the use, storage, transportation, and disposal of hazardous materials would ensure that all potentially hazardous materials are used and handled in an appropriate manner and would minimize the potential for safety impacts. </w:t>
      </w:r>
      <w:r w:rsidR="00485695">
        <w:t>The City of Irwindale also requires a Conditional Use Permit for hazardous material storage, use, sale, and transport.</w:t>
      </w:r>
    </w:p>
    <w:p w14:paraId="35D84983" w14:textId="0D198C5E" w:rsidR="005537C9" w:rsidRPr="005537C9" w:rsidRDefault="005537C9" w:rsidP="00F65898">
      <w:pPr>
        <w:pStyle w:val="BodyText"/>
      </w:pPr>
      <w:r w:rsidRPr="005537C9">
        <w:t xml:space="preserve">Therefore, substantial hazards to the public or the environment arising from the routine use, storage, transport, and disposal of hazardous materials during long-term operation of the </w:t>
      </w:r>
      <w:r w:rsidR="008D1D27">
        <w:t>proposed p</w:t>
      </w:r>
      <w:r w:rsidRPr="005537C9">
        <w:t xml:space="preserve">roject </w:t>
      </w:r>
      <w:r w:rsidR="00FB6B24">
        <w:t>are not projected to</w:t>
      </w:r>
      <w:r w:rsidRPr="005537C9">
        <w:t xml:space="preserve"> occur. Impacts would be less than significant.</w:t>
      </w:r>
    </w:p>
    <w:p w14:paraId="458902AD" w14:textId="77777777" w:rsidR="00F65898" w:rsidRPr="005859DF" w:rsidRDefault="00F65898" w:rsidP="00F65898">
      <w:pPr>
        <w:pStyle w:val="Heading5"/>
      </w:pPr>
      <w:r w:rsidRPr="005859DF">
        <w:t>Project Construction</w:t>
      </w:r>
    </w:p>
    <w:p w14:paraId="343889C1" w14:textId="77777777" w:rsidR="00F65898" w:rsidRDefault="00F65898" w:rsidP="00F65898">
      <w:pPr>
        <w:pStyle w:val="BodyText"/>
      </w:pPr>
      <w:r w:rsidRPr="005859DF">
        <w:t xml:space="preserve">Construction activities would involve </w:t>
      </w:r>
      <w:r w:rsidR="00C05601">
        <w:t xml:space="preserve">the </w:t>
      </w:r>
      <w:r w:rsidRPr="005859DF">
        <w:t>use of hazardous materials</w:t>
      </w:r>
      <w:bookmarkStart w:id="165" w:name="_Hlk4066923"/>
      <w:r w:rsidR="00C05601">
        <w:t xml:space="preserve">, </w:t>
      </w:r>
      <w:r w:rsidRPr="00FA5005">
        <w:t xml:space="preserve">excavation and </w:t>
      </w:r>
      <w:r w:rsidR="00BC2E39" w:rsidRPr="00FA5005">
        <w:t>handling</w:t>
      </w:r>
      <w:r w:rsidRPr="00FA5005">
        <w:t xml:space="preserve"> of on</w:t>
      </w:r>
      <w:r w:rsidR="0004109E">
        <w:t>-</w:t>
      </w:r>
      <w:r w:rsidRPr="00FA5005">
        <w:t>site soils</w:t>
      </w:r>
      <w:r w:rsidR="0004109E">
        <w:t>,</w:t>
      </w:r>
      <w:r w:rsidR="007F0E29">
        <w:t xml:space="preserve"> and handling of demolition debris</w:t>
      </w:r>
      <w:r w:rsidR="00B85BC9">
        <w:t xml:space="preserve">. </w:t>
      </w:r>
    </w:p>
    <w:p w14:paraId="780981F5" w14:textId="77777777" w:rsidR="00C05601" w:rsidRDefault="00C05601" w:rsidP="00C83E81">
      <w:pPr>
        <w:pStyle w:val="Heading6"/>
      </w:pPr>
      <w:r>
        <w:t>Construction Hazardous Materials</w:t>
      </w:r>
    </w:p>
    <w:p w14:paraId="1FCB93D5" w14:textId="77777777" w:rsidR="00C05601" w:rsidRPr="00C05601" w:rsidRDefault="00C05601" w:rsidP="00C83E81">
      <w:pPr>
        <w:pStyle w:val="BodyText"/>
        <w:tabs>
          <w:tab w:val="num" w:pos="0"/>
        </w:tabs>
      </w:pPr>
      <w:r w:rsidRPr="005859DF">
        <w:t xml:space="preserve">Construction activities would involve use of hazardous materials </w:t>
      </w:r>
      <w:r w:rsidR="00E15AF2">
        <w:t>such as</w:t>
      </w:r>
      <w:r w:rsidR="00E15AF2" w:rsidRPr="005859DF">
        <w:t xml:space="preserve"> </w:t>
      </w:r>
      <w:r w:rsidRPr="005859DF">
        <w:t>cleansers and degreasers; fluids used in routine maintenance and operation of construction equipment, such as oil and lubricants; fertilizers; pesticides; and architectural coatings</w:t>
      </w:r>
      <w:r w:rsidR="00E15AF2">
        <w:t>,</w:t>
      </w:r>
      <w:r w:rsidRPr="005859DF">
        <w:t xml:space="preserve"> including paints. However, the materials used would not be in such quantities or stored in such a manner as to pose a significant safety hazard. These activities would also be short term or one time in nature and would cease upon completion of the proposed project’s </w:t>
      </w:r>
      <w:r w:rsidRPr="00FA5005">
        <w:t xml:space="preserve">construction phase. Project construction workers would be trained in safe handling and hazardous materials use. </w:t>
      </w:r>
      <w:r w:rsidR="007A6E55">
        <w:t>A</w:t>
      </w:r>
      <w:r w:rsidR="007A6E55" w:rsidRPr="007A6E55">
        <w:t>ll spills or leakage of petroleum products during construction activities are required to be immediately contained, the hazardous material identified, and the material remediated in compliance with applicable state and local regulations for the cleanup and disposal of that contaminant. All contaminated waste would be collected and disposed of at an appropriately licensed disposal or treatment facility.</w:t>
      </w:r>
      <w:r w:rsidR="007A6E55">
        <w:t xml:space="preserve"> </w:t>
      </w:r>
      <w:r w:rsidR="0083714C" w:rsidRPr="0083714C">
        <w:t>As with project operation, the use, storage, transport, and disposal of construction-related hazardous materials</w:t>
      </w:r>
      <w:r w:rsidR="00C83E81">
        <w:t xml:space="preserve"> </w:t>
      </w:r>
      <w:r w:rsidR="0083714C" w:rsidRPr="0083714C">
        <w:t>would conform to existing laws and regulations</w:t>
      </w:r>
      <w:r w:rsidR="00E15AF2">
        <w:t>,</w:t>
      </w:r>
      <w:r w:rsidR="0083714C" w:rsidRPr="0083714C">
        <w:t xml:space="preserve"> and </w:t>
      </w:r>
      <w:r w:rsidR="0083714C">
        <w:t>impacts would be less than significant</w:t>
      </w:r>
      <w:r w:rsidR="0083714C" w:rsidRPr="0083714C">
        <w:t>.</w:t>
      </w:r>
      <w:r w:rsidR="001978CC">
        <w:t xml:space="preserve"> </w:t>
      </w:r>
    </w:p>
    <w:p w14:paraId="5FF327B8" w14:textId="77777777" w:rsidR="00C05601" w:rsidRDefault="00C05601" w:rsidP="00C83E81">
      <w:pPr>
        <w:pStyle w:val="Heading6"/>
      </w:pPr>
      <w:r>
        <w:t>On-Site Contaminate</w:t>
      </w:r>
      <w:r w:rsidR="00E15AF2">
        <w:t>d</w:t>
      </w:r>
      <w:r>
        <w:t xml:space="preserve"> Soils</w:t>
      </w:r>
    </w:p>
    <w:p w14:paraId="0E47B9C7" w14:textId="21CCFDB1" w:rsidR="00FA5005" w:rsidRDefault="00FA5005" w:rsidP="00C83E81">
      <w:pPr>
        <w:pStyle w:val="BodyText"/>
        <w:tabs>
          <w:tab w:val="num" w:pos="0"/>
        </w:tabs>
      </w:pPr>
      <w:r w:rsidRPr="00FA5005">
        <w:t xml:space="preserve">The ASTM E 1527-13 Standard defines a </w:t>
      </w:r>
      <w:r w:rsidR="00E15AF2" w:rsidRPr="00FA5005">
        <w:t>recognized environmental condition</w:t>
      </w:r>
      <w:r w:rsidRPr="00FA5005">
        <w:t xml:space="preserve"> (REC) in part as “the presence or likely presence of any hazardous substances or petroleum products in, on, or at a property: (1) due to any release to the environment; (2) under conditions indicative of a release to the environment; or (3) under conditions that pose a material threat of a future release to the environment.”</w:t>
      </w:r>
      <w:bookmarkEnd w:id="165"/>
      <w:r>
        <w:t xml:space="preserve"> </w:t>
      </w:r>
      <w:r w:rsidRPr="00FA5005">
        <w:t>RECs were not identified for the project site.</w:t>
      </w:r>
    </w:p>
    <w:p w14:paraId="70AECB66" w14:textId="77777777" w:rsidR="00C83E81" w:rsidRDefault="007F0E29" w:rsidP="00C83E81">
      <w:pPr>
        <w:pStyle w:val="BodyText"/>
        <w:tabs>
          <w:tab w:val="num" w:pos="0"/>
        </w:tabs>
      </w:pPr>
      <w:r w:rsidRPr="007F0E29">
        <w:t>The</w:t>
      </w:r>
      <w:r w:rsidR="00FA5005" w:rsidRPr="007F0E29">
        <w:t xml:space="preserve"> ASTM E 1527-13 Standard defines a </w:t>
      </w:r>
      <w:r w:rsidR="00E15AF2" w:rsidRPr="007F0E29">
        <w:t>h</w:t>
      </w:r>
      <w:r w:rsidR="00FA5005" w:rsidRPr="007F0E29">
        <w:t>istorical REC as “a past release of any hazardous substances or petroleum products that has occurred in connection with the property and has been addressed to the satisfaction of the applicable regulatory authority or meeting unrestricted use criteria established by a regulatory authority, without subjecting the property to any required controls (for example, property use restrictions, activity and use limitations, institutional controls, or engineering controls).”</w:t>
      </w:r>
      <w:r w:rsidR="00C83E81">
        <w:t xml:space="preserve"> </w:t>
      </w:r>
      <w:r w:rsidR="00FA5005" w:rsidRPr="007F0E29">
        <w:t xml:space="preserve">The project site had three 10,000-gallon </w:t>
      </w:r>
      <w:r w:rsidR="00E15AF2">
        <w:t>underground storage tanks (</w:t>
      </w:r>
      <w:r w:rsidR="00FA5005" w:rsidRPr="007F0E29">
        <w:t>UST</w:t>
      </w:r>
      <w:r w:rsidR="00E15AF2">
        <w:t>)</w:t>
      </w:r>
      <w:r w:rsidR="00FA5005" w:rsidRPr="007F0E29">
        <w:t xml:space="preserve"> that were installed in 1975 and removed in 199</w:t>
      </w:r>
      <w:r w:rsidR="005A7713" w:rsidRPr="007F0E29">
        <w:t xml:space="preserve">5, and one </w:t>
      </w:r>
      <w:r w:rsidR="00FA5005" w:rsidRPr="007F0E29">
        <w:t>12,000-gallon diesel UST</w:t>
      </w:r>
      <w:r w:rsidR="005A7713" w:rsidRPr="007F0E29">
        <w:t xml:space="preserve"> that was installed in 1990 and removed in 2013. </w:t>
      </w:r>
      <w:r w:rsidR="00FA5005" w:rsidRPr="007F0E29">
        <w:t xml:space="preserve">The three </w:t>
      </w:r>
      <w:r w:rsidR="005A7713" w:rsidRPr="007F0E29">
        <w:t xml:space="preserve">10,000-gallon </w:t>
      </w:r>
      <w:r w:rsidR="00FA5005" w:rsidRPr="007F0E29">
        <w:t xml:space="preserve">USTs </w:t>
      </w:r>
      <w:r w:rsidR="005A7713" w:rsidRPr="007F0E29">
        <w:t xml:space="preserve">were removed under the oversight of the Los Angeles County Underground Storage Tank Program and </w:t>
      </w:r>
      <w:r w:rsidR="00C83E81">
        <w:t xml:space="preserve">the </w:t>
      </w:r>
      <w:r w:rsidR="005A7713" w:rsidRPr="007F0E29">
        <w:t>RWQCB. T</w:t>
      </w:r>
      <w:r w:rsidR="00FA5005" w:rsidRPr="007F0E29">
        <w:t>he 12,000-gallon UST was</w:t>
      </w:r>
      <w:r w:rsidR="005A7713" w:rsidRPr="007F0E29">
        <w:t xml:space="preserve"> </w:t>
      </w:r>
      <w:r w:rsidR="00FA5005" w:rsidRPr="007F0E29">
        <w:t xml:space="preserve">removed under the oversight of </w:t>
      </w:r>
      <w:r w:rsidR="005A7713" w:rsidRPr="007F0E29">
        <w:t xml:space="preserve">the LACFD. </w:t>
      </w:r>
      <w:r w:rsidR="00FA5005" w:rsidRPr="007F0E29">
        <w:t xml:space="preserve">The former USTs are considered </w:t>
      </w:r>
      <w:r w:rsidR="00E15AF2">
        <w:t xml:space="preserve">historical </w:t>
      </w:r>
      <w:r w:rsidR="00E15AF2" w:rsidRPr="007F0E29">
        <w:t>RECs</w:t>
      </w:r>
      <w:r w:rsidR="00FA5005" w:rsidRPr="00CC780C">
        <w:t>.</w:t>
      </w:r>
      <w:r w:rsidR="005A7713" w:rsidRPr="00CC780C">
        <w:t xml:space="preserve"> </w:t>
      </w:r>
    </w:p>
    <w:p w14:paraId="7CBE0C86" w14:textId="77777777" w:rsidR="005A7713" w:rsidRPr="007F0E29" w:rsidRDefault="005A7713" w:rsidP="00C83E81">
      <w:pPr>
        <w:pStyle w:val="BodyText"/>
        <w:tabs>
          <w:tab w:val="num" w:pos="0"/>
        </w:tabs>
      </w:pPr>
      <w:r w:rsidRPr="00CC780C">
        <w:t>Based on the lack of closure documentation from the regulatory agencies for the 12,000-gallon UST</w:t>
      </w:r>
      <w:r w:rsidR="00E15AF2">
        <w:t>,</w:t>
      </w:r>
      <w:r w:rsidRPr="00CC780C">
        <w:t xml:space="preserve"> there is a small chance for the potential release of petroleum products</w:t>
      </w:r>
      <w:r w:rsidR="00E15AF2">
        <w:t>,</w:t>
      </w:r>
      <w:r w:rsidRPr="00CC780C">
        <w:t xml:space="preserve"> and a vapor risk may be present at the site.</w:t>
      </w:r>
      <w:r w:rsidR="007F0E29" w:rsidRPr="007F0E29">
        <w:t xml:space="preserve"> Therefore, potential impacts could occur as a result of </w:t>
      </w:r>
      <w:r w:rsidR="007F0E29">
        <w:t>excavation and handling of on-site soils</w:t>
      </w:r>
      <w:r w:rsidR="007F0E29" w:rsidRPr="007F0E29">
        <w:t xml:space="preserve">. However, with </w:t>
      </w:r>
      <w:r w:rsidR="006C6833">
        <w:t xml:space="preserve">the </w:t>
      </w:r>
      <w:r w:rsidR="007F0E29" w:rsidRPr="007F0E29">
        <w:t xml:space="preserve">implementation of Mitigation </w:t>
      </w:r>
      <w:r w:rsidR="007F0E29" w:rsidRPr="00C83E81">
        <w:t>Measure HAZ-1, impacts</w:t>
      </w:r>
      <w:r w:rsidR="007F0E29" w:rsidRPr="007F0E29">
        <w:t xml:space="preserve"> would be reduced to a less than significant level.</w:t>
      </w:r>
    </w:p>
    <w:p w14:paraId="21F37647" w14:textId="77777777" w:rsidR="005A7713" w:rsidRDefault="00E15AF2" w:rsidP="00C83E81">
      <w:pPr>
        <w:pStyle w:val="BodyText"/>
        <w:tabs>
          <w:tab w:val="num" w:pos="0"/>
        </w:tabs>
      </w:pPr>
      <w:r>
        <w:t xml:space="preserve">Based </w:t>
      </w:r>
      <w:r w:rsidR="005A7713">
        <w:t xml:space="preserve">on the records review, it is unlikely that a potential source of vapor migration currently exists beneath the site from off-site properties. No </w:t>
      </w:r>
      <w:r w:rsidR="00C83E81">
        <w:t xml:space="preserve">contamination from </w:t>
      </w:r>
      <w:r w:rsidR="005A7713">
        <w:t xml:space="preserve">chlorinated volatile organic carbons </w:t>
      </w:r>
      <w:r w:rsidR="00C83E81">
        <w:t xml:space="preserve">and no </w:t>
      </w:r>
      <w:r w:rsidR="005A7713">
        <w:t>underground storage tanks were identified adjacent or within 30 feet of the project site.</w:t>
      </w:r>
    </w:p>
    <w:p w14:paraId="140D568A" w14:textId="77777777" w:rsidR="007F0E29" w:rsidRDefault="00C83E81" w:rsidP="00C83E81">
      <w:pPr>
        <w:pStyle w:val="BodyText"/>
        <w:tabs>
          <w:tab w:val="num" w:pos="0"/>
        </w:tabs>
      </w:pPr>
      <w:r>
        <w:t>The</w:t>
      </w:r>
      <w:r w:rsidR="007F0E29" w:rsidRPr="007A6E55">
        <w:t xml:space="preserve"> site was occupied by agricultural orchards from at least 1928 to the early 1950s when the project site was developed. There is a slight potential for residual organochlorine pesticides in the soil.</w:t>
      </w:r>
      <w:r w:rsidR="007A6E55" w:rsidRPr="007A6E55">
        <w:t xml:space="preserve"> However, since the site would be developed for warehousing and manufacturing uses with limited exposed areas of soil, testing is not </w:t>
      </w:r>
      <w:r w:rsidR="002E025C" w:rsidRPr="007A6E55">
        <w:t>needed,</w:t>
      </w:r>
      <w:r w:rsidR="007A6E55" w:rsidRPr="007A6E55">
        <w:t xml:space="preserve"> and impacts are less than significant</w:t>
      </w:r>
      <w:r w:rsidR="00B85BC9">
        <w:t xml:space="preserve">. </w:t>
      </w:r>
    </w:p>
    <w:p w14:paraId="5EBDB051" w14:textId="77777777" w:rsidR="00C83E81" w:rsidRDefault="00C83E81" w:rsidP="00C83E81">
      <w:pPr>
        <w:pStyle w:val="BodyText"/>
      </w:pPr>
      <w:r>
        <w:t>Therefore, c</w:t>
      </w:r>
      <w:r w:rsidRPr="00FA5005">
        <w:t>ompliance with applicable laws and regulations governing the use, storage, transportation, and disposal of p</w:t>
      </w:r>
      <w:r>
        <w:t xml:space="preserve">otentially contaminated soils and mitigation </w:t>
      </w:r>
      <w:r w:rsidRPr="00C83E81">
        <w:t>measure HAZ-1 would ensure that</w:t>
      </w:r>
      <w:r>
        <w:t xml:space="preserve"> impacts would be less than significant</w:t>
      </w:r>
      <w:r w:rsidR="00B85BC9">
        <w:t xml:space="preserve">. </w:t>
      </w:r>
    </w:p>
    <w:p w14:paraId="2E21F881" w14:textId="77777777" w:rsidR="007F0E29" w:rsidRDefault="00C05601" w:rsidP="00C83E81">
      <w:pPr>
        <w:pStyle w:val="Heading6"/>
      </w:pPr>
      <w:r>
        <w:t>Demolition Debris</w:t>
      </w:r>
    </w:p>
    <w:p w14:paraId="684747F9" w14:textId="77777777" w:rsidR="002E025C" w:rsidRDefault="009D6BFD" w:rsidP="00C83E81">
      <w:pPr>
        <w:pStyle w:val="BodyText"/>
        <w:tabs>
          <w:tab w:val="num" w:pos="0"/>
        </w:tabs>
      </w:pPr>
      <w:r w:rsidRPr="002E025C">
        <w:t>Based on the age of the building</w:t>
      </w:r>
      <w:r w:rsidR="00E15AF2">
        <w:t>,</w:t>
      </w:r>
      <w:r w:rsidRPr="002E025C">
        <w:t xml:space="preserve"> it is possible that asbestos</w:t>
      </w:r>
      <w:r w:rsidR="00E15AF2">
        <w:t>-</w:t>
      </w:r>
      <w:r w:rsidRPr="002E025C">
        <w:t>containing materials and lead-based paint</w:t>
      </w:r>
      <w:r w:rsidR="00E15AF2">
        <w:t xml:space="preserve"> </w:t>
      </w:r>
      <w:r w:rsidRPr="002E025C">
        <w:t xml:space="preserve">are present in the building materials at the site. </w:t>
      </w:r>
      <w:r w:rsidR="002E025C" w:rsidRPr="002E025C">
        <w:t xml:space="preserve">Any project-related demolition activities that have the potential to expose construction workers and/or the public to </w:t>
      </w:r>
      <w:r w:rsidR="00E15AF2">
        <w:t>asbestos</w:t>
      </w:r>
      <w:r w:rsidR="00E15AF2" w:rsidRPr="002E025C">
        <w:t xml:space="preserve"> </w:t>
      </w:r>
      <w:r w:rsidR="002E025C" w:rsidRPr="002E025C">
        <w:t xml:space="preserve">or </w:t>
      </w:r>
      <w:r w:rsidR="00E15AF2">
        <w:t>lead</w:t>
      </w:r>
      <w:r w:rsidR="00E15AF2" w:rsidRPr="002E025C">
        <w:t xml:space="preserve"> </w:t>
      </w:r>
      <w:r w:rsidR="002E025C" w:rsidRPr="002E025C">
        <w:t>would be conducted in accordance with applicable regulations, including, but not limited to:</w:t>
      </w:r>
    </w:p>
    <w:p w14:paraId="11A116DE" w14:textId="77777777" w:rsidR="002E025C" w:rsidRDefault="002E025C" w:rsidP="00C83E81">
      <w:pPr>
        <w:pStyle w:val="Bullet1last"/>
        <w:tabs>
          <w:tab w:val="left" w:pos="360"/>
          <w:tab w:val="num" w:pos="450"/>
        </w:tabs>
      </w:pPr>
      <w:r>
        <w:t>South Coast Air Quality Management District’s Rule 1403</w:t>
      </w:r>
    </w:p>
    <w:p w14:paraId="6BF6FC57" w14:textId="77777777" w:rsidR="002E025C" w:rsidRDefault="002E025C" w:rsidP="00C83E81">
      <w:pPr>
        <w:pStyle w:val="Bullet1last"/>
        <w:tabs>
          <w:tab w:val="left" w:pos="360"/>
          <w:tab w:val="num" w:pos="450"/>
        </w:tabs>
      </w:pPr>
      <w:r>
        <w:t>California Health and Safety Code (Section 39650 et seq.)</w:t>
      </w:r>
    </w:p>
    <w:p w14:paraId="7D3B908F" w14:textId="77777777" w:rsidR="002E025C" w:rsidRDefault="002E025C" w:rsidP="00C83E81">
      <w:pPr>
        <w:pStyle w:val="Bullet1last"/>
        <w:tabs>
          <w:tab w:val="left" w:pos="360"/>
          <w:tab w:val="num" w:pos="450"/>
        </w:tabs>
      </w:pPr>
      <w:r>
        <w:t>California Code of Regulations (Title 8, Section 1529)</w:t>
      </w:r>
    </w:p>
    <w:p w14:paraId="7125C0FF" w14:textId="77777777" w:rsidR="00C83E81" w:rsidRDefault="002E025C" w:rsidP="00C83E81">
      <w:pPr>
        <w:pStyle w:val="Bullet1last"/>
        <w:tabs>
          <w:tab w:val="left" w:pos="360"/>
          <w:tab w:val="num" w:pos="450"/>
          <w:tab w:val="num" w:pos="1440"/>
        </w:tabs>
      </w:pPr>
      <w:r>
        <w:t>California Occupational Safety and Health Administration Regulations (California Code of Regulations, Title 8, Section 1529 [Asbestos] and Section 1532.1 [Lead])</w:t>
      </w:r>
    </w:p>
    <w:p w14:paraId="5069EB00" w14:textId="77777777" w:rsidR="009D6BFD" w:rsidRDefault="002E025C" w:rsidP="00C83E81">
      <w:pPr>
        <w:pStyle w:val="Bullet1last"/>
        <w:tabs>
          <w:tab w:val="left" w:pos="360"/>
          <w:tab w:val="num" w:pos="450"/>
          <w:tab w:val="num" w:pos="1440"/>
        </w:tabs>
      </w:pPr>
      <w:r>
        <w:t>Code of Federal Regulations (Title 40, Part 61 [asbestos], Title 40, Part 763 [asbestos], and Title 29, Part 1926 [asbestos and lead])</w:t>
      </w:r>
    </w:p>
    <w:p w14:paraId="0A693C4A" w14:textId="77777777" w:rsidR="002E025C" w:rsidRDefault="002E025C" w:rsidP="00C83E81">
      <w:pPr>
        <w:pStyle w:val="Bullet1last"/>
        <w:numPr>
          <w:ilvl w:val="0"/>
          <w:numId w:val="0"/>
        </w:numPr>
        <w:tabs>
          <w:tab w:val="num" w:pos="0"/>
        </w:tabs>
      </w:pPr>
      <w:r>
        <w:t xml:space="preserve">Compliance with these regulations would ensure impacts would be less than significant. </w:t>
      </w:r>
    </w:p>
    <w:p w14:paraId="023A9BD5" w14:textId="77777777" w:rsidR="00C05601" w:rsidRPr="00200463" w:rsidRDefault="00C05601" w:rsidP="00C05601">
      <w:pPr>
        <w:pStyle w:val="Heading5"/>
      </w:pPr>
      <w:r w:rsidRPr="00200463">
        <w:t xml:space="preserve">Mitigation Measures </w:t>
      </w:r>
    </w:p>
    <w:p w14:paraId="1D78EFA8" w14:textId="77777777" w:rsidR="00C05601" w:rsidRDefault="00BB3DD7" w:rsidP="00BB3DD7">
      <w:pPr>
        <w:pStyle w:val="MitigationText"/>
      </w:pPr>
      <w:r w:rsidRPr="00BB3DD7">
        <w:t>HAZ</w:t>
      </w:r>
      <w:r w:rsidR="00C05601" w:rsidRPr="00BB3DD7">
        <w:t>-1</w:t>
      </w:r>
      <w:r w:rsidR="00C05601" w:rsidRPr="00BB3DD7">
        <w:tab/>
      </w:r>
      <w:r w:rsidRPr="00BB3DD7">
        <w:t xml:space="preserve">Any subsurface materials exposed during construction activities that appear suspect </w:t>
      </w:r>
      <w:r w:rsidR="00E15AF2">
        <w:t>for</w:t>
      </w:r>
      <w:r w:rsidR="00E15AF2" w:rsidRPr="00BB3DD7">
        <w:t xml:space="preserve"> </w:t>
      </w:r>
      <w:r w:rsidRPr="00BB3DD7">
        <w:t xml:space="preserve">contamination, either from visual staining or odors, shall require immediate cessation of excavation activities. Soils suspected of contamination shall be tested for potential contamination. If contamination is found to be present per the Department of Toxic Substances Control Screening Levels for industrial/commercial land use (DTSC-SLi) and the EPA Regional Screening Levels for industrial/commercial land use (EPA-RSLi), </w:t>
      </w:r>
      <w:r>
        <w:t>contaminated soils</w:t>
      </w:r>
      <w:r w:rsidRPr="00BB3DD7">
        <w:t xml:space="preserve"> shall be transported and disposed of per state regulations to an appropriately permitted landfill.</w:t>
      </w:r>
    </w:p>
    <w:p w14:paraId="438EB921" w14:textId="77777777" w:rsidR="00D10CF6" w:rsidRDefault="00D10CF6" w:rsidP="00D10CF6">
      <w:pPr>
        <w:pStyle w:val="List"/>
        <w:numPr>
          <w:ilvl w:val="0"/>
          <w:numId w:val="6"/>
        </w:numPr>
      </w:pPr>
      <w:r>
        <w:t>Create a significant hazard to the public or the environment through reasonably foreseeable upset and accident conditions involving the release of hazardous materials into the environment?</w:t>
      </w:r>
    </w:p>
    <w:p w14:paraId="55610133" w14:textId="282AB9A2" w:rsidR="00F65898" w:rsidRPr="004F2C94" w:rsidRDefault="004F2C94" w:rsidP="00F65898">
      <w:pPr>
        <w:pStyle w:val="BodyText"/>
      </w:pPr>
      <w:r w:rsidRPr="004F2C94">
        <w:rPr>
          <w:rStyle w:val="BodyTextBoldChar"/>
        </w:rPr>
        <w:t>Less Than Significant Impact with Mitigation Incorporated</w:t>
      </w:r>
      <w:r w:rsidR="00F65898" w:rsidRPr="005859DF">
        <w:rPr>
          <w:rStyle w:val="BodyTextBoldChar"/>
        </w:rPr>
        <w:t>.</w:t>
      </w:r>
      <w:r w:rsidR="00F65898" w:rsidRPr="005859DF">
        <w:t xml:space="preserve"> </w:t>
      </w:r>
      <w:r w:rsidR="00F65898" w:rsidRPr="004F2C94">
        <w:t xml:space="preserve">See response to Section 3.9.a. As concluded in </w:t>
      </w:r>
      <w:r w:rsidR="001C1874" w:rsidRPr="004F2C94">
        <w:t>th</w:t>
      </w:r>
      <w:r w:rsidR="001C1874">
        <w:t>at</w:t>
      </w:r>
      <w:r w:rsidR="001C1874" w:rsidRPr="004F2C94">
        <w:t xml:space="preserve"> </w:t>
      </w:r>
      <w:r w:rsidR="00F65898" w:rsidRPr="004F2C94">
        <w:t xml:space="preserve">section, hazards to the public or the environment arising from the routine use of hazardous materials during project operation and construction phases would be less than significant </w:t>
      </w:r>
      <w:r w:rsidR="00BB3DD7" w:rsidRPr="004F2C94">
        <w:t>with mitigation measure HAZ</w:t>
      </w:r>
      <w:r w:rsidR="00E15AF2">
        <w:noBreakHyphen/>
      </w:r>
      <w:r w:rsidR="00BB3DD7" w:rsidRPr="004F2C94">
        <w:t>1 incorporated</w:t>
      </w:r>
      <w:r w:rsidR="00F65898" w:rsidRPr="004F2C94">
        <w:t xml:space="preserve">. Additionally, the </w:t>
      </w:r>
      <w:r w:rsidR="005859DF" w:rsidRPr="004F2C94">
        <w:t>p</w:t>
      </w:r>
      <w:r w:rsidR="00F65898" w:rsidRPr="004F2C94">
        <w:t xml:space="preserve">roposed </w:t>
      </w:r>
      <w:r w:rsidR="005859DF" w:rsidRPr="004F2C94">
        <w:t>p</w:t>
      </w:r>
      <w:r w:rsidR="00F65898" w:rsidRPr="004F2C94">
        <w:t xml:space="preserve">roject consists of the development of a </w:t>
      </w:r>
      <w:r w:rsidR="005859DF" w:rsidRPr="004F2C94">
        <w:t>warehouse and manufacturing</w:t>
      </w:r>
      <w:r w:rsidR="00F65898" w:rsidRPr="004F2C94">
        <w:t xml:space="preserve"> facility, which would not generate air toxics requiring an SCAMQD permit.</w:t>
      </w:r>
      <w:r w:rsidR="00C83E81" w:rsidRPr="00C83E81">
        <w:t xml:space="preserve"> </w:t>
      </w:r>
      <w:r w:rsidR="00966C68">
        <w:t>S</w:t>
      </w:r>
      <w:r w:rsidR="00C83E81" w:rsidRPr="00C83E81">
        <w:t xml:space="preserve">trict adherence to all emergency response plan requirements by the LACFD would </w:t>
      </w:r>
      <w:r w:rsidR="00966C68">
        <w:t xml:space="preserve">also </w:t>
      </w:r>
      <w:r w:rsidR="00C83E81" w:rsidRPr="00C83E81">
        <w:t>be required throughout the duration of the project</w:t>
      </w:r>
      <w:r w:rsidR="00C83E81">
        <w:t>.</w:t>
      </w:r>
    </w:p>
    <w:p w14:paraId="0577F60B" w14:textId="77777777" w:rsidR="00F65898" w:rsidRPr="004F2C94" w:rsidRDefault="00C83E81" w:rsidP="00F65898">
      <w:pPr>
        <w:pStyle w:val="BodyText"/>
      </w:pPr>
      <w:r>
        <w:t>It</w:t>
      </w:r>
      <w:r w:rsidR="00F65898" w:rsidRPr="004F2C94">
        <w:t xml:space="preserve"> is unlikely that operation of the </w:t>
      </w:r>
      <w:r w:rsidR="00BB3DD7" w:rsidRPr="004F2C94">
        <w:t>p</w:t>
      </w:r>
      <w:r w:rsidR="00F65898" w:rsidRPr="004F2C94">
        <w:t xml:space="preserve">roposed </w:t>
      </w:r>
      <w:r w:rsidR="00BB3DD7" w:rsidRPr="004F2C94">
        <w:t>p</w:t>
      </w:r>
      <w:r w:rsidR="00F65898" w:rsidRPr="004F2C94">
        <w:t>roject would cause the release of hazardous materials into the environment. However, while highly unlikely due to the proposed use, in the event of a hazardous materials spill of greater amount or toxicity than on</w:t>
      </w:r>
      <w:r w:rsidR="007D123F">
        <w:t>-</w:t>
      </w:r>
      <w:r w:rsidR="00F65898" w:rsidRPr="004F2C94">
        <w:t xml:space="preserve">site personnel could safely contain and clean up, assistance would be requested from the </w:t>
      </w:r>
      <w:r w:rsidR="00BB3DD7" w:rsidRPr="004F2C94">
        <w:t>LA</w:t>
      </w:r>
      <w:r w:rsidR="004F2C94">
        <w:t>C</w:t>
      </w:r>
      <w:r w:rsidR="00BB3DD7" w:rsidRPr="004F2C94">
        <w:t>FD</w:t>
      </w:r>
      <w:r w:rsidR="00F65898" w:rsidRPr="004F2C94">
        <w:t xml:space="preserve"> hazmat team. </w:t>
      </w:r>
    </w:p>
    <w:p w14:paraId="6626C8C7" w14:textId="77777777" w:rsidR="00F65898" w:rsidRPr="004F2C94" w:rsidRDefault="00966C68" w:rsidP="00D10CF6">
      <w:pPr>
        <w:pStyle w:val="BodyText"/>
      </w:pPr>
      <w:r>
        <w:t>Therefore, c</w:t>
      </w:r>
      <w:r w:rsidR="00630C4F" w:rsidRPr="00630C4F">
        <w:t>ompliance with applicable laws and regulations and mitigation measure HAZ-1 would ensure that impacts would be less than significant</w:t>
      </w:r>
      <w:r w:rsidR="00B85BC9">
        <w:t xml:space="preserve">. </w:t>
      </w:r>
    </w:p>
    <w:p w14:paraId="78F170C0" w14:textId="77777777" w:rsidR="00D10CF6" w:rsidRDefault="00D10CF6" w:rsidP="00D10CF6">
      <w:pPr>
        <w:pStyle w:val="List"/>
        <w:numPr>
          <w:ilvl w:val="0"/>
          <w:numId w:val="6"/>
        </w:numPr>
      </w:pPr>
      <w:r>
        <w:t>Emit hazardous emissions or handle hazardous or acutely hazardous materials, substances, or waste within one-quarter mile of an existing or proposed school?</w:t>
      </w:r>
    </w:p>
    <w:p w14:paraId="617F7C9F" w14:textId="77777777" w:rsidR="00707B03" w:rsidRPr="007F0561" w:rsidRDefault="00707B03" w:rsidP="00D10CF6">
      <w:pPr>
        <w:pStyle w:val="BodyText"/>
      </w:pPr>
      <w:r>
        <w:rPr>
          <w:rStyle w:val="BodyTextBoldChar"/>
        </w:rPr>
        <w:t>Less than Significant</w:t>
      </w:r>
      <w:r w:rsidR="00F65898" w:rsidRPr="007F0561">
        <w:rPr>
          <w:rStyle w:val="BodyTextBoldChar"/>
        </w:rPr>
        <w:t>.</w:t>
      </w:r>
      <w:r w:rsidR="00F65898" w:rsidRPr="007F0561">
        <w:rPr>
          <w:kern w:val="0"/>
          <w:szCs w:val="24"/>
        </w:rPr>
        <w:t xml:space="preserve"> </w:t>
      </w:r>
      <w:r>
        <w:rPr>
          <w:rStyle w:val="BodyTextBoldChar"/>
          <w:b w:val="0"/>
        </w:rPr>
        <w:t xml:space="preserve">The </w:t>
      </w:r>
      <w:bookmarkStart w:id="166" w:name="_Hlk76216493"/>
      <w:bookmarkStart w:id="167" w:name="_Hlk79233759"/>
      <w:r w:rsidR="004C7293" w:rsidRPr="004C7293">
        <w:rPr>
          <w:rStyle w:val="BodyTextBoldChar"/>
          <w:b w:val="0"/>
        </w:rPr>
        <w:t>Mazanita</w:t>
      </w:r>
      <w:r>
        <w:rPr>
          <w:rStyle w:val="BodyTextBoldChar"/>
          <w:b w:val="0"/>
        </w:rPr>
        <w:t xml:space="preserve"> Elementary School </w:t>
      </w:r>
      <w:bookmarkEnd w:id="166"/>
      <w:r>
        <w:rPr>
          <w:rStyle w:val="BodyTextBoldChar"/>
          <w:b w:val="0"/>
        </w:rPr>
        <w:t>is approximately 1,</w:t>
      </w:r>
      <w:r w:rsidR="004C7293">
        <w:rPr>
          <w:rStyle w:val="BodyTextBoldChar"/>
          <w:b w:val="0"/>
        </w:rPr>
        <w:t>075</w:t>
      </w:r>
      <w:r>
        <w:rPr>
          <w:rStyle w:val="BodyTextBoldChar"/>
          <w:b w:val="0"/>
        </w:rPr>
        <w:t xml:space="preserve"> f</w:t>
      </w:r>
      <w:r w:rsidR="007D123F">
        <w:rPr>
          <w:rStyle w:val="BodyTextBoldChar"/>
          <w:b w:val="0"/>
        </w:rPr>
        <w:t>ee</w:t>
      </w:r>
      <w:r>
        <w:rPr>
          <w:rStyle w:val="BodyTextBoldChar"/>
          <w:b w:val="0"/>
        </w:rPr>
        <w:t>t southeast of the site</w:t>
      </w:r>
      <w:r w:rsidRPr="00617ACC">
        <w:rPr>
          <w:rStyle w:val="BodyTextBoldChar"/>
          <w:b w:val="0"/>
        </w:rPr>
        <w:t xml:space="preserve">. </w:t>
      </w:r>
      <w:bookmarkEnd w:id="167"/>
      <w:r w:rsidRPr="00617ACC">
        <w:rPr>
          <w:rStyle w:val="BodyTextBoldChar"/>
          <w:b w:val="0"/>
        </w:rPr>
        <w:t xml:space="preserve">As substantiated in Sections 3.9.a and 3.9.b, project operation would not emit hazardous substances or hazardous wastes in quantities posing substantial hazards to the public or the environment. Additionally, the use of hazardous materials during the project’s construction phase would not be in such quantities or stored in such a manner as to pose a significant safety hazard. These activities would also be short term or one time in nature and would cease upon completion of the </w:t>
      </w:r>
      <w:r>
        <w:rPr>
          <w:rStyle w:val="BodyTextBoldChar"/>
          <w:b w:val="0"/>
        </w:rPr>
        <w:t>proposed p</w:t>
      </w:r>
      <w:r w:rsidRPr="00617ACC">
        <w:rPr>
          <w:rStyle w:val="BodyTextBoldChar"/>
          <w:b w:val="0"/>
        </w:rPr>
        <w:t xml:space="preserve">roject’s construction phase. Further, the use, storage, transport, and disposal of hazardous materials during the </w:t>
      </w:r>
      <w:r>
        <w:rPr>
          <w:rStyle w:val="BodyTextBoldChar"/>
          <w:b w:val="0"/>
        </w:rPr>
        <w:t>proposed p</w:t>
      </w:r>
      <w:r w:rsidRPr="00617ACC">
        <w:rPr>
          <w:rStyle w:val="BodyTextBoldChar"/>
          <w:b w:val="0"/>
        </w:rPr>
        <w:t>roject’s construction and operation phases would be required to conform to existing laws and regulations.</w:t>
      </w:r>
      <w:r w:rsidR="007D123F">
        <w:rPr>
          <w:rStyle w:val="BodyTextBoldChar"/>
          <w:b w:val="0"/>
        </w:rPr>
        <w:t xml:space="preserve"> </w:t>
      </w:r>
    </w:p>
    <w:p w14:paraId="72DCB7CD" w14:textId="77777777" w:rsidR="00D10CF6" w:rsidRDefault="00D10CF6" w:rsidP="00D10CF6">
      <w:pPr>
        <w:pStyle w:val="List"/>
        <w:numPr>
          <w:ilvl w:val="0"/>
          <w:numId w:val="6"/>
        </w:numPr>
      </w:pPr>
      <w:r>
        <w:t xml:space="preserve">Be located on a site which is included on a list of hazardous materials sites compiled pursuant to Government code </w:t>
      </w:r>
      <w:r w:rsidR="00D25C64">
        <w:t>Section </w:t>
      </w:r>
      <w:r>
        <w:t>65962.5 and, as a result, would it create a significant hazard to the public or the environment?</w:t>
      </w:r>
    </w:p>
    <w:p w14:paraId="18841DB9" w14:textId="77777777" w:rsidR="00CC0F44" w:rsidRPr="00966C68" w:rsidRDefault="00CC780C" w:rsidP="00966C68">
      <w:pPr>
        <w:pStyle w:val="BodyText"/>
      </w:pPr>
      <w:r w:rsidRPr="005859DF">
        <w:rPr>
          <w:rStyle w:val="BodyTextBoldChar"/>
        </w:rPr>
        <w:t>Less Than Significant Impact</w:t>
      </w:r>
      <w:r>
        <w:rPr>
          <w:rStyle w:val="BodyTextBoldChar"/>
        </w:rPr>
        <w:t xml:space="preserve"> with Mitigation Incorporated</w:t>
      </w:r>
      <w:r w:rsidRPr="005859DF">
        <w:rPr>
          <w:rStyle w:val="BodyTextBoldChar"/>
        </w:rPr>
        <w:t>.</w:t>
      </w:r>
      <w:r>
        <w:rPr>
          <w:rStyle w:val="BodyTextBoldChar"/>
          <w:color w:val="4F81BD" w:themeColor="accent1"/>
        </w:rPr>
        <w:t xml:space="preserve"> </w:t>
      </w:r>
      <w:r w:rsidR="00CC0F44" w:rsidRPr="00966C68">
        <w:t>The site was identified on the State Water Resources Control Board</w:t>
      </w:r>
      <w:r w:rsidR="007D123F">
        <w:t>’s</w:t>
      </w:r>
      <w:r w:rsidR="00CC0F44" w:rsidRPr="00966C68">
        <w:t xml:space="preserve"> Leaking Underground Storage Tank Information System as a </w:t>
      </w:r>
      <w:r w:rsidR="007D123F" w:rsidRPr="00966C68">
        <w:t xml:space="preserve">leaking </w:t>
      </w:r>
      <w:r w:rsidR="007D123F">
        <w:t>UST</w:t>
      </w:r>
      <w:r w:rsidR="00CC0F44" w:rsidRPr="00966C68">
        <w:t xml:space="preserve"> (</w:t>
      </w:r>
      <w:r w:rsidR="007D123F">
        <w:t xml:space="preserve">or </w:t>
      </w:r>
      <w:r w:rsidR="00CC0F44" w:rsidRPr="00966C68">
        <w:t>LUST) site. The project site</w:t>
      </w:r>
      <w:r w:rsidRPr="00966C68">
        <w:t xml:space="preserve"> is</w:t>
      </w:r>
      <w:r w:rsidR="00CC0F44" w:rsidRPr="00966C68">
        <w:t xml:space="preserve"> listed due to a leak of gasoline reported</w:t>
      </w:r>
      <w:r w:rsidRPr="00966C68">
        <w:t xml:space="preserve"> on</w:t>
      </w:r>
      <w:r w:rsidR="00CC0F44" w:rsidRPr="00966C68">
        <w:t xml:space="preserve"> July 22, 1991. Currently, the case</w:t>
      </w:r>
      <w:r w:rsidRPr="00966C68">
        <w:t xml:space="preserve"> </w:t>
      </w:r>
      <w:r w:rsidR="00CC0F44" w:rsidRPr="00966C68">
        <w:t>is listed as completed</w:t>
      </w:r>
      <w:r w:rsidRPr="00966C68">
        <w:t xml:space="preserve">. </w:t>
      </w:r>
      <w:r w:rsidR="00CC0F44" w:rsidRPr="00966C68">
        <w:t xml:space="preserve">The RWQCB indicates case closure for the three former </w:t>
      </w:r>
      <w:r w:rsidRPr="00966C68">
        <w:t>10,000</w:t>
      </w:r>
      <w:r w:rsidR="007D123F">
        <w:t>-</w:t>
      </w:r>
      <w:r w:rsidRPr="00966C68">
        <w:t xml:space="preserve">gallon </w:t>
      </w:r>
      <w:r w:rsidR="00CC0F44" w:rsidRPr="00966C68">
        <w:t>USTs</w:t>
      </w:r>
      <w:r w:rsidR="007D123F">
        <w:t>,</w:t>
      </w:r>
      <w:r w:rsidR="00CC0F44" w:rsidRPr="00966C68">
        <w:t xml:space="preserve"> </w:t>
      </w:r>
      <w:r w:rsidR="007D123F">
        <w:t>but</w:t>
      </w:r>
      <w:r w:rsidR="007D123F" w:rsidRPr="00966C68">
        <w:t xml:space="preserve"> </w:t>
      </w:r>
      <w:r w:rsidR="00CC0F44" w:rsidRPr="00966C68">
        <w:t xml:space="preserve">documentation </w:t>
      </w:r>
      <w:r w:rsidR="007D123F">
        <w:t>of</w:t>
      </w:r>
      <w:r w:rsidR="007D123F" w:rsidRPr="00966C68">
        <w:t xml:space="preserve"> </w:t>
      </w:r>
      <w:r w:rsidR="00CC0F44" w:rsidRPr="00966C68">
        <w:t>agency closure was not found on the RWQCB or Los Angeles</w:t>
      </w:r>
      <w:r w:rsidR="00966C68" w:rsidRPr="00966C68">
        <w:t xml:space="preserve"> </w:t>
      </w:r>
      <w:r w:rsidR="00CC0F44" w:rsidRPr="00966C68">
        <w:t xml:space="preserve">County </w:t>
      </w:r>
      <w:r w:rsidR="007D123F" w:rsidRPr="00966C68">
        <w:t>w</w:t>
      </w:r>
      <w:r w:rsidR="00CC0F44" w:rsidRPr="00966C68">
        <w:t xml:space="preserve">ebsites for the </w:t>
      </w:r>
      <w:r w:rsidR="00966C68" w:rsidRPr="00966C68">
        <w:t>12,000</w:t>
      </w:r>
      <w:r w:rsidR="007D123F">
        <w:t>-</w:t>
      </w:r>
      <w:r w:rsidR="00966C68" w:rsidRPr="00966C68">
        <w:t xml:space="preserve">gallon diesel </w:t>
      </w:r>
      <w:r w:rsidR="00CC0F44" w:rsidRPr="00966C68">
        <w:t xml:space="preserve">UST that was installed in 1990. </w:t>
      </w:r>
    </w:p>
    <w:p w14:paraId="1F750B90" w14:textId="77777777" w:rsidR="00CC780C" w:rsidRPr="00CC780C" w:rsidRDefault="00CC780C" w:rsidP="00D10CF6">
      <w:pPr>
        <w:pStyle w:val="BodyText"/>
      </w:pPr>
      <w:r w:rsidRPr="00966C68">
        <w:t>Based on the lack of closure documentation from the regulatory agencies for the 12,000-gallon UST</w:t>
      </w:r>
      <w:r w:rsidR="007D123F">
        <w:t>,</w:t>
      </w:r>
      <w:r w:rsidRPr="00966C68">
        <w:t xml:space="preserve"> there is a small chance for the potential release of petroleum products</w:t>
      </w:r>
      <w:r w:rsidR="007D123F">
        <w:t>,</w:t>
      </w:r>
      <w:r w:rsidRPr="00966C68">
        <w:t xml:space="preserve"> and a vapor risk may be present at the site. </w:t>
      </w:r>
      <w:r w:rsidR="00966C68">
        <w:t xml:space="preserve">However, </w:t>
      </w:r>
      <w:r w:rsidR="00966C68" w:rsidRPr="00966C68">
        <w:t xml:space="preserve">compliance with applicable laws and regulations and </w:t>
      </w:r>
      <w:r w:rsidR="00966C68">
        <w:t xml:space="preserve">implementation of </w:t>
      </w:r>
      <w:r w:rsidR="00966C68" w:rsidRPr="00966C68">
        <w:t>mitigation measure HAZ-1</w:t>
      </w:r>
      <w:r w:rsidR="00966C68">
        <w:t xml:space="preserve"> </w:t>
      </w:r>
      <w:r w:rsidRPr="00966C68">
        <w:t xml:space="preserve">would </w:t>
      </w:r>
      <w:r w:rsidR="00966C68">
        <w:t xml:space="preserve">reduce impacts to </w:t>
      </w:r>
      <w:r w:rsidR="007D123F">
        <w:t xml:space="preserve">a </w:t>
      </w:r>
      <w:r w:rsidRPr="00966C68">
        <w:t>less than significant level.</w:t>
      </w:r>
    </w:p>
    <w:p w14:paraId="6849667B" w14:textId="77777777" w:rsidR="00D10CF6" w:rsidRDefault="00D10CF6" w:rsidP="00D10CF6">
      <w:pPr>
        <w:pStyle w:val="List"/>
        <w:numPr>
          <w:ilvl w:val="0"/>
          <w:numId w:val="6"/>
        </w:numPr>
      </w:pPr>
      <w:r>
        <w:t xml:space="preserve">For a project located within an airport land use plan or, where such a plan has not been adopted, within two miles or a public airport or public use airport, would the project result in a safety hazard </w:t>
      </w:r>
      <w:r w:rsidR="001A3390">
        <w:t xml:space="preserve">or excessive noise </w:t>
      </w:r>
      <w:r>
        <w:t>for people residing or working in the project area?</w:t>
      </w:r>
    </w:p>
    <w:p w14:paraId="62ED6E59" w14:textId="77777777" w:rsidR="00F65898" w:rsidRPr="0083543E" w:rsidRDefault="00F65898" w:rsidP="00D10CF6">
      <w:pPr>
        <w:pStyle w:val="BodyText"/>
      </w:pPr>
      <w:r w:rsidRPr="0083543E">
        <w:rPr>
          <w:rStyle w:val="BodyTextBoldChar"/>
        </w:rPr>
        <w:t>No Impact.</w:t>
      </w:r>
      <w:r w:rsidRPr="0083543E">
        <w:rPr>
          <w:kern w:val="0"/>
          <w:szCs w:val="24"/>
        </w:rPr>
        <w:t xml:space="preserve"> </w:t>
      </w:r>
      <w:r w:rsidRPr="0083543E">
        <w:t xml:space="preserve">The nearest public-use airport to the project site is </w:t>
      </w:r>
      <w:r w:rsidR="007F0561" w:rsidRPr="0083543E">
        <w:t>the San Gabriel Valley</w:t>
      </w:r>
      <w:r w:rsidRPr="0083543E">
        <w:t xml:space="preserve"> Airport</w:t>
      </w:r>
      <w:r w:rsidR="007D123F">
        <w:t>,</w:t>
      </w:r>
      <w:r w:rsidRPr="0083543E">
        <w:t xml:space="preserve"> approximately </w:t>
      </w:r>
      <w:r w:rsidR="007F0561" w:rsidRPr="0083543E">
        <w:t>5.2</w:t>
      </w:r>
      <w:r w:rsidRPr="0083543E">
        <w:t xml:space="preserve"> miles to the </w:t>
      </w:r>
      <w:r w:rsidR="007F0561" w:rsidRPr="0083543E">
        <w:t>west</w:t>
      </w:r>
      <w:r w:rsidRPr="0083543E">
        <w:t xml:space="preserve">. The Airport Land Use Compatibility Plan for </w:t>
      </w:r>
      <w:r w:rsidR="007F0561" w:rsidRPr="0083543E">
        <w:t>the San Gabriel</w:t>
      </w:r>
      <w:r w:rsidRPr="0083543E">
        <w:t xml:space="preserve"> Airport, adopted in 2015, sets safety zones where land uses are regulated to minimize air crash hazards to people on the ground. The project site is outside of </w:t>
      </w:r>
      <w:r w:rsidR="007D123F">
        <w:t>these</w:t>
      </w:r>
      <w:r w:rsidR="007D123F" w:rsidRPr="0083543E">
        <w:t xml:space="preserve"> </w:t>
      </w:r>
      <w:r w:rsidRPr="0083543E">
        <w:t>safety zones (</w:t>
      </w:r>
      <w:r w:rsidR="0083543E" w:rsidRPr="0083543E">
        <w:t>AECOM</w:t>
      </w:r>
      <w:r w:rsidRPr="0083543E">
        <w:t xml:space="preserve"> 2015). Therefore, no impact would </w:t>
      </w:r>
      <w:r w:rsidR="00707B03" w:rsidRPr="0083543E">
        <w:t>occur</w:t>
      </w:r>
      <w:r w:rsidRPr="0083543E">
        <w:t>.</w:t>
      </w:r>
      <w:r w:rsidR="002C1FC9">
        <w:t xml:space="preserve"> </w:t>
      </w:r>
    </w:p>
    <w:p w14:paraId="49AF3B3A" w14:textId="77777777" w:rsidR="00D10CF6" w:rsidRPr="006779E8" w:rsidRDefault="00D10CF6" w:rsidP="00D10CF6">
      <w:pPr>
        <w:pStyle w:val="List"/>
        <w:numPr>
          <w:ilvl w:val="0"/>
          <w:numId w:val="6"/>
        </w:numPr>
      </w:pPr>
      <w:r>
        <w:t>I</w:t>
      </w:r>
      <w:r w:rsidRPr="006779E8">
        <w:t>mpair implementation of or physically interfere with an adopted emergency response plan or emergency evacuation plan?</w:t>
      </w:r>
    </w:p>
    <w:p w14:paraId="627FF350" w14:textId="0A203A45" w:rsidR="00F65898" w:rsidRPr="00876FA6" w:rsidRDefault="00F65898" w:rsidP="00F4301F">
      <w:pPr>
        <w:pStyle w:val="BodyText"/>
      </w:pPr>
      <w:r w:rsidRPr="00876FA6">
        <w:rPr>
          <w:rStyle w:val="BodyTextBoldChar"/>
        </w:rPr>
        <w:t>No Impact.</w:t>
      </w:r>
      <w:r w:rsidRPr="00876FA6">
        <w:t xml:space="preserve"> The California Code of Regulations, Title 19, Division 2, Section 2443, requires compliance with the </w:t>
      </w:r>
      <w:r w:rsidR="00707B03" w:rsidRPr="00707B03">
        <w:t>Standardized Emergency Management System</w:t>
      </w:r>
      <w:r w:rsidR="007D123F">
        <w:t xml:space="preserve"> </w:t>
      </w:r>
      <w:r w:rsidRPr="00876FA6">
        <w:t xml:space="preserve">to “be documented in the areas of planning, training, exercise, and performance." </w:t>
      </w:r>
      <w:r w:rsidR="0083543E" w:rsidRPr="00876FA6">
        <w:t>Irwindale</w:t>
      </w:r>
      <w:r w:rsidRPr="00876FA6">
        <w:t xml:space="preserve"> has prepared a</w:t>
      </w:r>
      <w:r w:rsidR="00F4301F" w:rsidRPr="00876FA6">
        <w:t>n</w:t>
      </w:r>
      <w:r w:rsidRPr="00876FA6">
        <w:t xml:space="preserve"> </w:t>
      </w:r>
      <w:r w:rsidR="007D123F" w:rsidRPr="00876FA6">
        <w:t>emergency operations plan</w:t>
      </w:r>
      <w:r w:rsidR="0083543E" w:rsidRPr="00876FA6">
        <w:t xml:space="preserve"> (EOP)</w:t>
      </w:r>
      <w:r w:rsidRPr="00876FA6">
        <w:t xml:space="preserve"> for emergency response within the </w:t>
      </w:r>
      <w:r w:rsidR="008105F9">
        <w:t>C</w:t>
      </w:r>
      <w:r w:rsidR="00707B03" w:rsidRPr="00876FA6">
        <w:t>ity</w:t>
      </w:r>
      <w:r w:rsidRPr="00876FA6">
        <w:t xml:space="preserve">. The </w:t>
      </w:r>
      <w:r w:rsidR="0083543E" w:rsidRPr="00876FA6">
        <w:t>EOP</w:t>
      </w:r>
      <w:r w:rsidRPr="00876FA6">
        <w:t xml:space="preserve"> meets the </w:t>
      </w:r>
      <w:r w:rsidR="007D123F" w:rsidRPr="00707B03">
        <w:t>Emergency Management System</w:t>
      </w:r>
      <w:r w:rsidRPr="00876FA6">
        <w:t xml:space="preserve"> requirements </w:t>
      </w:r>
      <w:r w:rsidR="007D123F">
        <w:t>of</w:t>
      </w:r>
      <w:r w:rsidR="007D123F" w:rsidRPr="00876FA6">
        <w:t xml:space="preserve"> </w:t>
      </w:r>
      <w:r w:rsidRPr="00876FA6">
        <w:t>state law. The City also complies with the Los Angeles County Emergency Management Plan</w:t>
      </w:r>
      <w:r w:rsidR="00F4301F" w:rsidRPr="00876FA6">
        <w:t xml:space="preserve"> and has a </w:t>
      </w:r>
      <w:r w:rsidR="007D123F" w:rsidRPr="00876FA6">
        <w:t>hazard mitigation plan</w:t>
      </w:r>
      <w:r w:rsidR="00F4301F" w:rsidRPr="00876FA6">
        <w:t xml:space="preserve"> (HazMit)</w:t>
      </w:r>
      <w:r w:rsidRPr="00876FA6">
        <w:t>.</w:t>
      </w:r>
    </w:p>
    <w:p w14:paraId="61A63CB2" w14:textId="77777777" w:rsidR="00876FA6" w:rsidRPr="00876FA6" w:rsidRDefault="00876FA6" w:rsidP="00876FA6">
      <w:pPr>
        <w:pStyle w:val="BodyText"/>
      </w:pPr>
      <w:r w:rsidRPr="00876FA6">
        <w:t xml:space="preserve">The </w:t>
      </w:r>
      <w:r w:rsidR="002C1FC9" w:rsidRPr="00876FA6">
        <w:t>City’s EOP</w:t>
      </w:r>
      <w:r w:rsidRPr="00876FA6">
        <w:t xml:space="preserve"> outlines responsibilities and procedures the City w</w:t>
      </w:r>
      <w:r w:rsidR="00707B03">
        <w:t>ould</w:t>
      </w:r>
      <w:r w:rsidRPr="00876FA6">
        <w:t xml:space="preserve"> follow in the event of an emergency or </w:t>
      </w:r>
      <w:r w:rsidR="007D123F" w:rsidRPr="00876FA6">
        <w:t>c</w:t>
      </w:r>
      <w:r w:rsidRPr="00876FA6">
        <w:t>itywide disaster. Specific emergency functions and operations, available resources (fire stations, emergency shelters, hospitals and clinics, resource persons, etc.), and mutual aid agreements are described in the EOP.</w:t>
      </w:r>
    </w:p>
    <w:p w14:paraId="41736370" w14:textId="1168284F" w:rsidR="00F65898" w:rsidRPr="00876FA6" w:rsidRDefault="00F65898" w:rsidP="006779E8">
      <w:pPr>
        <w:pStyle w:val="BodyText"/>
      </w:pPr>
      <w:r w:rsidRPr="00876FA6">
        <w:t xml:space="preserve">The City’s </w:t>
      </w:r>
      <w:r w:rsidR="006779E8" w:rsidRPr="00876FA6">
        <w:t>HazMit</w:t>
      </w:r>
      <w:r w:rsidRPr="00876FA6">
        <w:t xml:space="preserve"> </w:t>
      </w:r>
      <w:r w:rsidR="006779E8" w:rsidRPr="00876FA6">
        <w:t>was prepared in response to the Disaster Mitigation Act of 2000 (DMA 200</w:t>
      </w:r>
      <w:r w:rsidR="007D123F">
        <w:t>0</w:t>
      </w:r>
      <w:r w:rsidR="006779E8" w:rsidRPr="00876FA6">
        <w:t>). DMA 2000 (Public Law 106-390) requires state and local governments to prepare mitigation plans to document their mitigation planning process and identify hazards, potential losses, mitigation needs, goals, and strategies. This type of planning supplements the City</w:t>
      </w:r>
      <w:r w:rsidR="008105F9">
        <w:t>’</w:t>
      </w:r>
      <w:r w:rsidR="006779E8" w:rsidRPr="00876FA6">
        <w:t>s comprehensive emergency management program (Irwindale 2012).</w:t>
      </w:r>
      <w:r w:rsidRPr="00876FA6">
        <w:t xml:space="preserve"> </w:t>
      </w:r>
    </w:p>
    <w:p w14:paraId="02BA9350" w14:textId="63DF1DDD" w:rsidR="00F65898" w:rsidRPr="00876FA6" w:rsidRDefault="00F65898" w:rsidP="00F4301F">
      <w:pPr>
        <w:pStyle w:val="BodyText"/>
      </w:pPr>
      <w:r w:rsidRPr="00876FA6">
        <w:t xml:space="preserve">The </w:t>
      </w:r>
      <w:r w:rsidR="00876FA6" w:rsidRPr="00876FA6">
        <w:t>p</w:t>
      </w:r>
      <w:r w:rsidRPr="00876FA6">
        <w:t xml:space="preserve">roposed </w:t>
      </w:r>
      <w:r w:rsidR="00876FA6" w:rsidRPr="00876FA6">
        <w:t>p</w:t>
      </w:r>
      <w:r w:rsidRPr="00876FA6">
        <w:t xml:space="preserve">roject involves development of a </w:t>
      </w:r>
      <w:r w:rsidR="00F4301F" w:rsidRPr="00876FA6">
        <w:t>warehouse and manufacturing</w:t>
      </w:r>
      <w:r w:rsidRPr="00876FA6">
        <w:t xml:space="preserve"> facility and </w:t>
      </w:r>
      <w:r w:rsidR="00BD3A46">
        <w:t>is expected to have</w:t>
      </w:r>
      <w:r w:rsidRPr="00876FA6">
        <w:t xml:space="preserve"> no impact on emergency response or evacuation plans. During the construction and operation phases, the </w:t>
      </w:r>
      <w:r w:rsidR="00F4301F" w:rsidRPr="00876FA6">
        <w:t>p</w:t>
      </w:r>
      <w:r w:rsidRPr="00876FA6">
        <w:t xml:space="preserve">roposed </w:t>
      </w:r>
      <w:r w:rsidR="00F4301F" w:rsidRPr="00876FA6">
        <w:t>p</w:t>
      </w:r>
      <w:r w:rsidRPr="00876FA6">
        <w:t xml:space="preserve">roject would not interfere with any of the daily operations of </w:t>
      </w:r>
      <w:bookmarkStart w:id="168" w:name="_Hlk516745577"/>
      <w:r w:rsidRPr="00876FA6">
        <w:t xml:space="preserve">LACFD </w:t>
      </w:r>
      <w:bookmarkEnd w:id="168"/>
      <w:r w:rsidRPr="00876FA6">
        <w:t xml:space="preserve">or </w:t>
      </w:r>
      <w:r w:rsidR="00707B03">
        <w:t xml:space="preserve">the </w:t>
      </w:r>
      <w:r w:rsidR="00F4301F" w:rsidRPr="00876FA6">
        <w:t xml:space="preserve">Irwindale </w:t>
      </w:r>
      <w:r w:rsidRPr="00876FA6">
        <w:t xml:space="preserve">Police Department, which support </w:t>
      </w:r>
      <w:r w:rsidR="00876FA6" w:rsidRPr="00876FA6">
        <w:t xml:space="preserve">the </w:t>
      </w:r>
      <w:r w:rsidRPr="00876FA6">
        <w:t xml:space="preserve">emergency planning and response efforts of </w:t>
      </w:r>
      <w:r w:rsidR="00F4301F" w:rsidRPr="00876FA6">
        <w:t>Irwindale</w:t>
      </w:r>
      <w:r w:rsidRPr="00876FA6">
        <w:t xml:space="preserve">. All construction activities would be performed </w:t>
      </w:r>
      <w:r w:rsidR="007D123F">
        <w:t>according to</w:t>
      </w:r>
      <w:r w:rsidR="007D123F" w:rsidRPr="00876FA6">
        <w:t xml:space="preserve"> </w:t>
      </w:r>
      <w:r w:rsidRPr="00876FA6">
        <w:t xml:space="preserve">the City’s and LACFD’s standards and regulations. </w:t>
      </w:r>
      <w:r w:rsidR="00F4301F" w:rsidRPr="00876FA6">
        <w:t xml:space="preserve">As part of the project review process, the LACFD would review the site plans to confirm adequate emergency access. The project proposes a fire lane with a minimum unobstructed width of 28 feet surrounding the proposed warehouse building. Access points would be provided off Azusa Canyon </w:t>
      </w:r>
      <w:r w:rsidR="00876FA6" w:rsidRPr="00876FA6">
        <w:t>R</w:t>
      </w:r>
      <w:r w:rsidR="00F4301F" w:rsidRPr="00876FA6">
        <w:t>oad and Los Angeles Street. The appropriate turning radiuses have been planned to accommodate fire trucks on-site in the event of an emergency. Additionally, the p</w:t>
      </w:r>
      <w:r w:rsidRPr="00876FA6">
        <w:t xml:space="preserve">roposed </w:t>
      </w:r>
      <w:r w:rsidR="00F4301F" w:rsidRPr="00876FA6">
        <w:t>p</w:t>
      </w:r>
      <w:r w:rsidRPr="00876FA6">
        <w:t>roject would be required to provide the necessary on- and off</w:t>
      </w:r>
      <w:r w:rsidR="007D123F">
        <w:t>-</w:t>
      </w:r>
      <w:r w:rsidRPr="00876FA6">
        <w:t xml:space="preserve">site access and circulation for emergency vehicles and services during the construction and operation phases. </w:t>
      </w:r>
    </w:p>
    <w:p w14:paraId="4AB20C73" w14:textId="77777777" w:rsidR="00F65898" w:rsidRPr="00876FA6" w:rsidRDefault="00F65898" w:rsidP="00F65898">
      <w:pPr>
        <w:pStyle w:val="BodyText"/>
      </w:pPr>
      <w:r w:rsidRPr="00876FA6">
        <w:t xml:space="preserve">The </w:t>
      </w:r>
      <w:r w:rsidR="00F4301F" w:rsidRPr="00876FA6">
        <w:t>p</w:t>
      </w:r>
      <w:r w:rsidRPr="00876FA6">
        <w:t xml:space="preserve">roposed </w:t>
      </w:r>
      <w:r w:rsidR="00F4301F" w:rsidRPr="00876FA6">
        <w:t>p</w:t>
      </w:r>
      <w:r w:rsidRPr="00876FA6">
        <w:t xml:space="preserve">roject would be required to go through the City’s development review and permitting process and to incorporate all applicable design and safety standards and regulations in the CBC and LACFD’s Fire Code to ensure that project development does not interfere with the provision of local emergency services (provision of adequate access roads to accommodate emergency response vehicles, adequate numbers/locations of fire hydrants, etc.). </w:t>
      </w:r>
    </w:p>
    <w:p w14:paraId="2B946DF3" w14:textId="13E09227" w:rsidR="00F65898" w:rsidRPr="00876FA6" w:rsidRDefault="00F65898" w:rsidP="00D10CF6">
      <w:pPr>
        <w:pStyle w:val="BodyText"/>
      </w:pPr>
      <w:bookmarkStart w:id="169" w:name="_Hlk517868989"/>
      <w:r w:rsidRPr="00876FA6">
        <w:t>Based on the</w:t>
      </w:r>
      <w:r w:rsidR="005E2DAA">
        <w:t>se</w:t>
      </w:r>
      <w:r w:rsidRPr="00876FA6">
        <w:t xml:space="preserve"> </w:t>
      </w:r>
      <w:r w:rsidR="005E2DAA">
        <w:t>factors</w:t>
      </w:r>
      <w:r w:rsidRPr="00876FA6">
        <w:t xml:space="preserve">, implementation of the </w:t>
      </w:r>
      <w:r w:rsidR="00876FA6" w:rsidRPr="00876FA6">
        <w:t>p</w:t>
      </w:r>
      <w:r w:rsidRPr="00876FA6">
        <w:t xml:space="preserve">roposed </w:t>
      </w:r>
      <w:r w:rsidR="00876FA6" w:rsidRPr="00876FA6">
        <w:t>p</w:t>
      </w:r>
      <w:r w:rsidRPr="00876FA6">
        <w:t xml:space="preserve">roject (both the construction and operational phases) </w:t>
      </w:r>
      <w:r w:rsidR="00BD3A46">
        <w:t>is not expected to</w:t>
      </w:r>
      <w:r w:rsidRPr="00876FA6">
        <w:t xml:space="preserve"> impair implementation of or physically interfere with emergency response or evacuation plans. Therefore, no impact </w:t>
      </w:r>
      <w:r w:rsidR="00BD3A46">
        <w:t>is expected to</w:t>
      </w:r>
      <w:r w:rsidR="00BD3A46" w:rsidRPr="00876FA6">
        <w:t xml:space="preserve"> </w:t>
      </w:r>
      <w:r w:rsidR="00876FA6" w:rsidRPr="00876FA6">
        <w:t>occur</w:t>
      </w:r>
      <w:bookmarkEnd w:id="169"/>
      <w:r w:rsidRPr="00876FA6">
        <w:t>.</w:t>
      </w:r>
      <w:r w:rsidRPr="00876FA6">
        <w:rPr>
          <w:rStyle w:val="BodyTextBoldChar"/>
          <w:b w:val="0"/>
        </w:rPr>
        <w:t xml:space="preserve"> </w:t>
      </w:r>
    </w:p>
    <w:p w14:paraId="784AC968" w14:textId="77777777" w:rsidR="00D10CF6" w:rsidRDefault="00814F46" w:rsidP="00814F46">
      <w:pPr>
        <w:pStyle w:val="List"/>
      </w:pPr>
      <w:r w:rsidRPr="00814F46">
        <w:t>Expose people or structures, either directly or indirectly, to a significant risk of loss, injury or death involving wildland fires</w:t>
      </w:r>
      <w:r w:rsidR="00D10CF6">
        <w:t>?</w:t>
      </w:r>
    </w:p>
    <w:p w14:paraId="681D9B95" w14:textId="29539E1D" w:rsidR="00F65898" w:rsidRDefault="00F65898" w:rsidP="00D10CF6">
      <w:pPr>
        <w:pStyle w:val="BodyText"/>
      </w:pPr>
      <w:r w:rsidRPr="00655D6B">
        <w:rPr>
          <w:rStyle w:val="BodyTextBoldChar"/>
        </w:rPr>
        <w:t>No Impact.</w:t>
      </w:r>
      <w:bookmarkStart w:id="170" w:name="_Hlk517869010"/>
      <w:r w:rsidRPr="00DC0137">
        <w:rPr>
          <w:kern w:val="0"/>
          <w:szCs w:val="24"/>
        </w:rPr>
        <w:t xml:space="preserve"> </w:t>
      </w:r>
      <w:r w:rsidRPr="00DC0137">
        <w:t xml:space="preserve">A wildland fire hazard area is typically characterized by areas with limited access, rugged terrain, limited water supply, and combustible vegetation. As shown in Figure 3, </w:t>
      </w:r>
      <w:r w:rsidRPr="00153EF0">
        <w:rPr>
          <w:rStyle w:val="BodyTextItalicChar"/>
        </w:rPr>
        <w:t>Aerial Photograph</w:t>
      </w:r>
      <w:r w:rsidRPr="00DC0137">
        <w:t xml:space="preserve">, the project site is in a </w:t>
      </w:r>
      <w:r w:rsidR="002C1FC9" w:rsidRPr="00DC0137">
        <w:t>highly urbanized</w:t>
      </w:r>
      <w:r w:rsidRPr="00DC0137">
        <w:t xml:space="preserve"> area of the </w:t>
      </w:r>
      <w:r w:rsidR="008C4D69" w:rsidRPr="00DC0137">
        <w:t>city</w:t>
      </w:r>
      <w:r w:rsidRPr="00DC0137">
        <w:t xml:space="preserve"> and is surrounded by commercial and </w:t>
      </w:r>
      <w:r w:rsidR="008C4D69">
        <w:t>industrial</w:t>
      </w:r>
      <w:r w:rsidRPr="00DC0137">
        <w:t xml:space="preserve"> development. The project </w:t>
      </w:r>
      <w:r>
        <w:t xml:space="preserve">site </w:t>
      </w:r>
      <w:r w:rsidRPr="00DC0137">
        <w:t>has good access and would be served by adequate water infrastructure. There is no combustible wildland vegetation on or near the site. Additionally, the project site is not in or near a Fire Hazard Severity Zone mapped by the California Department of Forestry and Fire Protection (CAL</w:t>
      </w:r>
      <w:r w:rsidR="00944B91">
        <w:t xml:space="preserve"> </w:t>
      </w:r>
      <w:r w:rsidRPr="00DC0137">
        <w:t>FIRE 20</w:t>
      </w:r>
      <w:r w:rsidR="00FA2525">
        <w:t>2</w:t>
      </w:r>
      <w:r w:rsidR="005859DF">
        <w:t>1</w:t>
      </w:r>
      <w:r w:rsidRPr="00DC0137">
        <w:t xml:space="preserve">). </w:t>
      </w:r>
      <w:r>
        <w:t>Therefore, n</w:t>
      </w:r>
      <w:r w:rsidRPr="00DC0137">
        <w:t xml:space="preserve">o impact </w:t>
      </w:r>
      <w:r w:rsidR="00BD3A46">
        <w:t xml:space="preserve">is expected to </w:t>
      </w:r>
      <w:r w:rsidR="002C1FC9" w:rsidRPr="00DC0137">
        <w:t>occur</w:t>
      </w:r>
      <w:bookmarkEnd w:id="170"/>
      <w:r w:rsidRPr="00DC0137">
        <w:t>.</w:t>
      </w:r>
      <w:r w:rsidRPr="00655D6B">
        <w:rPr>
          <w:rStyle w:val="BodyTextBoldChar"/>
        </w:rPr>
        <w:t xml:space="preserve"> </w:t>
      </w:r>
    </w:p>
    <w:p w14:paraId="52E68642" w14:textId="77777777" w:rsidR="00D10CF6" w:rsidRDefault="00D10CF6" w:rsidP="00D10CF6">
      <w:pPr>
        <w:pStyle w:val="Heading2"/>
      </w:pPr>
      <w:bookmarkStart w:id="171" w:name="_Toc90882162"/>
      <w:r>
        <w:t>HYDROLOGY AND WATER QUALITY</w:t>
      </w:r>
      <w:bookmarkEnd w:id="171"/>
    </w:p>
    <w:p w14:paraId="70B977BA" w14:textId="77777777" w:rsidR="00F97727" w:rsidRPr="00617ACC" w:rsidRDefault="00F97727" w:rsidP="00F97727">
      <w:pPr>
        <w:pStyle w:val="BodyText"/>
      </w:pPr>
      <w:r w:rsidRPr="00617ACC">
        <w:t>The analysis in this section is based partly on the following technical stud</w:t>
      </w:r>
      <w:r w:rsidR="003345F6">
        <w:t>ies</w:t>
      </w:r>
      <w:r w:rsidRPr="00617ACC">
        <w:t xml:space="preserve">, which </w:t>
      </w:r>
      <w:r w:rsidR="003345F6">
        <w:t>are</w:t>
      </w:r>
      <w:r w:rsidRPr="00617ACC">
        <w:t xml:space="preserve"> included as </w:t>
      </w:r>
      <w:r w:rsidR="005E2DAA" w:rsidRPr="00617ACC">
        <w:t>Appendix</w:t>
      </w:r>
      <w:r w:rsidR="005E2DAA">
        <w:t> </w:t>
      </w:r>
      <w:r w:rsidR="003A20AD">
        <w:t xml:space="preserve">F </w:t>
      </w:r>
      <w:r w:rsidR="005E2DAA">
        <w:t>of</w:t>
      </w:r>
      <w:r w:rsidR="005E2DAA" w:rsidRPr="00617ACC">
        <w:t xml:space="preserve"> </w:t>
      </w:r>
      <w:r w:rsidRPr="00617ACC">
        <w:t>this Initial Study:</w:t>
      </w:r>
    </w:p>
    <w:p w14:paraId="16330E0A" w14:textId="2ED4C037" w:rsidR="00F97727" w:rsidRPr="00485695" w:rsidRDefault="00F97727" w:rsidP="001A3390">
      <w:pPr>
        <w:pStyle w:val="Bullet1last"/>
      </w:pPr>
      <w:bookmarkStart w:id="172" w:name="_Hlk23839776"/>
      <w:r w:rsidRPr="00485695">
        <w:rPr>
          <w:i/>
          <w:iCs/>
        </w:rPr>
        <w:t>Preliminary Low Impact Development (LID) Report</w:t>
      </w:r>
      <w:r w:rsidRPr="00485695">
        <w:t xml:space="preserve">, </w:t>
      </w:r>
      <w:r w:rsidR="00056011" w:rsidRPr="00485695">
        <w:t>G4 Group</w:t>
      </w:r>
      <w:r w:rsidRPr="00485695">
        <w:t xml:space="preserve"> </w:t>
      </w:r>
      <w:r w:rsidR="00056011" w:rsidRPr="00485695">
        <w:t>Consulting Engineers</w:t>
      </w:r>
      <w:r w:rsidRPr="00485695">
        <w:t xml:space="preserve">, </w:t>
      </w:r>
      <w:bookmarkEnd w:id="172"/>
      <w:r w:rsidR="00485695">
        <w:t>October 1</w:t>
      </w:r>
      <w:r w:rsidR="00056011" w:rsidRPr="00485695">
        <w:t>, 2021</w:t>
      </w:r>
      <w:r w:rsidRPr="00485695">
        <w:t>.</w:t>
      </w:r>
    </w:p>
    <w:p w14:paraId="3FAE45AA" w14:textId="6001050E" w:rsidR="00056011" w:rsidRPr="00485695" w:rsidRDefault="00056011" w:rsidP="00A43D8D">
      <w:pPr>
        <w:pStyle w:val="Bullet1last"/>
      </w:pPr>
      <w:r w:rsidRPr="00485695">
        <w:rPr>
          <w:i/>
          <w:iCs/>
        </w:rPr>
        <w:t>Hydrology and Detention for 4416 Azusa Canyon Rd.</w:t>
      </w:r>
      <w:r w:rsidRPr="00485695">
        <w:t xml:space="preserve">, NextGen Engineering, </w:t>
      </w:r>
      <w:r w:rsidR="00B53A96">
        <w:t>October 4, 2021</w:t>
      </w:r>
      <w:r w:rsidRPr="00485695">
        <w:t>.</w:t>
      </w:r>
    </w:p>
    <w:p w14:paraId="1BB34ECC" w14:textId="77777777" w:rsidR="001A3390" w:rsidRDefault="001A3390" w:rsidP="001A3390">
      <w:pPr>
        <w:pStyle w:val="BodyText"/>
      </w:pPr>
      <w:r>
        <w:t>Would the project:</w:t>
      </w:r>
    </w:p>
    <w:p w14:paraId="48E298E3" w14:textId="77777777" w:rsidR="00D10CF6" w:rsidRDefault="00E3025D" w:rsidP="009D6ECC">
      <w:pPr>
        <w:pStyle w:val="List"/>
        <w:numPr>
          <w:ilvl w:val="0"/>
          <w:numId w:val="52"/>
        </w:numPr>
      </w:pPr>
      <w:r w:rsidRPr="00E3025D">
        <w:t>Violate any water quality standards or waste discharge requirements or otherwise substantially degrade surface or ground water quality</w:t>
      </w:r>
      <w:r w:rsidR="00D10CF6">
        <w:t>?</w:t>
      </w:r>
    </w:p>
    <w:p w14:paraId="14AF7382" w14:textId="44F0B374" w:rsidR="004D04B1" w:rsidRPr="00C779A1" w:rsidRDefault="004D04B1" w:rsidP="004D04B1">
      <w:pPr>
        <w:pStyle w:val="BodyText"/>
      </w:pPr>
      <w:r w:rsidRPr="00536529">
        <w:rPr>
          <w:rStyle w:val="BodyTextBoldChar"/>
        </w:rPr>
        <w:t>Less Than Significant Impact.</w:t>
      </w:r>
      <w:r w:rsidRPr="00536529">
        <w:t xml:space="preserve"> </w:t>
      </w:r>
      <w:r w:rsidRPr="00C779A1">
        <w:t xml:space="preserve">The project site is in the San Gabriel watershed (CDFW 2021). The San Gabriel River receives drainage from 689 square miles of eastern Los Angeles County; its headwaters originate in the San Gabriel </w:t>
      </w:r>
      <w:r w:rsidR="0088709A" w:rsidRPr="00C779A1">
        <w:t>Mountains</w:t>
      </w:r>
      <w:r w:rsidRPr="00C779A1">
        <w:t>. The watershed consists of extensive areas of undisturbed riparian and woodland habitats in its upper reaches.</w:t>
      </w:r>
      <w:r>
        <w:t xml:space="preserve"> </w:t>
      </w:r>
      <w:r w:rsidRPr="00C779A1">
        <w:t>The upper watershed also contains a series of flood control dams.</w:t>
      </w:r>
      <w:r>
        <w:t xml:space="preserve"> </w:t>
      </w:r>
      <w:r w:rsidRPr="00C779A1">
        <w:t>Further downstream, toward the middle of the watershed, are large spreading grounds u</w:t>
      </w:r>
      <w:r w:rsidR="0088709A">
        <w:t>s</w:t>
      </w:r>
      <w:r w:rsidRPr="00C779A1">
        <w:t>ed for groundwater recharge. Land use in the middle and lower parts of the watershed are primarily urban land and highly developed (SWRCB 2021).</w:t>
      </w:r>
    </w:p>
    <w:p w14:paraId="29EEEEBC" w14:textId="70313411" w:rsidR="004D04B1" w:rsidRPr="003345F6" w:rsidRDefault="004D04B1" w:rsidP="004D04B1">
      <w:pPr>
        <w:pStyle w:val="BodyText"/>
      </w:pPr>
      <w:r w:rsidRPr="00C779A1">
        <w:t>Water quality in Irwindale is regulated by the Los Angeles RWQCB and its Water Quality Control Plan (Basin Plan), which contains water quality standards and identifies beneficial uses (wildlife habitat, agricultural supply, fishing, etc.) for receiving waters</w:t>
      </w:r>
      <w:r>
        <w:t>. The Basin Plan also includes</w:t>
      </w:r>
      <w:r w:rsidRPr="00C779A1">
        <w:t xml:space="preserve"> water quality criteria and standards necessary to support t</w:t>
      </w:r>
      <w:r>
        <w:t>he beneficial</w:t>
      </w:r>
      <w:r w:rsidRPr="00C779A1">
        <w:t xml:space="preserve"> uses consistent with federal and state water quality laws. </w:t>
      </w:r>
      <w:r w:rsidRPr="003345F6">
        <w:t>All runoff from the project site is ultimately tributary to the San Gabriel River by way of the Big Dalton Wash</w:t>
      </w:r>
      <w:r w:rsidR="0088709A">
        <w:t>,</w:t>
      </w:r>
      <w:r w:rsidRPr="003345F6">
        <w:t xml:space="preserve"> which borders the project site to the north. </w:t>
      </w:r>
    </w:p>
    <w:p w14:paraId="4E497817" w14:textId="77198C04" w:rsidR="004D04B1" w:rsidRPr="00C779A1" w:rsidRDefault="0088709A" w:rsidP="004D04B1">
      <w:pPr>
        <w:pStyle w:val="BodyText"/>
      </w:pPr>
      <w:r w:rsidRPr="00C779A1">
        <w:t>A development project</w:t>
      </w:r>
      <w:r>
        <w:t xml:space="preserve"> generally</w:t>
      </w:r>
      <w:r w:rsidRPr="00C779A1">
        <w:t xml:space="preserve"> </w:t>
      </w:r>
      <w:r>
        <w:t>affects the</w:t>
      </w:r>
      <w:r w:rsidR="004D04B1" w:rsidRPr="00C779A1">
        <w:t xml:space="preserve"> quality of receiving waters over three different phases:</w:t>
      </w:r>
    </w:p>
    <w:p w14:paraId="7390E35E" w14:textId="30E3D054" w:rsidR="004D04B1" w:rsidRPr="00C779A1" w:rsidRDefault="004D04B1" w:rsidP="004D04B1">
      <w:pPr>
        <w:pStyle w:val="Bullet1last"/>
      </w:pPr>
      <w:r w:rsidRPr="00C779A1">
        <w:t>During the earthwork and construction phase the potential for erosion, siltation, and sedimentation would be the greatest.</w:t>
      </w:r>
    </w:p>
    <w:p w14:paraId="186F8543" w14:textId="2EBBFD0F" w:rsidR="004D04B1" w:rsidRPr="00C779A1" w:rsidRDefault="004D04B1" w:rsidP="004D04B1">
      <w:pPr>
        <w:pStyle w:val="Bullet1last"/>
      </w:pPr>
      <w:r w:rsidRPr="00C779A1">
        <w:t>Following construction and before the establishment of ground cover, the erosion potential may remain relatively high.</w:t>
      </w:r>
    </w:p>
    <w:p w14:paraId="0958156A" w14:textId="7CE7FA6B" w:rsidR="004D04B1" w:rsidRPr="00C779A1" w:rsidRDefault="004D04B1" w:rsidP="004D04B1">
      <w:pPr>
        <w:pStyle w:val="Bullet1last"/>
      </w:pPr>
      <w:r w:rsidRPr="00C779A1">
        <w:t>Following project completion, impacts related to sedimentation would decrease markedly, but those associated with urban runoff would increase.</w:t>
      </w:r>
    </w:p>
    <w:p w14:paraId="133A2E38" w14:textId="77777777" w:rsidR="004D04B1" w:rsidRPr="00C779A1" w:rsidRDefault="004D04B1" w:rsidP="004D04B1">
      <w:pPr>
        <w:pStyle w:val="BodyText"/>
      </w:pPr>
      <w:r w:rsidRPr="00C779A1">
        <w:t>Following is a discussion of the potential water quality impacts resulting from urban runoff that would be generated during the construction and operational phases of the proposed project.</w:t>
      </w:r>
    </w:p>
    <w:p w14:paraId="3A0BE25A" w14:textId="77777777" w:rsidR="004D04B1" w:rsidRPr="00A67A8C" w:rsidRDefault="004D04B1" w:rsidP="004D04B1">
      <w:pPr>
        <w:pStyle w:val="Heading5"/>
      </w:pPr>
      <w:r w:rsidRPr="00A67A8C">
        <w:t>Project Construction</w:t>
      </w:r>
    </w:p>
    <w:p w14:paraId="74F75F86" w14:textId="0B7B4A8B" w:rsidR="004D04B1" w:rsidRPr="00A67A8C" w:rsidRDefault="004D04B1" w:rsidP="004D04B1">
      <w:pPr>
        <w:pStyle w:val="BodyText"/>
      </w:pPr>
      <w:r w:rsidRPr="00A67A8C">
        <w:t xml:space="preserve">Construction-related runoff pollutants are typically generated from waste and hazardous materials handling or </w:t>
      </w:r>
      <w:r w:rsidR="00C96EDC">
        <w:t xml:space="preserve">from </w:t>
      </w:r>
      <w:r w:rsidRPr="00A67A8C">
        <w:t xml:space="preserve">storage areas, outdoor work areas, material storage areas, and general maintenance areas (e.g., vehicle or equipment fueling and maintenance, including washing). The proposed project’s construction phase may cause deterioration in the quality of downstream receiving waters if construction-related sediments or pollutants wash into the existing storm drain system and facilities in the area. </w:t>
      </w:r>
    </w:p>
    <w:p w14:paraId="7345424D" w14:textId="54F7F1C9" w:rsidR="00A53F56" w:rsidRDefault="004D04B1" w:rsidP="004D04B1">
      <w:pPr>
        <w:pStyle w:val="BodyText"/>
      </w:pPr>
      <w:r w:rsidRPr="00A67A8C">
        <w:t xml:space="preserve">Construction-related activities that are primarily responsible for sediment releases are related to exposing previously stabilized soils to potential mobilization by rainfall/runoff and wind. Such activities include removing vegetation from the site, grading the site, and trenching for infrastructure improvements. Environmental factors that affect erosion include topographic, soil, and rainfall characteristics. Non-sediment-related pollutants are also of concern and generally include construction materials (e.g., paint and stucco); chemicals, liquid products, and petroleum products used in building construction or the maintenance of heavy equipment; and concrete and related cutting or curing residues. Construction-related activities of the proposed project would generate pollutants that could adversely affect the water quality of downstream receiving waters if appropriate and effective stormwater and non-stormwater management measures are not used to keep pollutants out of and remove pollutants from urban runoff. </w:t>
      </w:r>
    </w:p>
    <w:p w14:paraId="34F82856" w14:textId="35C4876C" w:rsidR="004D04B1" w:rsidRPr="00A67A8C" w:rsidRDefault="004D04B1" w:rsidP="004D04B1">
      <w:pPr>
        <w:pStyle w:val="BodyText"/>
      </w:pPr>
      <w:r w:rsidRPr="00A67A8C">
        <w:t>Construction projects of one acre or more are regulated under the C</w:t>
      </w:r>
      <w:r>
        <w:t>onstruction Gene</w:t>
      </w:r>
      <w:r w:rsidR="00E43364">
        <w:t>ra</w:t>
      </w:r>
      <w:r>
        <w:t>l Permit (C</w:t>
      </w:r>
      <w:r w:rsidRPr="00A67A8C">
        <w:t>GP</w:t>
      </w:r>
      <w:r>
        <w:t>)</w:t>
      </w:r>
      <w:r w:rsidRPr="00A67A8C">
        <w:t xml:space="preserve">, Order </w:t>
      </w:r>
      <w:r w:rsidRPr="00004B23">
        <w:t>No. 2009-0009-DWQ as amended by 2010-0014-DWQ and 2012-0006-DWQ</w:t>
      </w:r>
      <w:r w:rsidRPr="00A67A8C">
        <w:t xml:space="preserve">. Projects obtain coverage by developing and implementing a SWPPP estimating sediment risk from construction activities to receiving waters and specifying BMPs that would be used by the project to minimize pollution of stormwater. Categories of BMPs used in SWPPPs are described in Table </w:t>
      </w:r>
      <w:r>
        <w:t>14</w:t>
      </w:r>
      <w:r w:rsidRPr="00A67A8C">
        <w:t>.</w:t>
      </w:r>
    </w:p>
    <w:tbl>
      <w:tblPr>
        <w:tblW w:w="9360" w:type="dxa"/>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340"/>
        <w:gridCol w:w="3780"/>
        <w:gridCol w:w="3240"/>
      </w:tblGrid>
      <w:tr w:rsidR="004D04B1" w:rsidRPr="00A67A8C" w:rsidDel="003628BF" w14:paraId="67E5BEAC" w14:textId="77777777" w:rsidTr="00432DB2">
        <w:trPr>
          <w:tblHeader/>
          <w:jc w:val="center"/>
        </w:trPr>
        <w:tc>
          <w:tcPr>
            <w:tcW w:w="9360" w:type="dxa"/>
            <w:gridSpan w:val="3"/>
            <w:tcBorders>
              <w:top w:val="nil"/>
              <w:bottom w:val="single" w:sz="12" w:space="0" w:color="auto"/>
            </w:tcBorders>
          </w:tcPr>
          <w:p w14:paraId="2F30381F" w14:textId="77777777" w:rsidR="004D04B1" w:rsidRPr="00A67A8C" w:rsidDel="003628BF" w:rsidRDefault="004D04B1" w:rsidP="00432DB2">
            <w:pPr>
              <w:pStyle w:val="TblTitles"/>
            </w:pPr>
            <w:bookmarkStart w:id="173" w:name="_Toc5875468"/>
            <w:bookmarkStart w:id="174" w:name="_Hlk68076972"/>
            <w:bookmarkStart w:id="175" w:name="_Toc90882260"/>
            <w:r w:rsidRPr="00A67A8C">
              <w:t xml:space="preserve">Table </w:t>
            </w:r>
            <w:r>
              <w:t>14</w:t>
            </w:r>
            <w:r w:rsidRPr="00A67A8C" w:rsidDel="003628BF">
              <w:tab/>
              <w:t>Construction Best Management Practices</w:t>
            </w:r>
            <w:bookmarkEnd w:id="173"/>
            <w:bookmarkEnd w:id="175"/>
          </w:p>
        </w:tc>
      </w:tr>
      <w:tr w:rsidR="004D04B1" w:rsidRPr="00A67A8C" w:rsidDel="003628BF" w14:paraId="5BF4FE80" w14:textId="77777777" w:rsidTr="00432DB2">
        <w:trPr>
          <w:tblHeader/>
          <w:jc w:val="center"/>
        </w:trPr>
        <w:tc>
          <w:tcPr>
            <w:tcW w:w="2340" w:type="dxa"/>
            <w:tcBorders>
              <w:top w:val="single" w:sz="12" w:space="0" w:color="auto"/>
              <w:bottom w:val="single" w:sz="12" w:space="0" w:color="auto"/>
            </w:tcBorders>
            <w:vAlign w:val="bottom"/>
          </w:tcPr>
          <w:p w14:paraId="73D0BC46" w14:textId="77777777" w:rsidR="004D04B1" w:rsidRPr="00A67A8C" w:rsidDel="003628BF" w:rsidRDefault="004D04B1" w:rsidP="00432DB2">
            <w:pPr>
              <w:pStyle w:val="TblColumnHeads"/>
            </w:pPr>
            <w:r w:rsidRPr="00A67A8C" w:rsidDel="003628BF">
              <w:t>Category</w:t>
            </w:r>
          </w:p>
        </w:tc>
        <w:tc>
          <w:tcPr>
            <w:tcW w:w="3780" w:type="dxa"/>
            <w:tcBorders>
              <w:top w:val="single" w:sz="12" w:space="0" w:color="auto"/>
              <w:bottom w:val="single" w:sz="12" w:space="0" w:color="auto"/>
            </w:tcBorders>
            <w:vAlign w:val="bottom"/>
          </w:tcPr>
          <w:p w14:paraId="29D3C9EF" w14:textId="77777777" w:rsidR="004D04B1" w:rsidRPr="00A67A8C" w:rsidDel="003628BF" w:rsidRDefault="004D04B1" w:rsidP="00432DB2">
            <w:pPr>
              <w:pStyle w:val="TblColumnHeads"/>
            </w:pPr>
            <w:r w:rsidRPr="00A67A8C" w:rsidDel="003628BF">
              <w:t>Purpose</w:t>
            </w:r>
          </w:p>
        </w:tc>
        <w:tc>
          <w:tcPr>
            <w:tcW w:w="3240" w:type="dxa"/>
            <w:tcBorders>
              <w:top w:val="single" w:sz="12" w:space="0" w:color="auto"/>
              <w:bottom w:val="single" w:sz="12" w:space="0" w:color="auto"/>
            </w:tcBorders>
            <w:vAlign w:val="bottom"/>
          </w:tcPr>
          <w:p w14:paraId="3CF69D15" w14:textId="77777777" w:rsidR="004D04B1" w:rsidRPr="00A67A8C" w:rsidDel="003628BF" w:rsidRDefault="004D04B1" w:rsidP="00432DB2">
            <w:pPr>
              <w:pStyle w:val="TblColumnHeads"/>
            </w:pPr>
            <w:r w:rsidRPr="00A67A8C" w:rsidDel="003628BF">
              <w:t>Examples</w:t>
            </w:r>
          </w:p>
        </w:tc>
      </w:tr>
      <w:tr w:rsidR="004D04B1" w:rsidRPr="00A67A8C" w:rsidDel="003628BF" w14:paraId="63389C97" w14:textId="77777777" w:rsidTr="00432DB2">
        <w:trPr>
          <w:trHeight w:val="222"/>
          <w:jc w:val="center"/>
        </w:trPr>
        <w:tc>
          <w:tcPr>
            <w:tcW w:w="2340" w:type="dxa"/>
            <w:tcBorders>
              <w:top w:val="single" w:sz="12" w:space="0" w:color="auto"/>
            </w:tcBorders>
          </w:tcPr>
          <w:p w14:paraId="60D46677" w14:textId="77777777" w:rsidR="004D04B1" w:rsidRPr="00A67A8C" w:rsidDel="003628BF" w:rsidRDefault="004D04B1" w:rsidP="00432DB2">
            <w:pPr>
              <w:pStyle w:val="TblTxtCenter"/>
              <w:jc w:val="left"/>
            </w:pPr>
            <w:r w:rsidRPr="00A67A8C" w:rsidDel="003628BF">
              <w:t xml:space="preserve">Erosion Controls </w:t>
            </w:r>
          </w:p>
        </w:tc>
        <w:tc>
          <w:tcPr>
            <w:tcW w:w="3780" w:type="dxa"/>
            <w:tcBorders>
              <w:top w:val="single" w:sz="12" w:space="0" w:color="auto"/>
            </w:tcBorders>
          </w:tcPr>
          <w:p w14:paraId="4F6BC7A2" w14:textId="77777777" w:rsidR="004D04B1" w:rsidRPr="00A67A8C" w:rsidDel="003628BF" w:rsidRDefault="004D04B1" w:rsidP="00432DB2">
            <w:pPr>
              <w:pStyle w:val="TblTxtCenter"/>
              <w:jc w:val="left"/>
            </w:pPr>
            <w:r w:rsidRPr="00A67A8C">
              <w:t xml:space="preserve">Protects the soil surface and prevents soil particles from being detached by rainfall, flowing water, or wind. </w:t>
            </w:r>
          </w:p>
        </w:tc>
        <w:tc>
          <w:tcPr>
            <w:tcW w:w="3240" w:type="dxa"/>
            <w:tcBorders>
              <w:top w:val="single" w:sz="12" w:space="0" w:color="auto"/>
            </w:tcBorders>
          </w:tcPr>
          <w:p w14:paraId="74D67AF9" w14:textId="77777777" w:rsidR="004D04B1" w:rsidRPr="00A67A8C" w:rsidDel="003628BF" w:rsidRDefault="004D04B1" w:rsidP="00432DB2">
            <w:pPr>
              <w:pStyle w:val="TblTxtCenter"/>
              <w:jc w:val="left"/>
            </w:pPr>
            <w:r w:rsidRPr="00A67A8C">
              <w:t>Scheduling, preserving existing conditions, m</w:t>
            </w:r>
            <w:r w:rsidRPr="00A67A8C" w:rsidDel="003628BF">
              <w:t xml:space="preserve">ulch, </w:t>
            </w:r>
            <w:r w:rsidRPr="00A67A8C">
              <w:t xml:space="preserve">soil binders, </w:t>
            </w:r>
            <w:r w:rsidRPr="00A67A8C" w:rsidDel="003628BF">
              <w:t>geotextiles, mats, hydroseeding, earth dikes, swales</w:t>
            </w:r>
            <w:r w:rsidRPr="00A67A8C">
              <w:t>, velocity dissipating devices, slope drains, streambank stabilization, compost blankets, soil preparation/roughening, and non-vegetative stabilization.</w:t>
            </w:r>
          </w:p>
        </w:tc>
      </w:tr>
      <w:tr w:rsidR="004D04B1" w:rsidRPr="00A67A8C" w:rsidDel="003628BF" w14:paraId="5A579530" w14:textId="77777777" w:rsidTr="00432DB2">
        <w:trPr>
          <w:jc w:val="center"/>
        </w:trPr>
        <w:tc>
          <w:tcPr>
            <w:tcW w:w="2340" w:type="dxa"/>
            <w:tcBorders>
              <w:bottom w:val="single" w:sz="4" w:space="0" w:color="auto"/>
            </w:tcBorders>
          </w:tcPr>
          <w:p w14:paraId="0DDC29B2" w14:textId="77777777" w:rsidR="004D04B1" w:rsidRPr="00A67A8C" w:rsidDel="003628BF" w:rsidRDefault="004D04B1" w:rsidP="00432DB2">
            <w:pPr>
              <w:pStyle w:val="TblTxtCenter"/>
              <w:jc w:val="left"/>
            </w:pPr>
            <w:r w:rsidRPr="00A67A8C" w:rsidDel="003628BF">
              <w:t>Sediment Controls</w:t>
            </w:r>
          </w:p>
        </w:tc>
        <w:tc>
          <w:tcPr>
            <w:tcW w:w="3780" w:type="dxa"/>
            <w:tcBorders>
              <w:bottom w:val="single" w:sz="4" w:space="0" w:color="auto"/>
            </w:tcBorders>
          </w:tcPr>
          <w:p w14:paraId="52384729" w14:textId="77777777" w:rsidR="004D04B1" w:rsidRPr="00A67A8C" w:rsidDel="003628BF" w:rsidRDefault="004D04B1" w:rsidP="00432DB2">
            <w:pPr>
              <w:pStyle w:val="TblTxtCenter"/>
              <w:jc w:val="left"/>
            </w:pPr>
            <w:r w:rsidRPr="00A67A8C">
              <w:t xml:space="preserve">Traps soil particles after they have been detached and moved by rain, flowing water, or wind. </w:t>
            </w:r>
          </w:p>
        </w:tc>
        <w:tc>
          <w:tcPr>
            <w:tcW w:w="3240" w:type="dxa"/>
            <w:tcBorders>
              <w:bottom w:val="single" w:sz="4" w:space="0" w:color="auto"/>
            </w:tcBorders>
          </w:tcPr>
          <w:p w14:paraId="540EE442" w14:textId="77777777" w:rsidR="004D04B1" w:rsidRPr="00A67A8C" w:rsidDel="003628BF" w:rsidRDefault="004D04B1" w:rsidP="00432DB2">
            <w:pPr>
              <w:pStyle w:val="TblTxtCenter"/>
              <w:jc w:val="left"/>
            </w:pPr>
            <w:r w:rsidRPr="00A67A8C" w:rsidDel="003628BF">
              <w:t xml:space="preserve">Barriers such as </w:t>
            </w:r>
            <w:r w:rsidRPr="00A67A8C">
              <w:t xml:space="preserve">silt fences, </w:t>
            </w:r>
            <w:r w:rsidRPr="00A67A8C" w:rsidDel="003628BF">
              <w:t xml:space="preserve">straw bales, sandbags, fiber rolls, and gravel bag berms; </w:t>
            </w:r>
            <w:r w:rsidRPr="00A67A8C">
              <w:t>sediment</w:t>
            </w:r>
            <w:r w:rsidRPr="00A67A8C" w:rsidDel="003628BF">
              <w:t xml:space="preserve"> basin</w:t>
            </w:r>
            <w:r w:rsidRPr="00A67A8C">
              <w:t>s</w:t>
            </w:r>
            <w:r w:rsidRPr="00A67A8C" w:rsidDel="003628BF">
              <w:t xml:space="preserve">; </w:t>
            </w:r>
            <w:r w:rsidRPr="00A67A8C">
              <w:t xml:space="preserve">sediment traps; check dams; storm drain inlet protection; compost socks and berms; biofilter bags; manufactured linear sediment controls; and </w:t>
            </w:r>
            <w:r w:rsidRPr="00A67A8C" w:rsidDel="003628BF">
              <w:t>cleaning measures such as street sweeping</w:t>
            </w:r>
            <w:r w:rsidRPr="00A67A8C">
              <w:t xml:space="preserve"> and vacuuming</w:t>
            </w:r>
          </w:p>
        </w:tc>
      </w:tr>
      <w:tr w:rsidR="004D04B1" w:rsidRPr="00A67A8C" w:rsidDel="003628BF" w14:paraId="02690CAD" w14:textId="77777777" w:rsidTr="00432DB2">
        <w:trPr>
          <w:jc w:val="center"/>
        </w:trPr>
        <w:tc>
          <w:tcPr>
            <w:tcW w:w="2340" w:type="dxa"/>
            <w:tcBorders>
              <w:bottom w:val="single" w:sz="4" w:space="0" w:color="auto"/>
            </w:tcBorders>
          </w:tcPr>
          <w:p w14:paraId="6D032AC7" w14:textId="77777777" w:rsidR="004D04B1" w:rsidRPr="00A67A8C" w:rsidDel="003628BF" w:rsidRDefault="004D04B1" w:rsidP="00432DB2">
            <w:pPr>
              <w:pStyle w:val="TblTxtCenter"/>
              <w:jc w:val="left"/>
            </w:pPr>
            <w:r w:rsidRPr="00A67A8C">
              <w:t>Wind Erosion Controls</w:t>
            </w:r>
          </w:p>
        </w:tc>
        <w:tc>
          <w:tcPr>
            <w:tcW w:w="3780" w:type="dxa"/>
            <w:tcBorders>
              <w:bottom w:val="single" w:sz="4" w:space="0" w:color="auto"/>
            </w:tcBorders>
          </w:tcPr>
          <w:p w14:paraId="2D8CF40E" w14:textId="77777777" w:rsidR="004D04B1" w:rsidRPr="00A67A8C" w:rsidRDefault="004D04B1" w:rsidP="00432DB2">
            <w:pPr>
              <w:pStyle w:val="TblTxtCenter"/>
              <w:jc w:val="left"/>
            </w:pPr>
            <w:r w:rsidRPr="00A67A8C">
              <w:t>Minimizes dust nuisances.</w:t>
            </w:r>
          </w:p>
        </w:tc>
        <w:tc>
          <w:tcPr>
            <w:tcW w:w="3240" w:type="dxa"/>
            <w:tcBorders>
              <w:bottom w:val="single" w:sz="4" w:space="0" w:color="auto"/>
            </w:tcBorders>
          </w:tcPr>
          <w:p w14:paraId="137B75F6" w14:textId="77777777" w:rsidR="004D04B1" w:rsidRPr="00A67A8C" w:rsidDel="003628BF" w:rsidRDefault="004D04B1" w:rsidP="00432DB2">
            <w:pPr>
              <w:pStyle w:val="TblTxtCenter"/>
              <w:jc w:val="left"/>
            </w:pPr>
            <w:r w:rsidRPr="00A67A8C">
              <w:t xml:space="preserve">Applying water or other dust palliatives to prevent or minimize dust nuisance, reducing soil-moving activities during high winds, and installing erosion control BMPs for temporary wind control. </w:t>
            </w:r>
          </w:p>
        </w:tc>
      </w:tr>
      <w:tr w:rsidR="004D04B1" w:rsidRPr="00A67A8C" w:rsidDel="003628BF" w14:paraId="7F6233E0" w14:textId="77777777" w:rsidTr="00432DB2">
        <w:trPr>
          <w:jc w:val="center"/>
        </w:trPr>
        <w:tc>
          <w:tcPr>
            <w:tcW w:w="2340" w:type="dxa"/>
            <w:tcBorders>
              <w:bottom w:val="single" w:sz="4" w:space="0" w:color="auto"/>
            </w:tcBorders>
          </w:tcPr>
          <w:p w14:paraId="13180611" w14:textId="77777777" w:rsidR="004D04B1" w:rsidRPr="00A67A8C" w:rsidDel="003628BF" w:rsidRDefault="004D04B1" w:rsidP="00432DB2">
            <w:pPr>
              <w:pStyle w:val="TblTxtCenter"/>
              <w:jc w:val="left"/>
            </w:pPr>
            <w:r w:rsidRPr="00A67A8C" w:rsidDel="003628BF">
              <w:t>Tracking Controls</w:t>
            </w:r>
          </w:p>
        </w:tc>
        <w:tc>
          <w:tcPr>
            <w:tcW w:w="3780" w:type="dxa"/>
            <w:tcBorders>
              <w:bottom w:val="single" w:sz="4" w:space="0" w:color="auto"/>
            </w:tcBorders>
          </w:tcPr>
          <w:p w14:paraId="1BAD7D04" w14:textId="77777777" w:rsidR="004D04B1" w:rsidRPr="00A67A8C" w:rsidDel="003628BF" w:rsidRDefault="004D04B1" w:rsidP="00432DB2">
            <w:pPr>
              <w:pStyle w:val="TblTxtCenter"/>
              <w:jc w:val="left"/>
            </w:pPr>
            <w:r w:rsidRPr="00A67A8C">
              <w:t>Prevents or reduces</w:t>
            </w:r>
            <w:r w:rsidRPr="00A67A8C" w:rsidDel="003628BF">
              <w:t xml:space="preserve"> the tracking of soil offsite by vehicles</w:t>
            </w:r>
          </w:p>
        </w:tc>
        <w:tc>
          <w:tcPr>
            <w:tcW w:w="3240" w:type="dxa"/>
            <w:tcBorders>
              <w:bottom w:val="single" w:sz="4" w:space="0" w:color="auto"/>
            </w:tcBorders>
          </w:tcPr>
          <w:p w14:paraId="69A1CDD4" w14:textId="77777777" w:rsidR="004D04B1" w:rsidRPr="00A67A8C" w:rsidDel="003628BF" w:rsidRDefault="004D04B1" w:rsidP="00432DB2">
            <w:pPr>
              <w:pStyle w:val="TblTxtCenter"/>
              <w:jc w:val="left"/>
            </w:pPr>
            <w:r w:rsidRPr="00A67A8C" w:rsidDel="003628BF">
              <w:t>Stabilized construction roadways and construction entrances/exits</w:t>
            </w:r>
            <w:r w:rsidRPr="00A67A8C">
              <w:t xml:space="preserve"> and </w:t>
            </w:r>
            <w:r w:rsidRPr="00A67A8C" w:rsidDel="003628BF">
              <w:t>entrance/outlet tire wash.</w:t>
            </w:r>
          </w:p>
        </w:tc>
      </w:tr>
      <w:tr w:rsidR="004D04B1" w:rsidRPr="00A67A8C" w:rsidDel="003628BF" w14:paraId="5A39E785" w14:textId="77777777" w:rsidTr="00432DB2">
        <w:trPr>
          <w:jc w:val="center"/>
        </w:trPr>
        <w:tc>
          <w:tcPr>
            <w:tcW w:w="2340" w:type="dxa"/>
            <w:tcBorders>
              <w:bottom w:val="single" w:sz="4" w:space="0" w:color="auto"/>
            </w:tcBorders>
          </w:tcPr>
          <w:p w14:paraId="756D0DDC" w14:textId="77777777" w:rsidR="004D04B1" w:rsidRPr="00A67A8C" w:rsidDel="003628BF" w:rsidRDefault="004D04B1" w:rsidP="00432DB2">
            <w:pPr>
              <w:pStyle w:val="TblTxtCenter"/>
              <w:jc w:val="left"/>
            </w:pPr>
            <w:r w:rsidRPr="00A67A8C" w:rsidDel="003628BF">
              <w:t>Non-Storm Water Management Controls</w:t>
            </w:r>
          </w:p>
        </w:tc>
        <w:tc>
          <w:tcPr>
            <w:tcW w:w="3780" w:type="dxa"/>
            <w:tcBorders>
              <w:bottom w:val="single" w:sz="4" w:space="0" w:color="auto"/>
            </w:tcBorders>
          </w:tcPr>
          <w:p w14:paraId="73B9A9EE" w14:textId="7CFFEFBD" w:rsidR="004D04B1" w:rsidRPr="00A67A8C" w:rsidRDefault="004D04B1" w:rsidP="00432DB2">
            <w:pPr>
              <w:pStyle w:val="TblTxtCenter"/>
              <w:jc w:val="left"/>
            </w:pPr>
            <w:r w:rsidRPr="00A67A8C">
              <w:t>Prevents pollution by limiting or reducing potential pollutants at their source or eliminating off-site discharge</w:t>
            </w:r>
            <w:r w:rsidR="00D77A23">
              <w:t xml:space="preserve">. </w:t>
            </w:r>
          </w:p>
          <w:p w14:paraId="34B8F6CA" w14:textId="77777777" w:rsidR="004D04B1" w:rsidRPr="00A67A8C" w:rsidDel="003628BF" w:rsidRDefault="004D04B1" w:rsidP="00432DB2">
            <w:pPr>
              <w:pStyle w:val="TblTxtCenter"/>
              <w:jc w:val="left"/>
            </w:pPr>
            <w:r w:rsidRPr="00A67A8C">
              <w:t xml:space="preserve">Prohibits illicit connections or discharges. </w:t>
            </w:r>
          </w:p>
        </w:tc>
        <w:tc>
          <w:tcPr>
            <w:tcW w:w="3240" w:type="dxa"/>
            <w:tcBorders>
              <w:bottom w:val="single" w:sz="4" w:space="0" w:color="auto"/>
            </w:tcBorders>
          </w:tcPr>
          <w:p w14:paraId="36E06971" w14:textId="77777777" w:rsidR="004D04B1" w:rsidRPr="00A67A8C" w:rsidDel="003628BF" w:rsidRDefault="004D04B1" w:rsidP="00432DB2">
            <w:pPr>
              <w:pStyle w:val="TblTxtCenter"/>
              <w:jc w:val="left"/>
            </w:pPr>
            <w:r w:rsidRPr="00A67A8C">
              <w:t xml:space="preserve">Water conservation practices, </w:t>
            </w:r>
            <w:r w:rsidRPr="00A67A8C" w:rsidDel="003628BF">
              <w:t>BMPs specifying methods for:</w:t>
            </w:r>
            <w:r w:rsidRPr="00A67A8C">
              <w:t xml:space="preserve"> dewatering operations; temporary stream crossings; clear water diversions; pile driving operations; temporary batch plants; demolition adjacent to water; materials over water; potable water and irrigation; </w:t>
            </w:r>
            <w:r w:rsidRPr="00A67A8C" w:rsidDel="003628BF">
              <w:t>paving and grinding operations; cleaning, fueling, and maintenance of vehicles and equipment; concrete curing; concrete finishing.</w:t>
            </w:r>
          </w:p>
        </w:tc>
      </w:tr>
      <w:tr w:rsidR="004D04B1" w:rsidRPr="00A67A8C" w:rsidDel="003628BF" w14:paraId="736EBF79" w14:textId="77777777" w:rsidTr="00432DB2">
        <w:trPr>
          <w:jc w:val="center"/>
        </w:trPr>
        <w:tc>
          <w:tcPr>
            <w:tcW w:w="2340" w:type="dxa"/>
            <w:tcBorders>
              <w:bottom w:val="single" w:sz="12" w:space="0" w:color="auto"/>
            </w:tcBorders>
          </w:tcPr>
          <w:p w14:paraId="7A73C07D" w14:textId="77777777" w:rsidR="004D04B1" w:rsidRPr="00A67A8C" w:rsidDel="003628BF" w:rsidRDefault="004D04B1" w:rsidP="00F1091F">
            <w:pPr>
              <w:pStyle w:val="TblTxtCenter"/>
              <w:pageBreakBefore/>
              <w:jc w:val="left"/>
            </w:pPr>
            <w:r w:rsidRPr="00A67A8C" w:rsidDel="003628BF">
              <w:t>Waste Management and Controls (i.e., good housekeeping practices)</w:t>
            </w:r>
          </w:p>
        </w:tc>
        <w:tc>
          <w:tcPr>
            <w:tcW w:w="3780" w:type="dxa"/>
            <w:tcBorders>
              <w:bottom w:val="single" w:sz="12" w:space="0" w:color="auto"/>
            </w:tcBorders>
          </w:tcPr>
          <w:p w14:paraId="45AC802F" w14:textId="77777777" w:rsidR="004D04B1" w:rsidRPr="00A67A8C" w:rsidDel="003628BF" w:rsidRDefault="004D04B1" w:rsidP="00432DB2">
            <w:pPr>
              <w:pStyle w:val="TblTxtCenter"/>
              <w:jc w:val="left"/>
            </w:pPr>
            <w:r w:rsidRPr="00A67A8C" w:rsidDel="003628BF">
              <w:t>Manage</w:t>
            </w:r>
            <w:r w:rsidRPr="00A67A8C">
              <w:t>m</w:t>
            </w:r>
            <w:r w:rsidRPr="00A67A8C" w:rsidDel="003628BF">
              <w:t>ent of materials and wastes to avoid contamination of stormwater.</w:t>
            </w:r>
          </w:p>
        </w:tc>
        <w:tc>
          <w:tcPr>
            <w:tcW w:w="3240" w:type="dxa"/>
            <w:tcBorders>
              <w:bottom w:val="single" w:sz="12" w:space="0" w:color="auto"/>
            </w:tcBorders>
          </w:tcPr>
          <w:p w14:paraId="05BE5FD2" w14:textId="77777777" w:rsidR="004D04B1" w:rsidRPr="00A67A8C" w:rsidDel="003628BF" w:rsidRDefault="004D04B1" w:rsidP="00432DB2">
            <w:pPr>
              <w:pStyle w:val="TblTxtCenter"/>
              <w:jc w:val="left"/>
            </w:pPr>
            <w:r w:rsidRPr="00A67A8C">
              <w:t>Proper material delivery and storage and material use, s</w:t>
            </w:r>
            <w:r w:rsidRPr="00A67A8C" w:rsidDel="003628BF">
              <w:t xml:space="preserve">pill prevention and control, stockpile management, </w:t>
            </w:r>
            <w:r w:rsidRPr="00A67A8C">
              <w:t xml:space="preserve">contaminated soil management, </w:t>
            </w:r>
            <w:r w:rsidRPr="00A67A8C" w:rsidDel="003628BF">
              <w:t>and management of solid</w:t>
            </w:r>
            <w:r w:rsidRPr="00A67A8C">
              <w:t xml:space="preserve">, concrete, sanitary/septic, liquid, and </w:t>
            </w:r>
            <w:r w:rsidRPr="00A67A8C" w:rsidDel="003628BF">
              <w:t>hazardous wastes.</w:t>
            </w:r>
          </w:p>
        </w:tc>
      </w:tr>
      <w:tr w:rsidR="004D04B1" w:rsidRPr="00A67A8C" w:rsidDel="003628BF" w14:paraId="7654B674" w14:textId="77777777" w:rsidTr="00432DB2">
        <w:trPr>
          <w:jc w:val="center"/>
        </w:trPr>
        <w:tc>
          <w:tcPr>
            <w:tcW w:w="9360" w:type="dxa"/>
            <w:gridSpan w:val="3"/>
            <w:tcBorders>
              <w:top w:val="single" w:sz="12" w:space="0" w:color="auto"/>
              <w:bottom w:val="single" w:sz="12" w:space="0" w:color="auto"/>
            </w:tcBorders>
            <w:vAlign w:val="center"/>
          </w:tcPr>
          <w:p w14:paraId="7AB46A08" w14:textId="77777777" w:rsidR="004D04B1" w:rsidRPr="00A67A8C" w:rsidDel="003628BF" w:rsidRDefault="004D04B1" w:rsidP="00432DB2">
            <w:pPr>
              <w:pStyle w:val="Tblsource"/>
            </w:pPr>
            <w:r w:rsidRPr="00A67A8C" w:rsidDel="003628BF">
              <w:t xml:space="preserve">Source: CASQA </w:t>
            </w:r>
            <w:r w:rsidRPr="00A67A8C">
              <w:t>2019</w:t>
            </w:r>
            <w:r w:rsidRPr="00A67A8C" w:rsidDel="003628BF">
              <w:t>.</w:t>
            </w:r>
          </w:p>
        </w:tc>
      </w:tr>
      <w:bookmarkEnd w:id="174"/>
    </w:tbl>
    <w:p w14:paraId="2AE88298" w14:textId="77777777" w:rsidR="004D04B1" w:rsidRPr="00A67A8C" w:rsidRDefault="004D04B1" w:rsidP="004D04B1">
      <w:pPr>
        <w:pStyle w:val="BodyText"/>
      </w:pPr>
    </w:p>
    <w:p w14:paraId="34E6BDD6" w14:textId="4703925F" w:rsidR="004D04B1" w:rsidRPr="00A67A8C" w:rsidRDefault="004D04B1" w:rsidP="004D04B1">
      <w:pPr>
        <w:pStyle w:val="BodyText"/>
      </w:pPr>
      <w:r w:rsidRPr="00A67A8C">
        <w:t xml:space="preserve">The </w:t>
      </w:r>
      <w:r>
        <w:t>proposed p</w:t>
      </w:r>
      <w:r w:rsidRPr="00A67A8C">
        <w:t xml:space="preserve">roject’s construction contractor would be required to prepare and implement a SWPPP and associated BMPs in compliance with the CGP during grading and construction. The SWPPP would specify BMPs, such as those outlined in Table </w:t>
      </w:r>
      <w:r>
        <w:t>14</w:t>
      </w:r>
      <w:r w:rsidRPr="00A67A8C">
        <w:t xml:space="preserve">, that the construction contractor would implement to protect water quality by eliminating and/or minimizing stormwater pollution prior to and during grading and construction and show the placement of those BMPs. </w:t>
      </w:r>
      <w:bookmarkStart w:id="176" w:name="_Hlk67834634"/>
      <w:r w:rsidRPr="00A67A8C">
        <w:t xml:space="preserve">Project construction activities would also implement the requirements of Chapter </w:t>
      </w:r>
      <w:r>
        <w:t>8.28</w:t>
      </w:r>
      <w:r w:rsidRPr="00A67A8C">
        <w:t xml:space="preserve">, </w:t>
      </w:r>
      <w:r w:rsidRPr="00BE3122">
        <w:t>St</w:t>
      </w:r>
      <w:r w:rsidR="00C96EDC" w:rsidRPr="00BE3122">
        <w:t>or</w:t>
      </w:r>
      <w:r w:rsidRPr="00BE3122">
        <w:t>m Water and Urban Runoff Pollution,</w:t>
      </w:r>
      <w:r>
        <w:rPr>
          <w:i/>
          <w:iCs/>
        </w:rPr>
        <w:t xml:space="preserve"> </w:t>
      </w:r>
      <w:r w:rsidRPr="00A67A8C">
        <w:t xml:space="preserve">of the City’s </w:t>
      </w:r>
      <w:r w:rsidR="00C96EDC" w:rsidRPr="00A67A8C">
        <w:t>municipal code</w:t>
      </w:r>
      <w:r w:rsidRPr="00A67A8C">
        <w:t xml:space="preserve">. </w:t>
      </w:r>
      <w:bookmarkEnd w:id="176"/>
    </w:p>
    <w:p w14:paraId="130D9290" w14:textId="718AFD88" w:rsidR="004D04B1" w:rsidRPr="00D64C77" w:rsidRDefault="004D04B1" w:rsidP="004D04B1">
      <w:pPr>
        <w:pStyle w:val="BodyText"/>
      </w:pPr>
      <w:r w:rsidRPr="00D64C77">
        <w:t xml:space="preserve">Adherence to the BMPs in the SWPPP and City’s </w:t>
      </w:r>
      <w:r w:rsidR="00C96EDC" w:rsidRPr="00D64C77">
        <w:t>municipal code</w:t>
      </w:r>
      <w:r w:rsidRPr="00D64C77">
        <w:t xml:space="preserve"> requirements would reduce, prevent, minimize, and/or treat pollutants and prevent degradation of downstream receiving waters. BMPs identified in the SWPPP would reduce or avoid contamination of stormwater with sediment and other pollutants such as trash and debris; oil, grease, fuels, and other toxic chemicals; paint, concrete, asphalt, bituminous</w:t>
      </w:r>
      <w:r w:rsidRPr="00C96EDC">
        <w:t xml:space="preserve"> </w:t>
      </w:r>
      <w:r w:rsidRPr="00D64C77">
        <w:t>materials,</w:t>
      </w:r>
      <w:r w:rsidR="00C96EDC" w:rsidRPr="00D64C77">
        <w:rPr>
          <w:vertAlign w:val="superscript"/>
        </w:rPr>
        <w:footnoteReference w:id="19"/>
      </w:r>
      <w:r w:rsidRPr="00D64C77">
        <w:t xml:space="preserve"> etc.; and nutrients. Based on the preceding, water quality and waste-discharge impacts from project </w:t>
      </w:r>
      <w:r>
        <w:t xml:space="preserve">demolition, </w:t>
      </w:r>
      <w:r w:rsidRPr="00D64C77">
        <w:t>grading</w:t>
      </w:r>
      <w:r>
        <w:t>,</w:t>
      </w:r>
      <w:r w:rsidRPr="00D64C77">
        <w:t xml:space="preserve"> and construction activities would be less than significant</w:t>
      </w:r>
      <w:r w:rsidR="00C96EDC">
        <w:t>,</w:t>
      </w:r>
      <w:r w:rsidRPr="00D64C77">
        <w:t xml:space="preserve"> and no mitigation measures are necessary.</w:t>
      </w:r>
    </w:p>
    <w:p w14:paraId="0ABC4D4C" w14:textId="77777777" w:rsidR="004D04B1" w:rsidRPr="00D64C77" w:rsidRDefault="004D04B1" w:rsidP="004D04B1">
      <w:pPr>
        <w:pStyle w:val="Heading5"/>
      </w:pPr>
      <w:r w:rsidRPr="00D64C77">
        <w:t>Project Operation</w:t>
      </w:r>
    </w:p>
    <w:p w14:paraId="74EE0BD0" w14:textId="77777777" w:rsidR="004D04B1" w:rsidRPr="00D64C77" w:rsidRDefault="004D04B1" w:rsidP="004D04B1">
      <w:pPr>
        <w:pStyle w:val="BodyText"/>
      </w:pPr>
      <w:r w:rsidRPr="00D64C77">
        <w:t>Operational-related activities of the proposed project (e.g., runoff from parking areas, solid waste storage areas, and landscaped areas) would generate pollutants that could adversely affect the water quality of downstream receiving waters if effective measures are not used to keep pollutants out of and remove pollutants from urban runoff.</w:t>
      </w:r>
    </w:p>
    <w:p w14:paraId="6B481509" w14:textId="111D6936" w:rsidR="004D04B1" w:rsidRDefault="004D04B1" w:rsidP="004D04B1">
      <w:pPr>
        <w:pStyle w:val="BodyText"/>
      </w:pPr>
      <w:r w:rsidRPr="00617ACC">
        <w:t xml:space="preserve">Standards governing discharges to stormwater from project operation are in the Municipal Stormwater (MS4) Permit for Los Angeles County in the jurisdiction of the Los Angeles </w:t>
      </w:r>
      <w:r>
        <w:t>RWQCB (</w:t>
      </w:r>
      <w:r w:rsidRPr="00547946">
        <w:t>Order No. R4-2021-0105</w:t>
      </w:r>
      <w:r>
        <w:t>)</w:t>
      </w:r>
      <w:r w:rsidRPr="00617ACC">
        <w:t>. The County of Los Angeles issued a</w:t>
      </w:r>
      <w:r>
        <w:t xml:space="preserve">n </w:t>
      </w:r>
      <w:r w:rsidRPr="00617ACC">
        <w:t>LID</w:t>
      </w:r>
      <w:r w:rsidR="007F4118">
        <w:t xml:space="preserve"> (Low Impact Development)</w:t>
      </w:r>
      <w:r w:rsidRPr="00617ACC">
        <w:t xml:space="preserve"> Standards Manual on developing water quality management plans for projects and selecting </w:t>
      </w:r>
      <w:r>
        <w:t>stormwater control</w:t>
      </w:r>
      <w:r w:rsidRPr="00617ACC">
        <w:t xml:space="preserve"> and source control BMPs</w:t>
      </w:r>
      <w:r>
        <w:t xml:space="preserve"> in addition to other LID strategies</w:t>
      </w:r>
      <w:r w:rsidRPr="00617ACC">
        <w:t xml:space="preserve">. </w:t>
      </w:r>
    </w:p>
    <w:p w14:paraId="475BD874" w14:textId="77777777" w:rsidR="004D04B1" w:rsidRPr="004D3C47" w:rsidRDefault="004D04B1" w:rsidP="004D04B1">
      <w:pPr>
        <w:pStyle w:val="BodyText"/>
      </w:pPr>
      <w:r w:rsidRPr="004D3C47">
        <w:t>LID is a stormwater management and land development strategy that combines a hydrologically functional site design with pollution prevention measures to compensate for land development impacts on hydrology and water quality. LID techniques mimic the site predevelopment hydrology by using site design techniques that store, infiltrate, evapotranspire, biofilter, or detain runoff close to its source. Source control BMPs reduce the potential for pollutants to enter runoff and are classified in two categories—structural and nonstructural. Structural source control BMPs have a physical or structural component, such as inlet trash racks, trash bin covers, and an efficient irrigation system, to prevent pollutants from contacting stormwater runoff. Nonstructural source control BMPs are procedures or practices used in project operation, such as stormwater training or trash management and litter control practices.</w:t>
      </w:r>
    </w:p>
    <w:p w14:paraId="298BC06B" w14:textId="291720E8" w:rsidR="004D04B1" w:rsidRPr="00E951EF" w:rsidRDefault="004D04B1" w:rsidP="004D04B1">
      <w:pPr>
        <w:pStyle w:val="BodyText"/>
      </w:pPr>
      <w:r w:rsidRPr="00E951EF">
        <w:t>According to the LID Plan, the proposed project is a priority project defined as a new development project that will create more than 5,000 SF of new impervious surface with more than 25 new parking spaces. Priority projects are required to retain 100 percent of the Stormwater Quality Design Volume (SWQDv)</w:t>
      </w:r>
      <w:r w:rsidRPr="00E951EF">
        <w:rPr>
          <w:vertAlign w:val="superscript"/>
        </w:rPr>
        <w:footnoteReference w:id="20"/>
      </w:r>
      <w:r w:rsidRPr="00E951EF">
        <w:t xml:space="preserve"> on</w:t>
      </w:r>
      <w:r w:rsidR="00C96EDC">
        <w:t>-</w:t>
      </w:r>
      <w:r w:rsidRPr="00E951EF">
        <w:t xml:space="preserve">site through infiltration, evapotranspiration, stormwater runoff harvest and use, or a combination thereof. </w:t>
      </w:r>
    </w:p>
    <w:p w14:paraId="7161A062" w14:textId="56BDF16C" w:rsidR="004D04B1" w:rsidRPr="00F97727" w:rsidRDefault="004D04B1" w:rsidP="004D04B1">
      <w:pPr>
        <w:pStyle w:val="BodyText"/>
        <w:rPr>
          <w:color w:val="4F81BD" w:themeColor="accent1"/>
        </w:rPr>
      </w:pPr>
      <w:r w:rsidRPr="00E951EF">
        <w:t xml:space="preserve">To meet the requirements of the MS4 permit and the LID Standards Manual, and in accordance with Chapter 8.28, </w:t>
      </w:r>
      <w:r w:rsidRPr="00C96EDC">
        <w:t>Storm Water and Urban Runoff Pollution,</w:t>
      </w:r>
      <w:r w:rsidRPr="00E951EF">
        <w:t xml:space="preserve"> of the City’s </w:t>
      </w:r>
      <w:r w:rsidR="00C96EDC" w:rsidRPr="00E951EF">
        <w:t>municipal code</w:t>
      </w:r>
      <w:r w:rsidRPr="00E951EF">
        <w:t xml:space="preserve">, the project applicant prepared a LID Plan for City review (Appendix </w:t>
      </w:r>
      <w:r w:rsidRPr="00215323">
        <w:t>F</w:t>
      </w:r>
      <w:r w:rsidRPr="00E951EF">
        <w:t xml:space="preserve">). The LID Plan specifies BMPs that would be implemented to minimize water pollution from the project site during the operation phase. BMPs identified in the LID Plan include source </w:t>
      </w:r>
      <w:r w:rsidRPr="00026FC1">
        <w:t xml:space="preserve">control measures and </w:t>
      </w:r>
      <w:bookmarkStart w:id="177" w:name="_Hlk4077458"/>
      <w:r w:rsidRPr="00026FC1">
        <w:t>stormwater quality control measures</w:t>
      </w:r>
      <w:bookmarkEnd w:id="177"/>
      <w:r w:rsidRPr="00026FC1">
        <w:t>. A detailed list of the BMPs and discussion of how they were selected based on their effectiveness to address and mitigate the proposed project’s pollutants of concern are provided in the LID Plan. The final BMPs to be implemented for the proposed project would be determined through the City’s review of the final LID Plan during the City’s development review and building plan check process.</w:t>
      </w:r>
    </w:p>
    <w:p w14:paraId="4952D5CC" w14:textId="22097A7A" w:rsidR="004D04B1" w:rsidRPr="00026FC1" w:rsidRDefault="004D04B1" w:rsidP="004D04B1">
      <w:pPr>
        <w:pStyle w:val="BodyText"/>
      </w:pPr>
      <w:r w:rsidRPr="00026FC1">
        <w:t xml:space="preserve">The project site is developed land and heavily disturbed except for </w:t>
      </w:r>
      <w:r>
        <w:t xml:space="preserve">the </w:t>
      </w:r>
      <w:r w:rsidRPr="00026FC1">
        <w:t xml:space="preserve">southeastern area of the site </w:t>
      </w:r>
      <w:r>
        <w:t xml:space="preserve">which </w:t>
      </w:r>
      <w:r w:rsidRPr="00026FC1">
        <w:t xml:space="preserve">is vacant and undeveloped. The ground surface cover in this area consists of exposed soil with moderate to extensive native grass and weed </w:t>
      </w:r>
      <w:r w:rsidRPr="00F55635">
        <w:t>growth. The site is relatively flat with gentle southerly slopes. Presently, a small portion on the north side of the property (Subarea A-1)</w:t>
      </w:r>
      <w:r>
        <w:t xml:space="preserve"> drains to Big Dalton wash through overland sheet flow (</w:t>
      </w:r>
      <w:r w:rsidRPr="00F55635">
        <w:t xml:space="preserve">see </w:t>
      </w:r>
      <w:bookmarkStart w:id="178" w:name="_Hlk86828348"/>
      <w:r w:rsidRPr="00F55635">
        <w:t xml:space="preserve">Figure 10, </w:t>
      </w:r>
      <w:r w:rsidRPr="00F55635">
        <w:rPr>
          <w:i/>
          <w:iCs/>
        </w:rPr>
        <w:t>Existing Hydrology Map</w:t>
      </w:r>
      <w:bookmarkEnd w:id="178"/>
      <w:r w:rsidRPr="00F55635">
        <w:t>). Runoff from the remaining portion of the property concentrates at two locations and ultimately discharge to the existing 36-inch storm drain under Los Angeles Street. Two drainage subareas (Subareas B-2 and B-3) discharge to two on</w:t>
      </w:r>
      <w:r w:rsidR="00C96EDC">
        <w:t>-</w:t>
      </w:r>
      <w:r w:rsidRPr="00F55635">
        <w:t xml:space="preserve">site points as shown in Figure </w:t>
      </w:r>
      <w:r>
        <w:t>10</w:t>
      </w:r>
      <w:r w:rsidRPr="00F55635">
        <w:t xml:space="preserve">, </w:t>
      </w:r>
      <w:r w:rsidRPr="00F55635">
        <w:rPr>
          <w:i/>
          <w:iCs/>
        </w:rPr>
        <w:t>Existing Conditions Hydrology Map</w:t>
      </w:r>
      <w:r w:rsidRPr="00F55635">
        <w:t>. There are no off</w:t>
      </w:r>
      <w:r w:rsidR="00C96EDC">
        <w:t>-</w:t>
      </w:r>
      <w:r w:rsidRPr="00F55635">
        <w:t>site run-on flows.</w:t>
      </w:r>
    </w:p>
    <w:p w14:paraId="09E0D93E" w14:textId="6D1908CC" w:rsidR="004D04B1" w:rsidRPr="00FE64A5" w:rsidRDefault="004D04B1" w:rsidP="004D04B1">
      <w:pPr>
        <w:pStyle w:val="BodyText"/>
      </w:pPr>
      <w:r w:rsidRPr="00FE64A5">
        <w:t>The proposed project would include seven new onsite storm drain inlets that collect all the on</w:t>
      </w:r>
      <w:r w:rsidR="00C96EDC">
        <w:t>-</w:t>
      </w:r>
      <w:r w:rsidRPr="00FE64A5">
        <w:t>site stormwater. For pretreatment of stormwater runoff, the proposed project would u</w:t>
      </w:r>
      <w:r w:rsidR="00C96EDC">
        <w:t>s</w:t>
      </w:r>
      <w:r w:rsidRPr="00FE64A5">
        <w:t>e catch basin filters and continuous deflective separator (CDS) units. Catch basin filters are insertable systems designed to capture fine to coarse sediments, floatable trash, debris, total suspended solids, nutrients, metals, and hydrocarbons conveyed in stormwater runoff. The catch basin filters would be installed in the proposed on</w:t>
      </w:r>
      <w:r w:rsidR="00C96EDC">
        <w:t>-</w:t>
      </w:r>
      <w:r w:rsidRPr="00FE64A5">
        <w:t>site curb opening and grated type catch basins and would treat the Stormwater Quality Design Flow (SWQDf)</w:t>
      </w:r>
      <w:r w:rsidR="00FE59B8">
        <w:t>.</w:t>
      </w:r>
      <w:r w:rsidRPr="00FE64A5">
        <w:rPr>
          <w:rStyle w:val="FootnoteReference"/>
        </w:rPr>
        <w:footnoteReference w:id="21"/>
      </w:r>
      <w:r w:rsidRPr="00FE64A5">
        <w:t xml:space="preserve"> The catch basin filters also meet the full capture requirement for flows from a 1-year, 1-hour storm event</w:t>
      </w:r>
      <w:r w:rsidR="00FE59B8">
        <w:t>,</w:t>
      </w:r>
      <w:r w:rsidRPr="00FE64A5">
        <w:t xml:space="preserve"> as directed in the California State Water Resources Control Board Trash Policy, Resolution No. 2015-0019. </w:t>
      </w:r>
    </w:p>
    <w:p w14:paraId="11FAC2BE" w14:textId="38D5875C" w:rsidR="004D04B1" w:rsidRDefault="004D04B1" w:rsidP="004D04B1">
      <w:pPr>
        <w:pStyle w:val="BodyText"/>
      </w:pPr>
      <w:r w:rsidRPr="00FE64A5">
        <w:t xml:space="preserve">Once the initial flows pass through the filters, </w:t>
      </w:r>
      <w:r>
        <w:t>runoff</w:t>
      </w:r>
      <w:r w:rsidRPr="00FE64A5">
        <w:t xml:space="preserve"> would be directed into two proposed CDS units prior to discharging into two on</w:t>
      </w:r>
      <w:r w:rsidR="00FE59B8">
        <w:t>-</w:t>
      </w:r>
      <w:r w:rsidRPr="00FE64A5">
        <w:t>site infiltration trenches. The CDS units separate suspended solids, hydrocarbons, and trash from stormwater runoff</w:t>
      </w:r>
      <w:r>
        <w:t xml:space="preserve"> and are sized to treat the SWQDf</w:t>
      </w:r>
      <w:r w:rsidRPr="00FE64A5">
        <w:t xml:space="preserve">. </w:t>
      </w:r>
      <w:r>
        <w:t>F</w:t>
      </w:r>
      <w:r w:rsidRPr="00FE64A5">
        <w:t xml:space="preserve">inal treatment would be accomplished with the proposed infiltration trenches. </w:t>
      </w:r>
      <w:r>
        <w:t xml:space="preserve">To determine the feasibility of the use of stormwater infiltration BMPs, percolation testing was performed on the project site. The results indicated that infiltration of stormwater was feasible and recommended for the proposed project (see Appendix F). </w:t>
      </w:r>
      <w:r w:rsidRPr="00FE64A5">
        <w:t xml:space="preserve">As shown in </w:t>
      </w:r>
      <w:bookmarkStart w:id="179" w:name="_Hlk86828411"/>
      <w:r w:rsidRPr="00FE64A5">
        <w:t xml:space="preserve">Figure 11, </w:t>
      </w:r>
      <w:r w:rsidRPr="00FE64A5">
        <w:rPr>
          <w:i/>
          <w:iCs/>
        </w:rPr>
        <w:t>Proposed Condition Hydrology Map</w:t>
      </w:r>
      <w:bookmarkEnd w:id="179"/>
      <w:r w:rsidRPr="00FE64A5">
        <w:t xml:space="preserve">, the project site </w:t>
      </w:r>
      <w:bookmarkStart w:id="180" w:name="_Hlk84421807"/>
      <w:r w:rsidRPr="00FE64A5">
        <w:t>would include two treatment trains.</w:t>
      </w:r>
      <w:r w:rsidR="00BE3122">
        <w:rPr>
          <w:rStyle w:val="FootnoteReference"/>
        </w:rPr>
        <w:footnoteReference w:id="22"/>
      </w:r>
      <w:r w:rsidRPr="00FE64A5">
        <w:t xml:space="preserve"> The proposed project eliminates on</w:t>
      </w:r>
      <w:r w:rsidR="00FE59B8">
        <w:t>-</w:t>
      </w:r>
      <w:r w:rsidRPr="00FE64A5">
        <w:t>site drainage to Big Dalton wash.</w:t>
      </w:r>
      <w:r>
        <w:t xml:space="preserve"> </w:t>
      </w:r>
      <w:bookmarkEnd w:id="180"/>
    </w:p>
    <w:p w14:paraId="5C0DB4BC" w14:textId="72E00217" w:rsidR="004D04B1" w:rsidRDefault="004D04B1" w:rsidP="004D04B1">
      <w:pPr>
        <w:pStyle w:val="BodyText"/>
      </w:pPr>
      <w:r>
        <w:t>Table 1</w:t>
      </w:r>
      <w:r w:rsidR="00305F41">
        <w:t>5</w:t>
      </w:r>
      <w:r>
        <w:t xml:space="preserve"> shows the required SWQDv for the proposed project and the provided SWQDv. As shown in the table, the BMPs are adequately sized to treat on</w:t>
      </w:r>
      <w:r w:rsidR="00FE59B8">
        <w:t>-</w:t>
      </w:r>
      <w:r>
        <w:t xml:space="preserve">site runoff per the MS4 permit and the County’s </w:t>
      </w:r>
      <w:r w:rsidRPr="00144F6D">
        <w:t>LID Standards Manual</w:t>
      </w:r>
      <w:r>
        <w:t>.</w:t>
      </w:r>
    </w:p>
    <w:tbl>
      <w:tblPr>
        <w:tblStyle w:val="TableGrid"/>
        <w:tblW w:w="9360" w:type="dxa"/>
        <w:jc w:val="center"/>
        <w:tblLook w:val="04A0" w:firstRow="1" w:lastRow="0" w:firstColumn="1" w:lastColumn="0" w:noHBand="0" w:noVBand="1"/>
      </w:tblPr>
      <w:tblGrid>
        <w:gridCol w:w="2070"/>
        <w:gridCol w:w="2070"/>
        <w:gridCol w:w="2187"/>
        <w:gridCol w:w="3033"/>
      </w:tblGrid>
      <w:tr w:rsidR="004D04B1" w:rsidRPr="006C1388" w14:paraId="423B5E9A" w14:textId="77777777" w:rsidTr="00432DB2">
        <w:trPr>
          <w:trHeight w:val="288"/>
          <w:jc w:val="center"/>
        </w:trPr>
        <w:tc>
          <w:tcPr>
            <w:tcW w:w="9360" w:type="dxa"/>
            <w:gridSpan w:val="4"/>
            <w:tcBorders>
              <w:top w:val="nil"/>
              <w:left w:val="nil"/>
              <w:bottom w:val="single" w:sz="12" w:space="0" w:color="auto"/>
              <w:right w:val="nil"/>
            </w:tcBorders>
            <w:vAlign w:val="bottom"/>
          </w:tcPr>
          <w:p w14:paraId="14DB759A" w14:textId="0D17285A" w:rsidR="004D04B1" w:rsidRPr="004D053B" w:rsidRDefault="004D04B1" w:rsidP="00432DB2">
            <w:pPr>
              <w:pStyle w:val="TblTitles"/>
            </w:pPr>
            <w:bookmarkStart w:id="181" w:name="_Toc90882261"/>
            <w:r>
              <w:t>Table 15</w:t>
            </w:r>
            <w:r w:rsidR="006E2046">
              <w:tab/>
            </w:r>
            <w:r>
              <w:t>Proposed Development Infiltration BMPs</w:t>
            </w:r>
            <w:bookmarkEnd w:id="181"/>
          </w:p>
        </w:tc>
      </w:tr>
      <w:tr w:rsidR="004D04B1" w:rsidRPr="006C1388" w14:paraId="01591731" w14:textId="77777777" w:rsidTr="00432DB2">
        <w:trPr>
          <w:trHeight w:val="288"/>
          <w:jc w:val="center"/>
        </w:trPr>
        <w:tc>
          <w:tcPr>
            <w:tcW w:w="2070" w:type="dxa"/>
            <w:tcBorders>
              <w:top w:val="single" w:sz="12" w:space="0" w:color="auto"/>
              <w:left w:val="nil"/>
              <w:bottom w:val="single" w:sz="12" w:space="0" w:color="auto"/>
            </w:tcBorders>
            <w:vAlign w:val="center"/>
          </w:tcPr>
          <w:p w14:paraId="7AA9029F" w14:textId="77777777" w:rsidR="004D04B1" w:rsidRPr="0006795A" w:rsidRDefault="004D04B1" w:rsidP="00432DB2">
            <w:pPr>
              <w:pStyle w:val="TblColumnHeads"/>
              <w:jc w:val="left"/>
            </w:pPr>
            <w:r>
              <w:t>Treatment Control BMP</w:t>
            </w:r>
          </w:p>
        </w:tc>
        <w:tc>
          <w:tcPr>
            <w:tcW w:w="2070" w:type="dxa"/>
            <w:tcBorders>
              <w:top w:val="single" w:sz="12" w:space="0" w:color="auto"/>
              <w:bottom w:val="single" w:sz="12" w:space="0" w:color="auto"/>
              <w:right w:val="nil"/>
            </w:tcBorders>
            <w:vAlign w:val="center"/>
          </w:tcPr>
          <w:p w14:paraId="40D6954F" w14:textId="77777777" w:rsidR="004D04B1" w:rsidRPr="00FD6DE5" w:rsidRDefault="004D04B1" w:rsidP="00432DB2">
            <w:pPr>
              <w:pStyle w:val="TblColumnHeads"/>
            </w:pPr>
            <w:r w:rsidRPr="00FD6DE5">
              <w:t>Required SWQDv</w:t>
            </w:r>
          </w:p>
        </w:tc>
        <w:tc>
          <w:tcPr>
            <w:tcW w:w="2187" w:type="dxa"/>
            <w:tcBorders>
              <w:top w:val="single" w:sz="12" w:space="0" w:color="auto"/>
              <w:bottom w:val="single" w:sz="12" w:space="0" w:color="auto"/>
              <w:right w:val="nil"/>
            </w:tcBorders>
            <w:vAlign w:val="center"/>
          </w:tcPr>
          <w:p w14:paraId="032AC1CF" w14:textId="77777777" w:rsidR="004D04B1" w:rsidRPr="00FD6DE5" w:rsidRDefault="004D04B1" w:rsidP="00432DB2">
            <w:pPr>
              <w:pStyle w:val="TblColumnHeads"/>
            </w:pPr>
            <w:r>
              <w:t>Provided SWQDv</w:t>
            </w:r>
          </w:p>
        </w:tc>
        <w:tc>
          <w:tcPr>
            <w:tcW w:w="3033" w:type="dxa"/>
            <w:tcBorders>
              <w:top w:val="single" w:sz="12" w:space="0" w:color="auto"/>
              <w:bottom w:val="single" w:sz="12" w:space="0" w:color="auto"/>
              <w:right w:val="nil"/>
            </w:tcBorders>
            <w:vAlign w:val="center"/>
          </w:tcPr>
          <w:p w14:paraId="1A59C7F7" w14:textId="77777777" w:rsidR="004D04B1" w:rsidRPr="00FD6DE5" w:rsidRDefault="004D04B1" w:rsidP="00432DB2">
            <w:pPr>
              <w:pStyle w:val="TblColumnHeads"/>
            </w:pPr>
            <w:r>
              <w:t>Provided Infiltration Area</w:t>
            </w:r>
          </w:p>
        </w:tc>
      </w:tr>
      <w:tr w:rsidR="004D04B1" w:rsidRPr="006C1388" w14:paraId="7A38A96D" w14:textId="77777777" w:rsidTr="00AD2D1F">
        <w:trPr>
          <w:trHeight w:val="331"/>
          <w:jc w:val="center"/>
        </w:trPr>
        <w:tc>
          <w:tcPr>
            <w:tcW w:w="2070" w:type="dxa"/>
            <w:tcBorders>
              <w:top w:val="single" w:sz="12" w:space="0" w:color="auto"/>
              <w:left w:val="nil"/>
              <w:bottom w:val="single" w:sz="4" w:space="0" w:color="auto"/>
            </w:tcBorders>
            <w:vAlign w:val="center"/>
          </w:tcPr>
          <w:p w14:paraId="51DB6FB7" w14:textId="77777777" w:rsidR="004D04B1" w:rsidRPr="00D77198" w:rsidRDefault="004D04B1" w:rsidP="00432DB2">
            <w:pPr>
              <w:pStyle w:val="TblTxthanging"/>
            </w:pPr>
            <w:r>
              <w:t>Western Infiltration Trench</w:t>
            </w:r>
          </w:p>
        </w:tc>
        <w:tc>
          <w:tcPr>
            <w:tcW w:w="2070" w:type="dxa"/>
            <w:tcBorders>
              <w:top w:val="single" w:sz="12" w:space="0" w:color="auto"/>
              <w:bottom w:val="single" w:sz="4" w:space="0" w:color="auto"/>
              <w:right w:val="nil"/>
            </w:tcBorders>
            <w:vAlign w:val="center"/>
          </w:tcPr>
          <w:p w14:paraId="6A59B32B" w14:textId="77777777" w:rsidR="004D04B1" w:rsidRPr="00B744FC" w:rsidRDefault="004D04B1" w:rsidP="00432DB2">
            <w:pPr>
              <w:pStyle w:val="TblTxtCenter"/>
            </w:pPr>
            <w:r>
              <w:t>8,941 cubic feet</w:t>
            </w:r>
          </w:p>
        </w:tc>
        <w:tc>
          <w:tcPr>
            <w:tcW w:w="2187" w:type="dxa"/>
            <w:tcBorders>
              <w:top w:val="single" w:sz="12" w:space="0" w:color="auto"/>
              <w:bottom w:val="single" w:sz="4" w:space="0" w:color="auto"/>
              <w:right w:val="nil"/>
            </w:tcBorders>
            <w:vAlign w:val="center"/>
          </w:tcPr>
          <w:p w14:paraId="0E3B6F50" w14:textId="77777777" w:rsidR="004D04B1" w:rsidRPr="00B744FC" w:rsidRDefault="004D04B1" w:rsidP="00432DB2">
            <w:pPr>
              <w:pStyle w:val="TblTxtCenter"/>
            </w:pPr>
            <w:r>
              <w:t>13,044 cubic feet</w:t>
            </w:r>
          </w:p>
        </w:tc>
        <w:tc>
          <w:tcPr>
            <w:tcW w:w="3033" w:type="dxa"/>
            <w:tcBorders>
              <w:top w:val="single" w:sz="12" w:space="0" w:color="auto"/>
              <w:bottom w:val="single" w:sz="4" w:space="0" w:color="auto"/>
              <w:right w:val="nil"/>
            </w:tcBorders>
            <w:vAlign w:val="center"/>
          </w:tcPr>
          <w:p w14:paraId="1929F8C0" w14:textId="77777777" w:rsidR="004D04B1" w:rsidRPr="00B744FC" w:rsidRDefault="004D04B1" w:rsidP="00432DB2">
            <w:pPr>
              <w:pStyle w:val="TblTxtCenter"/>
            </w:pPr>
            <w:r>
              <w:t>3,725 square feet</w:t>
            </w:r>
          </w:p>
        </w:tc>
      </w:tr>
      <w:tr w:rsidR="004D04B1" w:rsidRPr="006C1388" w14:paraId="48662493" w14:textId="77777777" w:rsidTr="00AD2D1F">
        <w:trPr>
          <w:trHeight w:val="331"/>
          <w:jc w:val="center"/>
        </w:trPr>
        <w:tc>
          <w:tcPr>
            <w:tcW w:w="2070" w:type="dxa"/>
            <w:tcBorders>
              <w:top w:val="single" w:sz="4" w:space="0" w:color="auto"/>
              <w:left w:val="nil"/>
              <w:bottom w:val="single" w:sz="12" w:space="0" w:color="auto"/>
            </w:tcBorders>
            <w:vAlign w:val="center"/>
          </w:tcPr>
          <w:p w14:paraId="6AC8A5F8" w14:textId="77777777" w:rsidR="004D04B1" w:rsidRDefault="004D04B1" w:rsidP="00432DB2">
            <w:pPr>
              <w:pStyle w:val="TblTxthanging"/>
            </w:pPr>
            <w:r>
              <w:t>Eastern Infiltration Trench</w:t>
            </w:r>
          </w:p>
        </w:tc>
        <w:tc>
          <w:tcPr>
            <w:tcW w:w="2070" w:type="dxa"/>
            <w:tcBorders>
              <w:top w:val="single" w:sz="4" w:space="0" w:color="auto"/>
              <w:bottom w:val="single" w:sz="12" w:space="0" w:color="auto"/>
              <w:right w:val="nil"/>
            </w:tcBorders>
            <w:vAlign w:val="center"/>
          </w:tcPr>
          <w:p w14:paraId="2E94002C" w14:textId="77777777" w:rsidR="004D04B1" w:rsidRDefault="004D04B1" w:rsidP="00432DB2">
            <w:pPr>
              <w:pStyle w:val="TblTxtCenter"/>
            </w:pPr>
            <w:r>
              <w:t>9,570 cubic feet</w:t>
            </w:r>
          </w:p>
        </w:tc>
        <w:tc>
          <w:tcPr>
            <w:tcW w:w="2187" w:type="dxa"/>
            <w:tcBorders>
              <w:top w:val="single" w:sz="4" w:space="0" w:color="auto"/>
              <w:bottom w:val="single" w:sz="12" w:space="0" w:color="auto"/>
              <w:right w:val="nil"/>
            </w:tcBorders>
            <w:vAlign w:val="center"/>
          </w:tcPr>
          <w:p w14:paraId="7ED7732B" w14:textId="77777777" w:rsidR="004D04B1" w:rsidRDefault="004D04B1" w:rsidP="00432DB2">
            <w:pPr>
              <w:pStyle w:val="TblTxtCenter"/>
            </w:pPr>
            <w:r>
              <w:t>13,377 cubic feet</w:t>
            </w:r>
          </w:p>
        </w:tc>
        <w:tc>
          <w:tcPr>
            <w:tcW w:w="3033" w:type="dxa"/>
            <w:tcBorders>
              <w:top w:val="single" w:sz="4" w:space="0" w:color="auto"/>
              <w:bottom w:val="single" w:sz="12" w:space="0" w:color="auto"/>
              <w:right w:val="nil"/>
            </w:tcBorders>
            <w:vAlign w:val="center"/>
          </w:tcPr>
          <w:p w14:paraId="2A6A3AFF" w14:textId="77777777" w:rsidR="004D04B1" w:rsidRDefault="004D04B1" w:rsidP="00432DB2">
            <w:pPr>
              <w:pStyle w:val="TblTxtCenter"/>
            </w:pPr>
            <w:r>
              <w:t>4,060 square feet</w:t>
            </w:r>
          </w:p>
        </w:tc>
      </w:tr>
      <w:tr w:rsidR="004D04B1" w:rsidRPr="006C1388" w14:paraId="4033459A" w14:textId="77777777" w:rsidTr="003226DA">
        <w:trPr>
          <w:jc w:val="center"/>
        </w:trPr>
        <w:tc>
          <w:tcPr>
            <w:tcW w:w="9360" w:type="dxa"/>
            <w:gridSpan w:val="4"/>
            <w:tcBorders>
              <w:top w:val="single" w:sz="12" w:space="0" w:color="auto"/>
              <w:left w:val="nil"/>
              <w:bottom w:val="single" w:sz="12" w:space="0" w:color="auto"/>
              <w:right w:val="nil"/>
            </w:tcBorders>
          </w:tcPr>
          <w:p w14:paraId="1195F060" w14:textId="79983154" w:rsidR="004D04B1" w:rsidRPr="00FD6DE5" w:rsidRDefault="004D04B1" w:rsidP="00432DB2">
            <w:pPr>
              <w:pStyle w:val="TblSourcesNotes"/>
              <w:rPr>
                <w:rFonts w:eastAsia="Batang"/>
              </w:rPr>
            </w:pPr>
            <w:r w:rsidRPr="0006795A">
              <w:t xml:space="preserve">Source: </w:t>
            </w:r>
            <w:r>
              <w:rPr>
                <w:rFonts w:eastAsia="Batang"/>
              </w:rPr>
              <w:t>The G4 Group 2021</w:t>
            </w:r>
          </w:p>
        </w:tc>
      </w:tr>
    </w:tbl>
    <w:p w14:paraId="0A01FDAA" w14:textId="77777777" w:rsidR="004D04B1" w:rsidRDefault="004D04B1" w:rsidP="004D04B1">
      <w:pPr>
        <w:pStyle w:val="BodyText"/>
      </w:pPr>
    </w:p>
    <w:p w14:paraId="096D18A3" w14:textId="69C8AE44" w:rsidR="004D04B1" w:rsidRPr="007B70A0" w:rsidRDefault="004D04B1" w:rsidP="004D04B1">
      <w:pPr>
        <w:pStyle w:val="BodyText"/>
      </w:pPr>
      <w:r w:rsidRPr="007B70A0">
        <w:t xml:space="preserve">Additionally, </w:t>
      </w:r>
      <w:r>
        <w:t>the proposed project was designed to minimize the amount of impermeable coverage possible while maximizing the amount of permeable landscape area. S</w:t>
      </w:r>
      <w:r w:rsidRPr="007B70A0">
        <w:t>ource control BMPs</w:t>
      </w:r>
      <w:r>
        <w:t>, as</w:t>
      </w:r>
      <w:r w:rsidRPr="007B70A0">
        <w:t xml:space="preserve"> shown in Section IV of the LID Plan (see Appendix </w:t>
      </w:r>
      <w:r w:rsidRPr="00215323">
        <w:t>F</w:t>
      </w:r>
      <w:r w:rsidRPr="007B70A0">
        <w:t>)</w:t>
      </w:r>
      <w:r>
        <w:t xml:space="preserve"> would also be </w:t>
      </w:r>
      <w:r w:rsidR="00215323">
        <w:t>implemented</w:t>
      </w:r>
      <w:r w:rsidR="00FE59B8">
        <w:t>,</w:t>
      </w:r>
      <w:r w:rsidR="00215323">
        <w:t xml:space="preserve"> </w:t>
      </w:r>
      <w:r w:rsidR="00215323" w:rsidRPr="007B70A0">
        <w:t>and</w:t>
      </w:r>
      <w:r w:rsidRPr="007B70A0">
        <w:t xml:space="preserve"> a separate Operation &amp; Maintenance Plan has been prepared for the project, a copy of which would remain on</w:t>
      </w:r>
      <w:r w:rsidR="00FE59B8">
        <w:t>-</w:t>
      </w:r>
      <w:r w:rsidRPr="007B70A0">
        <w:t>site and in the possession of the designated responsible maintenance individual. All proposed drainage system improvements would require City approval.</w:t>
      </w:r>
    </w:p>
    <w:p w14:paraId="264DE0A2" w14:textId="08FA7A38" w:rsidR="004D04B1" w:rsidRPr="00D71ABD" w:rsidRDefault="004D04B1" w:rsidP="00215323">
      <w:pPr>
        <w:pStyle w:val="BodyText"/>
      </w:pPr>
      <w:r w:rsidRPr="004D3C47">
        <w:t>Based on the preceding, no significant water quality and waste-discharge impacts from project operation activities would occur</w:t>
      </w:r>
      <w:r w:rsidR="00FE59B8">
        <w:t>,</w:t>
      </w:r>
      <w:r w:rsidRPr="004D3C47">
        <w:t xml:space="preserve"> and no mitigation measures are necessary.</w:t>
      </w:r>
    </w:p>
    <w:p w14:paraId="5DA18F95" w14:textId="77777777" w:rsidR="00D10CF6" w:rsidRDefault="00E3025D" w:rsidP="00E3025D">
      <w:pPr>
        <w:pStyle w:val="List"/>
      </w:pPr>
      <w:r w:rsidRPr="00E3025D">
        <w:t>Substantially decrease groundwater supplies or interfere substantially with groundwater recharge such that the project may impede sustainable groundwater management of the basin</w:t>
      </w:r>
      <w:r w:rsidR="00D10CF6">
        <w:t>?</w:t>
      </w:r>
    </w:p>
    <w:p w14:paraId="1A0E2E3C" w14:textId="77777777" w:rsidR="006E6427" w:rsidRPr="006E6427" w:rsidRDefault="006E6427" w:rsidP="001A177C">
      <w:pPr>
        <w:pStyle w:val="BodyText"/>
        <w:rPr>
          <w:color w:val="4F81BD" w:themeColor="accent1"/>
        </w:rPr>
      </w:pPr>
      <w:r w:rsidRPr="00617ACC">
        <w:rPr>
          <w:rStyle w:val="BodyTextBoldChar"/>
        </w:rPr>
        <w:t>Less Than Significant Impact.</w:t>
      </w:r>
      <w:r w:rsidRPr="00617ACC">
        <w:t xml:space="preserve"> </w:t>
      </w:r>
      <w:r w:rsidRPr="001A177C">
        <w:t xml:space="preserve">The project site is over the </w:t>
      </w:r>
      <w:r w:rsidR="0093384D">
        <w:t xml:space="preserve">Main </w:t>
      </w:r>
      <w:r w:rsidRPr="001A177C">
        <w:t xml:space="preserve">San Gabriel Valley Groundwater Basin. </w:t>
      </w:r>
      <w:r w:rsidR="00DA4ACF">
        <w:t xml:space="preserve">The </w:t>
      </w:r>
      <w:r w:rsidR="00DA4ACF" w:rsidRPr="00DA4ACF">
        <w:t xml:space="preserve">Valley County Water District </w:t>
      </w:r>
      <w:r w:rsidRPr="001A177C">
        <w:t xml:space="preserve">would provide potable water to the project site. The </w:t>
      </w:r>
      <w:r w:rsidR="001A177C" w:rsidRPr="001A177C">
        <w:t>VCWD</w:t>
      </w:r>
      <w:r w:rsidRPr="001A177C">
        <w:t xml:space="preserve">’s water sources include </w:t>
      </w:r>
      <w:r w:rsidR="001A177C" w:rsidRPr="001A177C">
        <w:t xml:space="preserve">groundwater from the </w:t>
      </w:r>
      <w:r w:rsidR="0093384D">
        <w:t xml:space="preserve">Main </w:t>
      </w:r>
      <w:r w:rsidR="001A177C" w:rsidRPr="001A177C">
        <w:t>San Gabriel Groundwater Basin, the Covina Irrigating Company (CIC), and imported water from the Metropolitan Water District of Southern California (MWD)</w:t>
      </w:r>
      <w:r w:rsidRPr="001A177C">
        <w:t xml:space="preserve">. Groundwater </w:t>
      </w:r>
      <w:r w:rsidR="00951385">
        <w:t xml:space="preserve">has </w:t>
      </w:r>
      <w:r w:rsidRPr="001A177C">
        <w:t xml:space="preserve">historically accounted for approximately </w:t>
      </w:r>
      <w:r w:rsidR="001A177C" w:rsidRPr="001A177C">
        <w:t>9</w:t>
      </w:r>
      <w:r w:rsidR="00426866">
        <w:t>3</w:t>
      </w:r>
      <w:r w:rsidRPr="001A177C">
        <w:t xml:space="preserve"> percent of the City’s overall water supplies</w:t>
      </w:r>
      <w:r w:rsidR="009F0833">
        <w:t xml:space="preserve"> </w:t>
      </w:r>
      <w:r w:rsidR="009F0833" w:rsidRPr="001A177C">
        <w:t>(VCWD 2017)</w:t>
      </w:r>
      <w:r w:rsidR="005E2DAA">
        <w:t>, but it</w:t>
      </w:r>
      <w:r w:rsidR="009F0833" w:rsidRPr="009F0833">
        <w:t xml:space="preserve"> has accounted for 100 percent of the </w:t>
      </w:r>
      <w:r w:rsidR="009F0833">
        <w:t>VCWD</w:t>
      </w:r>
      <w:r w:rsidR="009F0833" w:rsidRPr="009F0833">
        <w:t xml:space="preserve">’s overall water supplies in the past </w:t>
      </w:r>
      <w:r w:rsidR="005E2DAA">
        <w:t>five</w:t>
      </w:r>
      <w:r w:rsidR="005E2DAA" w:rsidRPr="009F0833">
        <w:t xml:space="preserve"> </w:t>
      </w:r>
      <w:r w:rsidR="009F0833" w:rsidRPr="009F0833">
        <w:t>years (</w:t>
      </w:r>
      <w:r w:rsidR="007B34B1" w:rsidRPr="007B34B1">
        <w:t>Mortenson</w:t>
      </w:r>
      <w:r w:rsidR="009F0833" w:rsidRPr="009F0833">
        <w:t xml:space="preserve"> 2021). </w:t>
      </w:r>
    </w:p>
    <w:p w14:paraId="3B8E1C52" w14:textId="77777777" w:rsidR="00F1091F" w:rsidRDefault="00F1091F">
      <w:pPr>
        <w:rPr>
          <w:rFonts w:ascii="Arial Narrow" w:hAnsi="Arial Narrow"/>
          <w:b/>
          <w:kern w:val="20"/>
          <w:szCs w:val="20"/>
        </w:rPr>
      </w:pPr>
      <w:r>
        <w:br w:type="page"/>
      </w:r>
    </w:p>
    <w:p w14:paraId="798A42AE" w14:textId="7D22CFE2" w:rsidR="008614BA" w:rsidRDefault="008614BA" w:rsidP="008614BA">
      <w:pPr>
        <w:pStyle w:val="FigureTitle"/>
      </w:pPr>
      <w:bookmarkStart w:id="182" w:name="_Toc90882226"/>
      <w:r>
        <w:t>Figure 10</w:t>
      </w:r>
      <w:r>
        <w:tab/>
      </w:r>
      <w:r w:rsidRPr="00A53F56">
        <w:t>Existing Hydrology Map</w:t>
      </w:r>
      <w:bookmarkEnd w:id="182"/>
    </w:p>
    <w:p w14:paraId="482D0B77" w14:textId="77777777" w:rsidR="008614BA" w:rsidRDefault="008614BA" w:rsidP="008614BA">
      <w:pPr>
        <w:rPr>
          <w:i/>
          <w:iCs/>
          <w:kern w:val="20"/>
          <w:szCs w:val="20"/>
        </w:rPr>
      </w:pPr>
      <w:r>
        <w:rPr>
          <w:i/>
          <w:iCs/>
        </w:rPr>
        <w:br w:type="page"/>
      </w:r>
    </w:p>
    <w:p w14:paraId="031DB09F" w14:textId="77777777" w:rsidR="008614BA" w:rsidRDefault="008614BA" w:rsidP="008614BA">
      <w:pPr>
        <w:pStyle w:val="BodyTextItalic"/>
      </w:pPr>
      <w:r>
        <w:t>This page intentionally left blank.</w:t>
      </w:r>
    </w:p>
    <w:p w14:paraId="250D75D1" w14:textId="77777777" w:rsidR="008614BA" w:rsidRDefault="008614BA" w:rsidP="008614BA">
      <w:pPr>
        <w:rPr>
          <w:rFonts w:ascii="Arial Narrow" w:hAnsi="Arial Narrow"/>
          <w:b/>
          <w:kern w:val="20"/>
          <w:szCs w:val="20"/>
        </w:rPr>
      </w:pPr>
      <w:r>
        <w:br w:type="page"/>
      </w:r>
    </w:p>
    <w:p w14:paraId="106D934B" w14:textId="77777777" w:rsidR="008614BA" w:rsidRDefault="008614BA" w:rsidP="008614BA">
      <w:pPr>
        <w:pStyle w:val="FigureTitle"/>
      </w:pPr>
      <w:bookmarkStart w:id="183" w:name="_Toc90882227"/>
      <w:r>
        <w:t>Figure 11</w:t>
      </w:r>
      <w:r>
        <w:tab/>
      </w:r>
      <w:r w:rsidRPr="00A53F56">
        <w:t>Proposed Condition Hydrology Map</w:t>
      </w:r>
      <w:bookmarkEnd w:id="183"/>
      <w:r w:rsidRPr="00A53F56">
        <w:t xml:space="preserve"> </w:t>
      </w:r>
      <w:bookmarkStart w:id="184" w:name="_Toc433763428"/>
    </w:p>
    <w:p w14:paraId="56B86FD9" w14:textId="77777777" w:rsidR="008614BA" w:rsidRDefault="008614BA" w:rsidP="008614BA">
      <w:pPr>
        <w:rPr>
          <w:i/>
          <w:iCs/>
          <w:kern w:val="20"/>
          <w:szCs w:val="20"/>
        </w:rPr>
      </w:pPr>
      <w:r>
        <w:rPr>
          <w:i/>
          <w:iCs/>
        </w:rPr>
        <w:br w:type="page"/>
      </w:r>
    </w:p>
    <w:p w14:paraId="7CA7BC3C" w14:textId="77777777" w:rsidR="008614BA" w:rsidRDefault="008614BA" w:rsidP="008614BA">
      <w:pPr>
        <w:pStyle w:val="BodyTextItalic"/>
      </w:pPr>
      <w:r>
        <w:t>This page intentionally left blank.</w:t>
      </w:r>
    </w:p>
    <w:p w14:paraId="45F8EC33" w14:textId="5EABFD1C" w:rsidR="008614BA" w:rsidRPr="008614BA" w:rsidRDefault="008614BA" w:rsidP="008614BA">
      <w:pPr>
        <w:rPr>
          <w:kern w:val="20"/>
          <w:szCs w:val="20"/>
        </w:rPr>
      </w:pPr>
      <w:r>
        <w:br w:type="page"/>
      </w:r>
    </w:p>
    <w:p w14:paraId="2A2163B7" w14:textId="77777777" w:rsidR="00F1091F" w:rsidRDefault="00F1091F" w:rsidP="00F1091F">
      <w:pPr>
        <w:pStyle w:val="BodyText"/>
      </w:pPr>
      <w:r w:rsidRPr="00614287">
        <w:t>VCWD estimates that water demands in its service area for normal years would increase from approximately 8,996 acre-feet per year (afy) in 2020 to approximately 9,614 afy in 2040. VCWD forecasts that it will have sufficient water supplies to meet water demands in its service area for normal, single-dry, and multiple dry years. Projected populations in VCWD’s service area were based on projections obtained from the US Census, American Community Survey, and the California Department of Finance data. These sources incorporate demographic trends, existing land use, and general plan land use policies. Therefore, project development would have been accounted for in the VCWD’s estimates of future water demands</w:t>
      </w:r>
      <w:r>
        <w:t xml:space="preserve"> since it is consistent with the General Plan land use designation for the site, and </w:t>
      </w:r>
      <w:r w:rsidRPr="00614287">
        <w:t>water demands would not substantially deplete groundwater supplies.</w:t>
      </w:r>
    </w:p>
    <w:p w14:paraId="68FABE3D" w14:textId="55E13C25" w:rsidR="006E6427" w:rsidRPr="00D071F8" w:rsidRDefault="00614287" w:rsidP="00614287">
      <w:pPr>
        <w:pStyle w:val="BodyText"/>
      </w:pPr>
      <w:r w:rsidRPr="00D071F8">
        <w:t xml:space="preserve">Additionally, as stated in the </w:t>
      </w:r>
      <w:r w:rsidR="004E55D7" w:rsidRPr="00D071F8">
        <w:t>geotechnical investigation report</w:t>
      </w:r>
      <w:r w:rsidRPr="00D071F8">
        <w:t xml:space="preserve"> prepared for the </w:t>
      </w:r>
      <w:r w:rsidR="00F7418D" w:rsidRPr="00D071F8">
        <w:t>proposed p</w:t>
      </w:r>
      <w:r w:rsidRPr="00D071F8">
        <w:t xml:space="preserve">roject (see </w:t>
      </w:r>
      <w:r w:rsidR="004E55D7" w:rsidRPr="00D071F8">
        <w:t>Appendix</w:t>
      </w:r>
      <w:r w:rsidR="004E55D7">
        <w:t> </w:t>
      </w:r>
      <w:r w:rsidR="003A20AD">
        <w:t>D</w:t>
      </w:r>
      <w:r w:rsidRPr="00D071F8">
        <w:t xml:space="preserve">), </w:t>
      </w:r>
      <w:r w:rsidR="00D071F8" w:rsidRPr="00D071F8">
        <w:t>groundwater was not encountered during the on</w:t>
      </w:r>
      <w:r w:rsidR="004E55D7">
        <w:t>-</w:t>
      </w:r>
      <w:r w:rsidR="00D071F8" w:rsidRPr="00D071F8">
        <w:t xml:space="preserve">site investigation. </w:t>
      </w:r>
      <w:r w:rsidR="00D71ABD">
        <w:t xml:space="preserve">The onsite geotechnical investigation included exploration trenches that were nine feet deep. </w:t>
      </w:r>
      <w:r w:rsidR="00D071F8" w:rsidRPr="00D071F8">
        <w:t xml:space="preserve">Based on the lack of any water in the exploration trenches and the moisture content of the recovered soil samples, the static groundwater table </w:t>
      </w:r>
      <w:r w:rsidR="00D71ABD">
        <w:t>i</w:t>
      </w:r>
      <w:r w:rsidR="00D71ABD" w:rsidRPr="00D071F8">
        <w:t xml:space="preserve">s </w:t>
      </w:r>
      <w:r w:rsidR="00D071F8" w:rsidRPr="00D071F8">
        <w:t xml:space="preserve">considered to </w:t>
      </w:r>
      <w:r w:rsidR="00D71ABD">
        <w:t>be</w:t>
      </w:r>
      <w:r w:rsidR="00D071F8" w:rsidRPr="00D071F8">
        <w:t xml:space="preserve"> at a depth </w:t>
      </w:r>
      <w:r w:rsidR="00D71ABD">
        <w:t xml:space="preserve">of </w:t>
      </w:r>
      <w:r w:rsidR="00D071F8" w:rsidRPr="00D071F8">
        <w:t xml:space="preserve">more than nine feet below existing site grades. </w:t>
      </w:r>
      <w:r w:rsidR="00DD7ED4">
        <w:t>H</w:t>
      </w:r>
      <w:r w:rsidR="00D071F8" w:rsidRPr="00D071F8">
        <w:t>istoric</w:t>
      </w:r>
      <w:r w:rsidR="004E55D7">
        <w:t>al</w:t>
      </w:r>
      <w:r w:rsidR="00DD7ED4">
        <w:t>ly,</w:t>
      </w:r>
      <w:r w:rsidR="00D071F8" w:rsidRPr="00D071F8">
        <w:t xml:space="preserve"> groundwater level</w:t>
      </w:r>
      <w:r w:rsidR="00DD7ED4">
        <w:t>s</w:t>
      </w:r>
      <w:r w:rsidR="00D071F8" w:rsidRPr="00D071F8">
        <w:t xml:space="preserve"> </w:t>
      </w:r>
      <w:r w:rsidR="00DD7ED4">
        <w:t>were</w:t>
      </w:r>
      <w:r w:rsidR="00D071F8" w:rsidRPr="00D071F8">
        <w:t xml:space="preserve"> 130 feet below the ground surface. </w:t>
      </w:r>
      <w:r w:rsidRPr="00D071F8">
        <w:t>No excavation on</w:t>
      </w:r>
      <w:r w:rsidR="004E55D7">
        <w:t>-</w:t>
      </w:r>
      <w:r w:rsidRPr="00D071F8">
        <w:t>site would intersect the groundwater at these levels.</w:t>
      </w:r>
    </w:p>
    <w:p w14:paraId="76611455" w14:textId="77777777" w:rsidR="006E6427" w:rsidRPr="00614287" w:rsidRDefault="006E6427" w:rsidP="006E6427">
      <w:pPr>
        <w:pStyle w:val="BodyText"/>
      </w:pPr>
      <w:r w:rsidRPr="00614287">
        <w:t xml:space="preserve">Furthermore, the project site is not in or near a groundwater recharge area/facility, nor does it represent a source of groundwater recharge. </w:t>
      </w:r>
    </w:p>
    <w:p w14:paraId="0555E97C" w14:textId="77777777" w:rsidR="006E6427" w:rsidRPr="00614287" w:rsidRDefault="006E6427" w:rsidP="00D10CF6">
      <w:pPr>
        <w:pStyle w:val="BodyText"/>
      </w:pPr>
      <w:r w:rsidRPr="00614287">
        <w:t xml:space="preserve">Therefore, the </w:t>
      </w:r>
      <w:r w:rsidR="00614287">
        <w:t>proposed p</w:t>
      </w:r>
      <w:r w:rsidRPr="00614287">
        <w:t>roject would not substantially interfere with groundwater supplies or recharge. Impacts to groundwater supplies would be less than significant.</w:t>
      </w:r>
    </w:p>
    <w:p w14:paraId="4BEADD0A" w14:textId="77777777" w:rsidR="00D10CF6" w:rsidRPr="00A76ACE" w:rsidRDefault="00E3025D" w:rsidP="00E3025D">
      <w:pPr>
        <w:pStyle w:val="List"/>
      </w:pPr>
      <w:r w:rsidRPr="00A76ACE">
        <w:t>Substantially alter the existing drainage pattern of the site or area, including through the alteration of the course of a stream or river or through the addition of impervious surfaces, in a manner which would:</w:t>
      </w:r>
    </w:p>
    <w:p w14:paraId="0C2E9BCF" w14:textId="77777777" w:rsidR="006A5D22" w:rsidRDefault="006A5D22" w:rsidP="009D6ECC">
      <w:pPr>
        <w:pStyle w:val="List"/>
        <w:numPr>
          <w:ilvl w:val="1"/>
          <w:numId w:val="17"/>
        </w:numPr>
      </w:pPr>
      <w:r>
        <w:t>R</w:t>
      </w:r>
      <w:r w:rsidRPr="006A5D22">
        <w:t>esult in a substantial erosi</w:t>
      </w:r>
      <w:r>
        <w:t>on or siltation on- or off-site?</w:t>
      </w:r>
    </w:p>
    <w:p w14:paraId="731BF923" w14:textId="77777777" w:rsidR="00EC5734" w:rsidRPr="00617ACC" w:rsidRDefault="00EC5734" w:rsidP="00EC5734">
      <w:pPr>
        <w:pStyle w:val="BodyTextIndent5"/>
      </w:pPr>
      <w:r w:rsidRPr="00617ACC">
        <w:rPr>
          <w:rStyle w:val="BodyTextBoldChar"/>
        </w:rPr>
        <w:t xml:space="preserve">Less Than Significant Impact. </w:t>
      </w:r>
      <w:r w:rsidRPr="00617ACC">
        <w:t xml:space="preserve">Erosion and siltation </w:t>
      </w:r>
      <w:r w:rsidR="00A76ACE" w:rsidRPr="00617ACC">
        <w:t>impact</w:t>
      </w:r>
      <w:r w:rsidR="00A76ACE">
        <w:t xml:space="preserve">s </w:t>
      </w:r>
      <w:r w:rsidRPr="00617ACC">
        <w:t xml:space="preserve">potentially resulting from </w:t>
      </w:r>
      <w:r w:rsidR="004E55D7" w:rsidRPr="00617ACC">
        <w:t xml:space="preserve">the </w:t>
      </w:r>
      <w:r w:rsidR="004E55D7">
        <w:t>proposed p</w:t>
      </w:r>
      <w:r w:rsidR="004E55D7" w:rsidRPr="00617ACC">
        <w:t>roject</w:t>
      </w:r>
      <w:r w:rsidR="004E55D7">
        <w:t>’s</w:t>
      </w:r>
      <w:r w:rsidR="004E55D7" w:rsidRPr="00617ACC">
        <w:t xml:space="preserve"> </w:t>
      </w:r>
      <w:r w:rsidRPr="00617ACC">
        <w:t xml:space="preserve">alteration of the drainage pattern would, for the most part, occur during the project’s construction phase, which would include site preparation and grading activities. Environmental factors that affect erosion include </w:t>
      </w:r>
      <w:r w:rsidR="004E55D7" w:rsidRPr="00617ACC">
        <w:t>topograph</w:t>
      </w:r>
      <w:r w:rsidR="004E55D7">
        <w:t>y</w:t>
      </w:r>
      <w:r w:rsidRPr="00617ACC">
        <w:t xml:space="preserve">, soil, and wind and rainfall characteristics. Siltation is most often caused by soil erosion or sediment spill. Following is a discussion of the potential erosion and siltation impacts that could occur during the construction and operational phases of the </w:t>
      </w:r>
      <w:r>
        <w:t>proposed p</w:t>
      </w:r>
      <w:r w:rsidRPr="00617ACC">
        <w:t>roject.</w:t>
      </w:r>
    </w:p>
    <w:p w14:paraId="1331A29D" w14:textId="77777777" w:rsidR="00EC5734" w:rsidRPr="00617ACC" w:rsidRDefault="00EC5734" w:rsidP="00EC5734">
      <w:pPr>
        <w:pStyle w:val="Heading5"/>
        <w:tabs>
          <w:tab w:val="clear" w:pos="0"/>
        </w:tabs>
        <w:ind w:left="360"/>
      </w:pPr>
      <w:r w:rsidRPr="00617ACC">
        <w:t>Project Construction</w:t>
      </w:r>
    </w:p>
    <w:p w14:paraId="72380DEA" w14:textId="77777777" w:rsidR="00EC5734" w:rsidRPr="00617ACC" w:rsidRDefault="00EC5734" w:rsidP="00EC5734">
      <w:pPr>
        <w:pStyle w:val="BodyTextIndent5"/>
      </w:pPr>
      <w:r w:rsidRPr="00617ACC">
        <w:t>As discussed</w:t>
      </w:r>
      <w:r w:rsidR="00A30AF2">
        <w:t xml:space="preserve"> </w:t>
      </w:r>
      <w:r w:rsidRPr="00617ACC">
        <w:t>in Section 3.10.a, the project construction contractor would be required to prepare and implement a SWPPP pursuant to the CGP during grading and construction. The SWPPP would specify erosion- and sediment-control BMPs that the project construction contractor would implement prior to and during grading and construction to minimize erosion and siltation impacts on- and off</w:t>
      </w:r>
      <w:r w:rsidR="004E55D7">
        <w:t>-</w:t>
      </w:r>
      <w:r w:rsidRPr="00617ACC">
        <w:t xml:space="preserve">site. Erosion-control BMPs are designed to prevent erosion, </w:t>
      </w:r>
      <w:r w:rsidR="004E55D7">
        <w:t>and</w:t>
      </w:r>
      <w:r w:rsidR="004E55D7" w:rsidRPr="00617ACC">
        <w:t xml:space="preserve"> </w:t>
      </w:r>
      <w:r w:rsidRPr="00617ACC">
        <w:t xml:space="preserve">sediment controls are designed to trap or filter sediment once it has been mobilized. BMPs that would be implemented during the </w:t>
      </w:r>
      <w:r>
        <w:t>proposed p</w:t>
      </w:r>
      <w:r w:rsidRPr="00617ACC">
        <w:t>roject’s construction phase are discussed in detail in Section 3.10.a. For example, BMPs would include installation of perimeter silt fences</w:t>
      </w:r>
      <w:r w:rsidR="004E55D7">
        <w:t>,</w:t>
      </w:r>
      <w:r w:rsidR="004E55D7" w:rsidRPr="00617ACC">
        <w:t xml:space="preserve"> </w:t>
      </w:r>
      <w:r w:rsidRPr="00617ACC">
        <w:t>installation of silt fences around stockpile</w:t>
      </w:r>
      <w:r w:rsidR="0015646D">
        <w:t>s,</w:t>
      </w:r>
      <w:r w:rsidRPr="00617ACC">
        <w:t xml:space="preserve"> covering of stockpiles</w:t>
      </w:r>
      <w:r w:rsidR="0015646D">
        <w:t>,</w:t>
      </w:r>
      <w:r w:rsidR="0015646D" w:rsidRPr="00617ACC">
        <w:t xml:space="preserve"> </w:t>
      </w:r>
      <w:r w:rsidRPr="00617ACC">
        <w:t>and stabilization of disturbed areas</w:t>
      </w:r>
      <w:r w:rsidR="0015646D" w:rsidRPr="0015646D">
        <w:t xml:space="preserve"> </w:t>
      </w:r>
      <w:r w:rsidR="0015646D" w:rsidRPr="00617ACC">
        <w:t>with erosion controls</w:t>
      </w:r>
      <w:r w:rsidRPr="00617ACC">
        <w:t xml:space="preserve"> </w:t>
      </w:r>
      <w:r w:rsidR="0015646D" w:rsidRPr="00617ACC">
        <w:t>whe</w:t>
      </w:r>
      <w:r w:rsidR="0015646D">
        <w:t>n</w:t>
      </w:r>
      <w:r w:rsidR="0015646D" w:rsidRPr="00617ACC">
        <w:t xml:space="preserve"> </w:t>
      </w:r>
      <w:r w:rsidRPr="00617ACC">
        <w:t xml:space="preserve">construction ceases for a determined period of time (e.g., one week). </w:t>
      </w:r>
    </w:p>
    <w:p w14:paraId="6B7AC2A4" w14:textId="77777777" w:rsidR="00EC5734" w:rsidRPr="00617ACC" w:rsidRDefault="00EC5734" w:rsidP="00EC5734">
      <w:pPr>
        <w:pStyle w:val="BodyTextIndent5"/>
      </w:pPr>
      <w:r w:rsidRPr="00617ACC">
        <w:t>Adherence to the BMPs in the SWPPP would reduce, prevent, or minimize soil erosion from project-related grading and construction activities. The construction-phase BMPs would also ensure effective control of sediment discharge</w:t>
      </w:r>
      <w:r w:rsidR="0015646D">
        <w:t xml:space="preserve"> and</w:t>
      </w:r>
      <w:r w:rsidRPr="00617ACC">
        <w:t xml:space="preserve"> pollutants associated with sediments (e.g., nutrients, heavy metals, and certain pesticides). </w:t>
      </w:r>
    </w:p>
    <w:p w14:paraId="5F89F880" w14:textId="77777777" w:rsidR="00EC5734" w:rsidRPr="00617ACC" w:rsidRDefault="00EC5734" w:rsidP="00EC5734">
      <w:pPr>
        <w:pStyle w:val="BodyTextIndent5"/>
      </w:pPr>
      <w:r w:rsidRPr="00617ACC">
        <w:t>Therefore, project-related construction activities would not result in substantial erosion or siltation on- or off</w:t>
      </w:r>
      <w:r w:rsidR="0015646D">
        <w:t>-</w:t>
      </w:r>
      <w:r w:rsidRPr="00617ACC">
        <w:t>site. Construction-related impacts would be less than significant.</w:t>
      </w:r>
    </w:p>
    <w:p w14:paraId="4B0F2822" w14:textId="77777777" w:rsidR="00EC5734" w:rsidRPr="00617ACC" w:rsidRDefault="00EC5734" w:rsidP="00EC5734">
      <w:pPr>
        <w:pStyle w:val="Heading5"/>
        <w:tabs>
          <w:tab w:val="clear" w:pos="0"/>
        </w:tabs>
        <w:ind w:left="360"/>
      </w:pPr>
      <w:r w:rsidRPr="00617ACC">
        <w:t>Project Operation</w:t>
      </w:r>
    </w:p>
    <w:p w14:paraId="1F836DD4" w14:textId="77777777" w:rsidR="00EC5734" w:rsidRDefault="00EC5734" w:rsidP="00EC5734">
      <w:pPr>
        <w:pStyle w:val="BodyTextIndent5"/>
      </w:pPr>
      <w:r w:rsidRPr="00617ACC">
        <w:t xml:space="preserve">As shown in Figure 3, </w:t>
      </w:r>
      <w:r w:rsidRPr="00617ACC">
        <w:rPr>
          <w:rStyle w:val="BodyTextItalicChar"/>
        </w:rPr>
        <w:t>Aerial Photograph</w:t>
      </w:r>
      <w:r w:rsidRPr="00617ACC">
        <w:t xml:space="preserve">, </w:t>
      </w:r>
      <w:r w:rsidR="00A76ACE" w:rsidRPr="00617ACC">
        <w:t>most of</w:t>
      </w:r>
      <w:r w:rsidRPr="00617ACC">
        <w:t xml:space="preserve"> the project site is </w:t>
      </w:r>
      <w:r>
        <w:t xml:space="preserve">developed. </w:t>
      </w:r>
      <w:r w:rsidRPr="00617ACC">
        <w:t xml:space="preserve">Under the </w:t>
      </w:r>
      <w:r>
        <w:t>proposed p</w:t>
      </w:r>
      <w:r w:rsidRPr="00617ACC">
        <w:t>roject, there would be no bare or disturbed soil on</w:t>
      </w:r>
      <w:r w:rsidR="0015646D">
        <w:t>-</w:t>
      </w:r>
      <w:r w:rsidRPr="00617ACC">
        <w:t xml:space="preserve">site at project completion that would be vulnerable to erosion or siltation. All areas would either be buildings, paved, or landscaped. Under proposed conditions, </w:t>
      </w:r>
      <w:r w:rsidR="00A76ACE">
        <w:t xml:space="preserve">all </w:t>
      </w:r>
      <w:r w:rsidRPr="00617ACC">
        <w:t xml:space="preserve">stormwater runoff </w:t>
      </w:r>
      <w:r w:rsidR="00A76ACE">
        <w:t xml:space="preserve">from the project site </w:t>
      </w:r>
      <w:r w:rsidRPr="00617ACC">
        <w:t xml:space="preserve">would be conveyed to the public storm drain in </w:t>
      </w:r>
      <w:r w:rsidR="00A76ACE">
        <w:t>Los Angeles Street</w:t>
      </w:r>
      <w:r w:rsidRPr="00617ACC">
        <w:t>.</w:t>
      </w:r>
    </w:p>
    <w:p w14:paraId="101930D1" w14:textId="77777777" w:rsidR="00A76ACE" w:rsidRPr="00617ACC" w:rsidRDefault="0015646D" w:rsidP="00EC5734">
      <w:pPr>
        <w:pStyle w:val="BodyTextIndent5"/>
      </w:pPr>
      <w:r w:rsidRPr="00A76ACE">
        <w:t xml:space="preserve">The </w:t>
      </w:r>
      <w:r w:rsidR="00A76ACE" w:rsidRPr="00A76ACE">
        <w:t xml:space="preserve">proposed project would not substantially alter the existing drainage pattern of the site area and would not alter the course of a stream or a river. The proposed project would be implemented in accordance with the LID </w:t>
      </w:r>
      <w:r w:rsidRPr="00A76ACE">
        <w:t>p</w:t>
      </w:r>
      <w:r w:rsidR="00A76ACE" w:rsidRPr="00A76ACE">
        <w:t xml:space="preserve">lan and abide by the requirements of the MS4 permit and the LID Standards Manual. For example, project design and operation would include implementation of BMPs specified in the LID </w:t>
      </w:r>
      <w:r w:rsidRPr="00A76ACE">
        <w:t>p</w:t>
      </w:r>
      <w:r w:rsidR="00A76ACE" w:rsidRPr="00A76ACE">
        <w:t>lan, which would minimize runoff and soil erosion and siltation into stormwater and thus minimize sedimentation downstream.</w:t>
      </w:r>
    </w:p>
    <w:p w14:paraId="31726A63" w14:textId="7D7CA500" w:rsidR="00EC5734" w:rsidRPr="00617ACC" w:rsidRDefault="00A76ACE" w:rsidP="00EC5734">
      <w:pPr>
        <w:pStyle w:val="BodyText"/>
        <w:ind w:left="360"/>
      </w:pPr>
      <w:r>
        <w:t>P</w:t>
      </w:r>
      <w:r w:rsidR="00EC5734" w:rsidRPr="00617ACC">
        <w:t xml:space="preserve">roject development would </w:t>
      </w:r>
      <w:r>
        <w:t xml:space="preserve">also </w:t>
      </w:r>
      <w:r w:rsidR="00EC5734" w:rsidRPr="00617ACC">
        <w:t xml:space="preserve">comply with the standards of </w:t>
      </w:r>
      <w:r w:rsidR="00EC5734" w:rsidRPr="00A67A8C">
        <w:t xml:space="preserve">Chapter </w:t>
      </w:r>
      <w:r w:rsidR="00EC5734">
        <w:t>8.28</w:t>
      </w:r>
      <w:r w:rsidR="004F1BDE">
        <w:t xml:space="preserve"> “</w:t>
      </w:r>
      <w:r w:rsidR="0015646D" w:rsidRPr="00DD7ED4">
        <w:t>St</w:t>
      </w:r>
      <w:r w:rsidR="0015646D">
        <w:t>or</w:t>
      </w:r>
      <w:r w:rsidR="0015646D" w:rsidRPr="00DD7ED4">
        <w:t xml:space="preserve">m </w:t>
      </w:r>
      <w:r w:rsidR="00EC5734" w:rsidRPr="00DD7ED4">
        <w:t>Water and Urban Runoff Pollution</w:t>
      </w:r>
      <w:r w:rsidR="004F1BDE">
        <w:t>”</w:t>
      </w:r>
      <w:r w:rsidR="00EC5734">
        <w:rPr>
          <w:i/>
          <w:iCs/>
        </w:rPr>
        <w:t xml:space="preserve"> </w:t>
      </w:r>
      <w:r w:rsidR="00EC5734" w:rsidRPr="00A67A8C">
        <w:t xml:space="preserve">of the City’s </w:t>
      </w:r>
      <w:r w:rsidR="009C662F">
        <w:t>M</w:t>
      </w:r>
      <w:r w:rsidR="0015646D" w:rsidRPr="00A67A8C">
        <w:t xml:space="preserve">unicipal </w:t>
      </w:r>
      <w:r w:rsidR="009C662F">
        <w:t>C</w:t>
      </w:r>
      <w:r w:rsidR="0015646D" w:rsidRPr="00A67A8C">
        <w:t>ode</w:t>
      </w:r>
      <w:r w:rsidR="0015646D">
        <w:t>,</w:t>
      </w:r>
      <w:r w:rsidR="00EC5734" w:rsidRPr="00617ACC">
        <w:t xml:space="preserve"> which prohibits the discharge of specific pollutants into storm </w:t>
      </w:r>
      <w:r>
        <w:t>drains</w:t>
      </w:r>
      <w:r w:rsidR="0015646D">
        <w:t>,</w:t>
      </w:r>
      <w:r w:rsidR="00EC5734" w:rsidRPr="00617ACC">
        <w:t xml:space="preserve"> regulates connections to the storm drain system</w:t>
      </w:r>
      <w:r w:rsidR="0015646D">
        <w:t>,</w:t>
      </w:r>
      <w:r w:rsidR="00EC5734" w:rsidRPr="00617ACC">
        <w:t xml:space="preserve"> requires development projects to implement permanent BMPs on individual sites to reduce pollutants in the stormwater</w:t>
      </w:r>
      <w:r w:rsidR="0015646D">
        <w:t>,</w:t>
      </w:r>
      <w:r w:rsidR="00EC5734" w:rsidRPr="00617ACC">
        <w:t xml:space="preserve"> and requires construction sites to manage runoff through SWPPPs. </w:t>
      </w:r>
    </w:p>
    <w:p w14:paraId="0D68351B" w14:textId="77777777" w:rsidR="00EC5734" w:rsidRPr="00571910" w:rsidRDefault="00EC5734" w:rsidP="00EC5734">
      <w:pPr>
        <w:pStyle w:val="BodyTextIndent5"/>
      </w:pPr>
      <w:r w:rsidRPr="00617ACC">
        <w:t xml:space="preserve">Therefore, development </w:t>
      </w:r>
      <w:r w:rsidR="00A76ACE">
        <w:t xml:space="preserve">of the proposed project </w:t>
      </w:r>
      <w:r w:rsidRPr="00617ACC">
        <w:t>would not substantially alter the existing drainage pattern of the site or area in a manner that would result in substantial erosion or siltation on- or off</w:t>
      </w:r>
      <w:r w:rsidR="0015646D">
        <w:t>-</w:t>
      </w:r>
      <w:r w:rsidRPr="00617ACC">
        <w:t xml:space="preserve">site. Operation-related impacts would be less than </w:t>
      </w:r>
      <w:r w:rsidR="00A76ACE" w:rsidRPr="00617ACC">
        <w:t>significant,</w:t>
      </w:r>
      <w:r w:rsidRPr="00617ACC">
        <w:t xml:space="preserve"> and no mitigation measures are necessary.</w:t>
      </w:r>
    </w:p>
    <w:p w14:paraId="71C9F7D1" w14:textId="77777777" w:rsidR="006A5D22" w:rsidRDefault="006A5D22" w:rsidP="009D6ECC">
      <w:pPr>
        <w:pStyle w:val="List"/>
        <w:numPr>
          <w:ilvl w:val="1"/>
          <w:numId w:val="28"/>
        </w:numPr>
      </w:pPr>
      <w:r>
        <w:t>S</w:t>
      </w:r>
      <w:r w:rsidRPr="006A5D22">
        <w:t>ubstantially increase the rate or amount of surface runoff in a manner which would result in flooding on- or offsite</w:t>
      </w:r>
      <w:r>
        <w:t>?</w:t>
      </w:r>
    </w:p>
    <w:p w14:paraId="07E304F7" w14:textId="0C881F27" w:rsidR="00215323" w:rsidRPr="009F07C7" w:rsidRDefault="00215323" w:rsidP="00215323">
      <w:pPr>
        <w:pStyle w:val="BodyTextIndent5"/>
      </w:pPr>
      <w:r w:rsidRPr="00617ACC">
        <w:rPr>
          <w:rStyle w:val="BodyTextBoldChar"/>
        </w:rPr>
        <w:t xml:space="preserve">Less Than Significant Impact. </w:t>
      </w:r>
      <w:r w:rsidRPr="001F2EE6">
        <w:t>As shown in Figure 3</w:t>
      </w:r>
      <w:r>
        <w:t xml:space="preserve">, </w:t>
      </w:r>
      <w:r w:rsidRPr="00554B63">
        <w:rPr>
          <w:rStyle w:val="BodyTextItalicChar"/>
        </w:rPr>
        <w:t>Aerial Photograph</w:t>
      </w:r>
      <w:r w:rsidRPr="001F2EE6">
        <w:t xml:space="preserve">, the site is currently occupied by the </w:t>
      </w:r>
      <w:r w:rsidRPr="00BA1A86">
        <w:t>Pepsi</w:t>
      </w:r>
      <w:r>
        <w:t xml:space="preserve"> bottling plant</w:t>
      </w:r>
      <w:r w:rsidRPr="001F2EE6">
        <w:t>. The building is a single-story structure of concrete tilt-up construction. A loading dock is located along a portion of the northeast building wall</w:t>
      </w:r>
      <w:r w:rsidR="00FE59B8">
        <w:t>,</w:t>
      </w:r>
      <w:r>
        <w:t xml:space="preserve"> and a large metal shed is located north of the warehouse building. </w:t>
      </w:r>
      <w:r w:rsidRPr="001F2EE6">
        <w:t xml:space="preserve">The buildings are surrounded by concrete pavement in the parking and drive areas. The site includes 116 vehicle parking spots and 25 parking spots for trucks. The southeastern area of the site is vacant and undeveloped. </w:t>
      </w:r>
    </w:p>
    <w:p w14:paraId="2B423B78" w14:textId="7336FEC5" w:rsidR="00215323" w:rsidRPr="00BC2711" w:rsidRDefault="00215323" w:rsidP="00215323">
      <w:pPr>
        <w:pStyle w:val="BodyTextIndent5"/>
      </w:pPr>
      <w:r w:rsidRPr="00BC2711">
        <w:t xml:space="preserve">The current drainage condition displays a mild slope across the terrain that ranges from 1 to 2 percent. A small portion on the north side of the property (Subarea A-1) drains to Big Dalton </w:t>
      </w:r>
      <w:r w:rsidR="00FE59B8" w:rsidRPr="00BC2711">
        <w:t xml:space="preserve">Wash </w:t>
      </w:r>
      <w:r w:rsidRPr="00BC2711">
        <w:t>through overland sheet flow. Runoff from the remaining portion of the property concentrates at two locations and ultimately discharge</w:t>
      </w:r>
      <w:r w:rsidR="00FE59B8">
        <w:t>s</w:t>
      </w:r>
      <w:r w:rsidRPr="00BC2711">
        <w:t xml:space="preserve"> to the existing 36-inch storm drain under Los Angeles Street. Two drainage subareas (Subareas B-2 and B-3) discharge to two on</w:t>
      </w:r>
      <w:r w:rsidR="00FE59B8">
        <w:t>-</w:t>
      </w:r>
      <w:r w:rsidRPr="00BC2711">
        <w:t>site points</w:t>
      </w:r>
      <w:r w:rsidR="00FE59B8">
        <w:t>,</w:t>
      </w:r>
      <w:r w:rsidRPr="00BC2711">
        <w:t xml:space="preserve"> as shown in Figure </w:t>
      </w:r>
      <w:r>
        <w:t>10</w:t>
      </w:r>
      <w:r w:rsidRPr="00BC2711">
        <w:t xml:space="preserve">, </w:t>
      </w:r>
      <w:r w:rsidRPr="00BC2711">
        <w:rPr>
          <w:i/>
          <w:iCs/>
        </w:rPr>
        <w:t>Existing Conditions Hydrology Map</w:t>
      </w:r>
      <w:r w:rsidRPr="00BC2711">
        <w:t>. There are no off</w:t>
      </w:r>
      <w:r w:rsidR="00FE59B8">
        <w:t>-</w:t>
      </w:r>
      <w:r w:rsidRPr="00BC2711">
        <w:t xml:space="preserve">site run-on flows. </w:t>
      </w:r>
      <w:r>
        <w:t xml:space="preserve">For the proposed project, runoff would ultimately discharge into the </w:t>
      </w:r>
      <w:r w:rsidRPr="00BC2711">
        <w:t>storm drain under Los Angeles Street</w:t>
      </w:r>
      <w:r>
        <w:t xml:space="preserve"> at the same location as existing conditions</w:t>
      </w:r>
      <w:r w:rsidR="00FE59B8">
        <w:t>;</w:t>
      </w:r>
      <w:r>
        <w:t xml:space="preserve"> however</w:t>
      </w:r>
      <w:r w:rsidR="00FE59B8">
        <w:t>,</w:t>
      </w:r>
      <w:r>
        <w:t xml:space="preserve"> there would be no flow to Big Dalton Wash. </w:t>
      </w:r>
      <w:r w:rsidRPr="00BC2711">
        <w:t xml:space="preserve">The </w:t>
      </w:r>
      <w:r>
        <w:t xml:space="preserve">existing and proposed </w:t>
      </w:r>
      <w:r w:rsidRPr="00BC2711">
        <w:t xml:space="preserve">t flow rates for the 100-year and 50-year storm events are shown in Table </w:t>
      </w:r>
      <w:r>
        <w:t>16</w:t>
      </w:r>
      <w:r w:rsidRPr="00BC2711">
        <w:t xml:space="preserve">. </w:t>
      </w:r>
    </w:p>
    <w:tbl>
      <w:tblPr>
        <w:tblStyle w:val="TableGrid"/>
        <w:tblW w:w="9360" w:type="dxa"/>
        <w:jc w:val="center"/>
        <w:tblBorders>
          <w:left w:val="none" w:sz="0" w:space="0" w:color="auto"/>
          <w:right w:val="none" w:sz="0" w:space="0" w:color="auto"/>
        </w:tblBorders>
        <w:tblLayout w:type="fixed"/>
        <w:tblLook w:val="04A0" w:firstRow="1" w:lastRow="0" w:firstColumn="1" w:lastColumn="0" w:noHBand="0" w:noVBand="1"/>
      </w:tblPr>
      <w:tblGrid>
        <w:gridCol w:w="2995"/>
        <w:gridCol w:w="2808"/>
        <w:gridCol w:w="3557"/>
      </w:tblGrid>
      <w:tr w:rsidR="00215323" w:rsidRPr="00BC2711" w14:paraId="65E95CC2" w14:textId="77777777" w:rsidTr="00F1091F">
        <w:trPr>
          <w:trHeight w:val="255"/>
          <w:tblHeader/>
          <w:jc w:val="center"/>
        </w:trPr>
        <w:tc>
          <w:tcPr>
            <w:tcW w:w="9000" w:type="dxa"/>
            <w:gridSpan w:val="3"/>
            <w:tcBorders>
              <w:top w:val="nil"/>
              <w:bottom w:val="single" w:sz="12" w:space="0" w:color="auto"/>
            </w:tcBorders>
            <w:vAlign w:val="center"/>
            <w:hideMark/>
          </w:tcPr>
          <w:p w14:paraId="26F025DD" w14:textId="77777777" w:rsidR="00215323" w:rsidRPr="00ED23B0" w:rsidRDefault="00215323" w:rsidP="00432DB2">
            <w:pPr>
              <w:pStyle w:val="TblTitles"/>
            </w:pPr>
            <w:bookmarkStart w:id="185" w:name="_Toc90882262"/>
            <w:r w:rsidRPr="00ED23B0">
              <w:t>Table 16</w:t>
            </w:r>
            <w:r w:rsidRPr="00ED23B0">
              <w:tab/>
              <w:t>Existing and Proposed Runoff Flows</w:t>
            </w:r>
            <w:bookmarkEnd w:id="185"/>
          </w:p>
        </w:tc>
      </w:tr>
      <w:tr w:rsidR="00215323" w:rsidRPr="00BC2711" w14:paraId="2B8431F1" w14:textId="77777777" w:rsidTr="00F1091F">
        <w:trPr>
          <w:trHeight w:val="288"/>
          <w:jc w:val="center"/>
        </w:trPr>
        <w:tc>
          <w:tcPr>
            <w:tcW w:w="2880" w:type="dxa"/>
            <w:tcBorders>
              <w:top w:val="single" w:sz="4" w:space="0" w:color="auto"/>
              <w:bottom w:val="single" w:sz="12" w:space="0" w:color="auto"/>
            </w:tcBorders>
            <w:vAlign w:val="bottom"/>
            <w:hideMark/>
          </w:tcPr>
          <w:p w14:paraId="449877A3" w14:textId="77777777" w:rsidR="00215323" w:rsidRPr="00ED23B0" w:rsidRDefault="00215323" w:rsidP="00432DB2">
            <w:pPr>
              <w:pStyle w:val="TblColumnHeads"/>
            </w:pPr>
          </w:p>
        </w:tc>
        <w:tc>
          <w:tcPr>
            <w:tcW w:w="2700" w:type="dxa"/>
            <w:tcBorders>
              <w:top w:val="single" w:sz="4" w:space="0" w:color="auto"/>
              <w:bottom w:val="single" w:sz="12" w:space="0" w:color="auto"/>
            </w:tcBorders>
            <w:vAlign w:val="bottom"/>
            <w:hideMark/>
          </w:tcPr>
          <w:p w14:paraId="2832770B" w14:textId="77777777" w:rsidR="00215323" w:rsidRPr="00ED23B0" w:rsidRDefault="00215323" w:rsidP="00432DB2">
            <w:pPr>
              <w:pStyle w:val="TblColumnHeads"/>
            </w:pPr>
            <w:r w:rsidRPr="00ED23B0">
              <w:t>Q50 (cfs)</w:t>
            </w:r>
          </w:p>
        </w:tc>
        <w:tc>
          <w:tcPr>
            <w:tcW w:w="3420" w:type="dxa"/>
            <w:tcBorders>
              <w:top w:val="single" w:sz="4" w:space="0" w:color="auto"/>
              <w:bottom w:val="single" w:sz="12" w:space="0" w:color="auto"/>
            </w:tcBorders>
            <w:vAlign w:val="bottom"/>
            <w:hideMark/>
          </w:tcPr>
          <w:p w14:paraId="330D97C5" w14:textId="77777777" w:rsidR="00215323" w:rsidRPr="00ED23B0" w:rsidRDefault="00215323" w:rsidP="00432DB2">
            <w:pPr>
              <w:pStyle w:val="TblColumnHeads"/>
            </w:pPr>
            <w:r w:rsidRPr="00ED23B0">
              <w:t>Q100 (cfs)</w:t>
            </w:r>
          </w:p>
        </w:tc>
      </w:tr>
      <w:tr w:rsidR="00215323" w:rsidRPr="00BC2711" w14:paraId="0E4872E3" w14:textId="77777777" w:rsidTr="00D80314">
        <w:trPr>
          <w:trHeight w:val="177"/>
          <w:jc w:val="center"/>
        </w:trPr>
        <w:tc>
          <w:tcPr>
            <w:tcW w:w="9000" w:type="dxa"/>
            <w:gridSpan w:val="3"/>
            <w:tcBorders>
              <w:top w:val="single" w:sz="4" w:space="0" w:color="auto"/>
              <w:bottom w:val="single" w:sz="6" w:space="0" w:color="auto"/>
            </w:tcBorders>
            <w:vAlign w:val="bottom"/>
          </w:tcPr>
          <w:p w14:paraId="097CA812" w14:textId="77777777" w:rsidR="00215323" w:rsidRPr="00ED23B0" w:rsidRDefault="00215323" w:rsidP="00432DB2">
            <w:pPr>
              <w:pStyle w:val="TblColumnHeads"/>
              <w:jc w:val="left"/>
            </w:pPr>
            <w:r w:rsidRPr="00ED23B0">
              <w:rPr>
                <w:sz w:val="18"/>
                <w:szCs w:val="18"/>
              </w:rPr>
              <w:t>Existing Conditions</w:t>
            </w:r>
          </w:p>
        </w:tc>
      </w:tr>
      <w:tr w:rsidR="00215323" w:rsidRPr="00BC2711" w14:paraId="3F106AF3" w14:textId="77777777" w:rsidTr="00D80314">
        <w:trPr>
          <w:trHeight w:val="269"/>
          <w:jc w:val="center"/>
        </w:trPr>
        <w:tc>
          <w:tcPr>
            <w:tcW w:w="2880" w:type="dxa"/>
            <w:tcBorders>
              <w:top w:val="single" w:sz="6" w:space="0" w:color="auto"/>
              <w:bottom w:val="single" w:sz="4" w:space="0" w:color="auto"/>
            </w:tcBorders>
            <w:vAlign w:val="center"/>
          </w:tcPr>
          <w:p w14:paraId="0C6C38B9" w14:textId="77777777" w:rsidR="00215323" w:rsidRPr="00ED23B0" w:rsidRDefault="00215323" w:rsidP="00432DB2">
            <w:pPr>
              <w:pStyle w:val="TblTxt1"/>
            </w:pPr>
            <w:r w:rsidRPr="00ED23B0">
              <w:t>Big Dalton Wash</w:t>
            </w:r>
          </w:p>
        </w:tc>
        <w:tc>
          <w:tcPr>
            <w:tcW w:w="2700" w:type="dxa"/>
            <w:tcBorders>
              <w:top w:val="single" w:sz="6" w:space="0" w:color="auto"/>
              <w:bottom w:val="single" w:sz="4" w:space="0" w:color="auto"/>
            </w:tcBorders>
            <w:vAlign w:val="center"/>
          </w:tcPr>
          <w:p w14:paraId="2EC8C4E9" w14:textId="77777777" w:rsidR="00215323" w:rsidRPr="00ED23B0" w:rsidRDefault="00215323" w:rsidP="00432DB2">
            <w:pPr>
              <w:pStyle w:val="TblTxtCenter"/>
            </w:pPr>
            <w:r w:rsidRPr="00ED23B0">
              <w:t>0.72</w:t>
            </w:r>
          </w:p>
        </w:tc>
        <w:tc>
          <w:tcPr>
            <w:tcW w:w="3420" w:type="dxa"/>
            <w:tcBorders>
              <w:top w:val="single" w:sz="6" w:space="0" w:color="auto"/>
              <w:bottom w:val="single" w:sz="4" w:space="0" w:color="auto"/>
            </w:tcBorders>
            <w:vAlign w:val="center"/>
          </w:tcPr>
          <w:p w14:paraId="6736DEDB" w14:textId="77777777" w:rsidR="00215323" w:rsidRPr="00ED23B0" w:rsidRDefault="00215323" w:rsidP="00432DB2">
            <w:pPr>
              <w:pStyle w:val="TblTxtCenter"/>
            </w:pPr>
            <w:r w:rsidRPr="00ED23B0">
              <w:t>0.83</w:t>
            </w:r>
          </w:p>
        </w:tc>
      </w:tr>
      <w:tr w:rsidR="00215323" w:rsidRPr="00BC2711" w14:paraId="716B6D8A" w14:textId="77777777" w:rsidTr="00F1091F">
        <w:trPr>
          <w:trHeight w:val="269"/>
          <w:jc w:val="center"/>
        </w:trPr>
        <w:tc>
          <w:tcPr>
            <w:tcW w:w="2880" w:type="dxa"/>
            <w:tcBorders>
              <w:top w:val="single" w:sz="4" w:space="0" w:color="auto"/>
              <w:bottom w:val="single" w:sz="12" w:space="0" w:color="auto"/>
            </w:tcBorders>
            <w:vAlign w:val="center"/>
            <w:hideMark/>
          </w:tcPr>
          <w:p w14:paraId="73E3BBA0" w14:textId="77777777" w:rsidR="00215323" w:rsidRPr="00ED23B0" w:rsidRDefault="00215323" w:rsidP="00432DB2">
            <w:pPr>
              <w:pStyle w:val="TblTxt1"/>
            </w:pPr>
            <w:r w:rsidRPr="00ED23B0">
              <w:t>Storm Drain in Los Angeles Street</w:t>
            </w:r>
          </w:p>
        </w:tc>
        <w:tc>
          <w:tcPr>
            <w:tcW w:w="2700" w:type="dxa"/>
            <w:tcBorders>
              <w:top w:val="single" w:sz="4" w:space="0" w:color="auto"/>
              <w:bottom w:val="single" w:sz="12" w:space="0" w:color="auto"/>
            </w:tcBorders>
            <w:vAlign w:val="center"/>
            <w:hideMark/>
          </w:tcPr>
          <w:p w14:paraId="02A1D0AE" w14:textId="77777777" w:rsidR="00215323" w:rsidRPr="00ED23B0" w:rsidRDefault="00215323" w:rsidP="00432DB2">
            <w:pPr>
              <w:pStyle w:val="TblTxtCenter"/>
            </w:pPr>
            <w:r w:rsidRPr="00ED23B0">
              <w:t>16.01</w:t>
            </w:r>
          </w:p>
        </w:tc>
        <w:tc>
          <w:tcPr>
            <w:tcW w:w="3420" w:type="dxa"/>
            <w:tcBorders>
              <w:top w:val="single" w:sz="4" w:space="0" w:color="auto"/>
              <w:bottom w:val="single" w:sz="12" w:space="0" w:color="auto"/>
            </w:tcBorders>
            <w:vAlign w:val="center"/>
            <w:hideMark/>
          </w:tcPr>
          <w:p w14:paraId="14CF57E3" w14:textId="77777777" w:rsidR="00215323" w:rsidRPr="00ED23B0" w:rsidRDefault="00215323" w:rsidP="00432DB2">
            <w:pPr>
              <w:pStyle w:val="TblTxtCenter"/>
            </w:pPr>
            <w:r w:rsidRPr="00ED23B0">
              <w:t>18.23</w:t>
            </w:r>
          </w:p>
        </w:tc>
      </w:tr>
      <w:tr w:rsidR="00215323" w:rsidRPr="00BC2711" w14:paraId="253AE895" w14:textId="77777777" w:rsidTr="00D80314">
        <w:trPr>
          <w:trHeight w:val="177"/>
          <w:jc w:val="center"/>
        </w:trPr>
        <w:tc>
          <w:tcPr>
            <w:tcW w:w="9000" w:type="dxa"/>
            <w:gridSpan w:val="3"/>
            <w:tcBorders>
              <w:top w:val="single" w:sz="12" w:space="0" w:color="auto"/>
              <w:bottom w:val="single" w:sz="6" w:space="0" w:color="auto"/>
            </w:tcBorders>
            <w:vAlign w:val="bottom"/>
          </w:tcPr>
          <w:p w14:paraId="41564251" w14:textId="77777777" w:rsidR="00215323" w:rsidRPr="00ED23B0" w:rsidRDefault="00215323" w:rsidP="00432DB2">
            <w:pPr>
              <w:pStyle w:val="TblColumnHeads"/>
              <w:jc w:val="left"/>
            </w:pPr>
            <w:r w:rsidRPr="00ED23B0">
              <w:rPr>
                <w:sz w:val="18"/>
                <w:szCs w:val="18"/>
              </w:rPr>
              <w:t>Proposed Conditions</w:t>
            </w:r>
          </w:p>
        </w:tc>
      </w:tr>
      <w:tr w:rsidR="00215323" w:rsidRPr="00BC2711" w14:paraId="164FA4E5" w14:textId="77777777" w:rsidTr="00D80314">
        <w:trPr>
          <w:trHeight w:val="269"/>
          <w:jc w:val="center"/>
        </w:trPr>
        <w:tc>
          <w:tcPr>
            <w:tcW w:w="2880" w:type="dxa"/>
            <w:tcBorders>
              <w:top w:val="single" w:sz="6" w:space="0" w:color="auto"/>
              <w:bottom w:val="single" w:sz="4" w:space="0" w:color="auto"/>
            </w:tcBorders>
            <w:vAlign w:val="center"/>
          </w:tcPr>
          <w:p w14:paraId="5FF956B9" w14:textId="77777777" w:rsidR="00215323" w:rsidRPr="00ED23B0" w:rsidRDefault="00215323" w:rsidP="00432DB2">
            <w:pPr>
              <w:pStyle w:val="TblTxt1"/>
            </w:pPr>
            <w:r w:rsidRPr="00ED23B0">
              <w:t>Big Dalton Wash</w:t>
            </w:r>
          </w:p>
        </w:tc>
        <w:tc>
          <w:tcPr>
            <w:tcW w:w="2700" w:type="dxa"/>
            <w:tcBorders>
              <w:top w:val="single" w:sz="6" w:space="0" w:color="auto"/>
              <w:bottom w:val="single" w:sz="4" w:space="0" w:color="auto"/>
            </w:tcBorders>
            <w:vAlign w:val="center"/>
          </w:tcPr>
          <w:p w14:paraId="7B80D2B1" w14:textId="77777777" w:rsidR="00215323" w:rsidRPr="00ED23B0" w:rsidRDefault="00215323" w:rsidP="00432DB2">
            <w:pPr>
              <w:pStyle w:val="TblTxtCenter"/>
            </w:pPr>
            <w:r w:rsidRPr="00ED23B0">
              <w:t>0</w:t>
            </w:r>
          </w:p>
        </w:tc>
        <w:tc>
          <w:tcPr>
            <w:tcW w:w="3420" w:type="dxa"/>
            <w:tcBorders>
              <w:top w:val="single" w:sz="6" w:space="0" w:color="auto"/>
              <w:bottom w:val="single" w:sz="4" w:space="0" w:color="auto"/>
            </w:tcBorders>
            <w:vAlign w:val="center"/>
          </w:tcPr>
          <w:p w14:paraId="181FC830" w14:textId="77777777" w:rsidR="00215323" w:rsidRPr="00ED23B0" w:rsidRDefault="00215323" w:rsidP="00432DB2">
            <w:pPr>
              <w:pStyle w:val="TblTxtCenter"/>
            </w:pPr>
            <w:r w:rsidRPr="00ED23B0">
              <w:t>0</w:t>
            </w:r>
          </w:p>
        </w:tc>
      </w:tr>
      <w:tr w:rsidR="00215323" w:rsidRPr="00BC2711" w14:paraId="2445B5D1" w14:textId="77777777" w:rsidTr="00F1091F">
        <w:trPr>
          <w:trHeight w:val="269"/>
          <w:jc w:val="center"/>
        </w:trPr>
        <w:tc>
          <w:tcPr>
            <w:tcW w:w="2880" w:type="dxa"/>
            <w:tcBorders>
              <w:top w:val="single" w:sz="4" w:space="0" w:color="auto"/>
              <w:bottom w:val="single" w:sz="12" w:space="0" w:color="auto"/>
            </w:tcBorders>
            <w:vAlign w:val="center"/>
          </w:tcPr>
          <w:p w14:paraId="0875954D" w14:textId="77777777" w:rsidR="00215323" w:rsidRPr="00ED23B0" w:rsidRDefault="00215323" w:rsidP="00432DB2">
            <w:pPr>
              <w:pStyle w:val="TblTxt1"/>
            </w:pPr>
            <w:r w:rsidRPr="00ED23B0">
              <w:t>Storm Drain in Los Angeles Street</w:t>
            </w:r>
          </w:p>
        </w:tc>
        <w:tc>
          <w:tcPr>
            <w:tcW w:w="2700" w:type="dxa"/>
            <w:tcBorders>
              <w:top w:val="single" w:sz="4" w:space="0" w:color="auto"/>
              <w:bottom w:val="single" w:sz="12" w:space="0" w:color="auto"/>
            </w:tcBorders>
            <w:vAlign w:val="center"/>
          </w:tcPr>
          <w:p w14:paraId="21ED4F9D" w14:textId="77777777" w:rsidR="00215323" w:rsidRPr="00ED23B0" w:rsidRDefault="00215323" w:rsidP="00432DB2">
            <w:pPr>
              <w:pStyle w:val="TblTxtCenter"/>
            </w:pPr>
            <w:r w:rsidRPr="00ED23B0">
              <w:t>20.46</w:t>
            </w:r>
          </w:p>
        </w:tc>
        <w:tc>
          <w:tcPr>
            <w:tcW w:w="3420" w:type="dxa"/>
            <w:tcBorders>
              <w:top w:val="single" w:sz="4" w:space="0" w:color="auto"/>
              <w:bottom w:val="single" w:sz="12" w:space="0" w:color="auto"/>
            </w:tcBorders>
            <w:vAlign w:val="center"/>
          </w:tcPr>
          <w:p w14:paraId="28140D0F" w14:textId="77777777" w:rsidR="00215323" w:rsidRPr="00ED23B0" w:rsidRDefault="00215323" w:rsidP="00432DB2">
            <w:pPr>
              <w:pStyle w:val="TblTxtCenter"/>
            </w:pPr>
            <w:r w:rsidRPr="00ED23B0">
              <w:t>22.97</w:t>
            </w:r>
          </w:p>
        </w:tc>
      </w:tr>
      <w:tr w:rsidR="00215323" w:rsidRPr="00BC2711" w14:paraId="03981C87" w14:textId="77777777" w:rsidTr="00D80314">
        <w:trPr>
          <w:trHeight w:val="411"/>
          <w:jc w:val="center"/>
        </w:trPr>
        <w:tc>
          <w:tcPr>
            <w:tcW w:w="9000" w:type="dxa"/>
            <w:gridSpan w:val="3"/>
            <w:tcBorders>
              <w:top w:val="single" w:sz="12" w:space="0" w:color="auto"/>
              <w:bottom w:val="single" w:sz="12" w:space="0" w:color="auto"/>
            </w:tcBorders>
            <w:vAlign w:val="center"/>
          </w:tcPr>
          <w:p w14:paraId="215CE3B3" w14:textId="7BED24E2" w:rsidR="00215323" w:rsidRPr="00BC2711" w:rsidRDefault="00215323" w:rsidP="00432DB2">
            <w:pPr>
              <w:pStyle w:val="TblSourcesNotes"/>
              <w:tabs>
                <w:tab w:val="clear" w:pos="144"/>
                <w:tab w:val="left" w:pos="0"/>
              </w:tabs>
              <w:ind w:left="0" w:firstLine="0"/>
            </w:pPr>
            <w:r w:rsidRPr="00BC2711">
              <w:t xml:space="preserve">Source: </w:t>
            </w:r>
            <w:r>
              <w:t>NextGen 2021</w:t>
            </w:r>
            <w:r w:rsidR="00FE59B8">
              <w:t>.</w:t>
            </w:r>
            <w:r w:rsidRPr="00BC2711">
              <w:br/>
              <w:t>Notes: Q50 = flow from the 50-year storm event; Q100 = flow from the 100-year storm event; cfs = cubic feet per second</w:t>
            </w:r>
          </w:p>
        </w:tc>
      </w:tr>
    </w:tbl>
    <w:p w14:paraId="7D8B19FE" w14:textId="77777777" w:rsidR="00215323" w:rsidRPr="001F2EE6" w:rsidRDefault="00215323" w:rsidP="00215323">
      <w:pPr>
        <w:pStyle w:val="BodyTextIndent5"/>
        <w:rPr>
          <w:color w:val="4F81BD" w:themeColor="accent1"/>
        </w:rPr>
      </w:pPr>
    </w:p>
    <w:p w14:paraId="5C7112E4" w14:textId="19FDAEAE" w:rsidR="00215323" w:rsidRPr="00523C7F" w:rsidRDefault="00215323" w:rsidP="00215323">
      <w:pPr>
        <w:pStyle w:val="BodyTextIndent5"/>
      </w:pPr>
      <w:r w:rsidRPr="00A840DF">
        <w:t>Per Los Angeles County requirements, post-development flow from the 100-year peak discharge (Q100) should not exceed the existing conditions 50-year peak discharge (Q50). As noted in Table 16, the post-development Q100 for the storm drain in Los Angeles Street (22.97 cubic feet per second) is greater than the Q50 for existing conditions (16.01 cubic feet per second). To mitigate for peak flow conditions</w:t>
      </w:r>
      <w:r w:rsidR="00FE59B8">
        <w:t>,</w:t>
      </w:r>
      <w:r w:rsidRPr="00A840DF">
        <w:t xml:space="preserve"> two detention chambers are proposed for the site (see Figure 11, </w:t>
      </w:r>
      <w:r w:rsidRPr="00A840DF">
        <w:rPr>
          <w:i/>
          <w:iCs/>
        </w:rPr>
        <w:t>Proposed Conditions Hydrology Map</w:t>
      </w:r>
      <w:r w:rsidRPr="00A840DF">
        <w:t>). The hydrologic analysis determined that a detention volume of 1,702 cubic feet is required to ensure that the 100-year proposed conditions peak flow is equal to the 50-year existing condition peak flow. The proposed project includes two detention chambers with a total storage capacity of 1,861 cubic feet, approximately 459 cubic feet more than required.</w:t>
      </w:r>
      <w:r>
        <w:t xml:space="preserve"> Additionally, to ensure that the detention </w:t>
      </w:r>
      <w:r w:rsidRPr="00523C7F">
        <w:t>chambers provide the desired flow mitigation, outflow control is needed at the outflow of the chambers to control discharge into the public storm drain. Flow restriction orifices are provided at the two outflow culverts designed to limit the proposed Q100 to the existing Q50.</w:t>
      </w:r>
    </w:p>
    <w:p w14:paraId="78EEAB23" w14:textId="00DC62B8" w:rsidR="00215323" w:rsidRPr="00523C7F" w:rsidRDefault="00215323" w:rsidP="00215323">
      <w:pPr>
        <w:pStyle w:val="BodyTextIndent5"/>
      </w:pPr>
      <w:r w:rsidRPr="00523C7F">
        <w:t xml:space="preserve">Additionally, the proposed project would also comply with Chapter 8.28, </w:t>
      </w:r>
      <w:r w:rsidRPr="003226DA">
        <w:t>St</w:t>
      </w:r>
      <w:r w:rsidR="00FE59B8" w:rsidRPr="003226DA">
        <w:t>or</w:t>
      </w:r>
      <w:r w:rsidRPr="003226DA">
        <w:t>m Water and Urban Runoff Pollution</w:t>
      </w:r>
      <w:r w:rsidRPr="00523C7F">
        <w:t xml:space="preserve">, of the City’s </w:t>
      </w:r>
      <w:r w:rsidR="00FE59B8" w:rsidRPr="00523C7F">
        <w:t>municipal code</w:t>
      </w:r>
      <w:r w:rsidRPr="00523C7F">
        <w:t>. Compliance with LACDPW standards and the City’s municipal code and implementation of the requirements of the Hydrology and Detention Report would ensure that the flow rate would not exceed the allowable flow rate to the storm drain system under the 100-year storm event.</w:t>
      </w:r>
    </w:p>
    <w:p w14:paraId="46D8D7FE" w14:textId="778D96D9" w:rsidR="00215323" w:rsidRDefault="00215323" w:rsidP="00215323">
      <w:pPr>
        <w:pStyle w:val="BodyTextIndent5"/>
      </w:pPr>
      <w:r w:rsidRPr="00523C7F">
        <w:t>Based on the preceding, project development would not substantially increase the rate or amount of surface runoff in a manner which would result in flooding on- or off</w:t>
      </w:r>
      <w:r w:rsidR="00FE59B8">
        <w:t>-</w:t>
      </w:r>
      <w:r w:rsidRPr="00523C7F">
        <w:t>site. Impacts would be less than significant, and no mitigation measures are necessary.</w:t>
      </w:r>
    </w:p>
    <w:p w14:paraId="4606ED9F" w14:textId="77777777" w:rsidR="00DD7ED4" w:rsidRDefault="00DD7ED4" w:rsidP="00DD7ED4">
      <w:pPr>
        <w:pStyle w:val="List"/>
        <w:numPr>
          <w:ilvl w:val="1"/>
          <w:numId w:val="1"/>
        </w:numPr>
      </w:pPr>
      <w:r>
        <w:t>C</w:t>
      </w:r>
      <w:r w:rsidRPr="006A5D22">
        <w:t>reate or contribute runoff water</w:t>
      </w:r>
      <w:r w:rsidR="001618E9">
        <w:t>,</w:t>
      </w:r>
      <w:r w:rsidRPr="006A5D22">
        <w:t xml:space="preserve"> which would exceed the capacity of existing or planned stormwater drainage systems or provide substantial additional sources of polluted runoff</w:t>
      </w:r>
      <w:r>
        <w:t>?</w:t>
      </w:r>
    </w:p>
    <w:p w14:paraId="12D6BE10" w14:textId="29F69BC4" w:rsidR="00DD7ED4" w:rsidRPr="00617ACC" w:rsidRDefault="00EC294C" w:rsidP="00DD7ED4">
      <w:pPr>
        <w:pStyle w:val="BodyTextIndent5"/>
      </w:pPr>
      <w:r w:rsidRPr="00345BC8">
        <w:rPr>
          <w:rStyle w:val="BodyTextBoldChar"/>
        </w:rPr>
        <w:t xml:space="preserve">Less Than Significant Impact. </w:t>
      </w:r>
      <w:r w:rsidR="00DD7ED4" w:rsidRPr="00345BC8">
        <w:t>The following describes the proposed project’s potential impacts related to storm drainage systems and runoff.</w:t>
      </w:r>
    </w:p>
    <w:p w14:paraId="5346225C" w14:textId="77777777" w:rsidR="00DD7ED4" w:rsidRPr="00617ACC" w:rsidRDefault="00DD7ED4" w:rsidP="00DD7ED4">
      <w:pPr>
        <w:pStyle w:val="Heading5"/>
        <w:tabs>
          <w:tab w:val="clear" w:pos="0"/>
        </w:tabs>
        <w:ind w:left="360"/>
      </w:pPr>
      <w:r w:rsidRPr="00617ACC">
        <w:t xml:space="preserve">Capacity of Stormwater Drainage Systems </w:t>
      </w:r>
    </w:p>
    <w:p w14:paraId="44A10641" w14:textId="291ED40E" w:rsidR="00EC294C" w:rsidRPr="00617ACC" w:rsidRDefault="00345BC8" w:rsidP="00EC294C">
      <w:pPr>
        <w:pStyle w:val="BodyTextIndent5"/>
      </w:pPr>
      <w:r w:rsidRPr="00345BC8">
        <w:t>Project impacts on the capacity of storm drainage systems would be less than significant, as substantiated in Section 3.10.c.ii. No mitigation measures are necessary.</w:t>
      </w:r>
    </w:p>
    <w:p w14:paraId="7079B57D" w14:textId="77777777" w:rsidR="00DD7ED4" w:rsidRPr="00617ACC" w:rsidRDefault="00DD7ED4" w:rsidP="00DD7ED4">
      <w:pPr>
        <w:pStyle w:val="Heading5"/>
        <w:tabs>
          <w:tab w:val="clear" w:pos="0"/>
        </w:tabs>
        <w:ind w:left="360"/>
      </w:pPr>
      <w:r w:rsidRPr="00617ACC">
        <w:t>Polluted Runoff</w:t>
      </w:r>
    </w:p>
    <w:p w14:paraId="0834805D" w14:textId="77777777" w:rsidR="00DD7ED4" w:rsidRPr="00617ACC" w:rsidRDefault="00DD7ED4" w:rsidP="00DD7ED4">
      <w:pPr>
        <w:pStyle w:val="BodyTextIndent5"/>
      </w:pPr>
      <w:r w:rsidRPr="00617ACC">
        <w:t>Project stormwater pollution impacts would be less than significant, as substantiated in Section 3.10.a. No mitigation measures are necessary.</w:t>
      </w:r>
    </w:p>
    <w:p w14:paraId="612D1E50" w14:textId="77777777" w:rsidR="00DD7ED4" w:rsidRPr="00A30AF2" w:rsidRDefault="00DD7ED4" w:rsidP="00DD7ED4">
      <w:pPr>
        <w:pStyle w:val="List"/>
        <w:numPr>
          <w:ilvl w:val="1"/>
          <w:numId w:val="1"/>
        </w:numPr>
      </w:pPr>
      <w:r w:rsidRPr="00A30AF2">
        <w:t>Impede or redirect flood flows?</w:t>
      </w:r>
    </w:p>
    <w:p w14:paraId="1AF0DB8D" w14:textId="7FAFC992" w:rsidR="00DD7ED4" w:rsidRPr="000E5C35" w:rsidRDefault="00DD7ED4" w:rsidP="00DD7ED4">
      <w:pPr>
        <w:pStyle w:val="BodyTextIndent5"/>
      </w:pPr>
      <w:r>
        <w:rPr>
          <w:rStyle w:val="BodyTextBoldChar"/>
        </w:rPr>
        <w:t>Less Than Significant</w:t>
      </w:r>
      <w:r w:rsidRPr="00617ACC">
        <w:rPr>
          <w:rStyle w:val="BodyTextBoldChar"/>
        </w:rPr>
        <w:t xml:space="preserve"> Impact.</w:t>
      </w:r>
      <w:r w:rsidRPr="00617ACC">
        <w:t xml:space="preserve"> </w:t>
      </w:r>
      <w:r w:rsidRPr="000E5C35">
        <w:t xml:space="preserve">The project site is not in a 100-year flood hazard zone (FEMA 2008). However, the project site is within the flood inundation area of the Santa Fe Dam. The Santa Fe Dam is a flood control </w:t>
      </w:r>
      <w:r>
        <w:t xml:space="preserve">structure </w:t>
      </w:r>
      <w:r w:rsidRPr="000E5C35">
        <w:t xml:space="preserve">on the San Gabriel River, </w:t>
      </w:r>
      <w:r w:rsidR="009C662F">
        <w:t>in the City of Irwindale</w:t>
      </w:r>
      <w:r w:rsidRPr="000E5C35">
        <w:t>. The dam is owned and operated by the Army Corp of Engineers (Corps 2021). The City of Irwindale has never been impacted by dam failure due to the Santa Fe Dam (Irwindale 2012).</w:t>
      </w:r>
    </w:p>
    <w:p w14:paraId="252366B3" w14:textId="15D4E7E5" w:rsidR="00DD7ED4" w:rsidRPr="00DD7ED4" w:rsidRDefault="00DD7ED4" w:rsidP="00DD7ED4">
      <w:pPr>
        <w:pStyle w:val="BodyTextIndent5"/>
      </w:pPr>
      <w:r w:rsidRPr="000E5C35">
        <w:t xml:space="preserve">Dams in California are monitored and inspected annually by the California Division of Safety of Dams (DSOD). In addition, dam owners are required to maintain Emergency Action Plans (EAPs) that include procedures for damage assessment and emergency warnings. An EAP identifies potential emergency conditions at a dam and specifies preplanned actions to help minimize property damage and loss of life should those conditions occur. EAPs contain procedures and information that instruct dam owners to issue early warning and notification messages to downstream emergency management authorities. Additionally, the State of California Dam Safety Act requires dam owners to submit inundation maps for those dams whose total failure would cause loss of life or personal injury. The City periodically reviews the inundation maps for the Santa Fe Dam to ensure these issues are considered as part of on-going planning efforts (Irwindale 2012). Therefore, no impact to flood flows </w:t>
      </w:r>
      <w:r w:rsidR="004F1BDE">
        <w:t>is expected to</w:t>
      </w:r>
      <w:r w:rsidR="004F1BDE" w:rsidRPr="000E5C35">
        <w:t xml:space="preserve"> </w:t>
      </w:r>
      <w:r w:rsidRPr="000E5C35">
        <w:t>occur and no mitigation measures are necessary.</w:t>
      </w:r>
    </w:p>
    <w:p w14:paraId="5A279686" w14:textId="77777777" w:rsidR="00D10CF6" w:rsidRDefault="002039D6" w:rsidP="002039D6">
      <w:pPr>
        <w:pStyle w:val="List"/>
      </w:pPr>
      <w:r w:rsidRPr="002039D6">
        <w:t>In flood hazard, tsunami, or seiche zones, risk release of pollutants due to project inundation</w:t>
      </w:r>
      <w:r w:rsidR="00D10CF6">
        <w:t>?</w:t>
      </w:r>
    </w:p>
    <w:p w14:paraId="3BC6870B" w14:textId="77777777" w:rsidR="00614287" w:rsidRPr="00682D55" w:rsidRDefault="00682D55" w:rsidP="00614287">
      <w:pPr>
        <w:pStyle w:val="BodyText"/>
      </w:pPr>
      <w:r w:rsidRPr="00682D55">
        <w:rPr>
          <w:rStyle w:val="BodyTextBoldChar"/>
        </w:rPr>
        <w:t>Less than Significant</w:t>
      </w:r>
      <w:r w:rsidR="00D10CF6" w:rsidRPr="00682D55">
        <w:rPr>
          <w:rStyle w:val="BodyTextBoldChar"/>
        </w:rPr>
        <w:t xml:space="preserve"> </w:t>
      </w:r>
      <w:r w:rsidR="002039D6" w:rsidRPr="00682D55">
        <w:rPr>
          <w:rStyle w:val="BodyTextBoldChar"/>
        </w:rPr>
        <w:t xml:space="preserve">Impact. </w:t>
      </w:r>
      <w:r w:rsidR="00614287" w:rsidRPr="00682D55">
        <w:t xml:space="preserve">As noted in Section 3.10.c.iv, the project site is not in 100-year flood zone </w:t>
      </w:r>
      <w:r w:rsidRPr="00682D55">
        <w:t>but is within the flood inundation area of the Santa Fe</w:t>
      </w:r>
      <w:r w:rsidR="00614287" w:rsidRPr="00682D55">
        <w:t xml:space="preserve"> Dam. </w:t>
      </w:r>
      <w:r w:rsidRPr="00682D55">
        <w:t xml:space="preserve">However, impacts from dam failure are less than significant. </w:t>
      </w:r>
    </w:p>
    <w:p w14:paraId="4A378E35" w14:textId="77777777" w:rsidR="00614287" w:rsidRPr="00682D55" w:rsidRDefault="00614287" w:rsidP="00614287">
      <w:pPr>
        <w:pStyle w:val="BodyText"/>
      </w:pPr>
      <w:r w:rsidRPr="00682D55">
        <w:t xml:space="preserve">A seiche is an oscillating surface wave in a restricted or enclosed body of water, generated by ground motion, usually during an earthquake. Seiches are of concern for water storage </w:t>
      </w:r>
      <w:r w:rsidR="00DE3C01" w:rsidRPr="00682D55">
        <w:t>facilities because</w:t>
      </w:r>
      <w:r w:rsidRPr="00682D55">
        <w:t xml:space="preserve"> inundation from a seiche can occur if the wave overflows a containment wall, such as the wall of a reservoir, water storage tank, dam, or other artificial body of water. The</w:t>
      </w:r>
      <w:r w:rsidR="00682D55" w:rsidRPr="00682D55">
        <w:t xml:space="preserve"> Santa Fe Reservoir is approximately 1.2 miles south of the site and </w:t>
      </w:r>
      <w:r w:rsidRPr="00682D55">
        <w:t xml:space="preserve">would </w:t>
      </w:r>
      <w:r w:rsidR="00682D55" w:rsidRPr="00682D55">
        <w:t xml:space="preserve">not </w:t>
      </w:r>
      <w:r w:rsidRPr="00682D55">
        <w:t xml:space="preserve">pose a flood hazard to the site due to a seiche. </w:t>
      </w:r>
    </w:p>
    <w:p w14:paraId="50575F98" w14:textId="77777777" w:rsidR="00614287" w:rsidRPr="00682D55" w:rsidRDefault="00614287" w:rsidP="00614287">
      <w:pPr>
        <w:pStyle w:val="BodyText"/>
      </w:pPr>
      <w:r w:rsidRPr="00682D55">
        <w:t xml:space="preserve">Tsunamis are a type of earthquake-induced flooding produced by large-scale sudden disturbances of the sea floor. Tsunami waves interact with the shallow sea floor when approaching a landmass, resulting in an increase in wave height and a destructive wave surge into low-lying coastal areas. The </w:t>
      </w:r>
      <w:r w:rsidR="00682D55" w:rsidRPr="00682D55">
        <w:t>proposed p</w:t>
      </w:r>
      <w:r w:rsidRPr="00682D55">
        <w:t xml:space="preserve">roject is approximately </w:t>
      </w:r>
      <w:r w:rsidR="00682D55" w:rsidRPr="00682D55">
        <w:t>30</w:t>
      </w:r>
      <w:r w:rsidRPr="00682D55">
        <w:t xml:space="preserve"> miles inland from the Pacific Ocean. Therefore, the site is outside the tsunami hazard zone and would not be affected by a tsunami. </w:t>
      </w:r>
    </w:p>
    <w:p w14:paraId="42FB29FA" w14:textId="77777777" w:rsidR="002039D6" w:rsidRPr="00682D55" w:rsidRDefault="00614287" w:rsidP="002039D6">
      <w:pPr>
        <w:pStyle w:val="BodyText"/>
      </w:pPr>
      <w:r w:rsidRPr="00682D55">
        <w:t>Based on the preceding</w:t>
      </w:r>
      <w:r w:rsidR="0015646D">
        <w:t xml:space="preserve"> reasons</w:t>
      </w:r>
      <w:r w:rsidRPr="00682D55">
        <w:t xml:space="preserve">, the </w:t>
      </w:r>
      <w:r w:rsidR="00682D55" w:rsidRPr="00682D55">
        <w:t>proposed p</w:t>
      </w:r>
      <w:r w:rsidRPr="00682D55">
        <w:t xml:space="preserve">roject would not risk release pollutants as the result of floods, tsunami, or seiche. Therefore, </w:t>
      </w:r>
      <w:r w:rsidR="00682D55">
        <w:t>impacts would be less than significant</w:t>
      </w:r>
      <w:r w:rsidRPr="00682D55">
        <w:t>.</w:t>
      </w:r>
    </w:p>
    <w:p w14:paraId="38863AE8" w14:textId="77777777" w:rsidR="00D10CF6" w:rsidRDefault="002039D6" w:rsidP="002039D6">
      <w:pPr>
        <w:pStyle w:val="List"/>
      </w:pPr>
      <w:r w:rsidRPr="002039D6">
        <w:t>Conflict with or obstruct implementation of a water quality control plan or sustainable groundwater management plan</w:t>
      </w:r>
      <w:r w:rsidR="00D10CF6">
        <w:t>?</w:t>
      </w:r>
    </w:p>
    <w:p w14:paraId="108E9D04" w14:textId="3FC6F149" w:rsidR="00614287" w:rsidRPr="003E4915" w:rsidRDefault="00345BC8" w:rsidP="00614287">
      <w:pPr>
        <w:pStyle w:val="BodyText"/>
        <w:rPr>
          <w:rStyle w:val="BodyTextBoldChar"/>
          <w:b w:val="0"/>
        </w:rPr>
      </w:pPr>
      <w:r>
        <w:rPr>
          <w:rStyle w:val="BodyTextBoldChar"/>
        </w:rPr>
        <w:t>Less than Significant Impact</w:t>
      </w:r>
      <w:r w:rsidR="00614287" w:rsidRPr="00ED22D5">
        <w:rPr>
          <w:rStyle w:val="BodyTextBoldChar"/>
        </w:rPr>
        <w:t>.</w:t>
      </w:r>
      <w:r w:rsidR="00614287" w:rsidRPr="00ED22D5">
        <w:t xml:space="preserve"> </w:t>
      </w:r>
      <w:r w:rsidR="00614287" w:rsidRPr="00ED22D5">
        <w:rPr>
          <w:rStyle w:val="BodyTextBoldChar"/>
          <w:b w:val="0"/>
        </w:rPr>
        <w:t xml:space="preserve">Water quality in </w:t>
      </w:r>
      <w:r w:rsidR="00ED22D5" w:rsidRPr="00ED22D5">
        <w:rPr>
          <w:rStyle w:val="BodyTextBoldChar"/>
          <w:b w:val="0"/>
        </w:rPr>
        <w:t>Irwindale</w:t>
      </w:r>
      <w:r w:rsidR="00614287" w:rsidRPr="00ED22D5">
        <w:rPr>
          <w:rStyle w:val="BodyTextBoldChar"/>
          <w:b w:val="0"/>
        </w:rPr>
        <w:t xml:space="preserve"> is regulated by the Los Angeles </w:t>
      </w:r>
      <w:r w:rsidR="00ED22D5" w:rsidRPr="00ED22D5">
        <w:rPr>
          <w:rStyle w:val="BodyTextBoldChar"/>
          <w:b w:val="0"/>
        </w:rPr>
        <w:t>RWCQB</w:t>
      </w:r>
      <w:r w:rsidR="00614287" w:rsidRPr="00ED22D5">
        <w:rPr>
          <w:rStyle w:val="BodyTextBoldChar"/>
          <w:b w:val="0"/>
        </w:rPr>
        <w:t xml:space="preserve"> and its Basin Plan for the Coastal Watersheds of Los Angeles and Ventura Counties. The </w:t>
      </w:r>
      <w:r w:rsidR="009C662F">
        <w:rPr>
          <w:rStyle w:val="BodyTextBoldChar"/>
          <w:b w:val="0"/>
        </w:rPr>
        <w:t>B</w:t>
      </w:r>
      <w:r w:rsidR="00614287" w:rsidRPr="00ED22D5">
        <w:rPr>
          <w:rStyle w:val="BodyTextBoldChar"/>
          <w:b w:val="0"/>
        </w:rPr>
        <w:t xml:space="preserve">asin </w:t>
      </w:r>
      <w:r w:rsidR="009C662F">
        <w:rPr>
          <w:rStyle w:val="BodyTextBoldChar"/>
          <w:b w:val="0"/>
        </w:rPr>
        <w:t>P</w:t>
      </w:r>
      <w:r w:rsidR="00614287" w:rsidRPr="00ED22D5">
        <w:rPr>
          <w:rStyle w:val="BodyTextBoldChar"/>
          <w:b w:val="0"/>
        </w:rPr>
        <w:t xml:space="preserve">lan contains water quality standards and </w:t>
      </w:r>
      <w:r w:rsidR="00614287" w:rsidRPr="003E4915">
        <w:rPr>
          <w:rStyle w:val="BodyTextBoldChar"/>
          <w:b w:val="0"/>
        </w:rPr>
        <w:t xml:space="preserve">identifies beneficial uses (wildlife habitat, agricultural supply, fishing, etc.) for receiving waters </w:t>
      </w:r>
      <w:r w:rsidR="0015646D">
        <w:rPr>
          <w:rStyle w:val="BodyTextBoldChar"/>
          <w:b w:val="0"/>
        </w:rPr>
        <w:t>and the</w:t>
      </w:r>
      <w:r w:rsidR="00614287" w:rsidRPr="003E4915">
        <w:rPr>
          <w:rStyle w:val="BodyTextBoldChar"/>
          <w:b w:val="0"/>
        </w:rPr>
        <w:t xml:space="preserve"> water quality criteria and standards necessary to support these uses consistent with federal and state water quality laws. As substantiated in Section 3.10.a, the </w:t>
      </w:r>
      <w:r w:rsidR="00ED22D5" w:rsidRPr="003E4915">
        <w:rPr>
          <w:rStyle w:val="BodyTextBoldChar"/>
          <w:b w:val="0"/>
        </w:rPr>
        <w:t>proposed p</w:t>
      </w:r>
      <w:r w:rsidR="00614287" w:rsidRPr="003E4915">
        <w:rPr>
          <w:rStyle w:val="BodyTextBoldChar"/>
          <w:b w:val="0"/>
        </w:rPr>
        <w:t xml:space="preserve">roject would not violate any water quality standards and therefore </w:t>
      </w:r>
      <w:r w:rsidR="0015646D">
        <w:rPr>
          <w:rStyle w:val="BodyTextBoldChar"/>
          <w:b w:val="0"/>
        </w:rPr>
        <w:t xml:space="preserve">would </w:t>
      </w:r>
      <w:r w:rsidR="00614287" w:rsidRPr="003E4915">
        <w:rPr>
          <w:rStyle w:val="BodyTextBoldChar"/>
          <w:b w:val="0"/>
        </w:rPr>
        <w:t xml:space="preserve">not obstruct the implementation of the Basin Plan. </w:t>
      </w:r>
      <w:r w:rsidR="00251437">
        <w:rPr>
          <w:rStyle w:val="BodyTextBoldChar"/>
          <w:b w:val="0"/>
        </w:rPr>
        <w:t>A less than signi</w:t>
      </w:r>
      <w:r w:rsidR="00FA575E">
        <w:rPr>
          <w:rStyle w:val="BodyTextBoldChar"/>
          <w:b w:val="0"/>
        </w:rPr>
        <w:t>ficant</w:t>
      </w:r>
      <w:r w:rsidR="0015646D" w:rsidRPr="003E4915">
        <w:rPr>
          <w:rStyle w:val="BodyTextBoldChar"/>
          <w:b w:val="0"/>
        </w:rPr>
        <w:t xml:space="preserve"> </w:t>
      </w:r>
      <w:r w:rsidR="00614287" w:rsidRPr="003E4915">
        <w:rPr>
          <w:rStyle w:val="BodyTextBoldChar"/>
          <w:b w:val="0"/>
        </w:rPr>
        <w:t xml:space="preserve">impact would </w:t>
      </w:r>
      <w:r w:rsidR="00DE3C01" w:rsidRPr="003E4915">
        <w:rPr>
          <w:rStyle w:val="BodyTextBoldChar"/>
          <w:b w:val="0"/>
        </w:rPr>
        <w:t>occur</w:t>
      </w:r>
      <w:r w:rsidR="00614287" w:rsidRPr="003E4915">
        <w:rPr>
          <w:rStyle w:val="BodyTextBoldChar"/>
          <w:b w:val="0"/>
        </w:rPr>
        <w:t>.</w:t>
      </w:r>
    </w:p>
    <w:p w14:paraId="4A2A67E9" w14:textId="06D80397" w:rsidR="00614287" w:rsidRPr="003E4915" w:rsidRDefault="00614287" w:rsidP="003E4915">
      <w:pPr>
        <w:pStyle w:val="BodyText"/>
      </w:pPr>
      <w:r w:rsidRPr="003E4915">
        <w:rPr>
          <w:rStyle w:val="BodyTextBoldChar"/>
          <w:b w:val="0"/>
        </w:rPr>
        <w:t xml:space="preserve">Additionally, the project site is in </w:t>
      </w:r>
      <w:r w:rsidR="00A2626F" w:rsidRPr="003E4915">
        <w:rPr>
          <w:rStyle w:val="BodyTextBoldChar"/>
          <w:b w:val="0"/>
        </w:rPr>
        <w:t xml:space="preserve">the </w:t>
      </w:r>
      <w:r w:rsidR="0093384D">
        <w:rPr>
          <w:rStyle w:val="BodyTextBoldChar"/>
          <w:b w:val="0"/>
        </w:rPr>
        <w:t xml:space="preserve">Main </w:t>
      </w:r>
      <w:r w:rsidR="00ED22D5" w:rsidRPr="003E4915">
        <w:rPr>
          <w:rStyle w:val="BodyTextBoldChar"/>
          <w:b w:val="0"/>
        </w:rPr>
        <w:t>San Gabriel</w:t>
      </w:r>
      <w:r w:rsidRPr="003E4915">
        <w:t xml:space="preserve"> Groundwater Basi</w:t>
      </w:r>
      <w:r w:rsidR="00A2626F" w:rsidRPr="003E4915">
        <w:t>n</w:t>
      </w:r>
      <w:r w:rsidR="0015646D">
        <w:t>,</w:t>
      </w:r>
      <w:r w:rsidR="00A2626F" w:rsidRPr="003E4915">
        <w:t xml:space="preserve"> which is categorized as a</w:t>
      </w:r>
      <w:r w:rsidR="003E4915" w:rsidRPr="003E4915">
        <w:t xml:space="preserve"> </w:t>
      </w:r>
      <w:r w:rsidR="00A2626F" w:rsidRPr="003E4915">
        <w:t>low priority basin</w:t>
      </w:r>
      <w:r w:rsidR="00A2626F" w:rsidRPr="003E4915">
        <w:rPr>
          <w:rStyle w:val="BodyTextBoldChar"/>
          <w:b w:val="0"/>
        </w:rPr>
        <w:t>.</w:t>
      </w:r>
      <w:r w:rsidR="003E4915" w:rsidRPr="003E4915">
        <w:t xml:space="preserve"> The </w:t>
      </w:r>
      <w:r w:rsidR="003E4915" w:rsidRPr="003E4915">
        <w:rPr>
          <w:rStyle w:val="BodyTextBoldChar"/>
          <w:b w:val="0"/>
        </w:rPr>
        <w:t xml:space="preserve">Sustainable Groundwater Management Act requires only medium- and high-priority basins to </w:t>
      </w:r>
      <w:r w:rsidR="0015646D">
        <w:rPr>
          <w:rStyle w:val="BodyTextBoldChar"/>
          <w:b w:val="0"/>
        </w:rPr>
        <w:t>form</w:t>
      </w:r>
      <w:r w:rsidR="0015646D" w:rsidRPr="003E4915">
        <w:rPr>
          <w:rStyle w:val="BodyTextBoldChar"/>
          <w:b w:val="0"/>
        </w:rPr>
        <w:t xml:space="preserve"> </w:t>
      </w:r>
      <w:r w:rsidR="003E4915" w:rsidRPr="003E4915">
        <w:rPr>
          <w:rStyle w:val="BodyTextBoldChar"/>
          <w:b w:val="0"/>
        </w:rPr>
        <w:t>groundwater sustainability agencies, develop groundwater sustainability plans</w:t>
      </w:r>
      <w:r w:rsidR="003E4915">
        <w:rPr>
          <w:rStyle w:val="BodyTextBoldChar"/>
          <w:b w:val="0"/>
        </w:rPr>
        <w:t>,</w:t>
      </w:r>
      <w:r w:rsidR="003E4915" w:rsidRPr="003E4915">
        <w:rPr>
          <w:rStyle w:val="BodyTextBoldChar"/>
          <w:b w:val="0"/>
        </w:rPr>
        <w:t xml:space="preserve"> and manage groundwater for long-term sustainability. The</w:t>
      </w:r>
      <w:r w:rsidR="00C376CD">
        <w:rPr>
          <w:rStyle w:val="BodyTextBoldChar"/>
          <w:b w:val="0"/>
        </w:rPr>
        <w:t xml:space="preserve"> </w:t>
      </w:r>
      <w:r w:rsidR="00DE3C01">
        <w:rPr>
          <w:rStyle w:val="BodyTextBoldChar"/>
          <w:b w:val="0"/>
        </w:rPr>
        <w:t xml:space="preserve">Main </w:t>
      </w:r>
      <w:r w:rsidR="00DE3C01" w:rsidRPr="003E4915">
        <w:rPr>
          <w:rStyle w:val="BodyTextBoldChar"/>
          <w:b w:val="0"/>
        </w:rPr>
        <w:t>San Gabriel</w:t>
      </w:r>
      <w:r w:rsidR="00DE3C01" w:rsidRPr="003E4915">
        <w:t xml:space="preserve"> Groundwater Basin </w:t>
      </w:r>
      <w:r w:rsidR="00DE3C01">
        <w:t xml:space="preserve">does not require a </w:t>
      </w:r>
      <w:r w:rsidR="00C376CD" w:rsidRPr="003E4915">
        <w:rPr>
          <w:rStyle w:val="BodyTextBoldChar"/>
          <w:b w:val="0"/>
        </w:rPr>
        <w:t>groundwater sustainability plan</w:t>
      </w:r>
      <w:r w:rsidR="003E4915" w:rsidRPr="003E4915">
        <w:rPr>
          <w:rStyle w:val="BodyTextBoldChar"/>
          <w:b w:val="0"/>
        </w:rPr>
        <w:t>. A</w:t>
      </w:r>
      <w:r w:rsidR="00C376CD">
        <w:rPr>
          <w:rStyle w:val="BodyTextBoldChar"/>
          <w:b w:val="0"/>
        </w:rPr>
        <w:t>nd</w:t>
      </w:r>
      <w:r w:rsidR="003E4915" w:rsidRPr="003E4915">
        <w:rPr>
          <w:rStyle w:val="BodyTextBoldChar"/>
          <w:b w:val="0"/>
        </w:rPr>
        <w:t xml:space="preserve"> as </w:t>
      </w:r>
      <w:r w:rsidRPr="003E4915">
        <w:rPr>
          <w:rStyle w:val="BodyTextBoldChar"/>
          <w:b w:val="0"/>
        </w:rPr>
        <w:t xml:space="preserve">substantiated in Sections 3.10.b, the </w:t>
      </w:r>
      <w:r w:rsidR="003E4915" w:rsidRPr="003E4915">
        <w:rPr>
          <w:rStyle w:val="BodyTextBoldChar"/>
          <w:b w:val="0"/>
        </w:rPr>
        <w:t>proposed p</w:t>
      </w:r>
      <w:r w:rsidRPr="003E4915">
        <w:rPr>
          <w:rStyle w:val="BodyTextBoldChar"/>
          <w:b w:val="0"/>
        </w:rPr>
        <w:t xml:space="preserve">roject would not decrease groundwater supplies or interfere substantially with groundwater recharge. Therefore, </w:t>
      </w:r>
      <w:r w:rsidR="00345BC8">
        <w:rPr>
          <w:rStyle w:val="BodyTextBoldChar"/>
          <w:b w:val="0"/>
        </w:rPr>
        <w:t>impacts would be less than significant</w:t>
      </w:r>
      <w:r w:rsidRPr="003E4915">
        <w:rPr>
          <w:rStyle w:val="BodyTextBoldChar"/>
          <w:b w:val="0"/>
        </w:rPr>
        <w:t>.</w:t>
      </w:r>
    </w:p>
    <w:p w14:paraId="57E13E18" w14:textId="77777777" w:rsidR="00D10CF6" w:rsidRDefault="00D10CF6" w:rsidP="00D10CF6">
      <w:pPr>
        <w:pStyle w:val="Heading2"/>
      </w:pPr>
      <w:bookmarkStart w:id="186" w:name="_Toc90882163"/>
      <w:r>
        <w:t>LAND USE AND PLANNING</w:t>
      </w:r>
      <w:bookmarkEnd w:id="186"/>
    </w:p>
    <w:p w14:paraId="7718007F" w14:textId="77777777" w:rsidR="00513864" w:rsidRDefault="00513864" w:rsidP="00513864">
      <w:pPr>
        <w:pStyle w:val="BodyText"/>
      </w:pPr>
      <w:r>
        <w:t>Would the project:</w:t>
      </w:r>
    </w:p>
    <w:p w14:paraId="6ED809E9" w14:textId="77777777" w:rsidR="00D10CF6" w:rsidRDefault="00D10CF6" w:rsidP="00D10CF6">
      <w:pPr>
        <w:pStyle w:val="List"/>
        <w:numPr>
          <w:ilvl w:val="0"/>
          <w:numId w:val="8"/>
        </w:numPr>
      </w:pPr>
      <w:r>
        <w:t>Physically divide an established community?</w:t>
      </w:r>
    </w:p>
    <w:p w14:paraId="7101208F" w14:textId="77777777" w:rsidR="00C4237C" w:rsidRPr="00C4237C" w:rsidRDefault="00C4237C" w:rsidP="00C4237C">
      <w:pPr>
        <w:pStyle w:val="BodyText"/>
        <w:tabs>
          <w:tab w:val="left" w:pos="2685"/>
        </w:tabs>
      </w:pPr>
      <w:r w:rsidRPr="00C4237C">
        <w:rPr>
          <w:rStyle w:val="BodyTextBoldChar"/>
        </w:rPr>
        <w:t>No Impact.</w:t>
      </w:r>
      <w:r w:rsidRPr="00C4237C">
        <w:t xml:space="preserve"> As shown in Figure 3, </w:t>
      </w:r>
      <w:r w:rsidRPr="00C4237C">
        <w:rPr>
          <w:i/>
          <w:iCs/>
        </w:rPr>
        <w:t>Aerial Photograph</w:t>
      </w:r>
      <w:r w:rsidRPr="00C4237C">
        <w:t xml:space="preserve">, the mostly developed project site is surrounded by industrial and commercial uses. The proposed project includes development of a warehouse and manufacturing facility in a highly urbanized area of the </w:t>
      </w:r>
      <w:r w:rsidR="00DE3C01" w:rsidRPr="00C4237C">
        <w:t>city</w:t>
      </w:r>
      <w:r w:rsidRPr="00C4237C">
        <w:t xml:space="preserve"> and would be compatible with the surrounding land uses. It would not introduce a new land use that would disrupt existing land use patterns, nor would it introduce a physical barrier that would separate land uses that are not already separated.</w:t>
      </w:r>
    </w:p>
    <w:p w14:paraId="534B03F6" w14:textId="77777777" w:rsidR="00C4237C" w:rsidRDefault="00C376CD" w:rsidP="00C4237C">
      <w:pPr>
        <w:pStyle w:val="BodyText"/>
        <w:tabs>
          <w:tab w:val="left" w:pos="2685"/>
        </w:tabs>
      </w:pPr>
      <w:r>
        <w:t>Though</w:t>
      </w:r>
      <w:r w:rsidR="00C4237C" w:rsidRPr="00C4237C">
        <w:t xml:space="preserve"> established residential neighborhoods </w:t>
      </w:r>
      <w:r>
        <w:t xml:space="preserve">lie </w:t>
      </w:r>
      <w:r w:rsidR="00C4237C" w:rsidRPr="00C4237C">
        <w:t>to the northeast</w:t>
      </w:r>
      <w:r w:rsidR="000833EE">
        <w:t>, southeast, south, and southwest</w:t>
      </w:r>
      <w:r w:rsidR="00C4237C" w:rsidRPr="00C4237C">
        <w:t xml:space="preserve">, project development would not physically divide those </w:t>
      </w:r>
      <w:r w:rsidR="00BE53D5" w:rsidRPr="00C4237C">
        <w:t>neighborhoods</w:t>
      </w:r>
      <w:r w:rsidR="00C4237C" w:rsidRPr="00C4237C">
        <w:t xml:space="preserve"> in any way because </w:t>
      </w:r>
      <w:r>
        <w:t>it</w:t>
      </w:r>
      <w:r w:rsidR="00C4237C" w:rsidRPr="00C4237C">
        <w:t xml:space="preserve"> would be developed within the confines of the project site and would not introduce roadways or other infrastructure improvements that would bisect or transect th</w:t>
      </w:r>
      <w:r>
        <w:t>os</w:t>
      </w:r>
      <w:r w:rsidR="00C4237C" w:rsidRPr="00C4237C">
        <w:t xml:space="preserve">e neighborhoods. Access to the existing residential neighborhoods would not be interrupted </w:t>
      </w:r>
      <w:r>
        <w:t xml:space="preserve">or cut off </w:t>
      </w:r>
      <w:r w:rsidR="00C4237C" w:rsidRPr="00C4237C">
        <w:t xml:space="preserve">as a result of project development </w:t>
      </w:r>
      <w:r>
        <w:t>because</w:t>
      </w:r>
      <w:r w:rsidRPr="00C4237C">
        <w:t xml:space="preserve"> </w:t>
      </w:r>
      <w:r w:rsidR="00C4237C" w:rsidRPr="00C4237C">
        <w:t>residents of those communities do not have to cross the project site to access their community.</w:t>
      </w:r>
      <w:r w:rsidR="003D5ABF">
        <w:t xml:space="preserve"> </w:t>
      </w:r>
      <w:r w:rsidR="00C4237C" w:rsidRPr="00C4237C">
        <w:t>The proposed project would not physically change the surrounding neighborhood street patterns or otherwise impede movement through the neighborhoods</w:t>
      </w:r>
      <w:r>
        <w:t>,</w:t>
      </w:r>
      <w:r w:rsidR="00BE53D5">
        <w:t xml:space="preserve"> and </w:t>
      </w:r>
      <w:r w:rsidR="00C4237C" w:rsidRPr="00C4237C">
        <w:t>no impact would occur.</w:t>
      </w:r>
    </w:p>
    <w:p w14:paraId="7FE3D180" w14:textId="77777777" w:rsidR="00D10CF6" w:rsidRPr="00C63E09" w:rsidRDefault="00D04288" w:rsidP="00D04288">
      <w:pPr>
        <w:pStyle w:val="List"/>
      </w:pPr>
      <w:r w:rsidRPr="00D04288">
        <w:t xml:space="preserve">Cause a significant environmental impact due to a conflict with any land use plan, policy, or </w:t>
      </w:r>
      <w:r w:rsidRPr="00C63E09">
        <w:t>regulation adopted for the purpose of avoiding or mitigating an environmental effect</w:t>
      </w:r>
      <w:r w:rsidR="00D10CF6" w:rsidRPr="00C63E09">
        <w:t>?</w:t>
      </w:r>
    </w:p>
    <w:p w14:paraId="61E9133C" w14:textId="1EC1780C" w:rsidR="00C4237C" w:rsidRPr="00C63E09" w:rsidRDefault="00C4237C" w:rsidP="00C4237C">
      <w:pPr>
        <w:pStyle w:val="BodyText"/>
      </w:pPr>
      <w:r w:rsidRPr="00C63E09">
        <w:rPr>
          <w:rStyle w:val="BodyTextBoldChar"/>
        </w:rPr>
        <w:t>Less Than Significant Impact.</w:t>
      </w:r>
      <w:r w:rsidRPr="00C63E09">
        <w:t xml:space="preserve"> The prevailing adopted planning and regulatory plans that govern development and use of the project site are the </w:t>
      </w:r>
      <w:r w:rsidR="00C63E09" w:rsidRPr="00C63E09">
        <w:t>Irwindale</w:t>
      </w:r>
      <w:r w:rsidRPr="00C63E09">
        <w:t xml:space="preserve"> General Plan, </w:t>
      </w:r>
      <w:r w:rsidR="00C63E09" w:rsidRPr="00C63E09">
        <w:t>Irwindale</w:t>
      </w:r>
      <w:r w:rsidRPr="00C63E09">
        <w:t xml:space="preserve"> Zoning </w:t>
      </w:r>
      <w:r w:rsidR="00530220">
        <w:t>Code</w:t>
      </w:r>
      <w:r w:rsidR="00530220" w:rsidRPr="00C63E09">
        <w:t xml:space="preserve"> </w:t>
      </w:r>
      <w:r w:rsidR="00C63E09" w:rsidRPr="00C63E09">
        <w:t>(Irwindale Code of Ordinances</w:t>
      </w:r>
      <w:r w:rsidR="00C376CD" w:rsidRPr="00C376CD">
        <w:t xml:space="preserve"> </w:t>
      </w:r>
      <w:r w:rsidR="00C376CD" w:rsidRPr="00C63E09">
        <w:t>Title 17</w:t>
      </w:r>
      <w:r w:rsidR="00C63E09" w:rsidRPr="00C63E09">
        <w:t>),</w:t>
      </w:r>
      <w:r w:rsidRPr="00C63E09">
        <w:t xml:space="preserve"> and</w:t>
      </w:r>
      <w:r w:rsidR="00C63E09" w:rsidRPr="00C63E09">
        <w:t xml:space="preserve"> the Irwindale Commercial </w:t>
      </w:r>
      <w:r w:rsidR="00C376CD">
        <w:t>and</w:t>
      </w:r>
      <w:r w:rsidR="00C376CD" w:rsidRPr="00C63E09">
        <w:t xml:space="preserve"> </w:t>
      </w:r>
      <w:r w:rsidR="00C63E09" w:rsidRPr="00C63E09">
        <w:t>Industrial Design Guidelines</w:t>
      </w:r>
      <w:r w:rsidRPr="00C63E09">
        <w:t xml:space="preserve">. The development and design standards in the </w:t>
      </w:r>
      <w:r w:rsidR="009C662F">
        <w:t>Z</w:t>
      </w:r>
      <w:r w:rsidR="00C376CD" w:rsidRPr="00C63E09">
        <w:t xml:space="preserve">oning </w:t>
      </w:r>
      <w:r w:rsidR="0031534E">
        <w:t>Code</w:t>
      </w:r>
      <w:r w:rsidRPr="00C63E09">
        <w:t xml:space="preserve"> </w:t>
      </w:r>
      <w:r w:rsidR="00DE3C01">
        <w:t xml:space="preserve">and </w:t>
      </w:r>
      <w:r w:rsidR="00DE3C01" w:rsidRPr="00C63E09">
        <w:t xml:space="preserve">Irwindale Commercial </w:t>
      </w:r>
      <w:r w:rsidR="00C376CD">
        <w:t>and</w:t>
      </w:r>
      <w:r w:rsidR="00C376CD" w:rsidRPr="00C63E09">
        <w:t xml:space="preserve"> </w:t>
      </w:r>
      <w:r w:rsidR="00DE3C01" w:rsidRPr="00C63E09">
        <w:t>Industrial Design Guidelines</w:t>
      </w:r>
      <w:r w:rsidRPr="00C63E09">
        <w:t xml:space="preserve">, which implement the </w:t>
      </w:r>
      <w:r w:rsidR="00C63E09" w:rsidRPr="00C63E09">
        <w:t>Irwindale</w:t>
      </w:r>
      <w:r w:rsidRPr="00C63E09">
        <w:t xml:space="preserve"> General Plan, constitute the regulations that govern development of the project site. Following is an analysis of the </w:t>
      </w:r>
      <w:r w:rsidR="00C63E09" w:rsidRPr="00C63E09">
        <w:t>proposed p</w:t>
      </w:r>
      <w:r w:rsidRPr="00C63E09">
        <w:t>roject’s consistency with these land use regulations. Also provided</w:t>
      </w:r>
      <w:r w:rsidR="00C376CD">
        <w:t>,</w:t>
      </w:r>
      <w:r w:rsidRPr="00C63E09">
        <w:t xml:space="preserve"> though not required, is an analysis of the </w:t>
      </w:r>
      <w:r w:rsidR="00C63E09" w:rsidRPr="00C63E09">
        <w:t>proposed p</w:t>
      </w:r>
      <w:r w:rsidRPr="00C63E09">
        <w:t>roject’s consistency with the Southern California Association of Governments</w:t>
      </w:r>
      <w:r w:rsidR="00C376CD">
        <w:t>’</w:t>
      </w:r>
      <w:r w:rsidRPr="00C63E09">
        <w:t xml:space="preserve"> 20</w:t>
      </w:r>
      <w:r w:rsidR="00C63E09" w:rsidRPr="00C63E09">
        <w:t>20</w:t>
      </w:r>
      <w:r w:rsidRPr="00C63E09">
        <w:t>-204</w:t>
      </w:r>
      <w:r w:rsidR="00C63E09" w:rsidRPr="00C63E09">
        <w:t>5</w:t>
      </w:r>
      <w:r w:rsidRPr="00C63E09">
        <w:t xml:space="preserve"> </w:t>
      </w:r>
      <w:r w:rsidR="00C376CD" w:rsidRPr="00C63E09">
        <w:t>RTP/SCS</w:t>
      </w:r>
      <w:r w:rsidRPr="00C63E09">
        <w:t xml:space="preserve">. </w:t>
      </w:r>
    </w:p>
    <w:p w14:paraId="4593C8D3" w14:textId="77777777" w:rsidR="00C4237C" w:rsidRPr="005537C9" w:rsidRDefault="00C4237C" w:rsidP="00C4237C">
      <w:pPr>
        <w:pStyle w:val="Heading5"/>
      </w:pPr>
      <w:r w:rsidRPr="005537C9">
        <w:t>General Plan and Zoning Consistency</w:t>
      </w:r>
    </w:p>
    <w:p w14:paraId="518C334C" w14:textId="566CDD02" w:rsidR="00C4237C" w:rsidRPr="005C2DC0" w:rsidRDefault="00C4237C" w:rsidP="00751839">
      <w:pPr>
        <w:pStyle w:val="BodyText"/>
      </w:pPr>
      <w:r w:rsidRPr="005C2DC0">
        <w:t xml:space="preserve">The </w:t>
      </w:r>
      <w:r w:rsidR="009C662F">
        <w:t>G</w:t>
      </w:r>
      <w:r w:rsidRPr="005C2DC0">
        <w:t xml:space="preserve">eneral </w:t>
      </w:r>
      <w:r w:rsidR="009C662F">
        <w:t>P</w:t>
      </w:r>
      <w:r w:rsidRPr="005C2DC0">
        <w:t xml:space="preserve">lan land use designation of the project site is </w:t>
      </w:r>
      <w:r w:rsidR="00C63E09" w:rsidRPr="005C2DC0">
        <w:t>Industrial/Business Park</w:t>
      </w:r>
      <w:r w:rsidRPr="005C2DC0">
        <w:t xml:space="preserve">. According to the City’s zoning map, the project site is zoned </w:t>
      </w:r>
      <w:r w:rsidR="009C662F">
        <w:t>M-1 (</w:t>
      </w:r>
      <w:r w:rsidR="005537C9" w:rsidRPr="005C2DC0">
        <w:t>Light</w:t>
      </w:r>
      <w:r w:rsidRPr="005C2DC0">
        <w:t xml:space="preserve"> Manufacturing</w:t>
      </w:r>
      <w:r w:rsidR="009C662F">
        <w:t>)</w:t>
      </w:r>
      <w:r w:rsidR="00E4064D">
        <w:t>.</w:t>
      </w:r>
    </w:p>
    <w:p w14:paraId="0A98D2FD" w14:textId="77777777" w:rsidR="00C4237C" w:rsidRPr="005C2DC0" w:rsidRDefault="00C4237C" w:rsidP="00C4237C">
      <w:pPr>
        <w:pStyle w:val="Heading6"/>
      </w:pPr>
      <w:r w:rsidRPr="005C2DC0">
        <w:t xml:space="preserve">General Plan </w:t>
      </w:r>
    </w:p>
    <w:p w14:paraId="23E2E85D" w14:textId="2967842C" w:rsidR="005C2DC0" w:rsidRPr="00612211" w:rsidRDefault="005C2DC0" w:rsidP="005C2DC0">
      <w:pPr>
        <w:pStyle w:val="BodyText"/>
      </w:pPr>
      <w:r w:rsidRPr="005C2DC0">
        <w:t xml:space="preserve">Pursuant to the Irwindale General Plan Land Use Element, </w:t>
      </w:r>
      <w:r>
        <w:t xml:space="preserve">developed sites in the </w:t>
      </w:r>
      <w:r w:rsidR="009C662F">
        <w:t>C</w:t>
      </w:r>
      <w:r w:rsidR="00DE3C01">
        <w:t>ity</w:t>
      </w:r>
      <w:r>
        <w:t xml:space="preserve"> designated </w:t>
      </w:r>
      <w:r w:rsidRPr="005C2DC0">
        <w:t>Industrial/Business Park range in size from 10 acres to 100 acres, subdivided into smaller lots</w:t>
      </w:r>
      <w:r w:rsidR="00C376CD">
        <w:t>,</w:t>
      </w:r>
      <w:r w:rsidRPr="005C2DC0">
        <w:t xml:space="preserve"> and </w:t>
      </w:r>
      <w:r w:rsidRPr="00612211">
        <w:t>developed with industrial buildings of varying sizes. Business parks are characterized by more storefront units and more variety in smaller leasable spaces. This type of development is usually well landscaped</w:t>
      </w:r>
      <w:r w:rsidR="00C376CD">
        <w:t xml:space="preserve"> and</w:t>
      </w:r>
      <w:r w:rsidRPr="00612211">
        <w:t xml:space="preserve"> provides abundant parking and a uniform architectural design theme. These developments typically include office, manufacturing, and warehousing</w:t>
      </w:r>
      <w:r w:rsidR="00FD7BAC">
        <w:t xml:space="preserve"> (Irwindale 2008)</w:t>
      </w:r>
      <w:r w:rsidRPr="00612211">
        <w:t xml:space="preserve">. </w:t>
      </w:r>
    </w:p>
    <w:p w14:paraId="52F8F0F4" w14:textId="77777777" w:rsidR="005C2DC0" w:rsidRPr="00FD7BAC" w:rsidRDefault="00C4237C" w:rsidP="00FD7BAC">
      <w:pPr>
        <w:pStyle w:val="BodyText"/>
      </w:pPr>
      <w:r w:rsidRPr="00612211">
        <w:t xml:space="preserve">Development and operation of the </w:t>
      </w:r>
      <w:r w:rsidR="00751839" w:rsidRPr="00612211">
        <w:t>propose</w:t>
      </w:r>
      <w:r w:rsidR="00DE3C01">
        <w:t>d</w:t>
      </w:r>
      <w:r w:rsidR="00751839" w:rsidRPr="00612211">
        <w:t xml:space="preserve"> p</w:t>
      </w:r>
      <w:r w:rsidRPr="00612211">
        <w:t xml:space="preserve">roject would not conflict with the </w:t>
      </w:r>
      <w:r w:rsidR="00C376CD" w:rsidRPr="00612211">
        <w:t>General Plan</w:t>
      </w:r>
      <w:r w:rsidRPr="00612211">
        <w:t xml:space="preserve"> designation of the project site</w:t>
      </w:r>
      <w:r w:rsidR="00C376CD">
        <w:t xml:space="preserve"> because</w:t>
      </w:r>
      <w:r w:rsidRPr="00612211">
        <w:t xml:space="preserve"> the proposed warehouse and distribution facility is a permitted use under the </w:t>
      </w:r>
      <w:r w:rsidRPr="00D8644B">
        <w:t>Industrial</w:t>
      </w:r>
      <w:r w:rsidR="00751839" w:rsidRPr="00D8644B">
        <w:t>/Business Park</w:t>
      </w:r>
      <w:r w:rsidRPr="00D8644B">
        <w:t xml:space="preserve"> land use designation. </w:t>
      </w:r>
      <w:r w:rsidR="00FD7BAC" w:rsidRPr="00D8644B">
        <w:t>According to the General Plan, the maximum floor</w:t>
      </w:r>
      <w:r w:rsidR="00C376CD">
        <w:t>-</w:t>
      </w:r>
      <w:r w:rsidR="00FD7BAC" w:rsidRPr="00D8644B">
        <w:t>to</w:t>
      </w:r>
      <w:r w:rsidR="00C376CD">
        <w:t>-</w:t>
      </w:r>
      <w:r w:rsidR="00FD7BAC" w:rsidRPr="00D8644B">
        <w:t xml:space="preserve">area ratio for the Industrial/Business Park category is 1.0. The </w:t>
      </w:r>
      <w:r w:rsidR="00C376CD" w:rsidRPr="00D8644B">
        <w:t>floor</w:t>
      </w:r>
      <w:r w:rsidR="00C376CD">
        <w:t>-</w:t>
      </w:r>
      <w:r w:rsidR="00C376CD" w:rsidRPr="00D8644B">
        <w:t>to</w:t>
      </w:r>
      <w:r w:rsidR="00C376CD">
        <w:t>-</w:t>
      </w:r>
      <w:r w:rsidR="00C376CD" w:rsidRPr="00D8644B">
        <w:t xml:space="preserve">area ratio </w:t>
      </w:r>
      <w:r w:rsidR="00FD7BAC" w:rsidRPr="00D8644B">
        <w:t>for the proposed project is approximately 0.52</w:t>
      </w:r>
      <w:r w:rsidR="00FD7BAC" w:rsidRPr="00D8644B">
        <w:rPr>
          <w:szCs w:val="22"/>
        </w:rPr>
        <w:t>.</w:t>
      </w:r>
      <w:r w:rsidR="00FD7BAC">
        <w:rPr>
          <w:szCs w:val="22"/>
        </w:rPr>
        <w:t xml:space="preserve"> </w:t>
      </w:r>
      <w:r w:rsidR="00C376CD">
        <w:rPr>
          <w:szCs w:val="22"/>
        </w:rPr>
        <w:t xml:space="preserve">The </w:t>
      </w:r>
      <w:r w:rsidR="00751839" w:rsidRPr="00612211">
        <w:rPr>
          <w:szCs w:val="22"/>
        </w:rPr>
        <w:t>proposed p</w:t>
      </w:r>
      <w:r w:rsidRPr="00612211">
        <w:rPr>
          <w:szCs w:val="22"/>
        </w:rPr>
        <w:t xml:space="preserve">roject would also help implement and further a number of goals and policies of the General Plan. For example, the </w:t>
      </w:r>
      <w:r w:rsidR="00751839" w:rsidRPr="00612211">
        <w:rPr>
          <w:szCs w:val="22"/>
        </w:rPr>
        <w:t>proposed p</w:t>
      </w:r>
      <w:r w:rsidRPr="00612211">
        <w:rPr>
          <w:szCs w:val="22"/>
        </w:rPr>
        <w:t>roject would be consistent with and help implement the following goals of the General Plan</w:t>
      </w:r>
      <w:r w:rsidR="00C376CD">
        <w:rPr>
          <w:szCs w:val="22"/>
        </w:rPr>
        <w:t>.</w:t>
      </w:r>
    </w:p>
    <w:p w14:paraId="3340B12F" w14:textId="77777777" w:rsidR="005C2DC0" w:rsidRPr="00612211" w:rsidRDefault="005C2DC0" w:rsidP="00DE3C01">
      <w:pPr>
        <w:pStyle w:val="Heading7"/>
      </w:pPr>
      <w:r w:rsidRPr="00612211">
        <w:t>Community Development Element</w:t>
      </w:r>
    </w:p>
    <w:p w14:paraId="53DA2B2B" w14:textId="77777777" w:rsidR="00FD7BAC" w:rsidRDefault="00FD7BAC" w:rsidP="00FD7BAC">
      <w:pPr>
        <w:pStyle w:val="Bullet1last"/>
      </w:pPr>
      <w:r w:rsidRPr="00FD7BAC">
        <w:rPr>
          <w:b/>
          <w:bCs/>
        </w:rPr>
        <w:t>Policy 5</w:t>
      </w:r>
      <w:r w:rsidRPr="001A33F5">
        <w:rPr>
          <w:b/>
          <w:bCs/>
        </w:rPr>
        <w:t xml:space="preserve">. </w:t>
      </w:r>
      <w:r>
        <w:t>The City of Irwindale will continue to promote comprehensive development consistent with this General Plan as opposed to piecemeal and incremental planning.</w:t>
      </w:r>
    </w:p>
    <w:p w14:paraId="57767855" w14:textId="51F4BF94" w:rsidR="00025239" w:rsidRDefault="00FD7BAC" w:rsidP="00FD7BAC">
      <w:pPr>
        <w:pStyle w:val="Bullet1last"/>
      </w:pPr>
      <w:r w:rsidRPr="00FD7BAC">
        <w:rPr>
          <w:b/>
          <w:bCs/>
        </w:rPr>
        <w:t>Policy 7.</w:t>
      </w:r>
      <w:r>
        <w:t xml:space="preserve"> The City of Irwindale will continue to promote economic development through the use of redevelopment.</w:t>
      </w:r>
      <w:r w:rsidRPr="00FD7BAC">
        <w:t xml:space="preserve"> </w:t>
      </w:r>
    </w:p>
    <w:p w14:paraId="4DD44571" w14:textId="77777777" w:rsidR="00FD7BAC" w:rsidRPr="00FD7BAC" w:rsidRDefault="00FD7BAC" w:rsidP="00FD7BAC">
      <w:pPr>
        <w:pStyle w:val="Bullet1last"/>
      </w:pPr>
      <w:r w:rsidRPr="00FD7BAC">
        <w:rPr>
          <w:b/>
          <w:bCs/>
        </w:rPr>
        <w:t>Policy 10.</w:t>
      </w:r>
      <w:r>
        <w:t xml:space="preserve"> The City of Irwindale will promote development that will benefit the community as a whole in terms of both jobs and revenue generation.</w:t>
      </w:r>
    </w:p>
    <w:p w14:paraId="6378D2FF" w14:textId="3643C2CD" w:rsidR="005C2DC0" w:rsidRDefault="005C2DC0" w:rsidP="005C2DC0">
      <w:pPr>
        <w:pStyle w:val="Bullet1last"/>
      </w:pPr>
      <w:r w:rsidRPr="005C2DC0">
        <w:rPr>
          <w:b/>
          <w:bCs/>
        </w:rPr>
        <w:t>Policy 12</w:t>
      </w:r>
      <w:r w:rsidRPr="001A33F5">
        <w:rPr>
          <w:b/>
          <w:bCs/>
        </w:rPr>
        <w:t>.</w:t>
      </w:r>
      <w:r>
        <w:t xml:space="preserve"> The City of Irwindale will continue to promote quality design in the review and approval of commercial and industrial development through the application of the </w:t>
      </w:r>
      <w:r w:rsidR="001D5ECF">
        <w:t>C</w:t>
      </w:r>
      <w:r>
        <w:t xml:space="preserve">ommercial and </w:t>
      </w:r>
      <w:r w:rsidR="001D5ECF">
        <w:t>I</w:t>
      </w:r>
      <w:r>
        <w:t xml:space="preserve">ndustrial </w:t>
      </w:r>
      <w:r w:rsidR="001D5ECF">
        <w:t>D</w:t>
      </w:r>
      <w:r>
        <w:t xml:space="preserve">esign </w:t>
      </w:r>
      <w:r w:rsidR="001D5ECF">
        <w:t>G</w:t>
      </w:r>
      <w:r>
        <w:t>uidelines.</w:t>
      </w:r>
    </w:p>
    <w:p w14:paraId="2D435D66" w14:textId="77777777" w:rsidR="00612211" w:rsidRDefault="00612211" w:rsidP="00612211">
      <w:pPr>
        <w:pStyle w:val="Bullet1last"/>
      </w:pPr>
      <w:r w:rsidRPr="00612211">
        <w:rPr>
          <w:b/>
          <w:bCs/>
        </w:rPr>
        <w:t>Policy 13.</w:t>
      </w:r>
      <w:r w:rsidR="00E4064D">
        <w:t xml:space="preserve"> </w:t>
      </w:r>
      <w:r>
        <w:t>The City of Irwindale will continue to employ a design theme in the review of future commercial and industrial development and in the rehabilitation of existing commercial and industrial uses.</w:t>
      </w:r>
    </w:p>
    <w:p w14:paraId="0C62E6F4" w14:textId="6094FB00" w:rsidR="00C4237C" w:rsidRPr="00751839" w:rsidRDefault="00C4237C" w:rsidP="00C4237C">
      <w:pPr>
        <w:pStyle w:val="BodyText"/>
      </w:pPr>
      <w:r w:rsidRPr="00751839">
        <w:t xml:space="preserve">Additionally, as shown in Figure 3, </w:t>
      </w:r>
      <w:r w:rsidRPr="00751839">
        <w:rPr>
          <w:rStyle w:val="BodyTextItalicChar"/>
        </w:rPr>
        <w:t>Aerial Photograph</w:t>
      </w:r>
      <w:r w:rsidRPr="00751839">
        <w:t xml:space="preserve">, the project site is in an </w:t>
      </w:r>
      <w:r w:rsidR="005439AF" w:rsidRPr="00751839">
        <w:t>urbaniz</w:t>
      </w:r>
      <w:r w:rsidR="005439AF">
        <w:t>ed</w:t>
      </w:r>
      <w:r w:rsidR="005439AF" w:rsidRPr="00751839">
        <w:t xml:space="preserve"> </w:t>
      </w:r>
      <w:r w:rsidRPr="00751839">
        <w:t xml:space="preserve">area of the </w:t>
      </w:r>
      <w:r w:rsidR="001D5ECF">
        <w:t>C</w:t>
      </w:r>
      <w:r w:rsidR="00E4064D" w:rsidRPr="00751839">
        <w:t>ity</w:t>
      </w:r>
      <w:r w:rsidRPr="00751839">
        <w:t xml:space="preserve"> and is mainly surrounded by a mix of commercial and industrial</w:t>
      </w:r>
      <w:r w:rsidR="00751839" w:rsidRPr="00751839">
        <w:t xml:space="preserve"> uses</w:t>
      </w:r>
      <w:r w:rsidRPr="00751839">
        <w:t xml:space="preserve">. Project development would not change land use patterns or </w:t>
      </w:r>
      <w:r w:rsidR="005439AF">
        <w:t>be</w:t>
      </w:r>
      <w:r w:rsidR="005439AF" w:rsidRPr="00751839">
        <w:t xml:space="preserve"> inconsisten</w:t>
      </w:r>
      <w:r w:rsidR="005439AF">
        <w:t>t</w:t>
      </w:r>
      <w:r w:rsidR="005439AF" w:rsidRPr="00751839">
        <w:t xml:space="preserve"> </w:t>
      </w:r>
      <w:r w:rsidRPr="00751839">
        <w:t xml:space="preserve">with adopted land use plans. Furthermore, </w:t>
      </w:r>
      <w:r w:rsidR="00751839" w:rsidRPr="00751839">
        <w:t>p</w:t>
      </w:r>
      <w:r w:rsidRPr="00751839">
        <w:t xml:space="preserve">roject development does not include or require any amendments to the </w:t>
      </w:r>
      <w:r w:rsidR="00751839" w:rsidRPr="00751839">
        <w:t>Irwindale</w:t>
      </w:r>
      <w:r w:rsidRPr="00751839">
        <w:t xml:space="preserve"> General Plan.</w:t>
      </w:r>
    </w:p>
    <w:p w14:paraId="4942CA66" w14:textId="7318BAF1" w:rsidR="00C4237C" w:rsidRPr="00751839" w:rsidRDefault="00C4237C" w:rsidP="00C4237C">
      <w:pPr>
        <w:pStyle w:val="BodyText"/>
      </w:pPr>
      <w:r w:rsidRPr="00751839">
        <w:t xml:space="preserve">Finally, through the City’s development review process—which includes </w:t>
      </w:r>
      <w:r w:rsidR="000C5091">
        <w:t>a</w:t>
      </w:r>
      <w:r w:rsidR="000C5091" w:rsidRPr="00751839">
        <w:t xml:space="preserve"> </w:t>
      </w:r>
      <w:r w:rsidR="001D5ECF">
        <w:t xml:space="preserve">recommendation by the </w:t>
      </w:r>
      <w:r w:rsidRPr="00751839">
        <w:t>Planning Commission</w:t>
      </w:r>
      <w:r w:rsidR="001D5ECF">
        <w:t xml:space="preserve"> to the City Council</w:t>
      </w:r>
      <w:r w:rsidRPr="00751839">
        <w:t xml:space="preserve"> </w:t>
      </w:r>
      <w:r w:rsidR="001D5ECF">
        <w:t xml:space="preserve">for </w:t>
      </w:r>
      <w:r w:rsidRPr="00751839">
        <w:t xml:space="preserve">review and consideration of the </w:t>
      </w:r>
      <w:r w:rsidR="00751839" w:rsidRPr="00751839">
        <w:t>proposed p</w:t>
      </w:r>
      <w:r w:rsidRPr="00751839">
        <w:t xml:space="preserve">roject—the City would ensure that approval of the </w:t>
      </w:r>
      <w:r w:rsidR="00751839" w:rsidRPr="00751839">
        <w:t>proposed p</w:t>
      </w:r>
      <w:r w:rsidRPr="00751839">
        <w:t>roject would not conflict with any of the City’s applicable land use plan, policies, or regulations that have been adopted for the purpose of avoiding or mitigating an environmental effect.</w:t>
      </w:r>
    </w:p>
    <w:p w14:paraId="225B87E5" w14:textId="28D535D9" w:rsidR="00C4237C" w:rsidRPr="00E85631" w:rsidRDefault="00C4237C" w:rsidP="00C4237C">
      <w:pPr>
        <w:pStyle w:val="BodyText"/>
      </w:pPr>
      <w:r w:rsidRPr="000C5091">
        <w:t xml:space="preserve">Therefore, </w:t>
      </w:r>
      <w:r w:rsidR="00751839" w:rsidRPr="000C5091">
        <w:t>p</w:t>
      </w:r>
      <w:r w:rsidRPr="000C5091">
        <w:t xml:space="preserve">roject implementation would not conflict with the </w:t>
      </w:r>
      <w:r w:rsidR="00751839" w:rsidRPr="000C5091">
        <w:t>Irwindale</w:t>
      </w:r>
      <w:r w:rsidRPr="000C5091">
        <w:t xml:space="preserve"> General Plan. No land use </w:t>
      </w:r>
      <w:r w:rsidR="000C5091">
        <w:t>conflict</w:t>
      </w:r>
      <w:r w:rsidR="000C5091" w:rsidRPr="000C5091">
        <w:t xml:space="preserve"> </w:t>
      </w:r>
      <w:r w:rsidRPr="000C5091">
        <w:t xml:space="preserve">related to </w:t>
      </w:r>
      <w:r w:rsidR="005439AF" w:rsidRPr="000C5091">
        <w:t>General Plan</w:t>
      </w:r>
      <w:r w:rsidRPr="000C5091">
        <w:t xml:space="preserve"> consistency </w:t>
      </w:r>
      <w:r w:rsidR="000C5091">
        <w:t>is expected to</w:t>
      </w:r>
      <w:r w:rsidR="000C5091" w:rsidRPr="000C5091">
        <w:t xml:space="preserve"> </w:t>
      </w:r>
      <w:r w:rsidRPr="000C5091">
        <w:t>occur.</w:t>
      </w:r>
    </w:p>
    <w:p w14:paraId="2C7911B1" w14:textId="77777777" w:rsidR="00C4237C" w:rsidRPr="00E85631" w:rsidRDefault="00C4237C" w:rsidP="00C4237C">
      <w:pPr>
        <w:pStyle w:val="Heading6"/>
      </w:pPr>
      <w:r w:rsidRPr="00E85631">
        <w:t>Zoning</w:t>
      </w:r>
    </w:p>
    <w:p w14:paraId="3BA8814D" w14:textId="6A45A5A9" w:rsidR="00C4237C" w:rsidRPr="00E85631" w:rsidRDefault="00C4237C" w:rsidP="00C4237C">
      <w:pPr>
        <w:pStyle w:val="BodyText"/>
      </w:pPr>
      <w:r w:rsidRPr="00E85631">
        <w:t xml:space="preserve">Development and operation of the </w:t>
      </w:r>
      <w:r w:rsidR="00E85631" w:rsidRPr="00E85631">
        <w:t>proposed p</w:t>
      </w:r>
      <w:r w:rsidRPr="00E85631">
        <w:t>roject would not conflict with the zoning of the project site</w:t>
      </w:r>
      <w:r w:rsidR="005439AF">
        <w:t xml:space="preserve"> because</w:t>
      </w:r>
      <w:r w:rsidRPr="00E85631">
        <w:t xml:space="preserve"> the proposed warehouse and </w:t>
      </w:r>
      <w:r w:rsidR="00E85631" w:rsidRPr="00E85631">
        <w:t>manufacturing</w:t>
      </w:r>
      <w:r w:rsidRPr="00E85631">
        <w:t xml:space="preserve"> facility is a permitted use </w:t>
      </w:r>
      <w:r w:rsidR="005439AF">
        <w:t>in</w:t>
      </w:r>
      <w:r w:rsidR="005439AF" w:rsidRPr="00E85631">
        <w:t xml:space="preserve"> </w:t>
      </w:r>
      <w:r w:rsidRPr="00E85631">
        <w:t>the M-</w:t>
      </w:r>
      <w:r w:rsidR="00E85631" w:rsidRPr="00E85631">
        <w:t>1</w:t>
      </w:r>
      <w:r w:rsidRPr="00E85631">
        <w:t xml:space="preserve"> zon</w:t>
      </w:r>
      <w:r w:rsidR="005439AF">
        <w:t>e</w:t>
      </w:r>
      <w:r w:rsidRPr="00E85631">
        <w:t xml:space="preserve">. </w:t>
      </w:r>
      <w:r w:rsidR="005439AF">
        <w:t>Though</w:t>
      </w:r>
      <w:r w:rsidRPr="00E85631">
        <w:t xml:space="preserve"> the specific business(es) and/or tenant(s) that would ultimately occupy the proposed building are unknown at this time, any prospective user must be either permitted by right or </w:t>
      </w:r>
      <w:r w:rsidRPr="00DA765C">
        <w:t xml:space="preserve">conditionally permitted under the </w:t>
      </w:r>
      <w:r w:rsidR="00E85631" w:rsidRPr="00DA765C">
        <w:t>Irwindale</w:t>
      </w:r>
      <w:r w:rsidRPr="00DA765C">
        <w:t xml:space="preserve"> Zoning </w:t>
      </w:r>
      <w:r w:rsidR="00530220">
        <w:t>Code</w:t>
      </w:r>
      <w:r w:rsidRPr="00DA765C">
        <w:t>.</w:t>
      </w:r>
      <w:r w:rsidRPr="00E85631">
        <w:t xml:space="preserve"> </w:t>
      </w:r>
    </w:p>
    <w:p w14:paraId="4A75442F" w14:textId="620DFFDD" w:rsidR="00C4237C" w:rsidRPr="00E85631" w:rsidRDefault="005439AF" w:rsidP="00C4237C">
      <w:pPr>
        <w:pStyle w:val="BodyText"/>
      </w:pPr>
      <w:r w:rsidRPr="00E85631">
        <w:t xml:space="preserve">Project </w:t>
      </w:r>
      <w:r w:rsidR="00C4237C" w:rsidRPr="00E85631">
        <w:t xml:space="preserve">development would not require the approval of a </w:t>
      </w:r>
      <w:r w:rsidR="001D5ECF">
        <w:t>Zone</w:t>
      </w:r>
      <w:r w:rsidR="00C4237C" w:rsidRPr="00E85631">
        <w:t xml:space="preserve"> </w:t>
      </w:r>
      <w:r w:rsidR="00025239">
        <w:t>Code</w:t>
      </w:r>
      <w:r w:rsidR="00C4237C" w:rsidRPr="00E85631">
        <w:t xml:space="preserve"> </w:t>
      </w:r>
      <w:r w:rsidR="001D5ECF">
        <w:t>A</w:t>
      </w:r>
      <w:r w:rsidR="00C4237C" w:rsidRPr="00E85631">
        <w:t>mendment</w:t>
      </w:r>
      <w:r w:rsidR="001D5ECF">
        <w:t xml:space="preserve"> (text</w:t>
      </w:r>
      <w:r w:rsidR="002814ED">
        <w:t xml:space="preserve"> and/</w:t>
      </w:r>
      <w:r w:rsidR="001D5ECF">
        <w:t>or map)</w:t>
      </w:r>
      <w:r w:rsidR="00C4237C" w:rsidRPr="00E85631">
        <w:t xml:space="preserve">; nor would it require a </w:t>
      </w:r>
      <w:r w:rsidR="001D5ECF">
        <w:t>Zone V</w:t>
      </w:r>
      <w:r w:rsidR="00C4237C" w:rsidRPr="00E85631">
        <w:t xml:space="preserve">ariance or any adjustments from the City’s zoning standards, which help ensure that development projects in the </w:t>
      </w:r>
      <w:r w:rsidR="001D5ECF">
        <w:t>C</w:t>
      </w:r>
      <w:r w:rsidR="00C4237C" w:rsidRPr="00E85631">
        <w:t xml:space="preserve">ity are designed and implemented in a manner that is not detrimental to the project site or its surroundings. The </w:t>
      </w:r>
      <w:r w:rsidR="00E85631" w:rsidRPr="00E85631">
        <w:t>proposed p</w:t>
      </w:r>
      <w:r w:rsidR="00C4237C" w:rsidRPr="00E85631">
        <w:t xml:space="preserve">roject has been designed and would be developed in accordance with all applicable development and design standards of the </w:t>
      </w:r>
      <w:r w:rsidR="00E85631" w:rsidRPr="00E85631">
        <w:t>Irwindale</w:t>
      </w:r>
      <w:r w:rsidR="00C4237C" w:rsidRPr="00E85631">
        <w:t xml:space="preserve"> Zoning </w:t>
      </w:r>
      <w:r w:rsidR="00530220">
        <w:t>Code</w:t>
      </w:r>
      <w:r w:rsidR="00C4237C" w:rsidRPr="00E85631">
        <w:t xml:space="preserve">, including those related to building height and setbacks, walls and screening, building and site plan design, landscaping, and parking. Compliance with the applicable development and design standards would be ensured through the City’s development review process. </w:t>
      </w:r>
    </w:p>
    <w:p w14:paraId="0FC5976B" w14:textId="4CDBAEAB" w:rsidR="00C4237C" w:rsidRPr="00E85631" w:rsidRDefault="005439AF" w:rsidP="00C4237C">
      <w:pPr>
        <w:pStyle w:val="BodyText"/>
      </w:pPr>
      <w:r>
        <w:t>Also</w:t>
      </w:r>
      <w:r w:rsidR="00C4237C" w:rsidRPr="00E85631">
        <w:t>, through the City’s development review process</w:t>
      </w:r>
      <w:r w:rsidR="00C4237C" w:rsidRPr="00025239">
        <w:t xml:space="preserve">—which includes </w:t>
      </w:r>
      <w:r w:rsidR="00836F33" w:rsidRPr="00025239">
        <w:t xml:space="preserve">a </w:t>
      </w:r>
      <w:r w:rsidR="001178B7" w:rsidRPr="00025239">
        <w:t xml:space="preserve">recommendation by the </w:t>
      </w:r>
      <w:r w:rsidR="00E85631" w:rsidRPr="00025239">
        <w:t>Irwindale</w:t>
      </w:r>
      <w:r w:rsidR="00C4237C" w:rsidRPr="00025239">
        <w:t xml:space="preserve"> Planning Commission </w:t>
      </w:r>
      <w:r w:rsidR="001178B7" w:rsidRPr="00025239">
        <w:t>to the City C</w:t>
      </w:r>
      <w:r w:rsidR="005B08EE" w:rsidRPr="00025239">
        <w:t xml:space="preserve">ouncil for </w:t>
      </w:r>
      <w:r w:rsidR="00C4237C" w:rsidRPr="00025239">
        <w:t xml:space="preserve">review and consideration of the </w:t>
      </w:r>
      <w:r w:rsidR="00E85631" w:rsidRPr="00025239">
        <w:t>proposed p</w:t>
      </w:r>
      <w:r w:rsidR="00C4237C" w:rsidRPr="00025239">
        <w:t>roject</w:t>
      </w:r>
      <w:r w:rsidR="00C4237C" w:rsidRPr="00E85631">
        <w:t xml:space="preserve">—the City would ensure that approval of the </w:t>
      </w:r>
      <w:r w:rsidR="00E85631" w:rsidRPr="00E85631">
        <w:t>proposed p</w:t>
      </w:r>
      <w:r w:rsidR="00C4237C" w:rsidRPr="00E85631">
        <w:t>roject would not conflict with any of the City’s applicable land use plan, policies, or regulations that have been adopted for the purpose of avoiding or mitigating an environmental effect.</w:t>
      </w:r>
    </w:p>
    <w:p w14:paraId="2A4E9D45" w14:textId="048AE9FF" w:rsidR="00C4237C" w:rsidRPr="00E85631" w:rsidRDefault="00C4237C" w:rsidP="00C4237C">
      <w:pPr>
        <w:pStyle w:val="BodyText"/>
      </w:pPr>
      <w:r w:rsidRPr="000C5091">
        <w:t xml:space="preserve">Therefore, </w:t>
      </w:r>
      <w:r w:rsidR="00E85631" w:rsidRPr="000C5091">
        <w:t>p</w:t>
      </w:r>
      <w:r w:rsidRPr="000C5091">
        <w:t xml:space="preserve">roject implementation would not conflict with the </w:t>
      </w:r>
      <w:r w:rsidR="00E85631" w:rsidRPr="000C5091">
        <w:t>Irwindale</w:t>
      </w:r>
      <w:r w:rsidRPr="000C5091">
        <w:t xml:space="preserve"> Zoning </w:t>
      </w:r>
      <w:r w:rsidR="00530220">
        <w:t>Code</w:t>
      </w:r>
      <w:r w:rsidRPr="000C5091">
        <w:t xml:space="preserve">. No land use impact related </w:t>
      </w:r>
      <w:r w:rsidRPr="00342EDA">
        <w:t xml:space="preserve">to zoning consistency </w:t>
      </w:r>
      <w:r w:rsidR="000C5091" w:rsidRPr="000C5091">
        <w:t xml:space="preserve">is expected to </w:t>
      </w:r>
      <w:r w:rsidRPr="000C5091">
        <w:t>occur.</w:t>
      </w:r>
    </w:p>
    <w:p w14:paraId="24F418CA" w14:textId="77777777" w:rsidR="00C4237C" w:rsidRPr="00187925" w:rsidRDefault="00E85631" w:rsidP="00C4237C">
      <w:pPr>
        <w:pStyle w:val="Heading5"/>
      </w:pPr>
      <w:r w:rsidRPr="00187925">
        <w:t xml:space="preserve">Irwindale </w:t>
      </w:r>
      <w:bookmarkStart w:id="187" w:name="_Hlk70947835"/>
      <w:r w:rsidRPr="00187925">
        <w:t xml:space="preserve">Commercial </w:t>
      </w:r>
      <w:r w:rsidR="005439AF">
        <w:t>and</w:t>
      </w:r>
      <w:r w:rsidR="005439AF" w:rsidRPr="00187925">
        <w:t xml:space="preserve"> </w:t>
      </w:r>
      <w:r w:rsidRPr="00187925">
        <w:t>Industrial Design Guidelines</w:t>
      </w:r>
      <w:bookmarkEnd w:id="187"/>
      <w:r w:rsidRPr="00187925">
        <w:t xml:space="preserve"> </w:t>
      </w:r>
      <w:r w:rsidR="00C4237C" w:rsidRPr="00187925">
        <w:t>Consistency</w:t>
      </w:r>
    </w:p>
    <w:p w14:paraId="4367C41E" w14:textId="6D1156B9" w:rsidR="00C4237C" w:rsidRDefault="00FD7BAC" w:rsidP="00FD7BAC">
      <w:pPr>
        <w:pStyle w:val="BodyText"/>
      </w:pPr>
      <w:r w:rsidRPr="00187925">
        <w:t>The City’s Commercial and Industrial Design Guidelines establish design principles, detailed design</w:t>
      </w:r>
      <w:r w:rsidR="00187925" w:rsidRPr="00187925">
        <w:t xml:space="preserve"> </w:t>
      </w:r>
      <w:r w:rsidRPr="00187925">
        <w:t xml:space="preserve">guidelines, and a design review process to ensure that commercial and industrial projects in the </w:t>
      </w:r>
      <w:r w:rsidR="003F3B85">
        <w:t>C</w:t>
      </w:r>
      <w:r w:rsidRPr="00187925">
        <w:t>ity</w:t>
      </w:r>
      <w:r w:rsidR="00187925" w:rsidRPr="00187925">
        <w:t xml:space="preserve"> </w:t>
      </w:r>
      <w:r w:rsidRPr="00187925">
        <w:t xml:space="preserve">contribute to an aesthetically and functionally cohesive community. </w:t>
      </w:r>
      <w:r w:rsidR="00187925" w:rsidRPr="00187925">
        <w:t>These guidelines form the basis and criteria for the evaluation of plans and specifications submitted for review and approval to the City of Irwindale. Developers are required to follow all provisions of these guidelines as applicable to their specific project</w:t>
      </w:r>
      <w:r w:rsidR="005439AF">
        <w:t>s</w:t>
      </w:r>
      <w:r w:rsidR="00187925" w:rsidRPr="00187925">
        <w:t xml:space="preserve">. All development plans, landscape plans, and graphic designs shall comply with these guidelines. </w:t>
      </w:r>
      <w:r w:rsidRPr="00187925">
        <w:t xml:space="preserve">The </w:t>
      </w:r>
      <w:r w:rsidR="00187925" w:rsidRPr="00187925">
        <w:t>proposed p</w:t>
      </w:r>
      <w:r w:rsidRPr="00187925">
        <w:t xml:space="preserve">roject is designed for an industrial warehouse use. </w:t>
      </w:r>
      <w:r w:rsidR="005439AF">
        <w:t>It</w:t>
      </w:r>
      <w:r w:rsidRPr="00187925">
        <w:t xml:space="preserve"> w</w:t>
      </w:r>
      <w:r w:rsidR="00187925" w:rsidRPr="00187925">
        <w:t>ould</w:t>
      </w:r>
      <w:r w:rsidRPr="00187925">
        <w:t xml:space="preserve"> be required to conform with the</w:t>
      </w:r>
      <w:r w:rsidR="00187925" w:rsidRPr="00187925">
        <w:t xml:space="preserve"> </w:t>
      </w:r>
      <w:r w:rsidRPr="00187925">
        <w:t xml:space="preserve">City’s Commercial </w:t>
      </w:r>
      <w:r w:rsidR="005439AF">
        <w:t>and</w:t>
      </w:r>
      <w:r w:rsidR="005439AF" w:rsidRPr="00187925">
        <w:t xml:space="preserve"> </w:t>
      </w:r>
      <w:r w:rsidRPr="00187925">
        <w:t>Industrial Design Guidelines and the provisions of the Site Plan and Design Review</w:t>
      </w:r>
      <w:r w:rsidR="00187925" w:rsidRPr="00187925">
        <w:t xml:space="preserve"> </w:t>
      </w:r>
      <w:r w:rsidRPr="00187925">
        <w:t>Permit to address the site configuration, design, location, and impact of the proposed use and compliance</w:t>
      </w:r>
      <w:r w:rsidR="00187925" w:rsidRPr="00187925">
        <w:t xml:space="preserve"> </w:t>
      </w:r>
      <w:r w:rsidRPr="00187925">
        <w:t xml:space="preserve">with </w:t>
      </w:r>
      <w:r w:rsidRPr="009D7D09">
        <w:t xml:space="preserve">established </w:t>
      </w:r>
      <w:r w:rsidR="00432DB2" w:rsidRPr="009D7D09">
        <w:t>Z</w:t>
      </w:r>
      <w:r w:rsidR="005439AF" w:rsidRPr="009D7D09">
        <w:t xml:space="preserve">oning </w:t>
      </w:r>
      <w:r w:rsidR="00432DB2" w:rsidRPr="009D7D09">
        <w:t>C</w:t>
      </w:r>
      <w:r w:rsidR="005439AF" w:rsidRPr="009D7D09">
        <w:t>ode</w:t>
      </w:r>
      <w:r w:rsidRPr="009D7D09">
        <w:t xml:space="preserve"> standards.</w:t>
      </w:r>
    </w:p>
    <w:p w14:paraId="7EDB785A" w14:textId="1E041EA7" w:rsidR="00187925" w:rsidRPr="00187925" w:rsidRDefault="00187925" w:rsidP="00FD7BAC">
      <w:pPr>
        <w:pStyle w:val="BodyText"/>
      </w:pPr>
      <w:r w:rsidRPr="00E85631">
        <w:t xml:space="preserve">Therefore, project implementation would not conflict with the Irwindale </w:t>
      </w:r>
      <w:r w:rsidRPr="00187925">
        <w:t xml:space="preserve">Commercial </w:t>
      </w:r>
      <w:r w:rsidR="005439AF">
        <w:t>and</w:t>
      </w:r>
      <w:r w:rsidR="005439AF" w:rsidRPr="00187925">
        <w:t xml:space="preserve"> </w:t>
      </w:r>
      <w:r w:rsidRPr="00187925">
        <w:t>Industrial Design Guidelines</w:t>
      </w:r>
      <w:r w:rsidRPr="00E85631">
        <w:t xml:space="preserve">. No land use impact related to zoning consistency </w:t>
      </w:r>
      <w:r w:rsidR="000C5091">
        <w:t>is expected to</w:t>
      </w:r>
      <w:r w:rsidR="000C5091" w:rsidRPr="00E85631">
        <w:t xml:space="preserve"> </w:t>
      </w:r>
      <w:r w:rsidRPr="00E85631">
        <w:t>occur.</w:t>
      </w:r>
    </w:p>
    <w:p w14:paraId="44A52382" w14:textId="77777777" w:rsidR="00C4237C" w:rsidRPr="00444E3C" w:rsidRDefault="00C4237C" w:rsidP="00C4237C">
      <w:pPr>
        <w:pStyle w:val="Heading5"/>
      </w:pPr>
      <w:bookmarkStart w:id="188" w:name="_Hlk21437256"/>
      <w:r w:rsidRPr="00444E3C">
        <w:t>SCAG Regional Transportation Plan/Sustainable Communities Strategy Consistency</w:t>
      </w:r>
    </w:p>
    <w:bookmarkEnd w:id="188"/>
    <w:p w14:paraId="0E501429" w14:textId="77777777" w:rsidR="00C4237C" w:rsidRPr="00A51A8F" w:rsidRDefault="00C4237C" w:rsidP="00C4237C">
      <w:pPr>
        <w:pStyle w:val="BodyText"/>
      </w:pPr>
      <w:r w:rsidRPr="00A51A8F">
        <w:t xml:space="preserve">The SCAG is a </w:t>
      </w:r>
      <w:r w:rsidR="005439AF" w:rsidRPr="00A51A8F">
        <w:t>joint powers authority</w:t>
      </w:r>
      <w:r w:rsidRPr="00A51A8F">
        <w:t xml:space="preserve"> under California state law, established as an association of local governments and agencies that voluntarily convene as a forum to address regional issues. Under federal law, SCAG is designated a </w:t>
      </w:r>
      <w:r w:rsidR="005439AF" w:rsidRPr="00A51A8F">
        <w:t>metropolitan planning organization</w:t>
      </w:r>
      <w:r w:rsidRPr="00A51A8F">
        <w:t xml:space="preserve"> and under state law </w:t>
      </w:r>
      <w:r w:rsidR="005439AF">
        <w:t>i</w:t>
      </w:r>
      <w:r w:rsidR="005439AF" w:rsidRPr="00A51A8F">
        <w:t xml:space="preserve">s </w:t>
      </w:r>
      <w:r w:rsidRPr="00A51A8F">
        <w:t xml:space="preserve">a </w:t>
      </w:r>
      <w:r w:rsidR="005439AF" w:rsidRPr="00A51A8F">
        <w:t>regional transportation planning agency and a council of governments</w:t>
      </w:r>
      <w:r w:rsidRPr="00A51A8F">
        <w:t>. The SCAG region encompasses six counties (Imperial, Los Angeles, Orange, Riverside, San Bernardino, and Ventura) and 191 cities in an area covering more than 38,000 square miles. SCAG develops long-range regional transportation plans</w:t>
      </w:r>
      <w:r w:rsidR="005439AF">
        <w:t>,</w:t>
      </w:r>
      <w:r w:rsidRPr="00A51A8F">
        <w:t xml:space="preserve"> including sustainable communit</w:t>
      </w:r>
      <w:r w:rsidR="005439AF">
        <w:t>y</w:t>
      </w:r>
      <w:r w:rsidRPr="00A51A8F">
        <w:t xml:space="preserve"> </w:t>
      </w:r>
      <w:r w:rsidR="005439AF" w:rsidRPr="00A51A8F">
        <w:t>strateg</w:t>
      </w:r>
      <w:r w:rsidR="005439AF">
        <w:t>ies</w:t>
      </w:r>
      <w:r w:rsidR="005439AF" w:rsidRPr="00A51A8F">
        <w:t xml:space="preserve"> </w:t>
      </w:r>
      <w:r w:rsidRPr="00A51A8F">
        <w:t>and growth forecast components, regional transportation improvement programs, regional housing needs allocations</w:t>
      </w:r>
      <w:r w:rsidR="00E4064D">
        <w:t>,</w:t>
      </w:r>
      <w:r w:rsidRPr="00A51A8F">
        <w:t xml:space="preserve"> and other plans for the region</w:t>
      </w:r>
      <w:r w:rsidR="00444E3C" w:rsidRPr="00A51A8F">
        <w:t>.</w:t>
      </w:r>
    </w:p>
    <w:p w14:paraId="31222BE2" w14:textId="77777777" w:rsidR="00C4237C" w:rsidRPr="00A51A8F" w:rsidRDefault="00C4237C" w:rsidP="00C4237C">
      <w:pPr>
        <w:pStyle w:val="BodyText"/>
      </w:pPr>
      <w:r w:rsidRPr="00A51A8F">
        <w:t xml:space="preserve">As </w:t>
      </w:r>
      <w:r w:rsidR="005439AF">
        <w:t xml:space="preserve">the </w:t>
      </w:r>
      <w:r w:rsidR="005439AF" w:rsidRPr="005439AF">
        <w:t>metropolitan planning organization</w:t>
      </w:r>
      <w:r w:rsidR="005439AF" w:rsidRPr="005439AF" w:rsidDel="005439AF">
        <w:t xml:space="preserve"> </w:t>
      </w:r>
      <w:r w:rsidRPr="00A51A8F">
        <w:t xml:space="preserve">and </w:t>
      </w:r>
      <w:r w:rsidR="005439AF">
        <w:t xml:space="preserve">a </w:t>
      </w:r>
      <w:r w:rsidRPr="00A51A8F">
        <w:t xml:space="preserve">public agency, SCAG develops transportation and housing plans that transcend jurisdictional boundaries </w:t>
      </w:r>
      <w:r w:rsidR="005439AF">
        <w:t>and</w:t>
      </w:r>
      <w:r w:rsidR="005439AF" w:rsidRPr="00A51A8F">
        <w:t xml:space="preserve"> </w:t>
      </w:r>
      <w:r w:rsidRPr="00A51A8F">
        <w:t xml:space="preserve">affect the quality of life for Southern California as a whole. </w:t>
      </w:r>
      <w:bookmarkStart w:id="189" w:name="_Hlk20910919"/>
      <w:r w:rsidRPr="00A51A8F">
        <w:t>SCAG's 20</w:t>
      </w:r>
      <w:r w:rsidR="00444E3C" w:rsidRPr="00A51A8F">
        <w:t>20</w:t>
      </w:r>
      <w:r w:rsidRPr="00A51A8F">
        <w:t>-204</w:t>
      </w:r>
      <w:r w:rsidR="00444E3C" w:rsidRPr="00A51A8F">
        <w:t>5</w:t>
      </w:r>
      <w:r w:rsidRPr="00A51A8F">
        <w:t xml:space="preserve"> RTP/SCS</w:t>
      </w:r>
      <w:r w:rsidR="00444E3C" w:rsidRPr="00A51A8F">
        <w:t xml:space="preserve"> (</w:t>
      </w:r>
      <w:r w:rsidR="005439AF">
        <w:t>or</w:t>
      </w:r>
      <w:r w:rsidR="00444E3C" w:rsidRPr="00A51A8F">
        <w:t xml:space="preserve"> Connect SoCal)</w:t>
      </w:r>
      <w:r w:rsidRPr="00A51A8F">
        <w:t xml:space="preserve"> </w:t>
      </w:r>
      <w:bookmarkEnd w:id="189"/>
      <w:r w:rsidRPr="00A51A8F">
        <w:t>includes a</w:t>
      </w:r>
      <w:r w:rsidR="00CD3CA2" w:rsidRPr="00A51A8F">
        <w:t xml:space="preserve">n appendix </w:t>
      </w:r>
      <w:r w:rsidRPr="00A51A8F">
        <w:t xml:space="preserve">titled </w:t>
      </w:r>
      <w:r w:rsidR="00E4064D">
        <w:t>“</w:t>
      </w:r>
      <w:r w:rsidRPr="00A51A8F">
        <w:t>Goods Movement</w:t>
      </w:r>
      <w:r w:rsidR="00E4064D">
        <w:t>”</w:t>
      </w:r>
      <w:r w:rsidRPr="00A51A8F">
        <w:t xml:space="preserve"> that is applicable to the </w:t>
      </w:r>
      <w:r w:rsidR="00444E3C" w:rsidRPr="00A51A8F">
        <w:t>proposed p</w:t>
      </w:r>
      <w:r w:rsidRPr="00A51A8F">
        <w:t xml:space="preserve">roject because it proposes an industrial building in the SCAG region that could provide for a variety of light industrial, distribution warehousing, and logistics tenants. The Goods Movement </w:t>
      </w:r>
      <w:r w:rsidR="00CD3CA2" w:rsidRPr="00A51A8F">
        <w:t>appendix</w:t>
      </w:r>
      <w:r w:rsidRPr="00A51A8F">
        <w:t xml:space="preserve"> states that the SCAG region hosts one of the largest clusters of logistics activity in North America. Logistics activities and the jobs that accompany them depend on a network of warehousing and distribution facilities, highway and rail connections, and intermodal rail yards. To that end, the Goods Movement </w:t>
      </w:r>
      <w:r w:rsidR="00CD3CA2" w:rsidRPr="00A51A8F">
        <w:t>a</w:t>
      </w:r>
      <w:r w:rsidRPr="00A51A8F">
        <w:t xml:space="preserve">ppendix of the RTP/SCS sets </w:t>
      </w:r>
      <w:r w:rsidR="005439AF">
        <w:t>out</w:t>
      </w:r>
      <w:r w:rsidR="005439AF" w:rsidRPr="00A51A8F">
        <w:t xml:space="preserve"> </w:t>
      </w:r>
      <w:r w:rsidRPr="00A51A8F">
        <w:t xml:space="preserve">regional strategies to achieve an efficient movement of goods. </w:t>
      </w:r>
      <w:r w:rsidR="00A51A8F" w:rsidRPr="00A51A8F">
        <w:t xml:space="preserve">The strategy is based on the fact that </w:t>
      </w:r>
      <w:r w:rsidRPr="00A51A8F">
        <w:t>the SCAG region has a large demand for warehouse space and the demand will continue into the foreseeable future, resulting in a large unmet demand by the year 20</w:t>
      </w:r>
      <w:r w:rsidR="00444E3C" w:rsidRPr="00A51A8F">
        <w:t>4</w:t>
      </w:r>
      <w:r w:rsidR="00A51A8F" w:rsidRPr="00A51A8F">
        <w:t>5</w:t>
      </w:r>
      <w:r w:rsidRPr="00A51A8F">
        <w:t xml:space="preserve"> (SCAG 20</w:t>
      </w:r>
      <w:r w:rsidR="00444E3C" w:rsidRPr="00A51A8F">
        <w:t>20a</w:t>
      </w:r>
      <w:r w:rsidRPr="00A51A8F">
        <w:t xml:space="preserve">). </w:t>
      </w:r>
    </w:p>
    <w:p w14:paraId="06FA3F6B" w14:textId="1455C5A2" w:rsidR="00C4237C" w:rsidRPr="00A51A8F" w:rsidRDefault="00C4237C" w:rsidP="00D10CF6">
      <w:pPr>
        <w:pStyle w:val="BodyText"/>
      </w:pPr>
      <w:r w:rsidRPr="00A51A8F">
        <w:t>Based on the</w:t>
      </w:r>
      <w:r w:rsidR="005439AF">
        <w:t>se factors</w:t>
      </w:r>
      <w:r w:rsidRPr="00A51A8F">
        <w:t xml:space="preserve">, </w:t>
      </w:r>
      <w:r w:rsidR="00A22A1D">
        <w:t>and since</w:t>
      </w:r>
      <w:r w:rsidR="00A22A1D" w:rsidRPr="00A22A1D">
        <w:t xml:space="preserve"> the proposed project </w:t>
      </w:r>
      <w:r w:rsidR="00A22A1D">
        <w:t>is</w:t>
      </w:r>
      <w:r w:rsidR="00A22A1D" w:rsidRPr="00A22A1D">
        <w:t xml:space="preserve"> a </w:t>
      </w:r>
      <w:r w:rsidR="00A22A1D">
        <w:t>warehousing/</w:t>
      </w:r>
      <w:r w:rsidR="00A22A1D" w:rsidRPr="00A22A1D">
        <w:t xml:space="preserve">industrial building </w:t>
      </w:r>
      <w:r w:rsidR="00A22A1D">
        <w:t xml:space="preserve">that would further the goals of SCAG’s Goods Movement strategies, </w:t>
      </w:r>
      <w:r w:rsidR="00444E3C" w:rsidRPr="00A51A8F">
        <w:t>p</w:t>
      </w:r>
      <w:r w:rsidRPr="00A51A8F">
        <w:t xml:space="preserve">roject implementation would not conflict with SCAG’s RTP/SCS. </w:t>
      </w:r>
      <w:r w:rsidR="00A22A1D">
        <w:t>Therefore, l</w:t>
      </w:r>
      <w:r w:rsidRPr="00A51A8F">
        <w:t>and use impact</w:t>
      </w:r>
      <w:r w:rsidR="0027287E">
        <w:t>s</w:t>
      </w:r>
      <w:r w:rsidRPr="00A51A8F">
        <w:t xml:space="preserve"> related to RTP/SCS consistency would </w:t>
      </w:r>
      <w:r w:rsidR="0027287E">
        <w:t>be less than significant</w:t>
      </w:r>
      <w:r w:rsidRPr="00A51A8F">
        <w:t>.</w:t>
      </w:r>
    </w:p>
    <w:p w14:paraId="495F95D5" w14:textId="77777777" w:rsidR="00D10CF6" w:rsidRDefault="00D10CF6" w:rsidP="00D10CF6">
      <w:pPr>
        <w:pStyle w:val="Heading2"/>
      </w:pPr>
      <w:bookmarkStart w:id="190" w:name="_Toc90882164"/>
      <w:r>
        <w:t>MINERAL RESOURCES</w:t>
      </w:r>
      <w:bookmarkEnd w:id="190"/>
    </w:p>
    <w:p w14:paraId="7303DB6D" w14:textId="77777777" w:rsidR="00513864" w:rsidRDefault="00513864" w:rsidP="00513864">
      <w:pPr>
        <w:pStyle w:val="BodyText"/>
      </w:pPr>
      <w:r>
        <w:t>Would the project:</w:t>
      </w:r>
    </w:p>
    <w:p w14:paraId="7605D6A3" w14:textId="77777777" w:rsidR="00D10CF6" w:rsidRPr="00025239" w:rsidRDefault="00D10CF6" w:rsidP="00D10CF6">
      <w:pPr>
        <w:pStyle w:val="List"/>
        <w:numPr>
          <w:ilvl w:val="0"/>
          <w:numId w:val="9"/>
        </w:numPr>
      </w:pPr>
      <w:r w:rsidRPr="00025239">
        <w:t>Result in the loss of availability of a known mineral resource that would be a value to the region and the residents of the state?</w:t>
      </w:r>
    </w:p>
    <w:p w14:paraId="590816BC" w14:textId="4CBE7816" w:rsidR="00055E19" w:rsidRPr="00617ACC" w:rsidRDefault="00F20E89" w:rsidP="009253A9">
      <w:pPr>
        <w:pStyle w:val="BodyText"/>
      </w:pPr>
      <w:r>
        <w:rPr>
          <w:rStyle w:val="BodyTextBoldChar"/>
        </w:rPr>
        <w:t>Less than Significant</w:t>
      </w:r>
      <w:r w:rsidR="00055E19" w:rsidRPr="00617ACC">
        <w:rPr>
          <w:rStyle w:val="BodyTextBoldChar"/>
        </w:rPr>
        <w:t>.</w:t>
      </w:r>
      <w:r w:rsidR="00055E19" w:rsidRPr="00617ACC">
        <w:t xml:space="preserve"> The project site is classified by the </w:t>
      </w:r>
      <w:r w:rsidR="001B1721">
        <w:t>CGS</w:t>
      </w:r>
      <w:r w:rsidR="00055E19" w:rsidRPr="00617ACC">
        <w:t xml:space="preserve"> as </w:t>
      </w:r>
      <w:r w:rsidR="001B1721">
        <w:t xml:space="preserve">a </w:t>
      </w:r>
      <w:r w:rsidR="00055E19" w:rsidRPr="00617ACC">
        <w:t xml:space="preserve">Mineral Resource Zone </w:t>
      </w:r>
      <w:r w:rsidR="0042568D">
        <w:t>2</w:t>
      </w:r>
      <w:r w:rsidR="00055E19" w:rsidRPr="00617ACC">
        <w:t xml:space="preserve"> (MRZ- </w:t>
      </w:r>
      <w:r w:rsidR="003177B1">
        <w:t>2</w:t>
      </w:r>
      <w:r w:rsidR="00055E19" w:rsidRPr="00617ACC">
        <w:t xml:space="preserve">), indicating that significant mineral deposits are likely to be present (CGS </w:t>
      </w:r>
      <w:r w:rsidR="003177B1">
        <w:t>2010</w:t>
      </w:r>
      <w:r w:rsidR="00055E19" w:rsidRPr="00617ACC">
        <w:t xml:space="preserve">). </w:t>
      </w:r>
      <w:r w:rsidR="003177B1">
        <w:t xml:space="preserve">However, mining is </w:t>
      </w:r>
      <w:r w:rsidR="003177B1" w:rsidRPr="003177B1">
        <w:t xml:space="preserve">not a permitted use </w:t>
      </w:r>
      <w:r w:rsidR="0027287E">
        <w:t>in</w:t>
      </w:r>
      <w:r w:rsidR="0027287E" w:rsidRPr="003177B1">
        <w:t xml:space="preserve"> </w:t>
      </w:r>
      <w:r w:rsidR="003177B1" w:rsidRPr="003177B1">
        <w:t xml:space="preserve">the </w:t>
      </w:r>
      <w:r w:rsidR="003F3B85">
        <w:t>M-1 (</w:t>
      </w:r>
      <w:r w:rsidR="00AF384C">
        <w:t>Light</w:t>
      </w:r>
      <w:r w:rsidR="00AF384C" w:rsidRPr="001C0F0B">
        <w:t xml:space="preserve"> Manufacturing)</w:t>
      </w:r>
      <w:r w:rsidR="00AF384C">
        <w:t xml:space="preserve"> </w:t>
      </w:r>
      <w:r w:rsidR="003177B1" w:rsidRPr="003177B1">
        <w:t>zon</w:t>
      </w:r>
      <w:r w:rsidR="003F3B85">
        <w:t>e</w:t>
      </w:r>
      <w:r w:rsidR="003177B1">
        <w:t xml:space="preserve">. </w:t>
      </w:r>
      <w:r w:rsidR="00AF384C" w:rsidRPr="00AF384C">
        <w:t>A</w:t>
      </w:r>
      <w:r w:rsidR="009253A9">
        <w:t xml:space="preserve"> </w:t>
      </w:r>
      <w:r w:rsidR="00AF384C" w:rsidRPr="00AF384C">
        <w:t>mining pit is located west of Azusa Canyon Road</w:t>
      </w:r>
      <w:r w:rsidR="00AF384C">
        <w:t xml:space="preserve"> where mining is </w:t>
      </w:r>
      <w:r w:rsidR="001618E9">
        <w:t xml:space="preserve">conditionally </w:t>
      </w:r>
      <w:r w:rsidR="00AF384C">
        <w:t>permitted</w:t>
      </w:r>
      <w:r w:rsidR="001618E9">
        <w:t xml:space="preserve"> in the Q (Quarry Overlay) zone</w:t>
      </w:r>
      <w:r w:rsidR="00AF384C">
        <w:t xml:space="preserve">. </w:t>
      </w:r>
      <w:r w:rsidR="009253A9">
        <w:t xml:space="preserve">Mining activities at this pit </w:t>
      </w:r>
      <w:r w:rsidR="002C57C5">
        <w:t>are on-going.</w:t>
      </w:r>
      <w:r w:rsidR="009253A9">
        <w:t xml:space="preserve"> </w:t>
      </w:r>
      <w:r w:rsidR="00055E19" w:rsidRPr="00617ACC">
        <w:t xml:space="preserve">The project site is also not in an area with active mineral extraction operations, nor does it support such operations. </w:t>
      </w:r>
    </w:p>
    <w:p w14:paraId="265D1D50" w14:textId="77777777" w:rsidR="00055E19" w:rsidRPr="00617ACC" w:rsidRDefault="0027287E" w:rsidP="00055E19">
      <w:pPr>
        <w:pStyle w:val="BodyText"/>
        <w:rPr>
          <w:rFonts w:cs="Garamond"/>
          <w:szCs w:val="22"/>
        </w:rPr>
      </w:pPr>
      <w:bookmarkStart w:id="191" w:name="_Hlk21016520"/>
      <w:bookmarkStart w:id="192" w:name="_Hlk21016188"/>
      <w:r>
        <w:rPr>
          <w:rFonts w:cs="Garamond"/>
          <w:szCs w:val="22"/>
        </w:rPr>
        <w:t>N</w:t>
      </w:r>
      <w:r w:rsidR="00055E19" w:rsidRPr="00617ACC">
        <w:rPr>
          <w:rFonts w:cs="Garamond"/>
          <w:szCs w:val="22"/>
        </w:rPr>
        <w:t>o oil or energy extraction and/or generation activities exist on the project site. A review of California Division of Oil, Gas, and Geothermal Resources well finder indicates that there are no oil or energy wells on</w:t>
      </w:r>
      <w:r>
        <w:rPr>
          <w:rFonts w:cs="Garamond"/>
          <w:szCs w:val="22"/>
        </w:rPr>
        <w:t>-</w:t>
      </w:r>
      <w:r w:rsidR="00055E19" w:rsidRPr="00617ACC">
        <w:rPr>
          <w:rFonts w:cs="Garamond"/>
          <w:szCs w:val="22"/>
        </w:rPr>
        <w:t>site (DOGGR 20</w:t>
      </w:r>
      <w:r w:rsidR="00944B91">
        <w:rPr>
          <w:rFonts w:cs="Garamond"/>
          <w:szCs w:val="22"/>
        </w:rPr>
        <w:t>21</w:t>
      </w:r>
      <w:r w:rsidR="00055E19" w:rsidRPr="00617ACC">
        <w:rPr>
          <w:rFonts w:cs="Garamond"/>
          <w:szCs w:val="22"/>
        </w:rPr>
        <w:t>).</w:t>
      </w:r>
      <w:bookmarkEnd w:id="191"/>
      <w:r w:rsidR="00055E19" w:rsidRPr="00617ACC">
        <w:rPr>
          <w:rFonts w:cs="Garamond"/>
          <w:szCs w:val="22"/>
        </w:rPr>
        <w:t xml:space="preserve"> </w:t>
      </w:r>
    </w:p>
    <w:bookmarkEnd w:id="192"/>
    <w:p w14:paraId="5D3A58EF" w14:textId="5BBD7557" w:rsidR="00055E19" w:rsidRPr="00055E19" w:rsidRDefault="00055E19" w:rsidP="00D10CF6">
      <w:pPr>
        <w:pStyle w:val="BodyText"/>
        <w:rPr>
          <w:rFonts w:cs="Garamond"/>
          <w:szCs w:val="22"/>
          <w:highlight w:val="yellow"/>
        </w:rPr>
      </w:pPr>
      <w:r w:rsidRPr="00617ACC">
        <w:rPr>
          <w:rFonts w:cs="Garamond"/>
          <w:szCs w:val="22"/>
        </w:rPr>
        <w:t xml:space="preserve">Therefore, </w:t>
      </w:r>
      <w:r w:rsidR="000E2E83">
        <w:rPr>
          <w:rFonts w:cs="Garamond"/>
          <w:szCs w:val="22"/>
        </w:rPr>
        <w:t>the project is not expected to r</w:t>
      </w:r>
      <w:r w:rsidR="000E2E83" w:rsidRPr="000E2E83">
        <w:rPr>
          <w:rFonts w:cs="Garamond"/>
          <w:szCs w:val="22"/>
        </w:rPr>
        <w:t>esult in the loss of availability of a known mineral resource that would be a value to the region and the residents of the state</w:t>
      </w:r>
      <w:r w:rsidR="00F20E89">
        <w:rPr>
          <w:rFonts w:cs="Garamond"/>
          <w:szCs w:val="22"/>
        </w:rPr>
        <w:t xml:space="preserve"> and impacts are expected to be less than significant</w:t>
      </w:r>
      <w:r w:rsidR="000E2E83">
        <w:rPr>
          <w:rFonts w:cs="Garamond"/>
          <w:szCs w:val="22"/>
        </w:rPr>
        <w:t xml:space="preserve">. </w:t>
      </w:r>
    </w:p>
    <w:p w14:paraId="22729E9F" w14:textId="77777777" w:rsidR="00D10CF6" w:rsidRDefault="00D10CF6" w:rsidP="00D10CF6">
      <w:pPr>
        <w:pStyle w:val="List"/>
        <w:numPr>
          <w:ilvl w:val="0"/>
          <w:numId w:val="6"/>
        </w:numPr>
      </w:pPr>
      <w:r>
        <w:t>Result in the loss of availability of a locally important mineral resource recovery site delineated on a local general plan, specific plan or other land use plan?</w:t>
      </w:r>
    </w:p>
    <w:p w14:paraId="223BEC6A" w14:textId="2A7B659D" w:rsidR="0004298A" w:rsidRPr="004E2F89" w:rsidRDefault="0004298A" w:rsidP="003177B1">
      <w:pPr>
        <w:pStyle w:val="BodyText"/>
        <w:rPr>
          <w:rStyle w:val="BodyTextBoldChar"/>
          <w:b w:val="0"/>
        </w:rPr>
      </w:pPr>
      <w:r w:rsidRPr="00655D6B">
        <w:rPr>
          <w:rStyle w:val="BodyTextBoldChar"/>
        </w:rPr>
        <w:t>No Impact.</w:t>
      </w:r>
      <w:r w:rsidRPr="00111D06">
        <w:rPr>
          <w:rFonts w:asciiTheme="minorHAnsi" w:eastAsiaTheme="minorHAnsi" w:hAnsiTheme="minorHAnsi" w:cstheme="minorBidi"/>
          <w:kern w:val="0"/>
          <w:szCs w:val="22"/>
        </w:rPr>
        <w:t xml:space="preserve"> </w:t>
      </w:r>
      <w:r w:rsidR="000118BF">
        <w:rPr>
          <w:rFonts w:eastAsiaTheme="minorHAnsi" w:cstheme="minorBidi"/>
          <w:szCs w:val="22"/>
        </w:rPr>
        <w:t>A</w:t>
      </w:r>
      <w:r w:rsidR="00A62215">
        <w:t>reas classified</w:t>
      </w:r>
      <w:r w:rsidR="00A62215" w:rsidRPr="000118BF">
        <w:t xml:space="preserve"> by the</w:t>
      </w:r>
      <w:r w:rsidR="00A62215">
        <w:t xml:space="preserve"> CGS as areas </w:t>
      </w:r>
      <w:r w:rsidR="00A62215" w:rsidRPr="000118BF">
        <w:t>containing regionally significant mineral deposits in</w:t>
      </w:r>
      <w:r w:rsidR="00A62215">
        <w:t xml:space="preserve"> </w:t>
      </w:r>
      <w:r w:rsidR="00A62215" w:rsidRPr="000118BF">
        <w:t xml:space="preserve">accordance with </w:t>
      </w:r>
      <w:r w:rsidR="000118BF">
        <w:t xml:space="preserve">the </w:t>
      </w:r>
      <w:r w:rsidR="00A62215" w:rsidRPr="00A62215">
        <w:t xml:space="preserve">Surface Mining and Reclamation Act </w:t>
      </w:r>
      <w:r w:rsidR="00A62215">
        <w:t>(</w:t>
      </w:r>
      <w:r w:rsidR="00A62215" w:rsidRPr="000118BF">
        <w:t>SMARA</w:t>
      </w:r>
      <w:r w:rsidR="00A62215">
        <w:t>)</w:t>
      </w:r>
      <w:r w:rsidR="000118BF">
        <w:t xml:space="preserve"> are designated under the </w:t>
      </w:r>
      <w:r w:rsidR="00A62215" w:rsidRPr="000118BF">
        <w:t xml:space="preserve">Quarry </w:t>
      </w:r>
      <w:r w:rsidR="000118BF">
        <w:t xml:space="preserve">Overlay </w:t>
      </w:r>
      <w:r w:rsidR="00A62215" w:rsidRPr="000118BF">
        <w:t xml:space="preserve">Zone </w:t>
      </w:r>
      <w:r w:rsidR="00A62215">
        <w:t>(Q) designation</w:t>
      </w:r>
      <w:r w:rsidR="000118BF">
        <w:t xml:space="preserve"> in t</w:t>
      </w:r>
      <w:r w:rsidR="000118BF" w:rsidRPr="000118BF">
        <w:t>he City’s General Plan</w:t>
      </w:r>
      <w:r w:rsidR="00A62215">
        <w:t xml:space="preserve">. </w:t>
      </w:r>
      <w:r w:rsidR="00A62215" w:rsidRPr="000118BF">
        <w:t xml:space="preserve">The proposed project is </w:t>
      </w:r>
      <w:r w:rsidR="000118BF" w:rsidRPr="000118BF">
        <w:t>zoned Light Manufacturing (M-1).</w:t>
      </w:r>
      <w:r w:rsidR="000118BF">
        <w:t xml:space="preserve"> Therefore</w:t>
      </w:r>
      <w:r w:rsidRPr="00111D06">
        <w:t>,</w:t>
      </w:r>
      <w:r w:rsidR="000118BF">
        <w:t xml:space="preserve"> there would be no loss of availability of a locally important mineral resource recovery site delineated in the General Plan and</w:t>
      </w:r>
      <w:r w:rsidRPr="00111D06">
        <w:t xml:space="preserve"> no impact would </w:t>
      </w:r>
      <w:r w:rsidR="0042568D" w:rsidRPr="00111D06">
        <w:t>occur</w:t>
      </w:r>
      <w:r>
        <w:t xml:space="preserve">. </w:t>
      </w:r>
    </w:p>
    <w:p w14:paraId="6FE97041" w14:textId="77777777" w:rsidR="00D10CF6" w:rsidRDefault="00D10CF6" w:rsidP="00D10CF6">
      <w:pPr>
        <w:pStyle w:val="Heading2"/>
      </w:pPr>
      <w:bookmarkStart w:id="193" w:name="_Toc90882165"/>
      <w:r>
        <w:t>NOISE</w:t>
      </w:r>
      <w:bookmarkEnd w:id="193"/>
    </w:p>
    <w:p w14:paraId="69844DF8" w14:textId="77777777" w:rsidR="000E40F4" w:rsidRPr="00F53757" w:rsidRDefault="000E40F4" w:rsidP="000E40F4">
      <w:pPr>
        <w:pStyle w:val="Heading5"/>
      </w:pPr>
      <w:r>
        <w:t xml:space="preserve">Noise Fundamentals </w:t>
      </w:r>
    </w:p>
    <w:p w14:paraId="13B013B7" w14:textId="77777777" w:rsidR="000E40F4" w:rsidRPr="00F53757" w:rsidRDefault="000E40F4" w:rsidP="000E40F4">
      <w:pPr>
        <w:pStyle w:val="BodyText"/>
      </w:pPr>
      <w:r w:rsidRPr="00F53757">
        <w:t xml:space="preserve">Noise is defined as unwanted sound and is known to have several adverse effects on people, including hearing loss, speech and sleep interference, physiological responses, and annoyance. Based on these known adverse effects of noise, the federal, state, and city governments have established criteria to protect public health and safety and to prevent the disruption of certain human activities, such as classroom instruction, communication, </w:t>
      </w:r>
      <w:r w:rsidRPr="00103467">
        <w:t xml:space="preserve">or sleep. Additional information on noise and vibration fundamentals and applicable regulations are in Appendix </w:t>
      </w:r>
      <w:r>
        <w:t>G</w:t>
      </w:r>
      <w:r w:rsidRPr="00103467">
        <w:t>.</w:t>
      </w:r>
      <w:r>
        <w:t xml:space="preserve"> </w:t>
      </w:r>
    </w:p>
    <w:p w14:paraId="64F1072E" w14:textId="77777777" w:rsidR="000E40F4" w:rsidRPr="00F53757" w:rsidRDefault="000E40F4" w:rsidP="000E40F4">
      <w:pPr>
        <w:pStyle w:val="Heading5"/>
      </w:pPr>
      <w:r>
        <w:t>Environmental Setting</w:t>
      </w:r>
    </w:p>
    <w:p w14:paraId="0DAD564B" w14:textId="77777777" w:rsidR="000E40F4" w:rsidRPr="00D54B13" w:rsidRDefault="000E40F4" w:rsidP="000E40F4">
      <w:pPr>
        <w:pStyle w:val="BodyText"/>
      </w:pPr>
      <w:r w:rsidRPr="00D54B13">
        <w:t xml:space="preserve">As shown in Figure 3, </w:t>
      </w:r>
      <w:r w:rsidRPr="00D54B13">
        <w:rPr>
          <w:rStyle w:val="BodyTextItalicChar"/>
        </w:rPr>
        <w:t>Aerial Photograph</w:t>
      </w:r>
      <w:r w:rsidRPr="00D54B13">
        <w:t>, the project is in a predomina</w:t>
      </w:r>
      <w:r>
        <w:t>n</w:t>
      </w:r>
      <w:r w:rsidRPr="00D54B13">
        <w:t xml:space="preserve">tly industrial area surrounded by business suppliers, warehouses, and wholesalers. The project site is adjacent to Azusa Canyon Road, Los Angeles Street, and a rail line. </w:t>
      </w:r>
      <w:r>
        <w:t>The dominant noise sources in the project area are t</w:t>
      </w:r>
      <w:r w:rsidRPr="00D54B13">
        <w:t>raffic</w:t>
      </w:r>
      <w:r>
        <w:t xml:space="preserve"> and </w:t>
      </w:r>
      <w:r w:rsidRPr="00D54B13">
        <w:t xml:space="preserve">rail noise and noise from </w:t>
      </w:r>
      <w:r>
        <w:t xml:space="preserve">neighboring </w:t>
      </w:r>
      <w:r w:rsidRPr="00D54B13">
        <w:t xml:space="preserve">industrial uses. </w:t>
      </w:r>
    </w:p>
    <w:p w14:paraId="4DD421E9" w14:textId="3D4BFCD1" w:rsidR="000E40F4" w:rsidRDefault="000E40F4" w:rsidP="000E40F4">
      <w:pPr>
        <w:pStyle w:val="BodyText"/>
      </w:pPr>
      <w:r>
        <w:t>Existing conditions were established via t</w:t>
      </w:r>
      <w:r w:rsidRPr="00BD6FAD">
        <w:t>raffic noise modeling using the Federal Highway Administration (FHWA) traffic noise prediction model</w:t>
      </w:r>
      <w:r w:rsidR="0059007F">
        <w:t xml:space="preserve"> (FHWA 2006)</w:t>
      </w:r>
      <w:r>
        <w:t>. Model inputs (</w:t>
      </w:r>
      <w:r w:rsidRPr="00BD6FAD">
        <w:t xml:space="preserve">average daily </w:t>
      </w:r>
      <w:r w:rsidRPr="00BB7329">
        <w:t xml:space="preserve">traffic volumes, vehicle mix, and day, evening, and night percentage splits) were provided by Urban Crossroads. Table </w:t>
      </w:r>
      <w:r w:rsidR="00345BC8" w:rsidRPr="00BB7329">
        <w:t>1</w:t>
      </w:r>
      <w:r w:rsidR="00345BC8">
        <w:t>7</w:t>
      </w:r>
      <w:r w:rsidR="00345BC8" w:rsidRPr="00BB7329">
        <w:t xml:space="preserve"> </w:t>
      </w:r>
      <w:r w:rsidRPr="00BB7329">
        <w:t>shows</w:t>
      </w:r>
      <w:r w:rsidRPr="00BD6FAD">
        <w:t xml:space="preserve"> the existing</w:t>
      </w:r>
      <w:r w:rsidR="000B5AE7">
        <w:t xml:space="preserve"> roadway</w:t>
      </w:r>
      <w:r w:rsidRPr="00BD6FAD">
        <w:t xml:space="preserve"> CNEL </w:t>
      </w:r>
      <w:r>
        <w:t xml:space="preserve">noise level </w:t>
      </w:r>
      <w:r w:rsidRPr="00BD6FAD">
        <w:t xml:space="preserve">at 50 feet </w:t>
      </w:r>
      <w:r>
        <w:t xml:space="preserve">from the </w:t>
      </w:r>
      <w:r w:rsidR="000B5AE7">
        <w:t xml:space="preserve">centerline of the </w:t>
      </w:r>
      <w:r>
        <w:t>nearest travel lane.</w:t>
      </w:r>
      <w:r w:rsidR="006D0E20">
        <w:rPr>
          <w:rStyle w:val="FootnoteReference"/>
        </w:rPr>
        <w:footnoteReference w:id="23"/>
      </w:r>
    </w:p>
    <w:tbl>
      <w:tblPr>
        <w:tblW w:w="5000" w:type="pct"/>
        <w:tblBorders>
          <w:insideH w:val="single" w:sz="2" w:space="0" w:color="7F7F7F" w:themeColor="text1" w:themeTint="80"/>
        </w:tblBorders>
        <w:tblCellMar>
          <w:left w:w="58" w:type="dxa"/>
          <w:right w:w="58" w:type="dxa"/>
        </w:tblCellMar>
        <w:tblLook w:val="01E0" w:firstRow="1" w:lastRow="1" w:firstColumn="1" w:lastColumn="1" w:noHBand="0" w:noVBand="0"/>
      </w:tblPr>
      <w:tblGrid>
        <w:gridCol w:w="5726"/>
        <w:gridCol w:w="1818"/>
        <w:gridCol w:w="1816"/>
      </w:tblGrid>
      <w:tr w:rsidR="000E40F4" w:rsidRPr="00812923" w14:paraId="1A541A8B" w14:textId="77777777" w:rsidTr="00FD0109">
        <w:trPr>
          <w:tblHeader/>
        </w:trPr>
        <w:tc>
          <w:tcPr>
            <w:tcW w:w="5000" w:type="pct"/>
            <w:gridSpan w:val="3"/>
            <w:tcBorders>
              <w:top w:val="nil"/>
              <w:bottom w:val="single" w:sz="12" w:space="0" w:color="auto"/>
              <w:right w:val="nil"/>
            </w:tcBorders>
          </w:tcPr>
          <w:p w14:paraId="67EA15D2" w14:textId="6DC4CFF7" w:rsidR="000E40F4" w:rsidRPr="009008E4" w:rsidRDefault="000E40F4" w:rsidP="00FD0109">
            <w:pPr>
              <w:pStyle w:val="TblTitles"/>
              <w:keepNext/>
            </w:pPr>
            <w:bookmarkStart w:id="194" w:name="_Toc90882263"/>
            <w:r w:rsidRPr="009008E4">
              <w:t xml:space="preserve">Table </w:t>
            </w:r>
            <w:r w:rsidR="00345BC8">
              <w:t>17</w:t>
            </w:r>
            <w:r w:rsidRPr="009008E4">
              <w:tab/>
            </w:r>
            <w:r>
              <w:t>Existing</w:t>
            </w:r>
            <w:r w:rsidRPr="009008E4">
              <w:t xml:space="preserve"> Traffic Noise </w:t>
            </w:r>
            <w:r>
              <w:t>Levels</w:t>
            </w:r>
            <w:bookmarkEnd w:id="194"/>
          </w:p>
        </w:tc>
      </w:tr>
      <w:tr w:rsidR="000E40F4" w:rsidRPr="00812923" w14:paraId="10CA97BC" w14:textId="77777777" w:rsidTr="00D80314">
        <w:trPr>
          <w:trHeight w:hRule="exact" w:val="144"/>
          <w:tblHeader/>
        </w:trPr>
        <w:tc>
          <w:tcPr>
            <w:tcW w:w="3059" w:type="pct"/>
            <w:vMerge w:val="restart"/>
            <w:tcBorders>
              <w:right w:val="single" w:sz="6" w:space="0" w:color="auto"/>
            </w:tcBorders>
            <w:shd w:val="clear" w:color="auto" w:fill="auto"/>
            <w:vAlign w:val="bottom"/>
          </w:tcPr>
          <w:p w14:paraId="278B06A3" w14:textId="77777777" w:rsidR="000E40F4" w:rsidRPr="009008E4" w:rsidRDefault="000E40F4" w:rsidP="00FD0109">
            <w:pPr>
              <w:pStyle w:val="TblColumnHeads"/>
              <w:keepNext/>
            </w:pPr>
            <w:r w:rsidRPr="009008E4">
              <w:t>Roadway Segment</w:t>
            </w:r>
          </w:p>
        </w:tc>
        <w:tc>
          <w:tcPr>
            <w:tcW w:w="971" w:type="pct"/>
            <w:vMerge w:val="restart"/>
            <w:tcBorders>
              <w:top w:val="single" w:sz="4" w:space="0" w:color="auto"/>
              <w:left w:val="single" w:sz="6" w:space="0" w:color="auto"/>
              <w:right w:val="single" w:sz="4" w:space="0" w:color="auto"/>
            </w:tcBorders>
            <w:shd w:val="clear" w:color="auto" w:fill="auto"/>
            <w:vAlign w:val="bottom"/>
          </w:tcPr>
          <w:p w14:paraId="1B8A6146" w14:textId="77777777" w:rsidR="000E40F4" w:rsidRPr="00EC294C" w:rsidRDefault="000E40F4" w:rsidP="00FD0109">
            <w:pPr>
              <w:pStyle w:val="TblColumnHeads"/>
              <w:keepNext/>
              <w:rPr>
                <w:vertAlign w:val="superscript"/>
              </w:rPr>
            </w:pPr>
            <w:r>
              <w:t>Existing Daily Volumes</w:t>
            </w:r>
            <w:r w:rsidR="00EA416A">
              <w:rPr>
                <w:vertAlign w:val="superscript"/>
              </w:rPr>
              <w:t>1</w:t>
            </w:r>
          </w:p>
        </w:tc>
        <w:tc>
          <w:tcPr>
            <w:tcW w:w="970" w:type="pct"/>
            <w:vMerge w:val="restart"/>
            <w:tcBorders>
              <w:top w:val="single" w:sz="4" w:space="0" w:color="auto"/>
              <w:left w:val="single" w:sz="4" w:space="0" w:color="auto"/>
              <w:right w:val="nil"/>
            </w:tcBorders>
            <w:shd w:val="clear" w:color="auto" w:fill="auto"/>
            <w:vAlign w:val="bottom"/>
          </w:tcPr>
          <w:p w14:paraId="26C28DE7" w14:textId="77777777" w:rsidR="000E40F4" w:rsidRPr="009008E4" w:rsidRDefault="000E40F4" w:rsidP="00FD0109">
            <w:pPr>
              <w:pStyle w:val="TblColumnHeads"/>
              <w:keepNext/>
            </w:pPr>
            <w:r>
              <w:t>dBA CNEL at 50 feet</w:t>
            </w:r>
          </w:p>
        </w:tc>
      </w:tr>
      <w:tr w:rsidR="000E40F4" w:rsidRPr="00812923" w14:paraId="6653ADFC" w14:textId="77777777" w:rsidTr="00D80314">
        <w:trPr>
          <w:trHeight w:val="184"/>
          <w:tblHeader/>
        </w:trPr>
        <w:tc>
          <w:tcPr>
            <w:tcW w:w="3059" w:type="pct"/>
            <w:vMerge/>
            <w:tcBorders>
              <w:bottom w:val="single" w:sz="12" w:space="0" w:color="auto"/>
              <w:right w:val="single" w:sz="6" w:space="0" w:color="auto"/>
            </w:tcBorders>
            <w:shd w:val="clear" w:color="auto" w:fill="auto"/>
            <w:vAlign w:val="bottom"/>
          </w:tcPr>
          <w:p w14:paraId="472BBF58" w14:textId="77777777" w:rsidR="000E40F4" w:rsidRPr="009008E4" w:rsidRDefault="000E40F4" w:rsidP="00FD0109">
            <w:pPr>
              <w:pStyle w:val="TblColumnHeads"/>
              <w:keepNext/>
            </w:pPr>
          </w:p>
        </w:tc>
        <w:tc>
          <w:tcPr>
            <w:tcW w:w="971" w:type="pct"/>
            <w:vMerge/>
            <w:tcBorders>
              <w:left w:val="single" w:sz="6" w:space="0" w:color="auto"/>
              <w:bottom w:val="single" w:sz="12" w:space="0" w:color="auto"/>
              <w:right w:val="single" w:sz="4" w:space="0" w:color="auto"/>
            </w:tcBorders>
            <w:shd w:val="clear" w:color="auto" w:fill="auto"/>
            <w:vAlign w:val="bottom"/>
          </w:tcPr>
          <w:p w14:paraId="745867B6" w14:textId="77777777" w:rsidR="000E40F4" w:rsidRDefault="000E40F4" w:rsidP="00FD0109">
            <w:pPr>
              <w:pStyle w:val="TblColumnHeads"/>
              <w:keepNext/>
            </w:pPr>
          </w:p>
        </w:tc>
        <w:tc>
          <w:tcPr>
            <w:tcW w:w="970" w:type="pct"/>
            <w:vMerge/>
            <w:tcBorders>
              <w:left w:val="single" w:sz="4" w:space="0" w:color="auto"/>
              <w:bottom w:val="single" w:sz="12" w:space="0" w:color="auto"/>
              <w:right w:val="nil"/>
            </w:tcBorders>
            <w:shd w:val="clear" w:color="auto" w:fill="auto"/>
            <w:vAlign w:val="bottom"/>
          </w:tcPr>
          <w:p w14:paraId="7E8F9BA9" w14:textId="77777777" w:rsidR="000E40F4" w:rsidRDefault="000E40F4" w:rsidP="00FD0109">
            <w:pPr>
              <w:pStyle w:val="TblColumnHeads"/>
              <w:keepNext/>
            </w:pPr>
          </w:p>
        </w:tc>
      </w:tr>
      <w:tr w:rsidR="000E40F4" w:rsidRPr="00812923" w14:paraId="3B73CCE6" w14:textId="77777777" w:rsidTr="00AD2D1F">
        <w:trPr>
          <w:trHeight w:val="331"/>
        </w:trPr>
        <w:tc>
          <w:tcPr>
            <w:tcW w:w="3059" w:type="pct"/>
            <w:tcBorders>
              <w:top w:val="single" w:sz="12" w:space="0" w:color="auto"/>
              <w:bottom w:val="single" w:sz="2" w:space="0" w:color="000000" w:themeColor="text1"/>
              <w:right w:val="single" w:sz="6" w:space="0" w:color="auto"/>
            </w:tcBorders>
            <w:vAlign w:val="center"/>
          </w:tcPr>
          <w:p w14:paraId="334685AC" w14:textId="77777777" w:rsidR="000E40F4" w:rsidRPr="00812923" w:rsidRDefault="000E40F4" w:rsidP="00FD0109">
            <w:pPr>
              <w:pStyle w:val="TblTxt"/>
              <w:keepNext/>
              <w:rPr>
                <w:highlight w:val="yellow"/>
              </w:rPr>
            </w:pPr>
            <w:r w:rsidRPr="005C2E50">
              <w:t>Azusa Canyon Road - north of Cypress Street</w:t>
            </w:r>
          </w:p>
        </w:tc>
        <w:tc>
          <w:tcPr>
            <w:tcW w:w="971" w:type="pct"/>
            <w:tcBorders>
              <w:top w:val="single" w:sz="12" w:space="0" w:color="auto"/>
              <w:left w:val="single" w:sz="6" w:space="0" w:color="auto"/>
              <w:bottom w:val="single" w:sz="2" w:space="0" w:color="000000" w:themeColor="text1"/>
              <w:right w:val="single" w:sz="2" w:space="0" w:color="000000" w:themeColor="text1"/>
            </w:tcBorders>
            <w:vAlign w:val="center"/>
          </w:tcPr>
          <w:p w14:paraId="3382EB41" w14:textId="77777777" w:rsidR="000E40F4" w:rsidRPr="00812923" w:rsidRDefault="000E40F4" w:rsidP="00FD0109">
            <w:pPr>
              <w:pStyle w:val="TblTxtCenter"/>
              <w:rPr>
                <w:highlight w:val="yellow"/>
              </w:rPr>
            </w:pPr>
            <w:r w:rsidRPr="00871447">
              <w:t>16,723</w:t>
            </w:r>
          </w:p>
        </w:tc>
        <w:tc>
          <w:tcPr>
            <w:tcW w:w="970" w:type="pct"/>
            <w:tcBorders>
              <w:top w:val="single" w:sz="12" w:space="0" w:color="auto"/>
              <w:left w:val="single" w:sz="2" w:space="0" w:color="000000" w:themeColor="text1"/>
              <w:bottom w:val="single" w:sz="2" w:space="0" w:color="000000" w:themeColor="text1"/>
              <w:right w:val="nil"/>
            </w:tcBorders>
          </w:tcPr>
          <w:p w14:paraId="4087F94D" w14:textId="77777777" w:rsidR="000E40F4" w:rsidRPr="00812923" w:rsidRDefault="000E40F4" w:rsidP="00FD0109">
            <w:pPr>
              <w:pStyle w:val="TblTxtCenter"/>
              <w:rPr>
                <w:highlight w:val="yellow"/>
              </w:rPr>
            </w:pPr>
            <w:r w:rsidRPr="00253601">
              <w:t>68.1</w:t>
            </w:r>
          </w:p>
        </w:tc>
      </w:tr>
      <w:tr w:rsidR="000E40F4" w:rsidRPr="00812923" w14:paraId="2A3E3CD7" w14:textId="77777777" w:rsidTr="00AD2D1F">
        <w:trPr>
          <w:trHeight w:val="331"/>
        </w:trPr>
        <w:tc>
          <w:tcPr>
            <w:tcW w:w="3059" w:type="pct"/>
            <w:tcBorders>
              <w:top w:val="single" w:sz="2" w:space="0" w:color="000000" w:themeColor="text1"/>
              <w:bottom w:val="single" w:sz="2" w:space="0" w:color="000000" w:themeColor="text1"/>
              <w:right w:val="single" w:sz="6" w:space="0" w:color="auto"/>
            </w:tcBorders>
            <w:vAlign w:val="center"/>
          </w:tcPr>
          <w:p w14:paraId="648869CC" w14:textId="77777777" w:rsidR="000E40F4" w:rsidRPr="00812923" w:rsidRDefault="000E40F4" w:rsidP="00FD0109">
            <w:pPr>
              <w:pStyle w:val="TblTxt"/>
              <w:keepNext/>
              <w:rPr>
                <w:highlight w:val="yellow"/>
              </w:rPr>
            </w:pPr>
            <w:r w:rsidRPr="005C2E50">
              <w:t>Azusa Canyon Road - south of Cypress Street</w:t>
            </w:r>
          </w:p>
        </w:tc>
        <w:tc>
          <w:tcPr>
            <w:tcW w:w="971" w:type="pct"/>
            <w:tcBorders>
              <w:top w:val="single" w:sz="2" w:space="0" w:color="000000" w:themeColor="text1"/>
              <w:left w:val="single" w:sz="6" w:space="0" w:color="auto"/>
              <w:bottom w:val="single" w:sz="2" w:space="0" w:color="000000" w:themeColor="text1"/>
              <w:right w:val="single" w:sz="2" w:space="0" w:color="000000" w:themeColor="text1"/>
            </w:tcBorders>
            <w:vAlign w:val="center"/>
          </w:tcPr>
          <w:p w14:paraId="604F9392" w14:textId="77777777" w:rsidR="000E40F4" w:rsidRPr="00812923" w:rsidRDefault="000E40F4" w:rsidP="00FD0109">
            <w:pPr>
              <w:pStyle w:val="TblTxtCenter"/>
              <w:rPr>
                <w:highlight w:val="yellow"/>
              </w:rPr>
            </w:pPr>
            <w:r w:rsidRPr="00871447">
              <w:t>17,181</w:t>
            </w:r>
          </w:p>
        </w:tc>
        <w:tc>
          <w:tcPr>
            <w:tcW w:w="970" w:type="pct"/>
            <w:tcBorders>
              <w:top w:val="single" w:sz="2" w:space="0" w:color="000000" w:themeColor="text1"/>
              <w:left w:val="single" w:sz="2" w:space="0" w:color="000000" w:themeColor="text1"/>
              <w:bottom w:val="single" w:sz="2" w:space="0" w:color="000000" w:themeColor="text1"/>
              <w:right w:val="nil"/>
            </w:tcBorders>
          </w:tcPr>
          <w:p w14:paraId="67DD276C" w14:textId="77777777" w:rsidR="000E40F4" w:rsidRPr="00812923" w:rsidRDefault="000E40F4" w:rsidP="00FD0109">
            <w:pPr>
              <w:pStyle w:val="TblTxtCenter"/>
              <w:rPr>
                <w:highlight w:val="yellow"/>
              </w:rPr>
            </w:pPr>
            <w:r w:rsidRPr="00253601">
              <w:t>68.2</w:t>
            </w:r>
          </w:p>
        </w:tc>
      </w:tr>
      <w:tr w:rsidR="000E40F4" w:rsidRPr="00812923" w14:paraId="7F72E561" w14:textId="77777777" w:rsidTr="00AD2D1F">
        <w:trPr>
          <w:trHeight w:val="331"/>
        </w:trPr>
        <w:tc>
          <w:tcPr>
            <w:tcW w:w="3059" w:type="pct"/>
            <w:tcBorders>
              <w:top w:val="single" w:sz="2" w:space="0" w:color="000000" w:themeColor="text1"/>
              <w:bottom w:val="single" w:sz="2" w:space="0" w:color="000000" w:themeColor="text1"/>
              <w:right w:val="single" w:sz="6" w:space="0" w:color="auto"/>
            </w:tcBorders>
            <w:vAlign w:val="center"/>
          </w:tcPr>
          <w:p w14:paraId="30B0DF72" w14:textId="77777777" w:rsidR="000E40F4" w:rsidRPr="00812923" w:rsidRDefault="000E40F4" w:rsidP="00FD0109">
            <w:pPr>
              <w:pStyle w:val="TblTxt"/>
              <w:keepNext/>
              <w:rPr>
                <w:highlight w:val="yellow"/>
              </w:rPr>
            </w:pPr>
            <w:r w:rsidRPr="005C2E50">
              <w:t>Cypress Street - east of Azusa Canyon Road</w:t>
            </w:r>
          </w:p>
        </w:tc>
        <w:tc>
          <w:tcPr>
            <w:tcW w:w="971" w:type="pct"/>
            <w:tcBorders>
              <w:top w:val="single" w:sz="2" w:space="0" w:color="000000" w:themeColor="text1"/>
              <w:left w:val="single" w:sz="6" w:space="0" w:color="auto"/>
              <w:bottom w:val="single" w:sz="2" w:space="0" w:color="000000" w:themeColor="text1"/>
              <w:right w:val="single" w:sz="2" w:space="0" w:color="000000" w:themeColor="text1"/>
            </w:tcBorders>
            <w:vAlign w:val="center"/>
          </w:tcPr>
          <w:p w14:paraId="0C78DC01" w14:textId="77777777" w:rsidR="000E40F4" w:rsidRPr="00812923" w:rsidRDefault="000E40F4" w:rsidP="00FD0109">
            <w:pPr>
              <w:pStyle w:val="TblTxtCenter"/>
              <w:rPr>
                <w:highlight w:val="yellow"/>
              </w:rPr>
            </w:pPr>
            <w:r w:rsidRPr="00871447">
              <w:t>15,744</w:t>
            </w:r>
          </w:p>
        </w:tc>
        <w:tc>
          <w:tcPr>
            <w:tcW w:w="970" w:type="pct"/>
            <w:tcBorders>
              <w:top w:val="single" w:sz="2" w:space="0" w:color="000000" w:themeColor="text1"/>
              <w:left w:val="single" w:sz="2" w:space="0" w:color="000000" w:themeColor="text1"/>
              <w:bottom w:val="single" w:sz="2" w:space="0" w:color="000000" w:themeColor="text1"/>
              <w:right w:val="nil"/>
            </w:tcBorders>
          </w:tcPr>
          <w:p w14:paraId="139CBFB3" w14:textId="77777777" w:rsidR="000E40F4" w:rsidRPr="00812923" w:rsidRDefault="000E40F4" w:rsidP="00FD0109">
            <w:pPr>
              <w:pStyle w:val="TblTxtCenter"/>
              <w:rPr>
                <w:highlight w:val="yellow"/>
              </w:rPr>
            </w:pPr>
            <w:r w:rsidRPr="00253601">
              <w:t>69.1</w:t>
            </w:r>
          </w:p>
        </w:tc>
      </w:tr>
      <w:tr w:rsidR="000E40F4" w:rsidRPr="00812923" w14:paraId="7372DC7A" w14:textId="77777777" w:rsidTr="00AD2D1F">
        <w:trPr>
          <w:trHeight w:val="331"/>
        </w:trPr>
        <w:tc>
          <w:tcPr>
            <w:tcW w:w="3059" w:type="pct"/>
            <w:tcBorders>
              <w:top w:val="single" w:sz="2" w:space="0" w:color="000000" w:themeColor="text1"/>
              <w:bottom w:val="single" w:sz="2" w:space="0" w:color="000000" w:themeColor="text1"/>
              <w:right w:val="single" w:sz="6" w:space="0" w:color="auto"/>
            </w:tcBorders>
            <w:vAlign w:val="center"/>
          </w:tcPr>
          <w:p w14:paraId="75D6B2A5" w14:textId="77777777" w:rsidR="000E40F4" w:rsidRPr="00812923" w:rsidRDefault="000E40F4" w:rsidP="00FD0109">
            <w:pPr>
              <w:pStyle w:val="TblTxt"/>
              <w:keepNext/>
              <w:rPr>
                <w:highlight w:val="yellow"/>
              </w:rPr>
            </w:pPr>
            <w:r w:rsidRPr="005C2E50">
              <w:t>Azusa Canyon Road - north of Los Angeles Street</w:t>
            </w:r>
          </w:p>
        </w:tc>
        <w:tc>
          <w:tcPr>
            <w:tcW w:w="971" w:type="pct"/>
            <w:tcBorders>
              <w:top w:val="single" w:sz="2" w:space="0" w:color="000000" w:themeColor="text1"/>
              <w:left w:val="single" w:sz="6" w:space="0" w:color="auto"/>
              <w:bottom w:val="single" w:sz="2" w:space="0" w:color="000000" w:themeColor="text1"/>
              <w:right w:val="single" w:sz="2" w:space="0" w:color="000000" w:themeColor="text1"/>
            </w:tcBorders>
            <w:vAlign w:val="center"/>
          </w:tcPr>
          <w:p w14:paraId="4890603F" w14:textId="77777777" w:rsidR="000E40F4" w:rsidRPr="00812923" w:rsidRDefault="000E40F4" w:rsidP="00FD0109">
            <w:pPr>
              <w:pStyle w:val="TblTxtCenter"/>
              <w:rPr>
                <w:highlight w:val="yellow"/>
              </w:rPr>
            </w:pPr>
            <w:r w:rsidRPr="00871447">
              <w:t>12,010</w:t>
            </w:r>
          </w:p>
        </w:tc>
        <w:tc>
          <w:tcPr>
            <w:tcW w:w="970" w:type="pct"/>
            <w:tcBorders>
              <w:top w:val="single" w:sz="2" w:space="0" w:color="000000" w:themeColor="text1"/>
              <w:left w:val="single" w:sz="2" w:space="0" w:color="000000" w:themeColor="text1"/>
              <w:bottom w:val="single" w:sz="2" w:space="0" w:color="000000" w:themeColor="text1"/>
              <w:right w:val="nil"/>
            </w:tcBorders>
          </w:tcPr>
          <w:p w14:paraId="65C937E9" w14:textId="77777777" w:rsidR="000E40F4" w:rsidRPr="00812923" w:rsidRDefault="000E40F4" w:rsidP="00FD0109">
            <w:pPr>
              <w:pStyle w:val="TblTxtCenter"/>
              <w:rPr>
                <w:highlight w:val="yellow"/>
              </w:rPr>
            </w:pPr>
            <w:r w:rsidRPr="00253601">
              <w:t>66.7</w:t>
            </w:r>
          </w:p>
        </w:tc>
      </w:tr>
      <w:tr w:rsidR="000E40F4" w:rsidRPr="00812923" w14:paraId="4CF984A0" w14:textId="77777777" w:rsidTr="00AD2D1F">
        <w:trPr>
          <w:trHeight w:val="331"/>
        </w:trPr>
        <w:tc>
          <w:tcPr>
            <w:tcW w:w="3059" w:type="pct"/>
            <w:tcBorders>
              <w:top w:val="single" w:sz="2" w:space="0" w:color="000000" w:themeColor="text1"/>
              <w:bottom w:val="single" w:sz="2" w:space="0" w:color="000000" w:themeColor="text1"/>
              <w:right w:val="single" w:sz="6" w:space="0" w:color="auto"/>
            </w:tcBorders>
            <w:vAlign w:val="center"/>
          </w:tcPr>
          <w:p w14:paraId="188137AC" w14:textId="77777777" w:rsidR="000E40F4" w:rsidRPr="00B97F5D" w:rsidRDefault="000E40F4" w:rsidP="00FD0109">
            <w:pPr>
              <w:pStyle w:val="TblTxt"/>
              <w:keepNext/>
            </w:pPr>
            <w:r w:rsidRPr="00B97F5D">
              <w:t>Azusa Canyon Road - south of Los Angeles Street</w:t>
            </w:r>
          </w:p>
        </w:tc>
        <w:tc>
          <w:tcPr>
            <w:tcW w:w="971" w:type="pct"/>
            <w:tcBorders>
              <w:top w:val="single" w:sz="2" w:space="0" w:color="000000" w:themeColor="text1"/>
              <w:left w:val="single" w:sz="6" w:space="0" w:color="auto"/>
              <w:bottom w:val="single" w:sz="2" w:space="0" w:color="000000" w:themeColor="text1"/>
              <w:right w:val="single" w:sz="2" w:space="0" w:color="000000" w:themeColor="text1"/>
            </w:tcBorders>
            <w:vAlign w:val="center"/>
          </w:tcPr>
          <w:p w14:paraId="304184FF" w14:textId="77777777" w:rsidR="000E40F4" w:rsidRPr="00B97F5D" w:rsidRDefault="000E40F4" w:rsidP="00FD0109">
            <w:pPr>
              <w:pStyle w:val="TblTxtCenter"/>
            </w:pPr>
            <w:r w:rsidRPr="00B97F5D">
              <w:t>10,416</w:t>
            </w:r>
          </w:p>
        </w:tc>
        <w:tc>
          <w:tcPr>
            <w:tcW w:w="970" w:type="pct"/>
            <w:tcBorders>
              <w:top w:val="single" w:sz="2" w:space="0" w:color="000000" w:themeColor="text1"/>
              <w:left w:val="single" w:sz="2" w:space="0" w:color="000000" w:themeColor="text1"/>
              <w:bottom w:val="single" w:sz="2" w:space="0" w:color="000000" w:themeColor="text1"/>
              <w:right w:val="nil"/>
            </w:tcBorders>
          </w:tcPr>
          <w:p w14:paraId="5C97F75D" w14:textId="77777777" w:rsidR="000E40F4" w:rsidRPr="00B97F5D" w:rsidRDefault="000E40F4" w:rsidP="00FD0109">
            <w:pPr>
              <w:pStyle w:val="TblTxtCenter"/>
            </w:pPr>
            <w:r w:rsidRPr="00253601">
              <w:t>66.0</w:t>
            </w:r>
          </w:p>
        </w:tc>
      </w:tr>
      <w:tr w:rsidR="000E40F4" w:rsidRPr="00812923" w14:paraId="4065F553" w14:textId="77777777" w:rsidTr="00AD2D1F">
        <w:trPr>
          <w:trHeight w:val="331"/>
        </w:trPr>
        <w:tc>
          <w:tcPr>
            <w:tcW w:w="3059" w:type="pct"/>
            <w:tcBorders>
              <w:top w:val="single" w:sz="2" w:space="0" w:color="000000" w:themeColor="text1"/>
              <w:bottom w:val="single" w:sz="2" w:space="0" w:color="000000" w:themeColor="text1"/>
              <w:right w:val="single" w:sz="6" w:space="0" w:color="auto"/>
            </w:tcBorders>
            <w:vAlign w:val="center"/>
          </w:tcPr>
          <w:p w14:paraId="1B61BFCD" w14:textId="77777777" w:rsidR="000E40F4" w:rsidRPr="00812923" w:rsidRDefault="000E40F4" w:rsidP="00FD0109">
            <w:pPr>
              <w:pStyle w:val="TblTxt"/>
              <w:keepNext/>
              <w:rPr>
                <w:highlight w:val="yellow"/>
              </w:rPr>
            </w:pPr>
            <w:r w:rsidRPr="005C2E50">
              <w:t>Los Angeles Street - east of Azusa Canyon Road</w:t>
            </w:r>
          </w:p>
        </w:tc>
        <w:tc>
          <w:tcPr>
            <w:tcW w:w="971" w:type="pct"/>
            <w:tcBorders>
              <w:top w:val="single" w:sz="2" w:space="0" w:color="000000" w:themeColor="text1"/>
              <w:left w:val="single" w:sz="6" w:space="0" w:color="auto"/>
              <w:bottom w:val="single" w:sz="2" w:space="0" w:color="000000" w:themeColor="text1"/>
              <w:right w:val="single" w:sz="2" w:space="0" w:color="000000" w:themeColor="text1"/>
            </w:tcBorders>
            <w:vAlign w:val="center"/>
          </w:tcPr>
          <w:p w14:paraId="1007CE81" w14:textId="77777777" w:rsidR="000E40F4" w:rsidRPr="00812923" w:rsidRDefault="000E40F4" w:rsidP="00FD0109">
            <w:pPr>
              <w:pStyle w:val="TblTxtCenter"/>
              <w:rPr>
                <w:highlight w:val="yellow"/>
              </w:rPr>
            </w:pPr>
            <w:r w:rsidRPr="00871447">
              <w:t>1,181</w:t>
            </w:r>
          </w:p>
        </w:tc>
        <w:tc>
          <w:tcPr>
            <w:tcW w:w="970" w:type="pct"/>
            <w:tcBorders>
              <w:top w:val="single" w:sz="2" w:space="0" w:color="000000" w:themeColor="text1"/>
              <w:left w:val="single" w:sz="2" w:space="0" w:color="000000" w:themeColor="text1"/>
              <w:bottom w:val="single" w:sz="2" w:space="0" w:color="000000" w:themeColor="text1"/>
              <w:right w:val="nil"/>
            </w:tcBorders>
          </w:tcPr>
          <w:p w14:paraId="1689D2BA" w14:textId="77777777" w:rsidR="000E40F4" w:rsidRPr="00812923" w:rsidRDefault="000E40F4" w:rsidP="00FD0109">
            <w:pPr>
              <w:pStyle w:val="TblTxtCenter"/>
              <w:rPr>
                <w:highlight w:val="yellow"/>
              </w:rPr>
            </w:pPr>
            <w:r w:rsidRPr="00253601">
              <w:t>55.0</w:t>
            </w:r>
          </w:p>
        </w:tc>
      </w:tr>
      <w:tr w:rsidR="000E40F4" w:rsidRPr="00812923" w14:paraId="5A7E2D0C" w14:textId="77777777" w:rsidTr="00AD2D1F">
        <w:trPr>
          <w:trHeight w:val="331"/>
        </w:trPr>
        <w:tc>
          <w:tcPr>
            <w:tcW w:w="3059" w:type="pct"/>
            <w:tcBorders>
              <w:top w:val="single" w:sz="2" w:space="0" w:color="000000" w:themeColor="text1"/>
              <w:bottom w:val="single" w:sz="2" w:space="0" w:color="000000" w:themeColor="text1"/>
              <w:right w:val="single" w:sz="6" w:space="0" w:color="auto"/>
            </w:tcBorders>
            <w:vAlign w:val="center"/>
          </w:tcPr>
          <w:p w14:paraId="22813D22" w14:textId="77777777" w:rsidR="000E40F4" w:rsidRPr="00812923" w:rsidRDefault="000E40F4" w:rsidP="00FD0109">
            <w:pPr>
              <w:pStyle w:val="TblTxt"/>
              <w:keepNext/>
              <w:rPr>
                <w:highlight w:val="yellow"/>
              </w:rPr>
            </w:pPr>
            <w:r w:rsidRPr="005C2E50">
              <w:t>Los Angeles Street - west of Azusa Canyon Road</w:t>
            </w:r>
          </w:p>
        </w:tc>
        <w:tc>
          <w:tcPr>
            <w:tcW w:w="971" w:type="pct"/>
            <w:tcBorders>
              <w:top w:val="single" w:sz="2" w:space="0" w:color="000000" w:themeColor="text1"/>
              <w:left w:val="single" w:sz="6" w:space="0" w:color="auto"/>
              <w:bottom w:val="single" w:sz="2" w:space="0" w:color="000000" w:themeColor="text1"/>
              <w:right w:val="single" w:sz="2" w:space="0" w:color="000000" w:themeColor="text1"/>
            </w:tcBorders>
            <w:vAlign w:val="center"/>
          </w:tcPr>
          <w:p w14:paraId="5312FBDF" w14:textId="77777777" w:rsidR="000E40F4" w:rsidRPr="00812923" w:rsidRDefault="000E40F4" w:rsidP="00FD0109">
            <w:pPr>
              <w:pStyle w:val="TblTxtCenter"/>
              <w:rPr>
                <w:highlight w:val="yellow"/>
              </w:rPr>
            </w:pPr>
            <w:r w:rsidRPr="00871447">
              <w:t>10,341</w:t>
            </w:r>
          </w:p>
        </w:tc>
        <w:tc>
          <w:tcPr>
            <w:tcW w:w="970" w:type="pct"/>
            <w:tcBorders>
              <w:top w:val="single" w:sz="2" w:space="0" w:color="000000" w:themeColor="text1"/>
              <w:left w:val="single" w:sz="2" w:space="0" w:color="000000" w:themeColor="text1"/>
              <w:bottom w:val="single" w:sz="2" w:space="0" w:color="000000" w:themeColor="text1"/>
              <w:right w:val="nil"/>
            </w:tcBorders>
          </w:tcPr>
          <w:p w14:paraId="1A556E89" w14:textId="77777777" w:rsidR="000E40F4" w:rsidRPr="00812923" w:rsidRDefault="000E40F4" w:rsidP="00FD0109">
            <w:pPr>
              <w:pStyle w:val="TblTxtCenter"/>
              <w:rPr>
                <w:highlight w:val="yellow"/>
              </w:rPr>
            </w:pPr>
            <w:r w:rsidRPr="00253601">
              <w:t>69.7</w:t>
            </w:r>
          </w:p>
        </w:tc>
      </w:tr>
      <w:tr w:rsidR="000E40F4" w:rsidRPr="00812923" w14:paraId="035BBF79" w14:textId="77777777" w:rsidTr="00AD2D1F">
        <w:trPr>
          <w:trHeight w:val="331"/>
        </w:trPr>
        <w:tc>
          <w:tcPr>
            <w:tcW w:w="3059" w:type="pct"/>
            <w:tcBorders>
              <w:top w:val="single" w:sz="2" w:space="0" w:color="000000" w:themeColor="text1"/>
              <w:bottom w:val="single" w:sz="2" w:space="0" w:color="000000" w:themeColor="text1"/>
              <w:right w:val="single" w:sz="6" w:space="0" w:color="auto"/>
            </w:tcBorders>
            <w:vAlign w:val="center"/>
          </w:tcPr>
          <w:p w14:paraId="359316CD" w14:textId="77777777" w:rsidR="000E40F4" w:rsidRPr="00812923" w:rsidRDefault="000E40F4" w:rsidP="00FD0109">
            <w:pPr>
              <w:pStyle w:val="TblTxt"/>
              <w:keepNext/>
              <w:rPr>
                <w:highlight w:val="yellow"/>
              </w:rPr>
            </w:pPr>
            <w:r w:rsidRPr="005C2E50">
              <w:t>Azusa Canyon Road - north of San Bernardino Road</w:t>
            </w:r>
          </w:p>
        </w:tc>
        <w:tc>
          <w:tcPr>
            <w:tcW w:w="971" w:type="pct"/>
            <w:tcBorders>
              <w:top w:val="single" w:sz="2" w:space="0" w:color="000000" w:themeColor="text1"/>
              <w:left w:val="single" w:sz="6" w:space="0" w:color="auto"/>
              <w:bottom w:val="single" w:sz="2" w:space="0" w:color="000000" w:themeColor="text1"/>
              <w:right w:val="single" w:sz="2" w:space="0" w:color="000000" w:themeColor="text1"/>
            </w:tcBorders>
            <w:vAlign w:val="center"/>
          </w:tcPr>
          <w:p w14:paraId="66DE9076" w14:textId="77777777" w:rsidR="000E40F4" w:rsidRPr="00812923" w:rsidRDefault="000E40F4" w:rsidP="00FD0109">
            <w:pPr>
              <w:pStyle w:val="TblTxtCenter"/>
              <w:rPr>
                <w:highlight w:val="yellow"/>
              </w:rPr>
            </w:pPr>
            <w:r w:rsidRPr="00871447">
              <w:t>10,416</w:t>
            </w:r>
          </w:p>
        </w:tc>
        <w:tc>
          <w:tcPr>
            <w:tcW w:w="970" w:type="pct"/>
            <w:tcBorders>
              <w:top w:val="single" w:sz="2" w:space="0" w:color="000000" w:themeColor="text1"/>
              <w:left w:val="single" w:sz="2" w:space="0" w:color="000000" w:themeColor="text1"/>
              <w:bottom w:val="single" w:sz="2" w:space="0" w:color="000000" w:themeColor="text1"/>
              <w:right w:val="nil"/>
            </w:tcBorders>
          </w:tcPr>
          <w:p w14:paraId="0358DE7B" w14:textId="77777777" w:rsidR="000E40F4" w:rsidRPr="00812923" w:rsidRDefault="000E40F4" w:rsidP="00FD0109">
            <w:pPr>
              <w:pStyle w:val="TblTxtCenter"/>
              <w:rPr>
                <w:highlight w:val="yellow"/>
              </w:rPr>
            </w:pPr>
            <w:r w:rsidRPr="00253601">
              <w:t>65.9</w:t>
            </w:r>
          </w:p>
        </w:tc>
      </w:tr>
      <w:tr w:rsidR="000E40F4" w:rsidRPr="00812923" w14:paraId="3C8C803D" w14:textId="77777777" w:rsidTr="00AD2D1F">
        <w:trPr>
          <w:trHeight w:val="331"/>
        </w:trPr>
        <w:tc>
          <w:tcPr>
            <w:tcW w:w="3059" w:type="pct"/>
            <w:tcBorders>
              <w:top w:val="single" w:sz="2" w:space="0" w:color="000000" w:themeColor="text1"/>
              <w:bottom w:val="single" w:sz="2" w:space="0" w:color="000000" w:themeColor="text1"/>
              <w:right w:val="single" w:sz="6" w:space="0" w:color="auto"/>
            </w:tcBorders>
            <w:vAlign w:val="center"/>
          </w:tcPr>
          <w:p w14:paraId="71CD2D91" w14:textId="77777777" w:rsidR="000E40F4" w:rsidRPr="00812923" w:rsidRDefault="000E40F4" w:rsidP="00FD0109">
            <w:pPr>
              <w:pStyle w:val="TblTxt"/>
              <w:keepNext/>
              <w:rPr>
                <w:highlight w:val="yellow"/>
              </w:rPr>
            </w:pPr>
            <w:r w:rsidRPr="005C2E50">
              <w:t>San Bernardino Road - east of Azusa Canyon Road</w:t>
            </w:r>
          </w:p>
        </w:tc>
        <w:tc>
          <w:tcPr>
            <w:tcW w:w="971" w:type="pct"/>
            <w:tcBorders>
              <w:top w:val="single" w:sz="2" w:space="0" w:color="000000" w:themeColor="text1"/>
              <w:left w:val="single" w:sz="6" w:space="0" w:color="auto"/>
              <w:bottom w:val="single" w:sz="2" w:space="0" w:color="000000" w:themeColor="text1"/>
              <w:right w:val="single" w:sz="2" w:space="0" w:color="000000" w:themeColor="text1"/>
            </w:tcBorders>
            <w:vAlign w:val="center"/>
          </w:tcPr>
          <w:p w14:paraId="6759FEBF" w14:textId="77777777" w:rsidR="000E40F4" w:rsidRPr="00812923" w:rsidRDefault="000E40F4" w:rsidP="00FD0109">
            <w:pPr>
              <w:pStyle w:val="TblTxtCenter"/>
              <w:rPr>
                <w:highlight w:val="yellow"/>
              </w:rPr>
            </w:pPr>
            <w:r w:rsidRPr="00871447">
              <w:t>20,862</w:t>
            </w:r>
          </w:p>
        </w:tc>
        <w:tc>
          <w:tcPr>
            <w:tcW w:w="970" w:type="pct"/>
            <w:tcBorders>
              <w:top w:val="single" w:sz="2" w:space="0" w:color="000000" w:themeColor="text1"/>
              <w:left w:val="single" w:sz="2" w:space="0" w:color="000000" w:themeColor="text1"/>
              <w:bottom w:val="single" w:sz="2" w:space="0" w:color="000000" w:themeColor="text1"/>
              <w:right w:val="nil"/>
            </w:tcBorders>
          </w:tcPr>
          <w:p w14:paraId="028ED4F6" w14:textId="77777777" w:rsidR="000E40F4" w:rsidRPr="00812923" w:rsidRDefault="000E40F4" w:rsidP="00FD0109">
            <w:pPr>
              <w:pStyle w:val="TblTxtCenter"/>
              <w:rPr>
                <w:highlight w:val="yellow"/>
              </w:rPr>
            </w:pPr>
            <w:r w:rsidRPr="00253601">
              <w:t>70.4</w:t>
            </w:r>
          </w:p>
        </w:tc>
      </w:tr>
      <w:tr w:rsidR="000E40F4" w:rsidRPr="00812923" w14:paraId="05A93CF3" w14:textId="77777777" w:rsidTr="00AD2D1F">
        <w:trPr>
          <w:trHeight w:val="331"/>
        </w:trPr>
        <w:tc>
          <w:tcPr>
            <w:tcW w:w="3059" w:type="pct"/>
            <w:tcBorders>
              <w:top w:val="single" w:sz="2" w:space="0" w:color="000000" w:themeColor="text1"/>
              <w:bottom w:val="single" w:sz="2" w:space="0" w:color="000000" w:themeColor="text1"/>
              <w:right w:val="single" w:sz="6" w:space="0" w:color="auto"/>
            </w:tcBorders>
            <w:vAlign w:val="center"/>
          </w:tcPr>
          <w:p w14:paraId="752077B4" w14:textId="77777777" w:rsidR="000E40F4" w:rsidRPr="00812923" w:rsidRDefault="000E40F4" w:rsidP="00FD0109">
            <w:pPr>
              <w:pStyle w:val="TblTxt"/>
              <w:keepNext/>
              <w:rPr>
                <w:highlight w:val="yellow"/>
              </w:rPr>
            </w:pPr>
            <w:r w:rsidRPr="005C2E50">
              <w:t>San Bernardino Road - west of Azusa Canyon Road</w:t>
            </w:r>
          </w:p>
        </w:tc>
        <w:tc>
          <w:tcPr>
            <w:tcW w:w="971" w:type="pct"/>
            <w:tcBorders>
              <w:top w:val="single" w:sz="2" w:space="0" w:color="000000" w:themeColor="text1"/>
              <w:left w:val="single" w:sz="6" w:space="0" w:color="auto"/>
              <w:bottom w:val="single" w:sz="2" w:space="0" w:color="000000" w:themeColor="text1"/>
              <w:right w:val="single" w:sz="2" w:space="0" w:color="000000" w:themeColor="text1"/>
            </w:tcBorders>
            <w:vAlign w:val="center"/>
          </w:tcPr>
          <w:p w14:paraId="799D3989" w14:textId="77777777" w:rsidR="000E40F4" w:rsidRPr="00812923" w:rsidRDefault="000E40F4" w:rsidP="00FD0109">
            <w:pPr>
              <w:pStyle w:val="TblTxtCenter"/>
              <w:rPr>
                <w:highlight w:val="yellow"/>
              </w:rPr>
            </w:pPr>
            <w:r w:rsidRPr="00871447">
              <w:t>11,054</w:t>
            </w:r>
          </w:p>
        </w:tc>
        <w:tc>
          <w:tcPr>
            <w:tcW w:w="970" w:type="pct"/>
            <w:tcBorders>
              <w:top w:val="single" w:sz="2" w:space="0" w:color="000000" w:themeColor="text1"/>
              <w:left w:val="single" w:sz="2" w:space="0" w:color="000000" w:themeColor="text1"/>
              <w:bottom w:val="single" w:sz="2" w:space="0" w:color="000000" w:themeColor="text1"/>
              <w:right w:val="nil"/>
            </w:tcBorders>
          </w:tcPr>
          <w:p w14:paraId="1FB5346F" w14:textId="77777777" w:rsidR="000E40F4" w:rsidRPr="00812923" w:rsidRDefault="000E40F4" w:rsidP="00FD0109">
            <w:pPr>
              <w:pStyle w:val="TblTxtCenter"/>
              <w:rPr>
                <w:highlight w:val="yellow"/>
              </w:rPr>
            </w:pPr>
            <w:r w:rsidRPr="00253601">
              <w:t>67.6</w:t>
            </w:r>
          </w:p>
        </w:tc>
      </w:tr>
      <w:tr w:rsidR="000E40F4" w:rsidRPr="00812923" w14:paraId="44414FB5" w14:textId="77777777" w:rsidTr="00AD2D1F">
        <w:trPr>
          <w:trHeight w:val="331"/>
        </w:trPr>
        <w:tc>
          <w:tcPr>
            <w:tcW w:w="3059" w:type="pct"/>
            <w:tcBorders>
              <w:top w:val="single" w:sz="2" w:space="0" w:color="000000" w:themeColor="text1"/>
              <w:bottom w:val="single" w:sz="2" w:space="0" w:color="000000" w:themeColor="text1"/>
              <w:right w:val="single" w:sz="6" w:space="0" w:color="auto"/>
            </w:tcBorders>
            <w:vAlign w:val="center"/>
          </w:tcPr>
          <w:p w14:paraId="4893F9B6" w14:textId="77777777" w:rsidR="000E40F4" w:rsidRPr="00812923" w:rsidRDefault="000E40F4" w:rsidP="00FD0109">
            <w:pPr>
              <w:pStyle w:val="TblTxt"/>
              <w:keepNext/>
              <w:rPr>
                <w:highlight w:val="yellow"/>
              </w:rPr>
            </w:pPr>
            <w:r w:rsidRPr="005C2E50">
              <w:t>Azusa Canyon Road - north of Arrow Highway</w:t>
            </w:r>
          </w:p>
        </w:tc>
        <w:tc>
          <w:tcPr>
            <w:tcW w:w="971" w:type="pct"/>
            <w:tcBorders>
              <w:top w:val="single" w:sz="2" w:space="0" w:color="000000" w:themeColor="text1"/>
              <w:left w:val="single" w:sz="6" w:space="0" w:color="auto"/>
              <w:bottom w:val="single" w:sz="2" w:space="0" w:color="000000" w:themeColor="text1"/>
              <w:right w:val="single" w:sz="2" w:space="0" w:color="000000" w:themeColor="text1"/>
            </w:tcBorders>
            <w:vAlign w:val="center"/>
          </w:tcPr>
          <w:p w14:paraId="6FDFA73C" w14:textId="77777777" w:rsidR="000E40F4" w:rsidRPr="00812923" w:rsidRDefault="000E40F4" w:rsidP="00FD0109">
            <w:pPr>
              <w:pStyle w:val="TblTxtCenter"/>
              <w:rPr>
                <w:highlight w:val="yellow"/>
              </w:rPr>
            </w:pPr>
            <w:r w:rsidRPr="00871447">
              <w:t>2,083</w:t>
            </w:r>
          </w:p>
        </w:tc>
        <w:tc>
          <w:tcPr>
            <w:tcW w:w="970" w:type="pct"/>
            <w:tcBorders>
              <w:top w:val="single" w:sz="2" w:space="0" w:color="000000" w:themeColor="text1"/>
              <w:left w:val="single" w:sz="2" w:space="0" w:color="000000" w:themeColor="text1"/>
              <w:bottom w:val="single" w:sz="2" w:space="0" w:color="000000" w:themeColor="text1"/>
              <w:right w:val="nil"/>
            </w:tcBorders>
          </w:tcPr>
          <w:p w14:paraId="721FAD1E" w14:textId="77777777" w:rsidR="000E40F4" w:rsidRPr="00812923" w:rsidRDefault="000E40F4" w:rsidP="00FD0109">
            <w:pPr>
              <w:pStyle w:val="TblTxtCenter"/>
              <w:rPr>
                <w:highlight w:val="yellow"/>
              </w:rPr>
            </w:pPr>
            <w:r w:rsidRPr="00253601">
              <w:t>59.0</w:t>
            </w:r>
          </w:p>
        </w:tc>
      </w:tr>
      <w:tr w:rsidR="000E40F4" w:rsidRPr="00812923" w14:paraId="414DC8CD" w14:textId="77777777" w:rsidTr="00AD2D1F">
        <w:trPr>
          <w:trHeight w:val="331"/>
        </w:trPr>
        <w:tc>
          <w:tcPr>
            <w:tcW w:w="3059" w:type="pct"/>
            <w:tcBorders>
              <w:top w:val="single" w:sz="2" w:space="0" w:color="000000" w:themeColor="text1"/>
              <w:bottom w:val="single" w:sz="2" w:space="0" w:color="000000" w:themeColor="text1"/>
              <w:right w:val="single" w:sz="6" w:space="0" w:color="auto"/>
            </w:tcBorders>
            <w:vAlign w:val="center"/>
          </w:tcPr>
          <w:p w14:paraId="189BBDAE" w14:textId="77777777" w:rsidR="000E40F4" w:rsidRPr="00812923" w:rsidRDefault="000E40F4" w:rsidP="00FD0109">
            <w:pPr>
              <w:pStyle w:val="TblTxt"/>
              <w:keepNext/>
              <w:rPr>
                <w:highlight w:val="yellow"/>
              </w:rPr>
            </w:pPr>
            <w:r w:rsidRPr="005C2E50">
              <w:t>Azusa Canyon Road - south of Arrow Highway</w:t>
            </w:r>
          </w:p>
        </w:tc>
        <w:tc>
          <w:tcPr>
            <w:tcW w:w="971" w:type="pct"/>
            <w:tcBorders>
              <w:top w:val="single" w:sz="2" w:space="0" w:color="000000" w:themeColor="text1"/>
              <w:left w:val="single" w:sz="6" w:space="0" w:color="auto"/>
              <w:bottom w:val="single" w:sz="2" w:space="0" w:color="000000" w:themeColor="text1"/>
              <w:right w:val="single" w:sz="2" w:space="0" w:color="000000" w:themeColor="text1"/>
            </w:tcBorders>
            <w:vAlign w:val="center"/>
          </w:tcPr>
          <w:p w14:paraId="29C87768" w14:textId="77777777" w:rsidR="000E40F4" w:rsidRPr="00812923" w:rsidRDefault="000E40F4" w:rsidP="00FD0109">
            <w:pPr>
              <w:pStyle w:val="TblTxtCenter"/>
              <w:rPr>
                <w:highlight w:val="yellow"/>
              </w:rPr>
            </w:pPr>
            <w:r w:rsidRPr="00871447">
              <w:t>11,919</w:t>
            </w:r>
          </w:p>
        </w:tc>
        <w:tc>
          <w:tcPr>
            <w:tcW w:w="970" w:type="pct"/>
            <w:tcBorders>
              <w:top w:val="single" w:sz="2" w:space="0" w:color="000000" w:themeColor="text1"/>
              <w:left w:val="single" w:sz="2" w:space="0" w:color="000000" w:themeColor="text1"/>
              <w:bottom w:val="single" w:sz="2" w:space="0" w:color="000000" w:themeColor="text1"/>
              <w:right w:val="nil"/>
            </w:tcBorders>
          </w:tcPr>
          <w:p w14:paraId="0A99974B" w14:textId="77777777" w:rsidR="000E40F4" w:rsidRPr="00812923" w:rsidRDefault="000E40F4" w:rsidP="00FD0109">
            <w:pPr>
              <w:pStyle w:val="TblTxtCenter"/>
              <w:rPr>
                <w:highlight w:val="yellow"/>
              </w:rPr>
            </w:pPr>
            <w:r w:rsidRPr="00253601">
              <w:t>66.6</w:t>
            </w:r>
          </w:p>
        </w:tc>
      </w:tr>
      <w:tr w:rsidR="000E40F4" w:rsidRPr="00812923" w14:paraId="66EE4057" w14:textId="77777777" w:rsidTr="00AD2D1F">
        <w:trPr>
          <w:trHeight w:val="331"/>
        </w:trPr>
        <w:tc>
          <w:tcPr>
            <w:tcW w:w="3059" w:type="pct"/>
            <w:tcBorders>
              <w:top w:val="single" w:sz="2" w:space="0" w:color="000000" w:themeColor="text1"/>
              <w:bottom w:val="single" w:sz="2" w:space="0" w:color="000000" w:themeColor="text1"/>
              <w:right w:val="single" w:sz="6" w:space="0" w:color="auto"/>
            </w:tcBorders>
            <w:vAlign w:val="center"/>
          </w:tcPr>
          <w:p w14:paraId="601D2EEC" w14:textId="77777777" w:rsidR="000E40F4" w:rsidRPr="00812923" w:rsidRDefault="000E40F4" w:rsidP="00FD0109">
            <w:pPr>
              <w:pStyle w:val="TblTxt"/>
              <w:keepNext/>
              <w:rPr>
                <w:highlight w:val="yellow"/>
              </w:rPr>
            </w:pPr>
            <w:r w:rsidRPr="005C2E50">
              <w:t>Arrow Highway - east of Azusa Canyon Road</w:t>
            </w:r>
          </w:p>
        </w:tc>
        <w:tc>
          <w:tcPr>
            <w:tcW w:w="971" w:type="pct"/>
            <w:tcBorders>
              <w:top w:val="single" w:sz="2" w:space="0" w:color="000000" w:themeColor="text1"/>
              <w:left w:val="single" w:sz="6" w:space="0" w:color="auto"/>
              <w:bottom w:val="single" w:sz="2" w:space="0" w:color="000000" w:themeColor="text1"/>
              <w:right w:val="single" w:sz="2" w:space="0" w:color="000000" w:themeColor="text1"/>
            </w:tcBorders>
            <w:vAlign w:val="center"/>
          </w:tcPr>
          <w:p w14:paraId="5A9DF464" w14:textId="77777777" w:rsidR="000E40F4" w:rsidRPr="00812923" w:rsidRDefault="000E40F4" w:rsidP="00FD0109">
            <w:pPr>
              <w:pStyle w:val="TblTxtCenter"/>
              <w:rPr>
                <w:highlight w:val="yellow"/>
              </w:rPr>
            </w:pPr>
            <w:r w:rsidRPr="00871447">
              <w:t>48,946</w:t>
            </w:r>
          </w:p>
        </w:tc>
        <w:tc>
          <w:tcPr>
            <w:tcW w:w="970" w:type="pct"/>
            <w:tcBorders>
              <w:top w:val="single" w:sz="2" w:space="0" w:color="000000" w:themeColor="text1"/>
              <w:left w:val="single" w:sz="2" w:space="0" w:color="000000" w:themeColor="text1"/>
              <w:bottom w:val="single" w:sz="2" w:space="0" w:color="000000" w:themeColor="text1"/>
              <w:right w:val="nil"/>
            </w:tcBorders>
          </w:tcPr>
          <w:p w14:paraId="78B5864D" w14:textId="77777777" w:rsidR="000E40F4" w:rsidRPr="00812923" w:rsidRDefault="000E40F4" w:rsidP="00FD0109">
            <w:pPr>
              <w:pStyle w:val="TblTxtCenter"/>
              <w:rPr>
                <w:highlight w:val="yellow"/>
              </w:rPr>
            </w:pPr>
            <w:r w:rsidRPr="00253601">
              <w:t>76.6</w:t>
            </w:r>
          </w:p>
        </w:tc>
      </w:tr>
      <w:tr w:rsidR="000E40F4" w:rsidRPr="00812923" w14:paraId="2805F9A9" w14:textId="77777777" w:rsidTr="00AD2D1F">
        <w:trPr>
          <w:trHeight w:val="331"/>
        </w:trPr>
        <w:tc>
          <w:tcPr>
            <w:tcW w:w="3059" w:type="pct"/>
            <w:tcBorders>
              <w:top w:val="single" w:sz="2" w:space="0" w:color="000000" w:themeColor="text1"/>
              <w:bottom w:val="single" w:sz="2" w:space="0" w:color="000000" w:themeColor="text1"/>
              <w:right w:val="single" w:sz="6" w:space="0" w:color="auto"/>
            </w:tcBorders>
            <w:vAlign w:val="center"/>
          </w:tcPr>
          <w:p w14:paraId="5D2739EC" w14:textId="77777777" w:rsidR="000E40F4" w:rsidRPr="00812923" w:rsidRDefault="000E40F4" w:rsidP="00FD0109">
            <w:pPr>
              <w:pStyle w:val="TblTxt"/>
              <w:keepNext/>
              <w:rPr>
                <w:highlight w:val="yellow"/>
              </w:rPr>
            </w:pPr>
            <w:r w:rsidRPr="005C2E50">
              <w:t>Arrow Highway - west of Azusa Canyon Road</w:t>
            </w:r>
          </w:p>
        </w:tc>
        <w:tc>
          <w:tcPr>
            <w:tcW w:w="971" w:type="pct"/>
            <w:tcBorders>
              <w:top w:val="single" w:sz="2" w:space="0" w:color="000000" w:themeColor="text1"/>
              <w:left w:val="single" w:sz="6" w:space="0" w:color="auto"/>
              <w:bottom w:val="single" w:sz="2" w:space="0" w:color="000000" w:themeColor="text1"/>
              <w:right w:val="single" w:sz="2" w:space="0" w:color="000000" w:themeColor="text1"/>
            </w:tcBorders>
            <w:vAlign w:val="center"/>
          </w:tcPr>
          <w:p w14:paraId="44E5F74A" w14:textId="77777777" w:rsidR="000E40F4" w:rsidRPr="00812923" w:rsidRDefault="000E40F4" w:rsidP="00FD0109">
            <w:pPr>
              <w:pStyle w:val="TblTxtCenter"/>
              <w:rPr>
                <w:highlight w:val="yellow"/>
              </w:rPr>
            </w:pPr>
            <w:r w:rsidRPr="00871447">
              <w:t>49,428</w:t>
            </w:r>
          </w:p>
        </w:tc>
        <w:tc>
          <w:tcPr>
            <w:tcW w:w="970" w:type="pct"/>
            <w:tcBorders>
              <w:top w:val="single" w:sz="2" w:space="0" w:color="000000" w:themeColor="text1"/>
              <w:left w:val="single" w:sz="2" w:space="0" w:color="000000" w:themeColor="text1"/>
              <w:bottom w:val="single" w:sz="2" w:space="0" w:color="000000" w:themeColor="text1"/>
              <w:right w:val="nil"/>
            </w:tcBorders>
          </w:tcPr>
          <w:p w14:paraId="454CA295" w14:textId="77777777" w:rsidR="000E40F4" w:rsidRPr="00812923" w:rsidRDefault="000E40F4" w:rsidP="00FD0109">
            <w:pPr>
              <w:pStyle w:val="TblTxtCenter"/>
              <w:rPr>
                <w:highlight w:val="yellow"/>
              </w:rPr>
            </w:pPr>
            <w:r w:rsidRPr="00253601">
              <w:t>76.6</w:t>
            </w:r>
          </w:p>
        </w:tc>
      </w:tr>
      <w:tr w:rsidR="000E40F4" w:rsidRPr="00812923" w14:paraId="0374E8B1" w14:textId="77777777" w:rsidTr="00AD2D1F">
        <w:trPr>
          <w:trHeight w:val="331"/>
        </w:trPr>
        <w:tc>
          <w:tcPr>
            <w:tcW w:w="3059" w:type="pct"/>
            <w:tcBorders>
              <w:top w:val="single" w:sz="2" w:space="0" w:color="000000" w:themeColor="text1"/>
              <w:bottom w:val="single" w:sz="4" w:space="0" w:color="auto"/>
              <w:right w:val="single" w:sz="6" w:space="0" w:color="auto"/>
            </w:tcBorders>
            <w:vAlign w:val="center"/>
          </w:tcPr>
          <w:p w14:paraId="08477F78" w14:textId="77777777" w:rsidR="000E40F4" w:rsidRPr="00812923" w:rsidRDefault="000E40F4" w:rsidP="00FD0109">
            <w:pPr>
              <w:pStyle w:val="TblTxt"/>
              <w:keepNext/>
              <w:rPr>
                <w:highlight w:val="yellow"/>
              </w:rPr>
            </w:pPr>
            <w:r w:rsidRPr="005C2E50">
              <w:t>Azusa Canyon Road - north of Olive Street</w:t>
            </w:r>
          </w:p>
        </w:tc>
        <w:tc>
          <w:tcPr>
            <w:tcW w:w="971" w:type="pct"/>
            <w:tcBorders>
              <w:top w:val="single" w:sz="2" w:space="0" w:color="000000" w:themeColor="text1"/>
              <w:left w:val="single" w:sz="6" w:space="0" w:color="auto"/>
              <w:bottom w:val="single" w:sz="4" w:space="0" w:color="auto"/>
              <w:right w:val="single" w:sz="2" w:space="0" w:color="000000" w:themeColor="text1"/>
            </w:tcBorders>
            <w:vAlign w:val="center"/>
          </w:tcPr>
          <w:p w14:paraId="39F1E57A" w14:textId="77777777" w:rsidR="000E40F4" w:rsidRPr="00812923" w:rsidRDefault="000E40F4" w:rsidP="00FD0109">
            <w:pPr>
              <w:pStyle w:val="TblTxtCenter"/>
              <w:rPr>
                <w:highlight w:val="yellow"/>
              </w:rPr>
            </w:pPr>
            <w:r w:rsidRPr="00871447">
              <w:t>11,919</w:t>
            </w:r>
          </w:p>
        </w:tc>
        <w:tc>
          <w:tcPr>
            <w:tcW w:w="970" w:type="pct"/>
            <w:tcBorders>
              <w:top w:val="single" w:sz="2" w:space="0" w:color="000000" w:themeColor="text1"/>
              <w:left w:val="single" w:sz="2" w:space="0" w:color="000000" w:themeColor="text1"/>
              <w:bottom w:val="single" w:sz="4" w:space="0" w:color="auto"/>
              <w:right w:val="nil"/>
            </w:tcBorders>
          </w:tcPr>
          <w:p w14:paraId="0FFD4CB8" w14:textId="77777777" w:rsidR="000E40F4" w:rsidRPr="00812923" w:rsidRDefault="000E40F4" w:rsidP="00FD0109">
            <w:pPr>
              <w:pStyle w:val="TblTxtCenter"/>
              <w:rPr>
                <w:highlight w:val="yellow"/>
              </w:rPr>
            </w:pPr>
            <w:r w:rsidRPr="00253601">
              <w:t>66.6</w:t>
            </w:r>
          </w:p>
        </w:tc>
      </w:tr>
      <w:tr w:rsidR="000E40F4" w:rsidRPr="00812923" w14:paraId="50779402" w14:textId="77777777" w:rsidTr="00AD2D1F">
        <w:trPr>
          <w:trHeight w:val="331"/>
        </w:trPr>
        <w:tc>
          <w:tcPr>
            <w:tcW w:w="3059" w:type="pct"/>
            <w:tcBorders>
              <w:top w:val="single" w:sz="4" w:space="0" w:color="auto"/>
              <w:bottom w:val="single" w:sz="4" w:space="0" w:color="auto"/>
              <w:right w:val="single" w:sz="4" w:space="0" w:color="auto"/>
            </w:tcBorders>
            <w:vAlign w:val="center"/>
          </w:tcPr>
          <w:p w14:paraId="370F8A78" w14:textId="77777777" w:rsidR="000E40F4" w:rsidRPr="00D42B97" w:rsidRDefault="000E40F4" w:rsidP="00FD0109">
            <w:pPr>
              <w:pStyle w:val="TblTxt"/>
              <w:keepNext/>
            </w:pPr>
            <w:r w:rsidRPr="005C2E50">
              <w:t>Azusa Canyon Road - south of Olive Street</w:t>
            </w:r>
          </w:p>
        </w:tc>
        <w:tc>
          <w:tcPr>
            <w:tcW w:w="971" w:type="pct"/>
            <w:tcBorders>
              <w:top w:val="single" w:sz="4" w:space="0" w:color="auto"/>
              <w:left w:val="single" w:sz="4" w:space="0" w:color="auto"/>
              <w:bottom w:val="single" w:sz="4" w:space="0" w:color="auto"/>
              <w:right w:val="single" w:sz="4" w:space="0" w:color="auto"/>
            </w:tcBorders>
            <w:vAlign w:val="center"/>
          </w:tcPr>
          <w:p w14:paraId="6A3FF1F6" w14:textId="77777777" w:rsidR="000E40F4" w:rsidRPr="00D42B97" w:rsidRDefault="000E40F4" w:rsidP="00FD0109">
            <w:pPr>
              <w:pStyle w:val="TblTxtCenter"/>
            </w:pPr>
            <w:r w:rsidRPr="00871447">
              <w:t>16,723</w:t>
            </w:r>
          </w:p>
        </w:tc>
        <w:tc>
          <w:tcPr>
            <w:tcW w:w="970" w:type="pct"/>
            <w:tcBorders>
              <w:top w:val="single" w:sz="4" w:space="0" w:color="auto"/>
              <w:left w:val="single" w:sz="4" w:space="0" w:color="auto"/>
              <w:bottom w:val="single" w:sz="4" w:space="0" w:color="auto"/>
              <w:right w:val="nil"/>
            </w:tcBorders>
          </w:tcPr>
          <w:p w14:paraId="32325870" w14:textId="77777777" w:rsidR="000E40F4" w:rsidRPr="00D42B97" w:rsidRDefault="000E40F4" w:rsidP="00FD0109">
            <w:pPr>
              <w:pStyle w:val="TblTxtCenter"/>
            </w:pPr>
            <w:r w:rsidRPr="00253601">
              <w:t>68.1</w:t>
            </w:r>
          </w:p>
        </w:tc>
      </w:tr>
      <w:tr w:rsidR="000E40F4" w:rsidRPr="00812923" w14:paraId="6CDC96CF" w14:textId="77777777" w:rsidTr="00AD2D1F">
        <w:trPr>
          <w:trHeight w:val="331"/>
        </w:trPr>
        <w:tc>
          <w:tcPr>
            <w:tcW w:w="3059" w:type="pct"/>
            <w:tcBorders>
              <w:top w:val="single" w:sz="4" w:space="0" w:color="auto"/>
              <w:bottom w:val="single" w:sz="12" w:space="0" w:color="auto"/>
              <w:right w:val="single" w:sz="4" w:space="0" w:color="auto"/>
            </w:tcBorders>
            <w:vAlign w:val="center"/>
          </w:tcPr>
          <w:p w14:paraId="1675E9F8" w14:textId="77777777" w:rsidR="000E40F4" w:rsidRPr="00812923" w:rsidRDefault="000E40F4" w:rsidP="00FD0109">
            <w:pPr>
              <w:pStyle w:val="TblTxt"/>
              <w:keepNext/>
              <w:rPr>
                <w:highlight w:val="yellow"/>
              </w:rPr>
            </w:pPr>
            <w:r w:rsidRPr="005C2E50">
              <w:t>Olive Street - west of Azusa Canyon Road</w:t>
            </w:r>
          </w:p>
        </w:tc>
        <w:tc>
          <w:tcPr>
            <w:tcW w:w="971" w:type="pct"/>
            <w:tcBorders>
              <w:top w:val="single" w:sz="4" w:space="0" w:color="auto"/>
              <w:left w:val="single" w:sz="4" w:space="0" w:color="auto"/>
              <w:bottom w:val="single" w:sz="12" w:space="0" w:color="auto"/>
              <w:right w:val="single" w:sz="4" w:space="0" w:color="auto"/>
            </w:tcBorders>
            <w:vAlign w:val="center"/>
          </w:tcPr>
          <w:p w14:paraId="449D8F62" w14:textId="77777777" w:rsidR="000E40F4" w:rsidRPr="00812923" w:rsidRDefault="000E40F4" w:rsidP="00FD0109">
            <w:pPr>
              <w:pStyle w:val="TblTxtCenter"/>
              <w:rPr>
                <w:highlight w:val="yellow"/>
              </w:rPr>
            </w:pPr>
            <w:r w:rsidRPr="00871447">
              <w:t>8,947</w:t>
            </w:r>
          </w:p>
        </w:tc>
        <w:tc>
          <w:tcPr>
            <w:tcW w:w="970" w:type="pct"/>
            <w:tcBorders>
              <w:top w:val="single" w:sz="4" w:space="0" w:color="auto"/>
              <w:left w:val="single" w:sz="4" w:space="0" w:color="auto"/>
              <w:bottom w:val="single" w:sz="12" w:space="0" w:color="auto"/>
              <w:right w:val="nil"/>
            </w:tcBorders>
          </w:tcPr>
          <w:p w14:paraId="6B927698" w14:textId="77777777" w:rsidR="000E40F4" w:rsidRPr="00812923" w:rsidRDefault="000E40F4" w:rsidP="00FD0109">
            <w:pPr>
              <w:pStyle w:val="TblTxtCenter"/>
              <w:rPr>
                <w:highlight w:val="yellow"/>
              </w:rPr>
            </w:pPr>
            <w:r w:rsidRPr="00253601">
              <w:t>65.3</w:t>
            </w:r>
          </w:p>
        </w:tc>
      </w:tr>
      <w:tr w:rsidR="000E40F4" w:rsidRPr="00A251B2" w14:paraId="2C482CCF" w14:textId="77777777" w:rsidTr="00FD0109">
        <w:trPr>
          <w:trHeight w:val="288"/>
        </w:trPr>
        <w:tc>
          <w:tcPr>
            <w:tcW w:w="5000" w:type="pct"/>
            <w:gridSpan w:val="3"/>
            <w:tcBorders>
              <w:top w:val="single" w:sz="12" w:space="0" w:color="auto"/>
              <w:bottom w:val="single" w:sz="12" w:space="0" w:color="auto"/>
              <w:right w:val="nil"/>
            </w:tcBorders>
            <w:vAlign w:val="bottom"/>
          </w:tcPr>
          <w:p w14:paraId="65926B1F" w14:textId="77777777" w:rsidR="000E40F4" w:rsidRDefault="000E40F4" w:rsidP="001A33F5">
            <w:pPr>
              <w:pStyle w:val="TblSourcesNotes"/>
            </w:pPr>
            <w:r w:rsidRPr="002E6CA0">
              <w:t xml:space="preserve">Source: Urban Crossroads, 2021. </w:t>
            </w:r>
          </w:p>
          <w:p w14:paraId="3D248211" w14:textId="77777777" w:rsidR="000E40F4" w:rsidRDefault="000E40F4" w:rsidP="001A33F5">
            <w:pPr>
              <w:pStyle w:val="TblSourcesNotes"/>
            </w:pPr>
            <w:r w:rsidRPr="00DD31E5">
              <w:t xml:space="preserve">See Appendix </w:t>
            </w:r>
            <w:r w:rsidR="00F64019">
              <w:t>I</w:t>
            </w:r>
            <w:r w:rsidRPr="00DD31E5">
              <w:t xml:space="preserve"> for daily</w:t>
            </w:r>
            <w:r>
              <w:t xml:space="preserve"> roadway segment volumes and modeling calculations. </w:t>
            </w:r>
          </w:p>
          <w:p w14:paraId="3C9E9F0B" w14:textId="77777777" w:rsidR="00EA416A" w:rsidRPr="00812923" w:rsidRDefault="00EA416A" w:rsidP="001A33F5">
            <w:pPr>
              <w:pStyle w:val="TblSourcesNotes"/>
              <w:rPr>
                <w:highlight w:val="yellow"/>
              </w:rPr>
            </w:pPr>
            <w:r w:rsidRPr="00EA416A">
              <w:rPr>
                <w:vertAlign w:val="superscript"/>
              </w:rPr>
              <w:t>1</w:t>
            </w:r>
            <w:r w:rsidR="001A33F5">
              <w:rPr>
                <w:vertAlign w:val="superscript"/>
              </w:rPr>
              <w:tab/>
            </w:r>
            <w:r w:rsidRPr="00EA416A">
              <w:t xml:space="preserve">The site was previously occupied by </w:t>
            </w:r>
            <w:r w:rsidR="00EC294C">
              <w:t xml:space="preserve">the </w:t>
            </w:r>
            <w:r w:rsidRPr="00EA416A">
              <w:t>Pepsi</w:t>
            </w:r>
            <w:r w:rsidR="00EC294C">
              <w:t xml:space="preserve"> bottling plant</w:t>
            </w:r>
            <w:r w:rsidRPr="00EA416A">
              <w:t>, which is the existing</w:t>
            </w:r>
            <w:r>
              <w:t xml:space="preserve"> </w:t>
            </w:r>
            <w:r w:rsidRPr="00EA416A">
              <w:t>baseline site use.</w:t>
            </w:r>
          </w:p>
        </w:tc>
      </w:tr>
    </w:tbl>
    <w:p w14:paraId="67EBC36F" w14:textId="030BEA78" w:rsidR="000E40F4" w:rsidRDefault="000E40F4" w:rsidP="000E40F4">
      <w:pPr>
        <w:pStyle w:val="BodyText"/>
      </w:pPr>
    </w:p>
    <w:p w14:paraId="7B2EBF4D" w14:textId="199B37D6" w:rsidR="00305F41" w:rsidRDefault="00305F41" w:rsidP="000E40F4">
      <w:pPr>
        <w:pStyle w:val="BodyText"/>
      </w:pPr>
      <w:r w:rsidRPr="000B11D0">
        <w:t>According to the Governor’s Office of Planning and Research,</w:t>
      </w:r>
      <w:r w:rsidRPr="005D5751">
        <w:t xml:space="preserve"> the project site is within </w:t>
      </w:r>
      <w:r>
        <w:t xml:space="preserve">the </w:t>
      </w:r>
      <w:r w:rsidRPr="005D5751">
        <w:t>“Normally Acceptable” conditions for industrial and manufacturing land uses</w:t>
      </w:r>
      <w:r>
        <w:t xml:space="preserve"> (75 dBA CNEL or less) (OPR 2017a)</w:t>
      </w:r>
      <w:r w:rsidRPr="005D5751">
        <w:t xml:space="preserve">. </w:t>
      </w:r>
      <w:r>
        <w:t>However, due to the</w:t>
      </w:r>
      <w:r w:rsidRPr="00961184">
        <w:t xml:space="preserve"> </w:t>
      </w:r>
      <w:r w:rsidRPr="00106193">
        <w:rPr>
          <w:i/>
          <w:iCs/>
        </w:rPr>
        <w:t>California Building Industry Association v. Bay Area Air Quality Management District</w:t>
      </w:r>
      <w:r w:rsidRPr="009D3708">
        <w:t xml:space="preserve">, 62 Cal. 4th 369 (No. S 213478) </w:t>
      </w:r>
      <w:r>
        <w:t>ruling</w:t>
      </w:r>
      <w:r w:rsidRPr="009D3708">
        <w:t xml:space="preserve"> issued December 17, 2015</w:t>
      </w:r>
      <w:r w:rsidRPr="00961184">
        <w:t>, noise compatibility for on</w:t>
      </w:r>
      <w:r>
        <w:t>-</w:t>
      </w:r>
      <w:r w:rsidRPr="00961184">
        <w:t xml:space="preserve">site sensitive receptors is </w:t>
      </w:r>
      <w:r>
        <w:t xml:space="preserve">generally </w:t>
      </w:r>
      <w:r w:rsidRPr="00961184">
        <w:t>no longer the purview of CEQA.</w:t>
      </w:r>
      <w:r w:rsidRPr="00C40DFC">
        <w:t xml:space="preserve"> </w:t>
      </w:r>
      <w:r w:rsidRPr="006D34DF">
        <w:t xml:space="preserve">As a result, </w:t>
      </w:r>
      <w:r>
        <w:t xml:space="preserve">though </w:t>
      </w:r>
      <w:r w:rsidRPr="00AC26C6">
        <w:t>noise from existing sources is taken into account as part of the baseline</w:t>
      </w:r>
      <w:r>
        <w:t>, the direct effects of</w:t>
      </w:r>
      <w:r w:rsidRPr="00AC26C6">
        <w:t xml:space="preserve"> </w:t>
      </w:r>
      <w:r w:rsidRPr="006D34DF">
        <w:t>exterior noise from nearby noise</w:t>
      </w:r>
      <w:r>
        <w:t xml:space="preserve"> </w:t>
      </w:r>
      <w:r w:rsidRPr="006D34DF">
        <w:t xml:space="preserve">sources relative to land use compatibility of </w:t>
      </w:r>
      <w:r>
        <w:t>a future</w:t>
      </w:r>
      <w:r w:rsidRPr="006D34DF">
        <w:t xml:space="preserve"> project is </w:t>
      </w:r>
      <w:r>
        <w:t xml:space="preserve">typically no </w:t>
      </w:r>
      <w:r w:rsidRPr="006D34DF">
        <w:t xml:space="preserve">longer a </w:t>
      </w:r>
      <w:r>
        <w:t xml:space="preserve">required </w:t>
      </w:r>
      <w:r w:rsidRPr="006D34DF">
        <w:t>topic for impact evaluation under CEQA.</w:t>
      </w:r>
      <w:r w:rsidRPr="00AA5EA5">
        <w:t xml:space="preserve"> </w:t>
      </w:r>
      <w:r>
        <w:t>Generally, n</w:t>
      </w:r>
      <w:r w:rsidRPr="006D34DF">
        <w:t>o determination of significance is required</w:t>
      </w:r>
      <w:r>
        <w:t xml:space="preserve"> with the exception of certain school projects, projects affected by airport noise, and projects that would exacerbate existing conditions (i.e., projects that would have a significant operational impact).</w:t>
      </w:r>
    </w:p>
    <w:p w14:paraId="5AB5690A" w14:textId="77777777" w:rsidR="000E40F4" w:rsidRPr="00A251B2" w:rsidRDefault="000E40F4" w:rsidP="000E40F4">
      <w:pPr>
        <w:pStyle w:val="Heading6"/>
      </w:pPr>
      <w:bookmarkStart w:id="195" w:name="_Hlk79587370"/>
      <w:r w:rsidRPr="00A251B2">
        <w:t>Sensitive Receptors</w:t>
      </w:r>
    </w:p>
    <w:p w14:paraId="7C8B9E2A" w14:textId="77777777" w:rsidR="000E40F4" w:rsidRDefault="000E40F4" w:rsidP="000E40F4">
      <w:pPr>
        <w:pStyle w:val="BodyText"/>
      </w:pPr>
      <w:r w:rsidRPr="005120DC">
        <w:t xml:space="preserve">Certain land uses are particularly sensitive to noise and vibration. These uses include residences, schools, hospital facilities, houses of worship, and open space/recreation areas where quiet environments are necessary for the enjoyment, public health, and safety of the community. The nearest sensitive receptors to the project site are single-family residences to the </w:t>
      </w:r>
      <w:r>
        <w:t>northeast</w:t>
      </w:r>
      <w:r w:rsidR="003A0FCE">
        <w:t xml:space="preserve">, </w:t>
      </w:r>
      <w:r w:rsidRPr="005120DC">
        <w:t>south</w:t>
      </w:r>
      <w:r w:rsidR="003A0FCE">
        <w:t>,</w:t>
      </w:r>
      <w:r w:rsidRPr="005120DC">
        <w:t xml:space="preserve"> and </w:t>
      </w:r>
      <w:r w:rsidR="003A0FCE">
        <w:t>south</w:t>
      </w:r>
      <w:r w:rsidRPr="005120DC">
        <w:t>east</w:t>
      </w:r>
      <w:r>
        <w:t>,</w:t>
      </w:r>
      <w:r w:rsidRPr="005120DC">
        <w:t xml:space="preserve"> </w:t>
      </w:r>
      <w:r w:rsidR="00EC7CF0">
        <w:t xml:space="preserve">mobile homes to the southwest, </w:t>
      </w:r>
      <w:r w:rsidRPr="005120DC">
        <w:t>and Manzanita Elementary School to the south. The single-family homes and school to the south are approximately 950 feet away</w:t>
      </w:r>
      <w:r w:rsidR="00EC7CF0">
        <w:t>, the mobile homes are approximately 700 feet to the southwest,</w:t>
      </w:r>
      <w:r>
        <w:t xml:space="preserve"> </w:t>
      </w:r>
      <w:r w:rsidRPr="005120DC">
        <w:t xml:space="preserve">and the single-family home to the </w:t>
      </w:r>
      <w:r>
        <w:t>north</w:t>
      </w:r>
      <w:r w:rsidRPr="005120DC">
        <w:t xml:space="preserve">east </w:t>
      </w:r>
      <w:r>
        <w:t>is</w:t>
      </w:r>
      <w:r w:rsidRPr="005120DC">
        <w:t xml:space="preserve"> approximately </w:t>
      </w:r>
      <w:r>
        <w:t>550</w:t>
      </w:r>
      <w:r w:rsidRPr="005120DC">
        <w:t xml:space="preserve"> feet away</w:t>
      </w:r>
      <w:r>
        <w:t>.</w:t>
      </w:r>
      <w:r w:rsidR="00821B95">
        <w:rPr>
          <w:rStyle w:val="FootnoteReference"/>
        </w:rPr>
        <w:footnoteReference w:id="24"/>
      </w:r>
      <w:r>
        <w:t xml:space="preserve"> Additional residences are further to the east. Manzanita Elementary School </w:t>
      </w:r>
      <w:r w:rsidR="003A0FCE">
        <w:t>is</w:t>
      </w:r>
      <w:r>
        <w:t xml:space="preserve"> in </w:t>
      </w:r>
      <w:r w:rsidR="00CE1815">
        <w:t xml:space="preserve">Vincent, </w:t>
      </w:r>
      <w:r>
        <w:t>a census-designated place in Los Angeles</w:t>
      </w:r>
      <w:r w:rsidR="000B5AE7" w:rsidRPr="000B5AE7">
        <w:t xml:space="preserve"> </w:t>
      </w:r>
      <w:r w:rsidR="000B5AE7">
        <w:t>County</w:t>
      </w:r>
      <w:r>
        <w:t xml:space="preserve">. The single-family homes to the south </w:t>
      </w:r>
      <w:r w:rsidR="00EC7CF0">
        <w:t xml:space="preserve">and mobile homes to the southwest </w:t>
      </w:r>
      <w:r>
        <w:t>are in West Covina</w:t>
      </w:r>
      <w:r w:rsidR="00CE1815">
        <w:t>, and t</w:t>
      </w:r>
      <w:r>
        <w:t xml:space="preserve">he single-family </w:t>
      </w:r>
      <w:r w:rsidR="00CE1815">
        <w:t xml:space="preserve">home </w:t>
      </w:r>
      <w:r>
        <w:t xml:space="preserve">to the northeast is in Irwindale. </w:t>
      </w:r>
    </w:p>
    <w:bookmarkEnd w:id="195"/>
    <w:p w14:paraId="133FA2ED" w14:textId="77777777" w:rsidR="000E40F4" w:rsidRDefault="000E40F4" w:rsidP="000E40F4">
      <w:pPr>
        <w:pStyle w:val="Heading5"/>
      </w:pPr>
      <w:r w:rsidRPr="007F1EF8">
        <w:t>Applicable Standards</w:t>
      </w:r>
    </w:p>
    <w:p w14:paraId="0B5A26B5" w14:textId="77777777" w:rsidR="000E40F4" w:rsidRDefault="000E40F4" w:rsidP="000E40F4">
      <w:pPr>
        <w:pStyle w:val="Heading6"/>
      </w:pPr>
      <w:r>
        <w:t xml:space="preserve">Local </w:t>
      </w:r>
      <w:r w:rsidRPr="007F1EF8">
        <w:t>Noise Regulations</w:t>
      </w:r>
    </w:p>
    <w:p w14:paraId="1C8BA19B" w14:textId="77777777" w:rsidR="000E40F4" w:rsidRPr="0076509B" w:rsidRDefault="000E40F4" w:rsidP="000E40F4">
      <w:pPr>
        <w:pStyle w:val="Heading7"/>
      </w:pPr>
      <w:r>
        <w:t>City of Irwindale</w:t>
      </w:r>
      <w:r w:rsidR="00CE1815">
        <w:t xml:space="preserve"> Municipal Code</w:t>
      </w:r>
    </w:p>
    <w:p w14:paraId="33C38576" w14:textId="77777777" w:rsidR="000E40F4" w:rsidRDefault="000E40F4" w:rsidP="000E40F4">
      <w:pPr>
        <w:pStyle w:val="Heading8"/>
      </w:pPr>
      <w:r>
        <w:t>Exterior Noise Standards</w:t>
      </w:r>
    </w:p>
    <w:p w14:paraId="6EE3C4A6" w14:textId="77777777" w:rsidR="000E40F4" w:rsidRDefault="000E40F4" w:rsidP="000E40F4">
      <w:pPr>
        <w:pStyle w:val="BodyText"/>
      </w:pPr>
      <w:r>
        <w:t>Section 9.28.030</w:t>
      </w:r>
      <w:r>
        <w:rPr>
          <w:i/>
          <w:iCs/>
        </w:rPr>
        <w:t xml:space="preserve"> </w:t>
      </w:r>
      <w:r w:rsidRPr="002355BB">
        <w:t>in Chapter 9.28</w:t>
      </w:r>
      <w:r>
        <w:rPr>
          <w:i/>
          <w:iCs/>
        </w:rPr>
        <w:t xml:space="preserve">, </w:t>
      </w:r>
      <w:r w:rsidRPr="00816F17">
        <w:t>Noise Regulation,</w:t>
      </w:r>
      <w:r>
        <w:rPr>
          <w:i/>
          <w:iCs/>
        </w:rPr>
        <w:t xml:space="preserve"> </w:t>
      </w:r>
      <w:r w:rsidRPr="0049330E">
        <w:t xml:space="preserve">establishes daytime (7:00 am to 10:00 pm) and nighttime (10:00 pm to 7:00 am) ambient base noise levels (exterior noise standards). </w:t>
      </w:r>
      <w:r>
        <w:t xml:space="preserve">The daytime noise standard for residential zones is </w:t>
      </w:r>
      <w:r w:rsidR="004359C1">
        <w:t xml:space="preserve">50 </w:t>
      </w:r>
      <w:r>
        <w:t xml:space="preserve">dBA and the nighttime standard is </w:t>
      </w:r>
      <w:r w:rsidR="004359C1">
        <w:t xml:space="preserve">45 </w:t>
      </w:r>
      <w:r>
        <w:t xml:space="preserve">dBA. </w:t>
      </w:r>
      <w:r w:rsidRPr="002355BB">
        <w:t>Any noise </w:t>
      </w:r>
      <w:r w:rsidR="00CE1815">
        <w:t>that</w:t>
      </w:r>
      <w:r w:rsidRPr="002355BB">
        <w:t xml:space="preserve"> exceeds the ambient or the ambient base level, whichever is greater, by more than </w:t>
      </w:r>
      <w:r>
        <w:t xml:space="preserve">10 </w:t>
      </w:r>
      <w:r w:rsidRPr="002355BB">
        <w:t>dB</w:t>
      </w:r>
      <w:r>
        <w:t>A</w:t>
      </w:r>
      <w:r w:rsidR="004359C1">
        <w:t>,</w:t>
      </w:r>
      <w:r w:rsidRPr="002355BB">
        <w:t xml:space="preserve"> when measured at any boundary line of the property from which the noise emanates</w:t>
      </w:r>
      <w:r w:rsidR="004359C1">
        <w:t>,</w:t>
      </w:r>
      <w:r w:rsidRPr="002355BB">
        <w:t xml:space="preserve"> </w:t>
      </w:r>
      <w:r>
        <w:t>is in</w:t>
      </w:r>
      <w:r w:rsidRPr="002355BB">
        <w:t xml:space="preserve"> violation.</w:t>
      </w:r>
      <w:r w:rsidR="00D17536">
        <w:rPr>
          <w:rStyle w:val="FootnoteReference"/>
        </w:rPr>
        <w:footnoteReference w:id="25"/>
      </w:r>
      <w:r w:rsidR="002171AD">
        <w:rPr>
          <w:vertAlign w:val="superscript"/>
        </w:rPr>
        <w:t>,</w:t>
      </w:r>
      <w:r w:rsidR="00D17536">
        <w:rPr>
          <w:rStyle w:val="FootnoteReference"/>
        </w:rPr>
        <w:footnoteReference w:id="26"/>
      </w:r>
    </w:p>
    <w:p w14:paraId="32FC0AC4" w14:textId="77777777" w:rsidR="000E40F4" w:rsidRDefault="000E40F4" w:rsidP="000E40F4">
      <w:pPr>
        <w:pStyle w:val="Heading8"/>
      </w:pPr>
      <w:r>
        <w:t>Mechanical Equipment</w:t>
      </w:r>
    </w:p>
    <w:p w14:paraId="0A35E1CA" w14:textId="77777777" w:rsidR="000E40F4" w:rsidRPr="004C3CF8" w:rsidRDefault="000E40F4" w:rsidP="000E40F4">
      <w:pPr>
        <w:pStyle w:val="BodyText"/>
      </w:pPr>
      <w:r>
        <w:t>S</w:t>
      </w:r>
      <w:r w:rsidRPr="004C3CF8">
        <w:t xml:space="preserve">ubsection 9.28.100, </w:t>
      </w:r>
      <w:r w:rsidRPr="00816F17">
        <w:t xml:space="preserve">Machinery, Equipment, </w:t>
      </w:r>
      <w:r w:rsidR="002F4543" w:rsidRPr="00816F17">
        <w:t>Fans</w:t>
      </w:r>
      <w:r w:rsidRPr="00816F17">
        <w:t>, and Air Conditioning</w:t>
      </w:r>
      <w:r w:rsidRPr="004C3CF8">
        <w:t xml:space="preserve">, </w:t>
      </w:r>
      <w:r>
        <w:t xml:space="preserve">states that </w:t>
      </w:r>
      <w:r w:rsidRPr="004C3CF8">
        <w:t xml:space="preserve">it is unlawful for any person to operate any machinery, equipment, pump, fan, air-conditioning apparatus, or similar mechanical device in any manner so as to create any noise </w:t>
      </w:r>
      <w:r w:rsidR="002F4543">
        <w:t>that</w:t>
      </w:r>
      <w:r w:rsidR="002F4543" w:rsidRPr="004C3CF8">
        <w:t xml:space="preserve"> </w:t>
      </w:r>
      <w:r w:rsidRPr="004C3CF8">
        <w:t xml:space="preserve">would cause the noise level at any boundary line of any property from which such noise emanates to exceed the ambient </w:t>
      </w:r>
      <w:r>
        <w:t>or ambient base</w:t>
      </w:r>
      <w:r w:rsidRPr="004C3CF8">
        <w:t xml:space="preserve"> level</w:t>
      </w:r>
      <w:r>
        <w:t xml:space="preserve"> of 50 dBA (daytime) and 45 dBA (nighttime)</w:t>
      </w:r>
      <w:r w:rsidRPr="004C3CF8">
        <w:t xml:space="preserve">, whichever is greater, by more than </w:t>
      </w:r>
      <w:r w:rsidR="002171AD">
        <w:t>10</w:t>
      </w:r>
      <w:r w:rsidR="002171AD" w:rsidRPr="004C3CF8">
        <w:t xml:space="preserve"> d</w:t>
      </w:r>
      <w:r w:rsidR="002171AD">
        <w:t>B</w:t>
      </w:r>
      <w:r w:rsidRPr="004C3CF8">
        <w:t>.</w:t>
      </w:r>
    </w:p>
    <w:p w14:paraId="5023BB07" w14:textId="77777777" w:rsidR="000E40F4" w:rsidRDefault="000E40F4" w:rsidP="000E40F4">
      <w:pPr>
        <w:pStyle w:val="Heading8"/>
      </w:pPr>
      <w:r>
        <w:t xml:space="preserve">Construction </w:t>
      </w:r>
    </w:p>
    <w:p w14:paraId="05CAE1AD" w14:textId="1E63FEBD" w:rsidR="000E40F4" w:rsidRDefault="000E40F4" w:rsidP="000E40F4">
      <w:pPr>
        <w:pStyle w:val="BodyText"/>
      </w:pPr>
      <w:r>
        <w:t xml:space="preserve">Section 9.28.110, </w:t>
      </w:r>
      <w:r w:rsidRPr="00816F17">
        <w:t>Construction of Building and Projects</w:t>
      </w:r>
      <w:r w:rsidRPr="009E030B">
        <w:t>, states that it is unlawful for any person within a residential zone or within a radius of five hundred feet therefrom, to operate equipment or perform any outside construction or repair work on buildings, structures, or projects or to operate any pile driver, steam shovel, pneumatic hammer, derrick, steam or electric hoist</w:t>
      </w:r>
      <w:r w:rsidR="002F4543">
        <w:t>,</w:t>
      </w:r>
      <w:r w:rsidRPr="009E030B">
        <w:t xml:space="preserve"> or other construction</w:t>
      </w:r>
      <w:r w:rsidR="002F4543">
        <w:t>-</w:t>
      </w:r>
      <w:r w:rsidRPr="009E030B">
        <w:t xml:space="preserve">type device on a development requiring a </w:t>
      </w:r>
      <w:r w:rsidR="003E7D69">
        <w:t>C</w:t>
      </w:r>
      <w:r w:rsidRPr="009E030B">
        <w:t xml:space="preserve">ity permit, in such a manner that noise is produced </w:t>
      </w:r>
      <w:r w:rsidR="002F4543">
        <w:t>that</w:t>
      </w:r>
      <w:r w:rsidR="002F4543" w:rsidRPr="009E030B">
        <w:t xml:space="preserve"> </w:t>
      </w:r>
      <w:r w:rsidRPr="009E030B">
        <w:t xml:space="preserve">would constitute a violation of Section </w:t>
      </w:r>
      <w:r w:rsidRPr="002355BB">
        <w:t xml:space="preserve">9.28.040, </w:t>
      </w:r>
      <w:r>
        <w:t>unless beforehand authorization has been duly obtained from the building inspector.</w:t>
      </w:r>
      <w:r w:rsidR="00D17536">
        <w:t xml:space="preserve"> Construction shall be limited to the hours of 7:00 am to 7:00 pm.</w:t>
      </w:r>
      <w:r>
        <w:t xml:space="preserve"> </w:t>
      </w:r>
      <w:r w:rsidRPr="002862ED">
        <w:t>There are no residential receptors in Irwindale that are within a 500-foot radius of the project site.</w:t>
      </w:r>
      <w:r>
        <w:t xml:space="preserve"> </w:t>
      </w:r>
    </w:p>
    <w:p w14:paraId="53404D10" w14:textId="77777777" w:rsidR="000E40F4" w:rsidRDefault="000E40F4" w:rsidP="000E40F4">
      <w:pPr>
        <w:pStyle w:val="Heading7"/>
      </w:pPr>
      <w:r>
        <w:t>City of West Covina</w:t>
      </w:r>
      <w:r w:rsidR="002F4543">
        <w:t xml:space="preserve"> Municipal Code</w:t>
      </w:r>
    </w:p>
    <w:p w14:paraId="64D946E3" w14:textId="77777777" w:rsidR="000E40F4" w:rsidRDefault="000E40F4" w:rsidP="000E40F4">
      <w:pPr>
        <w:pStyle w:val="Heading8"/>
      </w:pPr>
      <w:r>
        <w:t xml:space="preserve">Construction </w:t>
      </w:r>
    </w:p>
    <w:p w14:paraId="7E8157C4" w14:textId="77777777" w:rsidR="000E40F4" w:rsidRPr="0076509B" w:rsidRDefault="000E40F4" w:rsidP="000E40F4">
      <w:pPr>
        <w:pStyle w:val="BodyText"/>
      </w:pPr>
      <w:r>
        <w:t>Section 15-95</w:t>
      </w:r>
      <w:r w:rsidRPr="009E030B">
        <w:t xml:space="preserve">, </w:t>
      </w:r>
      <w:r w:rsidRPr="00816F17">
        <w:t>Construction and Building Projects</w:t>
      </w:r>
      <w:r w:rsidRPr="009E030B">
        <w:t xml:space="preserve">, states that it is unlawful for any person within a residential zone or within a </w:t>
      </w:r>
      <w:r w:rsidRPr="002862ED">
        <w:t>500</w:t>
      </w:r>
      <w:r w:rsidR="002F4543">
        <w:t>-</w:t>
      </w:r>
      <w:r w:rsidRPr="002862ED">
        <w:t>foot radius</w:t>
      </w:r>
      <w:r w:rsidRPr="009E030B">
        <w:t xml:space="preserve"> of a residential zone to operate equipment or perform any outside construction or repair work on buildings, structures, or</w:t>
      </w:r>
      <w:r>
        <w:t xml:space="preserve"> projects or to operate any pile driver, steam shovel, pneumatic hammer, derrick, steam or electric hoist, or other construction</w:t>
      </w:r>
      <w:r w:rsidR="002F4543">
        <w:t>-</w:t>
      </w:r>
      <w:r>
        <w:t xml:space="preserve">type device in such manner as to create any noise </w:t>
      </w:r>
      <w:r w:rsidR="002F4543">
        <w:t xml:space="preserve">that </w:t>
      </w:r>
      <w:r>
        <w:t xml:space="preserve">causes the noise level at the property line to exceed the ambient by more than 5 decibels between the hours of 8:00 pm to 7:00 am. </w:t>
      </w:r>
      <w:r w:rsidR="00A02DDA" w:rsidRPr="002862ED">
        <w:t xml:space="preserve">There are no residential receptors in </w:t>
      </w:r>
      <w:r w:rsidR="002171AD">
        <w:t>West Covina</w:t>
      </w:r>
      <w:r w:rsidR="002171AD" w:rsidRPr="002862ED">
        <w:t xml:space="preserve"> </w:t>
      </w:r>
      <w:r w:rsidR="00A02DDA" w:rsidRPr="002862ED">
        <w:t>within a 500-foot radius of the project site.</w:t>
      </w:r>
    </w:p>
    <w:p w14:paraId="4310EA39" w14:textId="77777777" w:rsidR="000E40F4" w:rsidRPr="009E030B" w:rsidRDefault="000E40F4" w:rsidP="000E40F4">
      <w:pPr>
        <w:pStyle w:val="Heading7"/>
      </w:pPr>
      <w:r w:rsidRPr="009E030B">
        <w:t xml:space="preserve">County of Los Angeles </w:t>
      </w:r>
      <w:r w:rsidR="004359C1">
        <w:t>Code of Ordinances</w:t>
      </w:r>
    </w:p>
    <w:p w14:paraId="7AF65576" w14:textId="77777777" w:rsidR="000E40F4" w:rsidRDefault="000E40F4" w:rsidP="00816F17">
      <w:pPr>
        <w:pStyle w:val="Heading8"/>
        <w:keepNext/>
      </w:pPr>
      <w:r>
        <w:t>Exterior Noise Standards</w:t>
      </w:r>
    </w:p>
    <w:p w14:paraId="57397804" w14:textId="1110C5F9" w:rsidR="000E40F4" w:rsidRPr="00BB7329" w:rsidRDefault="000E40F4" w:rsidP="000E40F4">
      <w:pPr>
        <w:pStyle w:val="BodyText"/>
      </w:pPr>
      <w:r>
        <w:t xml:space="preserve">Neither the City of West Covina nor Vincent </w:t>
      </w:r>
      <w:r w:rsidR="003E7D69">
        <w:t xml:space="preserve">(unincorporated Los Angeles County) </w:t>
      </w:r>
      <w:r>
        <w:t>have exterior noise standards. Therefore, t</w:t>
      </w:r>
      <w:r w:rsidRPr="00693454">
        <w:t>he County</w:t>
      </w:r>
      <w:r>
        <w:t>’s exterior noise standards are applied to receptors in those areas</w:t>
      </w:r>
      <w:r w:rsidRPr="00BB7329">
        <w:t xml:space="preserve">, as summarized in Table </w:t>
      </w:r>
      <w:r w:rsidR="00345BC8" w:rsidRPr="00BB7329">
        <w:t>1</w:t>
      </w:r>
      <w:r w:rsidR="00345BC8">
        <w:t>8</w:t>
      </w:r>
      <w:r w:rsidRPr="00BB7329">
        <w:t xml:space="preserve">. </w:t>
      </w:r>
    </w:p>
    <w:tbl>
      <w:tblPr>
        <w:tblW w:w="9360" w:type="dxa"/>
        <w:jc w:val="center"/>
        <w:tblBorders>
          <w:top w:val="single" w:sz="4" w:space="0" w:color="auto"/>
          <w:insideH w:val="single" w:sz="6" w:space="0" w:color="auto"/>
          <w:insideV w:val="single" w:sz="6" w:space="0" w:color="auto"/>
        </w:tblBorders>
        <w:tblCellMar>
          <w:left w:w="115" w:type="dxa"/>
          <w:right w:w="115" w:type="dxa"/>
        </w:tblCellMar>
        <w:tblLook w:val="01E0" w:firstRow="1" w:lastRow="1" w:firstColumn="1" w:lastColumn="1" w:noHBand="0" w:noVBand="0"/>
      </w:tblPr>
      <w:tblGrid>
        <w:gridCol w:w="2198"/>
        <w:gridCol w:w="1937"/>
        <w:gridCol w:w="1118"/>
        <w:gridCol w:w="950"/>
        <w:gridCol w:w="994"/>
        <w:gridCol w:w="994"/>
        <w:gridCol w:w="1169"/>
      </w:tblGrid>
      <w:tr w:rsidR="000E40F4" w:rsidRPr="00596C4F" w14:paraId="628CEDD8" w14:textId="77777777" w:rsidTr="00AD6FE2">
        <w:trPr>
          <w:trHeight w:val="132"/>
          <w:jc w:val="center"/>
        </w:trPr>
        <w:tc>
          <w:tcPr>
            <w:tcW w:w="0" w:type="auto"/>
            <w:gridSpan w:val="7"/>
            <w:tcBorders>
              <w:top w:val="nil"/>
              <w:left w:val="nil"/>
              <w:bottom w:val="single" w:sz="12" w:space="0" w:color="auto"/>
            </w:tcBorders>
            <w:vAlign w:val="bottom"/>
          </w:tcPr>
          <w:p w14:paraId="52BE1DE0" w14:textId="641C4353" w:rsidR="000E40F4" w:rsidRPr="00596C4F" w:rsidRDefault="000E40F4" w:rsidP="00235F31">
            <w:pPr>
              <w:pStyle w:val="TblTitles"/>
              <w:rPr>
                <w:sz w:val="24"/>
              </w:rPr>
            </w:pPr>
            <w:bookmarkStart w:id="196" w:name="_Toc90882264"/>
            <w:r w:rsidRPr="00BB7329">
              <w:t>Table </w:t>
            </w:r>
            <w:r w:rsidR="00345BC8" w:rsidRPr="00BB7329">
              <w:t>1</w:t>
            </w:r>
            <w:r w:rsidR="00345BC8">
              <w:t>8</w:t>
            </w:r>
            <w:r w:rsidRPr="00BB7329">
              <w:tab/>
              <w:t>County of Los Angeles Residential Exterior Noise Standards</w:t>
            </w:r>
            <w:bookmarkEnd w:id="196"/>
            <w:r>
              <w:t xml:space="preserve"> </w:t>
            </w:r>
          </w:p>
        </w:tc>
      </w:tr>
      <w:tr w:rsidR="000E40F4" w:rsidRPr="00596C4F" w14:paraId="62A24E4F" w14:textId="77777777" w:rsidTr="00AD6FE2">
        <w:trPr>
          <w:trHeight w:val="159"/>
          <w:jc w:val="center"/>
        </w:trPr>
        <w:tc>
          <w:tcPr>
            <w:tcW w:w="1979" w:type="dxa"/>
            <w:vMerge w:val="restart"/>
            <w:tcBorders>
              <w:top w:val="single" w:sz="12" w:space="0" w:color="auto"/>
              <w:right w:val="single" w:sz="4" w:space="0" w:color="auto"/>
            </w:tcBorders>
            <w:shd w:val="clear" w:color="auto" w:fill="auto"/>
            <w:vAlign w:val="center"/>
          </w:tcPr>
          <w:p w14:paraId="538D5EA5" w14:textId="77777777" w:rsidR="000E40F4" w:rsidRPr="00596C4F" w:rsidRDefault="000E40F4" w:rsidP="00FD0109">
            <w:pPr>
              <w:keepNext/>
              <w:keepLines/>
              <w:jc w:val="center"/>
              <w:rPr>
                <w:rFonts w:ascii="Arial Narrow" w:hAnsi="Arial Narrow"/>
                <w:b/>
                <w:kern w:val="20"/>
                <w:sz w:val="16"/>
                <w:szCs w:val="20"/>
              </w:rPr>
            </w:pPr>
            <w:r>
              <w:rPr>
                <w:rFonts w:ascii="Arial Narrow" w:hAnsi="Arial Narrow"/>
                <w:b/>
                <w:kern w:val="20"/>
                <w:sz w:val="16"/>
                <w:szCs w:val="20"/>
              </w:rPr>
              <w:t>Zone</w:t>
            </w:r>
          </w:p>
        </w:tc>
        <w:tc>
          <w:tcPr>
            <w:tcW w:w="1823" w:type="dxa"/>
            <w:vMerge w:val="restart"/>
            <w:tcBorders>
              <w:top w:val="single" w:sz="12" w:space="0" w:color="auto"/>
              <w:right w:val="single" w:sz="12" w:space="0" w:color="auto"/>
            </w:tcBorders>
            <w:vAlign w:val="center"/>
          </w:tcPr>
          <w:p w14:paraId="7174BE59" w14:textId="77777777" w:rsidR="000E40F4" w:rsidRPr="00596C4F" w:rsidRDefault="000E40F4" w:rsidP="00FD0109">
            <w:pPr>
              <w:keepNext/>
              <w:keepLines/>
              <w:jc w:val="center"/>
              <w:rPr>
                <w:rFonts w:ascii="Arial Narrow" w:hAnsi="Arial Narrow"/>
                <w:b/>
                <w:kern w:val="20"/>
                <w:sz w:val="16"/>
                <w:szCs w:val="20"/>
              </w:rPr>
            </w:pPr>
            <w:r>
              <w:rPr>
                <w:rFonts w:ascii="Arial Narrow" w:hAnsi="Arial Narrow"/>
                <w:b/>
                <w:kern w:val="20"/>
                <w:sz w:val="16"/>
                <w:szCs w:val="20"/>
              </w:rPr>
              <w:t>Time Period</w:t>
            </w:r>
          </w:p>
        </w:tc>
        <w:tc>
          <w:tcPr>
            <w:tcW w:w="4847" w:type="dxa"/>
            <w:gridSpan w:val="5"/>
            <w:tcBorders>
              <w:top w:val="single" w:sz="12" w:space="0" w:color="auto"/>
              <w:left w:val="single" w:sz="12" w:space="0" w:color="auto"/>
              <w:bottom w:val="single" w:sz="6" w:space="0" w:color="auto"/>
            </w:tcBorders>
          </w:tcPr>
          <w:p w14:paraId="26B75771" w14:textId="77777777" w:rsidR="000E40F4" w:rsidRPr="00575A42" w:rsidRDefault="000E40F4" w:rsidP="00FD0109">
            <w:pPr>
              <w:keepNext/>
              <w:keepLines/>
              <w:jc w:val="center"/>
              <w:rPr>
                <w:rFonts w:ascii="Arial Narrow" w:hAnsi="Arial Narrow"/>
                <w:b/>
                <w:bCs/>
                <w:kern w:val="20"/>
                <w:sz w:val="16"/>
                <w:szCs w:val="16"/>
              </w:rPr>
            </w:pPr>
            <w:r w:rsidRPr="00684278">
              <w:rPr>
                <w:rFonts w:ascii="Arial Narrow" w:hAnsi="Arial Narrow"/>
                <w:b/>
                <w:kern w:val="20"/>
                <w:sz w:val="16"/>
                <w:szCs w:val="20"/>
              </w:rPr>
              <w:t>Exterior Noise Level, dBA</w:t>
            </w:r>
            <w:r w:rsidRPr="00684278">
              <w:rPr>
                <w:rFonts w:ascii="Arial Narrow" w:hAnsi="Arial Narrow"/>
                <w:b/>
                <w:kern w:val="20"/>
                <w:sz w:val="16"/>
                <w:szCs w:val="20"/>
                <w:vertAlign w:val="superscript"/>
              </w:rPr>
              <w:t>1,2</w:t>
            </w:r>
          </w:p>
        </w:tc>
      </w:tr>
      <w:tr w:rsidR="00E4662A" w:rsidRPr="00596C4F" w14:paraId="6B81C13E" w14:textId="77777777" w:rsidTr="00AD6FE2">
        <w:trPr>
          <w:trHeight w:val="159"/>
          <w:jc w:val="center"/>
        </w:trPr>
        <w:tc>
          <w:tcPr>
            <w:tcW w:w="1979" w:type="dxa"/>
            <w:vMerge/>
            <w:tcBorders>
              <w:right w:val="single" w:sz="4" w:space="0" w:color="auto"/>
            </w:tcBorders>
            <w:shd w:val="clear" w:color="auto" w:fill="auto"/>
            <w:vAlign w:val="center"/>
          </w:tcPr>
          <w:p w14:paraId="07A318C0" w14:textId="77777777" w:rsidR="000E40F4" w:rsidRDefault="000E40F4" w:rsidP="00FD0109">
            <w:pPr>
              <w:keepNext/>
              <w:keepLines/>
              <w:jc w:val="center"/>
              <w:rPr>
                <w:rFonts w:ascii="Arial Narrow" w:hAnsi="Arial Narrow"/>
                <w:b/>
                <w:kern w:val="20"/>
                <w:sz w:val="16"/>
                <w:szCs w:val="20"/>
              </w:rPr>
            </w:pPr>
          </w:p>
        </w:tc>
        <w:tc>
          <w:tcPr>
            <w:tcW w:w="1823" w:type="dxa"/>
            <w:vMerge/>
            <w:tcBorders>
              <w:right w:val="single" w:sz="12" w:space="0" w:color="auto"/>
            </w:tcBorders>
            <w:vAlign w:val="center"/>
          </w:tcPr>
          <w:p w14:paraId="16F92E62" w14:textId="77777777" w:rsidR="000E40F4" w:rsidRDefault="000E40F4" w:rsidP="00FD0109">
            <w:pPr>
              <w:keepNext/>
              <w:keepLines/>
              <w:jc w:val="center"/>
              <w:rPr>
                <w:rFonts w:ascii="Arial Narrow" w:hAnsi="Arial Narrow"/>
                <w:b/>
                <w:kern w:val="20"/>
                <w:sz w:val="16"/>
                <w:szCs w:val="20"/>
              </w:rPr>
            </w:pPr>
          </w:p>
        </w:tc>
        <w:tc>
          <w:tcPr>
            <w:tcW w:w="1071" w:type="dxa"/>
            <w:tcBorders>
              <w:top w:val="single" w:sz="6" w:space="0" w:color="auto"/>
              <w:left w:val="single" w:sz="12" w:space="0" w:color="auto"/>
              <w:bottom w:val="single" w:sz="12" w:space="0" w:color="auto"/>
            </w:tcBorders>
          </w:tcPr>
          <w:p w14:paraId="707514A7" w14:textId="77777777" w:rsidR="000E40F4" w:rsidRPr="00575A42" w:rsidRDefault="000E40F4" w:rsidP="00FD0109">
            <w:pPr>
              <w:spacing w:before="20" w:after="20"/>
              <w:jc w:val="center"/>
              <w:rPr>
                <w:rFonts w:ascii="Arial Narrow" w:hAnsi="Arial Narrow"/>
                <w:kern w:val="20"/>
                <w:sz w:val="18"/>
                <w:szCs w:val="20"/>
              </w:rPr>
            </w:pPr>
            <w:r w:rsidRPr="00575A42">
              <w:rPr>
                <w:rFonts w:ascii="Arial Narrow" w:hAnsi="Arial Narrow"/>
                <w:kern w:val="20"/>
                <w:sz w:val="18"/>
                <w:szCs w:val="20"/>
              </w:rPr>
              <w:t>L</w:t>
            </w:r>
            <w:r w:rsidRPr="00575A42">
              <w:rPr>
                <w:rFonts w:ascii="Arial Narrow" w:hAnsi="Arial Narrow"/>
                <w:kern w:val="20"/>
                <w:sz w:val="18"/>
                <w:szCs w:val="20"/>
                <w:vertAlign w:val="subscript"/>
              </w:rPr>
              <w:t>50</w:t>
            </w:r>
          </w:p>
        </w:tc>
        <w:tc>
          <w:tcPr>
            <w:tcW w:w="848" w:type="dxa"/>
            <w:tcBorders>
              <w:top w:val="single" w:sz="6" w:space="0" w:color="auto"/>
              <w:bottom w:val="single" w:sz="12" w:space="0" w:color="auto"/>
            </w:tcBorders>
          </w:tcPr>
          <w:p w14:paraId="56A64D91" w14:textId="77777777" w:rsidR="000E40F4" w:rsidRPr="00575A42" w:rsidRDefault="000E40F4" w:rsidP="00FD0109">
            <w:pPr>
              <w:spacing w:before="20" w:after="20"/>
              <w:jc w:val="center"/>
              <w:rPr>
                <w:rFonts w:ascii="Arial Narrow" w:hAnsi="Arial Narrow"/>
                <w:kern w:val="20"/>
                <w:sz w:val="18"/>
                <w:szCs w:val="20"/>
              </w:rPr>
            </w:pPr>
            <w:r w:rsidRPr="00575A42">
              <w:rPr>
                <w:rFonts w:ascii="Arial Narrow" w:hAnsi="Arial Narrow"/>
                <w:kern w:val="20"/>
                <w:sz w:val="18"/>
                <w:szCs w:val="20"/>
              </w:rPr>
              <w:t>L</w:t>
            </w:r>
            <w:r w:rsidRPr="00575A42">
              <w:rPr>
                <w:rFonts w:ascii="Arial Narrow" w:hAnsi="Arial Narrow"/>
                <w:kern w:val="20"/>
                <w:sz w:val="18"/>
                <w:szCs w:val="20"/>
                <w:vertAlign w:val="subscript"/>
              </w:rPr>
              <w:t>25</w:t>
            </w:r>
          </w:p>
        </w:tc>
        <w:tc>
          <w:tcPr>
            <w:tcW w:w="932" w:type="dxa"/>
            <w:tcBorders>
              <w:top w:val="single" w:sz="6" w:space="0" w:color="auto"/>
              <w:bottom w:val="single" w:sz="12" w:space="0" w:color="auto"/>
            </w:tcBorders>
          </w:tcPr>
          <w:p w14:paraId="44FA9A1A" w14:textId="77777777" w:rsidR="000E40F4" w:rsidRPr="00575A42" w:rsidRDefault="000E40F4" w:rsidP="00FD0109">
            <w:pPr>
              <w:spacing w:before="20" w:after="20"/>
              <w:jc w:val="center"/>
              <w:rPr>
                <w:rFonts w:ascii="Arial Narrow" w:hAnsi="Arial Narrow"/>
                <w:kern w:val="20"/>
                <w:sz w:val="18"/>
                <w:szCs w:val="20"/>
              </w:rPr>
            </w:pPr>
            <w:r w:rsidRPr="00575A42">
              <w:rPr>
                <w:rFonts w:ascii="Arial Narrow" w:hAnsi="Arial Narrow"/>
                <w:kern w:val="20"/>
                <w:sz w:val="18"/>
                <w:szCs w:val="20"/>
              </w:rPr>
              <w:t>L</w:t>
            </w:r>
            <w:r w:rsidRPr="00575A42">
              <w:rPr>
                <w:rFonts w:ascii="Arial Narrow" w:hAnsi="Arial Narrow"/>
                <w:kern w:val="20"/>
                <w:sz w:val="18"/>
                <w:szCs w:val="20"/>
                <w:vertAlign w:val="subscript"/>
              </w:rPr>
              <w:t>8</w:t>
            </w:r>
          </w:p>
        </w:tc>
        <w:tc>
          <w:tcPr>
            <w:tcW w:w="932" w:type="dxa"/>
            <w:tcBorders>
              <w:top w:val="single" w:sz="6" w:space="0" w:color="auto"/>
              <w:bottom w:val="single" w:sz="12" w:space="0" w:color="auto"/>
            </w:tcBorders>
          </w:tcPr>
          <w:p w14:paraId="5CF6BCE6" w14:textId="77777777" w:rsidR="000E40F4" w:rsidRPr="00575A42" w:rsidRDefault="000E40F4" w:rsidP="00FD0109">
            <w:pPr>
              <w:spacing w:before="20" w:after="20"/>
              <w:jc w:val="center"/>
              <w:rPr>
                <w:rFonts w:ascii="Arial Narrow" w:hAnsi="Arial Narrow"/>
                <w:kern w:val="20"/>
                <w:sz w:val="18"/>
                <w:szCs w:val="20"/>
              </w:rPr>
            </w:pPr>
            <w:r w:rsidRPr="00575A42">
              <w:rPr>
                <w:rFonts w:ascii="Arial Narrow" w:hAnsi="Arial Narrow"/>
                <w:kern w:val="20"/>
                <w:sz w:val="18"/>
                <w:szCs w:val="20"/>
              </w:rPr>
              <w:t>L</w:t>
            </w:r>
            <w:r w:rsidRPr="00575A42">
              <w:rPr>
                <w:rFonts w:ascii="Arial Narrow" w:hAnsi="Arial Narrow"/>
                <w:kern w:val="20"/>
                <w:sz w:val="18"/>
                <w:szCs w:val="20"/>
                <w:vertAlign w:val="subscript"/>
              </w:rPr>
              <w:t>2</w:t>
            </w:r>
          </w:p>
        </w:tc>
        <w:tc>
          <w:tcPr>
            <w:tcW w:w="1064" w:type="dxa"/>
            <w:tcBorders>
              <w:top w:val="single" w:sz="6" w:space="0" w:color="auto"/>
              <w:bottom w:val="single" w:sz="12" w:space="0" w:color="auto"/>
            </w:tcBorders>
          </w:tcPr>
          <w:p w14:paraId="00B99B26" w14:textId="77777777" w:rsidR="000E40F4" w:rsidRPr="00575A42" w:rsidRDefault="000E40F4" w:rsidP="00FD0109">
            <w:pPr>
              <w:spacing w:before="20" w:after="20"/>
              <w:jc w:val="center"/>
              <w:rPr>
                <w:rFonts w:ascii="Arial Narrow" w:hAnsi="Arial Narrow"/>
                <w:kern w:val="20"/>
                <w:sz w:val="18"/>
                <w:szCs w:val="20"/>
              </w:rPr>
            </w:pPr>
            <w:r w:rsidRPr="00575A42">
              <w:rPr>
                <w:rFonts w:ascii="Arial Narrow" w:hAnsi="Arial Narrow"/>
                <w:kern w:val="20"/>
                <w:sz w:val="18"/>
                <w:szCs w:val="20"/>
              </w:rPr>
              <w:t>L</w:t>
            </w:r>
            <w:r w:rsidRPr="00575A42">
              <w:rPr>
                <w:rFonts w:ascii="Arial Narrow" w:hAnsi="Arial Narrow"/>
                <w:kern w:val="20"/>
                <w:sz w:val="18"/>
                <w:szCs w:val="20"/>
                <w:vertAlign w:val="subscript"/>
              </w:rPr>
              <w:t>max</w:t>
            </w:r>
          </w:p>
        </w:tc>
      </w:tr>
      <w:tr w:rsidR="00E4662A" w:rsidRPr="00596C4F" w14:paraId="2E6CF326" w14:textId="77777777" w:rsidTr="00235F31">
        <w:trPr>
          <w:trHeight w:val="302"/>
          <w:jc w:val="center"/>
        </w:trPr>
        <w:tc>
          <w:tcPr>
            <w:tcW w:w="1979" w:type="dxa"/>
            <w:tcBorders>
              <w:top w:val="single" w:sz="12" w:space="0" w:color="auto"/>
              <w:bottom w:val="single" w:sz="12" w:space="0" w:color="auto"/>
              <w:right w:val="single" w:sz="4" w:space="0" w:color="auto"/>
            </w:tcBorders>
            <w:shd w:val="clear" w:color="auto" w:fill="auto"/>
          </w:tcPr>
          <w:p w14:paraId="6BDF4974" w14:textId="77777777" w:rsidR="000E40F4" w:rsidRPr="00575A42" w:rsidRDefault="00E4662A" w:rsidP="00FD0109">
            <w:pPr>
              <w:spacing w:before="20" w:after="20"/>
              <w:jc w:val="center"/>
              <w:rPr>
                <w:rFonts w:ascii="Arial Narrow" w:hAnsi="Arial Narrow"/>
                <w:kern w:val="20"/>
                <w:sz w:val="18"/>
                <w:szCs w:val="20"/>
              </w:rPr>
            </w:pPr>
            <w:r>
              <w:rPr>
                <w:rFonts w:ascii="Arial Narrow" w:hAnsi="Arial Narrow"/>
                <w:kern w:val="20"/>
                <w:sz w:val="18"/>
                <w:szCs w:val="20"/>
              </w:rPr>
              <w:t xml:space="preserve">Noise Zone 1: Other </w:t>
            </w:r>
            <w:r w:rsidR="000E40F4" w:rsidRPr="00575A42">
              <w:rPr>
                <w:rFonts w:ascii="Arial Narrow" w:hAnsi="Arial Narrow"/>
                <w:kern w:val="20"/>
                <w:sz w:val="18"/>
                <w:szCs w:val="20"/>
              </w:rPr>
              <w:t>Noise-sensitive area</w:t>
            </w:r>
          </w:p>
        </w:tc>
        <w:tc>
          <w:tcPr>
            <w:tcW w:w="1823" w:type="dxa"/>
            <w:tcBorders>
              <w:top w:val="single" w:sz="12" w:space="0" w:color="auto"/>
              <w:bottom w:val="single" w:sz="12" w:space="0" w:color="auto"/>
              <w:right w:val="single" w:sz="12" w:space="0" w:color="auto"/>
            </w:tcBorders>
            <w:vAlign w:val="center"/>
          </w:tcPr>
          <w:p w14:paraId="7011DC1A" w14:textId="77777777" w:rsidR="000E40F4" w:rsidRPr="00596C4F" w:rsidRDefault="000E40F4" w:rsidP="00FD0109">
            <w:pPr>
              <w:spacing w:before="20" w:after="20"/>
              <w:jc w:val="center"/>
              <w:rPr>
                <w:rFonts w:ascii="Arial Narrow" w:hAnsi="Arial Narrow"/>
                <w:kern w:val="20"/>
                <w:sz w:val="18"/>
                <w:szCs w:val="20"/>
              </w:rPr>
            </w:pPr>
            <w:r w:rsidRPr="00575A42">
              <w:rPr>
                <w:rFonts w:ascii="Arial Narrow" w:hAnsi="Arial Narrow"/>
                <w:kern w:val="20"/>
                <w:sz w:val="18"/>
                <w:szCs w:val="20"/>
              </w:rPr>
              <w:t>Anytime</w:t>
            </w:r>
          </w:p>
        </w:tc>
        <w:tc>
          <w:tcPr>
            <w:tcW w:w="1071" w:type="dxa"/>
            <w:tcBorders>
              <w:top w:val="single" w:sz="12" w:space="0" w:color="auto"/>
              <w:left w:val="single" w:sz="12" w:space="0" w:color="auto"/>
              <w:bottom w:val="single" w:sz="12" w:space="0" w:color="auto"/>
            </w:tcBorders>
          </w:tcPr>
          <w:p w14:paraId="7835C01C" w14:textId="77777777" w:rsidR="000E40F4" w:rsidRPr="00596C4F" w:rsidRDefault="000E40F4" w:rsidP="00FD0109">
            <w:pPr>
              <w:spacing w:before="20" w:after="20"/>
              <w:jc w:val="center"/>
              <w:rPr>
                <w:rFonts w:ascii="Arial Narrow" w:hAnsi="Arial Narrow"/>
                <w:kern w:val="20"/>
                <w:sz w:val="18"/>
                <w:szCs w:val="20"/>
              </w:rPr>
            </w:pPr>
            <w:r w:rsidRPr="00575A42">
              <w:rPr>
                <w:rFonts w:ascii="Arial Narrow" w:hAnsi="Arial Narrow"/>
                <w:kern w:val="20"/>
                <w:sz w:val="18"/>
                <w:szCs w:val="20"/>
              </w:rPr>
              <w:t>45</w:t>
            </w:r>
          </w:p>
        </w:tc>
        <w:tc>
          <w:tcPr>
            <w:tcW w:w="848" w:type="dxa"/>
            <w:tcBorders>
              <w:top w:val="single" w:sz="12" w:space="0" w:color="auto"/>
              <w:bottom w:val="single" w:sz="12" w:space="0" w:color="auto"/>
            </w:tcBorders>
          </w:tcPr>
          <w:p w14:paraId="4117FD50" w14:textId="77777777" w:rsidR="000E40F4" w:rsidRPr="00596C4F" w:rsidRDefault="000E40F4" w:rsidP="00FD0109">
            <w:pPr>
              <w:spacing w:before="20" w:after="20"/>
              <w:jc w:val="center"/>
              <w:rPr>
                <w:rFonts w:ascii="Arial Narrow" w:hAnsi="Arial Narrow"/>
                <w:kern w:val="20"/>
                <w:sz w:val="18"/>
                <w:szCs w:val="20"/>
              </w:rPr>
            </w:pPr>
            <w:r w:rsidRPr="00575A42">
              <w:rPr>
                <w:rFonts w:ascii="Arial Narrow" w:hAnsi="Arial Narrow"/>
                <w:kern w:val="20"/>
                <w:sz w:val="18"/>
                <w:szCs w:val="20"/>
              </w:rPr>
              <w:t>50</w:t>
            </w:r>
          </w:p>
        </w:tc>
        <w:tc>
          <w:tcPr>
            <w:tcW w:w="932" w:type="dxa"/>
            <w:tcBorders>
              <w:top w:val="single" w:sz="12" w:space="0" w:color="auto"/>
              <w:bottom w:val="single" w:sz="12" w:space="0" w:color="auto"/>
            </w:tcBorders>
          </w:tcPr>
          <w:p w14:paraId="505DCBBD" w14:textId="77777777" w:rsidR="000E40F4" w:rsidRPr="00596C4F" w:rsidRDefault="000E40F4" w:rsidP="00FD0109">
            <w:pPr>
              <w:spacing w:before="20" w:after="20"/>
              <w:jc w:val="center"/>
              <w:rPr>
                <w:rFonts w:ascii="Arial Narrow" w:hAnsi="Arial Narrow"/>
                <w:kern w:val="20"/>
                <w:sz w:val="18"/>
                <w:szCs w:val="20"/>
              </w:rPr>
            </w:pPr>
            <w:r w:rsidRPr="00575A42">
              <w:rPr>
                <w:rFonts w:ascii="Arial Narrow" w:hAnsi="Arial Narrow"/>
                <w:kern w:val="20"/>
                <w:sz w:val="18"/>
                <w:szCs w:val="20"/>
              </w:rPr>
              <w:t>55</w:t>
            </w:r>
          </w:p>
        </w:tc>
        <w:tc>
          <w:tcPr>
            <w:tcW w:w="932" w:type="dxa"/>
            <w:tcBorders>
              <w:top w:val="single" w:sz="12" w:space="0" w:color="auto"/>
              <w:bottom w:val="single" w:sz="12" w:space="0" w:color="auto"/>
            </w:tcBorders>
          </w:tcPr>
          <w:p w14:paraId="395DFE28" w14:textId="77777777" w:rsidR="000E40F4" w:rsidRPr="00596C4F" w:rsidRDefault="000E40F4" w:rsidP="00FD0109">
            <w:pPr>
              <w:spacing w:before="20" w:after="20"/>
              <w:jc w:val="center"/>
              <w:rPr>
                <w:rFonts w:ascii="Arial Narrow" w:hAnsi="Arial Narrow"/>
                <w:kern w:val="20"/>
                <w:sz w:val="18"/>
                <w:szCs w:val="20"/>
              </w:rPr>
            </w:pPr>
            <w:r w:rsidRPr="00575A42">
              <w:rPr>
                <w:rFonts w:ascii="Arial Narrow" w:hAnsi="Arial Narrow"/>
                <w:kern w:val="20"/>
                <w:sz w:val="18"/>
                <w:szCs w:val="20"/>
              </w:rPr>
              <w:t>60</w:t>
            </w:r>
          </w:p>
        </w:tc>
        <w:tc>
          <w:tcPr>
            <w:tcW w:w="1064" w:type="dxa"/>
            <w:tcBorders>
              <w:top w:val="single" w:sz="12" w:space="0" w:color="auto"/>
              <w:bottom w:val="single" w:sz="12" w:space="0" w:color="auto"/>
            </w:tcBorders>
          </w:tcPr>
          <w:p w14:paraId="65EC1EF8" w14:textId="77777777" w:rsidR="000E40F4" w:rsidRPr="00596C4F" w:rsidRDefault="000E40F4" w:rsidP="00FD0109">
            <w:pPr>
              <w:spacing w:before="20" w:after="20"/>
              <w:jc w:val="center"/>
              <w:rPr>
                <w:rFonts w:ascii="Arial Narrow" w:hAnsi="Arial Narrow"/>
                <w:kern w:val="20"/>
                <w:sz w:val="18"/>
                <w:szCs w:val="20"/>
              </w:rPr>
            </w:pPr>
            <w:r w:rsidRPr="00575A42">
              <w:rPr>
                <w:rFonts w:ascii="Arial Narrow" w:hAnsi="Arial Narrow"/>
                <w:kern w:val="20"/>
                <w:sz w:val="18"/>
                <w:szCs w:val="20"/>
              </w:rPr>
              <w:t>65</w:t>
            </w:r>
          </w:p>
        </w:tc>
      </w:tr>
      <w:tr w:rsidR="00E4662A" w:rsidRPr="00596C4F" w14:paraId="063D9546" w14:textId="77777777" w:rsidTr="00235F31">
        <w:trPr>
          <w:trHeight w:val="302"/>
          <w:jc w:val="center"/>
        </w:trPr>
        <w:tc>
          <w:tcPr>
            <w:tcW w:w="1979" w:type="dxa"/>
            <w:vMerge w:val="restart"/>
            <w:tcBorders>
              <w:top w:val="single" w:sz="12" w:space="0" w:color="auto"/>
              <w:right w:val="single" w:sz="4" w:space="0" w:color="auto"/>
            </w:tcBorders>
            <w:shd w:val="clear" w:color="auto" w:fill="auto"/>
            <w:vAlign w:val="center"/>
          </w:tcPr>
          <w:p w14:paraId="24B8D797" w14:textId="77777777" w:rsidR="000E40F4" w:rsidRPr="00575A42" w:rsidRDefault="00E4662A" w:rsidP="00FD0109">
            <w:pPr>
              <w:spacing w:before="20" w:after="20"/>
              <w:jc w:val="center"/>
              <w:rPr>
                <w:rFonts w:ascii="Arial Narrow" w:hAnsi="Arial Narrow"/>
                <w:kern w:val="20"/>
                <w:sz w:val="18"/>
                <w:szCs w:val="20"/>
              </w:rPr>
            </w:pPr>
            <w:r>
              <w:rPr>
                <w:rFonts w:ascii="Arial Narrow" w:hAnsi="Arial Narrow"/>
                <w:kern w:val="20"/>
                <w:sz w:val="18"/>
                <w:szCs w:val="20"/>
              </w:rPr>
              <w:t xml:space="preserve">Noise Zone 2: </w:t>
            </w:r>
            <w:r w:rsidR="000E40F4" w:rsidRPr="00575A42">
              <w:rPr>
                <w:rFonts w:ascii="Arial Narrow" w:hAnsi="Arial Narrow"/>
                <w:kern w:val="20"/>
                <w:sz w:val="18"/>
                <w:szCs w:val="20"/>
              </w:rPr>
              <w:t>Residential properties</w:t>
            </w:r>
          </w:p>
        </w:tc>
        <w:tc>
          <w:tcPr>
            <w:tcW w:w="1823" w:type="dxa"/>
            <w:tcBorders>
              <w:top w:val="single" w:sz="12" w:space="0" w:color="auto"/>
              <w:bottom w:val="single" w:sz="8" w:space="0" w:color="auto"/>
              <w:right w:val="single" w:sz="12" w:space="0" w:color="auto"/>
            </w:tcBorders>
            <w:vAlign w:val="center"/>
          </w:tcPr>
          <w:p w14:paraId="62338D13" w14:textId="77777777" w:rsidR="000E40F4" w:rsidRPr="00596C4F" w:rsidRDefault="000E40F4" w:rsidP="00FD0109">
            <w:pPr>
              <w:spacing w:before="20" w:after="20"/>
              <w:jc w:val="center"/>
              <w:rPr>
                <w:rFonts w:ascii="Arial Narrow" w:hAnsi="Arial Narrow"/>
                <w:kern w:val="20"/>
                <w:sz w:val="18"/>
                <w:szCs w:val="20"/>
              </w:rPr>
            </w:pPr>
            <w:r w:rsidRPr="00575A42">
              <w:rPr>
                <w:rFonts w:ascii="Arial Narrow" w:hAnsi="Arial Narrow"/>
                <w:kern w:val="20"/>
                <w:sz w:val="18"/>
                <w:szCs w:val="20"/>
              </w:rPr>
              <w:t>10</w:t>
            </w:r>
            <w:r>
              <w:rPr>
                <w:rFonts w:ascii="Arial Narrow" w:hAnsi="Arial Narrow"/>
                <w:kern w:val="20"/>
                <w:sz w:val="18"/>
                <w:szCs w:val="20"/>
              </w:rPr>
              <w:t>:00 pm</w:t>
            </w:r>
            <w:r w:rsidR="002F4543">
              <w:rPr>
                <w:rFonts w:ascii="Arial Narrow" w:hAnsi="Arial Narrow"/>
                <w:kern w:val="20"/>
                <w:sz w:val="18"/>
                <w:szCs w:val="20"/>
              </w:rPr>
              <w:t>–</w:t>
            </w:r>
            <w:r w:rsidRPr="00575A42">
              <w:rPr>
                <w:rFonts w:ascii="Arial Narrow" w:hAnsi="Arial Narrow"/>
                <w:kern w:val="20"/>
                <w:sz w:val="18"/>
                <w:szCs w:val="20"/>
              </w:rPr>
              <w:t>7</w:t>
            </w:r>
            <w:r>
              <w:rPr>
                <w:rFonts w:ascii="Arial Narrow" w:hAnsi="Arial Narrow"/>
                <w:kern w:val="20"/>
                <w:sz w:val="18"/>
                <w:szCs w:val="20"/>
              </w:rPr>
              <w:t>:00 am</w:t>
            </w:r>
          </w:p>
        </w:tc>
        <w:tc>
          <w:tcPr>
            <w:tcW w:w="1071" w:type="dxa"/>
            <w:tcBorders>
              <w:top w:val="single" w:sz="12" w:space="0" w:color="auto"/>
              <w:left w:val="single" w:sz="12" w:space="0" w:color="auto"/>
              <w:bottom w:val="single" w:sz="8" w:space="0" w:color="auto"/>
            </w:tcBorders>
          </w:tcPr>
          <w:p w14:paraId="6EB80E35" w14:textId="77777777" w:rsidR="000E40F4" w:rsidRPr="00596C4F" w:rsidRDefault="000E40F4" w:rsidP="00FD0109">
            <w:pPr>
              <w:spacing w:before="20" w:after="20"/>
              <w:jc w:val="center"/>
              <w:rPr>
                <w:rFonts w:ascii="Arial Narrow" w:hAnsi="Arial Narrow"/>
                <w:kern w:val="20"/>
                <w:sz w:val="18"/>
                <w:szCs w:val="20"/>
              </w:rPr>
            </w:pPr>
            <w:r w:rsidRPr="00575A42">
              <w:rPr>
                <w:rFonts w:ascii="Arial Narrow" w:hAnsi="Arial Narrow"/>
                <w:kern w:val="20"/>
                <w:sz w:val="18"/>
                <w:szCs w:val="20"/>
              </w:rPr>
              <w:t>45</w:t>
            </w:r>
          </w:p>
        </w:tc>
        <w:tc>
          <w:tcPr>
            <w:tcW w:w="848" w:type="dxa"/>
            <w:tcBorders>
              <w:top w:val="single" w:sz="12" w:space="0" w:color="auto"/>
              <w:bottom w:val="single" w:sz="8" w:space="0" w:color="auto"/>
            </w:tcBorders>
          </w:tcPr>
          <w:p w14:paraId="2605EE35" w14:textId="77777777" w:rsidR="000E40F4" w:rsidRPr="00596C4F" w:rsidRDefault="000E40F4" w:rsidP="00FD0109">
            <w:pPr>
              <w:spacing w:before="20" w:after="20"/>
              <w:jc w:val="center"/>
              <w:rPr>
                <w:rFonts w:ascii="Arial Narrow" w:hAnsi="Arial Narrow"/>
                <w:kern w:val="20"/>
                <w:sz w:val="18"/>
                <w:szCs w:val="20"/>
              </w:rPr>
            </w:pPr>
            <w:r w:rsidRPr="00575A42">
              <w:rPr>
                <w:rFonts w:ascii="Arial Narrow" w:hAnsi="Arial Narrow"/>
                <w:kern w:val="20"/>
                <w:sz w:val="18"/>
                <w:szCs w:val="20"/>
              </w:rPr>
              <w:t>50</w:t>
            </w:r>
          </w:p>
        </w:tc>
        <w:tc>
          <w:tcPr>
            <w:tcW w:w="932" w:type="dxa"/>
            <w:tcBorders>
              <w:top w:val="single" w:sz="12" w:space="0" w:color="auto"/>
              <w:bottom w:val="single" w:sz="8" w:space="0" w:color="auto"/>
            </w:tcBorders>
          </w:tcPr>
          <w:p w14:paraId="4C9030E8" w14:textId="77777777" w:rsidR="000E40F4" w:rsidRPr="00596C4F" w:rsidRDefault="000E40F4" w:rsidP="00FD0109">
            <w:pPr>
              <w:spacing w:before="20" w:after="20"/>
              <w:jc w:val="center"/>
              <w:rPr>
                <w:rFonts w:ascii="Arial Narrow" w:hAnsi="Arial Narrow"/>
                <w:kern w:val="20"/>
                <w:sz w:val="18"/>
                <w:szCs w:val="20"/>
              </w:rPr>
            </w:pPr>
            <w:r w:rsidRPr="00575A42">
              <w:rPr>
                <w:rFonts w:ascii="Arial Narrow" w:hAnsi="Arial Narrow"/>
                <w:kern w:val="20"/>
                <w:sz w:val="18"/>
                <w:szCs w:val="20"/>
              </w:rPr>
              <w:t>55</w:t>
            </w:r>
          </w:p>
        </w:tc>
        <w:tc>
          <w:tcPr>
            <w:tcW w:w="932" w:type="dxa"/>
            <w:tcBorders>
              <w:top w:val="single" w:sz="12" w:space="0" w:color="auto"/>
              <w:bottom w:val="single" w:sz="8" w:space="0" w:color="auto"/>
            </w:tcBorders>
          </w:tcPr>
          <w:p w14:paraId="52B12353" w14:textId="77777777" w:rsidR="000E40F4" w:rsidRPr="00596C4F" w:rsidRDefault="000E40F4" w:rsidP="00FD0109">
            <w:pPr>
              <w:spacing w:before="20" w:after="20"/>
              <w:jc w:val="center"/>
              <w:rPr>
                <w:rFonts w:ascii="Arial Narrow" w:hAnsi="Arial Narrow"/>
                <w:kern w:val="20"/>
                <w:sz w:val="18"/>
                <w:szCs w:val="20"/>
              </w:rPr>
            </w:pPr>
            <w:r w:rsidRPr="00575A42">
              <w:rPr>
                <w:rFonts w:ascii="Arial Narrow" w:hAnsi="Arial Narrow"/>
                <w:kern w:val="20"/>
                <w:sz w:val="18"/>
                <w:szCs w:val="20"/>
              </w:rPr>
              <w:t>60</w:t>
            </w:r>
          </w:p>
        </w:tc>
        <w:tc>
          <w:tcPr>
            <w:tcW w:w="1064" w:type="dxa"/>
            <w:tcBorders>
              <w:top w:val="single" w:sz="12" w:space="0" w:color="auto"/>
              <w:bottom w:val="single" w:sz="8" w:space="0" w:color="auto"/>
            </w:tcBorders>
          </w:tcPr>
          <w:p w14:paraId="70A50855" w14:textId="77777777" w:rsidR="000E40F4" w:rsidRPr="00596C4F" w:rsidRDefault="000E40F4" w:rsidP="00FD0109">
            <w:pPr>
              <w:spacing w:before="20" w:after="20"/>
              <w:jc w:val="center"/>
              <w:rPr>
                <w:rFonts w:ascii="Arial Narrow" w:hAnsi="Arial Narrow"/>
                <w:kern w:val="20"/>
                <w:sz w:val="18"/>
                <w:szCs w:val="20"/>
              </w:rPr>
            </w:pPr>
            <w:r w:rsidRPr="00575A42">
              <w:rPr>
                <w:rFonts w:ascii="Arial Narrow" w:hAnsi="Arial Narrow"/>
                <w:kern w:val="20"/>
                <w:sz w:val="18"/>
                <w:szCs w:val="20"/>
              </w:rPr>
              <w:t>65</w:t>
            </w:r>
          </w:p>
        </w:tc>
      </w:tr>
      <w:tr w:rsidR="00E4662A" w:rsidRPr="00596C4F" w14:paraId="42C20EDD" w14:textId="77777777" w:rsidTr="00AD6FE2">
        <w:trPr>
          <w:trHeight w:val="302"/>
          <w:jc w:val="center"/>
        </w:trPr>
        <w:tc>
          <w:tcPr>
            <w:tcW w:w="1979" w:type="dxa"/>
            <w:vMerge/>
            <w:tcBorders>
              <w:bottom w:val="single" w:sz="8" w:space="0" w:color="auto"/>
              <w:right w:val="single" w:sz="4" w:space="0" w:color="auto"/>
            </w:tcBorders>
            <w:shd w:val="clear" w:color="auto" w:fill="auto"/>
          </w:tcPr>
          <w:p w14:paraId="03946398" w14:textId="77777777" w:rsidR="000E40F4" w:rsidRPr="00575A42" w:rsidRDefault="000E40F4" w:rsidP="00FD0109">
            <w:pPr>
              <w:spacing w:before="20" w:after="20"/>
              <w:jc w:val="center"/>
              <w:rPr>
                <w:rFonts w:ascii="Arial Narrow" w:hAnsi="Arial Narrow"/>
                <w:kern w:val="20"/>
                <w:sz w:val="18"/>
                <w:szCs w:val="20"/>
              </w:rPr>
            </w:pPr>
          </w:p>
        </w:tc>
        <w:tc>
          <w:tcPr>
            <w:tcW w:w="1823" w:type="dxa"/>
            <w:tcBorders>
              <w:top w:val="single" w:sz="8" w:space="0" w:color="auto"/>
              <w:bottom w:val="single" w:sz="8" w:space="0" w:color="auto"/>
              <w:right w:val="single" w:sz="12" w:space="0" w:color="auto"/>
            </w:tcBorders>
            <w:vAlign w:val="center"/>
          </w:tcPr>
          <w:p w14:paraId="6EBD646E" w14:textId="77777777" w:rsidR="000E40F4" w:rsidRPr="00596C4F" w:rsidRDefault="000E40F4" w:rsidP="00FD0109">
            <w:pPr>
              <w:spacing w:before="20" w:after="20"/>
              <w:jc w:val="center"/>
              <w:rPr>
                <w:rFonts w:ascii="Arial Narrow" w:hAnsi="Arial Narrow"/>
                <w:kern w:val="20"/>
                <w:sz w:val="18"/>
                <w:szCs w:val="20"/>
              </w:rPr>
            </w:pPr>
            <w:r w:rsidRPr="00575A42">
              <w:rPr>
                <w:rFonts w:ascii="Arial Narrow" w:hAnsi="Arial Narrow"/>
                <w:kern w:val="20"/>
                <w:sz w:val="18"/>
                <w:szCs w:val="20"/>
              </w:rPr>
              <w:t>7</w:t>
            </w:r>
            <w:r>
              <w:rPr>
                <w:rFonts w:ascii="Arial Narrow" w:hAnsi="Arial Narrow"/>
                <w:kern w:val="20"/>
                <w:sz w:val="18"/>
                <w:szCs w:val="20"/>
              </w:rPr>
              <w:t>:00 am</w:t>
            </w:r>
            <w:r w:rsidR="002F4543">
              <w:rPr>
                <w:rFonts w:ascii="Arial Narrow" w:hAnsi="Arial Narrow"/>
                <w:kern w:val="20"/>
                <w:sz w:val="18"/>
                <w:szCs w:val="20"/>
              </w:rPr>
              <w:t>–</w:t>
            </w:r>
            <w:r w:rsidRPr="00575A42">
              <w:rPr>
                <w:rFonts w:ascii="Arial Narrow" w:hAnsi="Arial Narrow"/>
                <w:kern w:val="20"/>
                <w:sz w:val="18"/>
                <w:szCs w:val="20"/>
              </w:rPr>
              <w:t>10</w:t>
            </w:r>
            <w:r>
              <w:rPr>
                <w:rFonts w:ascii="Arial Narrow" w:hAnsi="Arial Narrow"/>
                <w:kern w:val="20"/>
                <w:sz w:val="18"/>
                <w:szCs w:val="20"/>
              </w:rPr>
              <w:t>:00 pm</w:t>
            </w:r>
          </w:p>
        </w:tc>
        <w:tc>
          <w:tcPr>
            <w:tcW w:w="1071" w:type="dxa"/>
            <w:tcBorders>
              <w:top w:val="single" w:sz="8" w:space="0" w:color="auto"/>
              <w:left w:val="single" w:sz="12" w:space="0" w:color="auto"/>
              <w:bottom w:val="single" w:sz="8" w:space="0" w:color="auto"/>
            </w:tcBorders>
          </w:tcPr>
          <w:p w14:paraId="72C2C239" w14:textId="77777777" w:rsidR="000E40F4" w:rsidRPr="00596C4F" w:rsidRDefault="000E40F4" w:rsidP="00FD0109">
            <w:pPr>
              <w:spacing w:before="20" w:after="20"/>
              <w:jc w:val="center"/>
              <w:rPr>
                <w:rFonts w:ascii="Arial Narrow" w:hAnsi="Arial Narrow"/>
                <w:kern w:val="20"/>
                <w:sz w:val="18"/>
                <w:szCs w:val="20"/>
              </w:rPr>
            </w:pPr>
            <w:r w:rsidRPr="00575A42">
              <w:rPr>
                <w:rFonts w:ascii="Arial Narrow" w:hAnsi="Arial Narrow"/>
                <w:kern w:val="20"/>
                <w:sz w:val="18"/>
                <w:szCs w:val="20"/>
              </w:rPr>
              <w:t>50</w:t>
            </w:r>
          </w:p>
        </w:tc>
        <w:tc>
          <w:tcPr>
            <w:tcW w:w="848" w:type="dxa"/>
            <w:tcBorders>
              <w:top w:val="single" w:sz="8" w:space="0" w:color="auto"/>
              <w:bottom w:val="single" w:sz="8" w:space="0" w:color="auto"/>
            </w:tcBorders>
          </w:tcPr>
          <w:p w14:paraId="34A2050F" w14:textId="77777777" w:rsidR="000E40F4" w:rsidRPr="00596C4F" w:rsidRDefault="000E40F4" w:rsidP="00FD0109">
            <w:pPr>
              <w:spacing w:before="20" w:after="20"/>
              <w:jc w:val="center"/>
              <w:rPr>
                <w:rFonts w:ascii="Arial Narrow" w:hAnsi="Arial Narrow"/>
                <w:kern w:val="20"/>
                <w:sz w:val="18"/>
                <w:szCs w:val="20"/>
              </w:rPr>
            </w:pPr>
            <w:r w:rsidRPr="00575A42">
              <w:rPr>
                <w:rFonts w:ascii="Arial Narrow" w:hAnsi="Arial Narrow"/>
                <w:kern w:val="20"/>
                <w:sz w:val="18"/>
                <w:szCs w:val="20"/>
              </w:rPr>
              <w:t>55</w:t>
            </w:r>
          </w:p>
        </w:tc>
        <w:tc>
          <w:tcPr>
            <w:tcW w:w="932" w:type="dxa"/>
            <w:tcBorders>
              <w:top w:val="single" w:sz="8" w:space="0" w:color="auto"/>
              <w:bottom w:val="single" w:sz="8" w:space="0" w:color="auto"/>
            </w:tcBorders>
          </w:tcPr>
          <w:p w14:paraId="46A8F022" w14:textId="77777777" w:rsidR="000E40F4" w:rsidRPr="00596C4F" w:rsidRDefault="000E40F4" w:rsidP="00FD0109">
            <w:pPr>
              <w:spacing w:before="20" w:after="20"/>
              <w:jc w:val="center"/>
              <w:rPr>
                <w:rFonts w:ascii="Arial Narrow" w:hAnsi="Arial Narrow"/>
                <w:kern w:val="20"/>
                <w:sz w:val="18"/>
                <w:szCs w:val="20"/>
              </w:rPr>
            </w:pPr>
            <w:r w:rsidRPr="00575A42">
              <w:rPr>
                <w:rFonts w:ascii="Arial Narrow" w:hAnsi="Arial Narrow"/>
                <w:kern w:val="20"/>
                <w:sz w:val="18"/>
                <w:szCs w:val="20"/>
              </w:rPr>
              <w:t>60</w:t>
            </w:r>
          </w:p>
        </w:tc>
        <w:tc>
          <w:tcPr>
            <w:tcW w:w="932" w:type="dxa"/>
            <w:tcBorders>
              <w:top w:val="single" w:sz="8" w:space="0" w:color="auto"/>
              <w:bottom w:val="single" w:sz="8" w:space="0" w:color="auto"/>
            </w:tcBorders>
          </w:tcPr>
          <w:p w14:paraId="5A112077" w14:textId="77777777" w:rsidR="000E40F4" w:rsidRPr="00596C4F" w:rsidRDefault="000E40F4" w:rsidP="00FD0109">
            <w:pPr>
              <w:spacing w:before="20" w:after="20"/>
              <w:jc w:val="center"/>
              <w:rPr>
                <w:rFonts w:ascii="Arial Narrow" w:hAnsi="Arial Narrow"/>
                <w:kern w:val="20"/>
                <w:sz w:val="18"/>
                <w:szCs w:val="20"/>
              </w:rPr>
            </w:pPr>
            <w:r w:rsidRPr="00575A42">
              <w:rPr>
                <w:rFonts w:ascii="Arial Narrow" w:hAnsi="Arial Narrow"/>
                <w:kern w:val="20"/>
                <w:sz w:val="18"/>
                <w:szCs w:val="20"/>
              </w:rPr>
              <w:t>65</w:t>
            </w:r>
          </w:p>
        </w:tc>
        <w:tc>
          <w:tcPr>
            <w:tcW w:w="1064" w:type="dxa"/>
            <w:tcBorders>
              <w:top w:val="single" w:sz="8" w:space="0" w:color="auto"/>
              <w:bottom w:val="single" w:sz="8" w:space="0" w:color="auto"/>
            </w:tcBorders>
          </w:tcPr>
          <w:p w14:paraId="5E176672" w14:textId="77777777" w:rsidR="000E40F4" w:rsidRPr="00596C4F" w:rsidRDefault="000E40F4" w:rsidP="00FD0109">
            <w:pPr>
              <w:spacing w:before="20" w:after="20"/>
              <w:jc w:val="center"/>
              <w:rPr>
                <w:rFonts w:ascii="Arial Narrow" w:hAnsi="Arial Narrow"/>
                <w:kern w:val="20"/>
                <w:sz w:val="18"/>
                <w:szCs w:val="20"/>
              </w:rPr>
            </w:pPr>
            <w:r w:rsidRPr="00575A42">
              <w:rPr>
                <w:rFonts w:ascii="Arial Narrow" w:hAnsi="Arial Narrow"/>
                <w:kern w:val="20"/>
                <w:sz w:val="18"/>
                <w:szCs w:val="20"/>
              </w:rPr>
              <w:t>70</w:t>
            </w:r>
          </w:p>
        </w:tc>
      </w:tr>
      <w:tr w:rsidR="000E40F4" w:rsidRPr="008906AC" w14:paraId="23DEEB8E" w14:textId="77777777" w:rsidTr="00AD6FE2">
        <w:trPr>
          <w:trHeight w:val="317"/>
          <w:jc w:val="center"/>
        </w:trPr>
        <w:tc>
          <w:tcPr>
            <w:tcW w:w="0" w:type="auto"/>
            <w:gridSpan w:val="7"/>
            <w:tcBorders>
              <w:top w:val="single" w:sz="12" w:space="0" w:color="auto"/>
              <w:left w:val="nil"/>
              <w:bottom w:val="single" w:sz="12" w:space="0" w:color="auto"/>
            </w:tcBorders>
            <w:vAlign w:val="center"/>
          </w:tcPr>
          <w:p w14:paraId="29C0F9E5" w14:textId="77777777" w:rsidR="000E40F4" w:rsidRPr="00575A42" w:rsidRDefault="000E40F4" w:rsidP="00FD464A">
            <w:pPr>
              <w:pStyle w:val="TblSourcesNotes"/>
            </w:pPr>
            <w:r w:rsidRPr="00575A42">
              <w:t xml:space="preserve">Source: Los Angeles </w:t>
            </w:r>
            <w:r w:rsidR="00546B79">
              <w:t>County</w:t>
            </w:r>
            <w:r w:rsidR="00546B79" w:rsidRPr="00575A42">
              <w:t xml:space="preserve"> </w:t>
            </w:r>
            <w:r w:rsidRPr="00575A42">
              <w:t>Code, Section 12.08.390.</w:t>
            </w:r>
          </w:p>
          <w:p w14:paraId="6B3F9636" w14:textId="77777777" w:rsidR="000E40F4" w:rsidRPr="00575A42" w:rsidRDefault="000E40F4" w:rsidP="00E10913">
            <w:pPr>
              <w:pStyle w:val="TblSourcesNotes"/>
              <w:jc w:val="both"/>
            </w:pPr>
            <w:r w:rsidRPr="00575A42">
              <w:rPr>
                <w:vertAlign w:val="superscript"/>
              </w:rPr>
              <w:t>1</w:t>
            </w:r>
            <w:r w:rsidRPr="00575A42">
              <w:t xml:space="preserve"> </w:t>
            </w:r>
            <w:r w:rsidR="00FD464A">
              <w:tab/>
            </w:r>
            <w:r w:rsidRPr="00575A42">
              <w:t xml:space="preserve">According to Section 12.08.390, if the ambient noise levels exceed the exterior noise standards above, then the ambient noise level becomes the noise standard. Per Section 12.08.410, if the source of noise emits a pure tone or impulsive noise, the exterior noise levels limits shall be reduced by </w:t>
            </w:r>
            <w:r w:rsidR="00546B79">
              <w:t>5</w:t>
            </w:r>
            <w:r w:rsidR="00546B79" w:rsidRPr="00575A42">
              <w:t xml:space="preserve"> </w:t>
            </w:r>
            <w:r w:rsidRPr="00575A42">
              <w:t>decibels.</w:t>
            </w:r>
          </w:p>
          <w:p w14:paraId="01729586" w14:textId="77777777" w:rsidR="00E4662A" w:rsidRPr="007E7621" w:rsidRDefault="000E40F4" w:rsidP="00E10913">
            <w:pPr>
              <w:pStyle w:val="TblSourcesNotes"/>
              <w:jc w:val="both"/>
            </w:pPr>
            <w:r w:rsidRPr="00575A42">
              <w:rPr>
                <w:vertAlign w:val="superscript"/>
              </w:rPr>
              <w:t>2</w:t>
            </w:r>
            <w:r w:rsidRPr="00575A42">
              <w:t xml:space="preserve"> </w:t>
            </w:r>
            <w:r w:rsidR="00FD464A">
              <w:tab/>
            </w:r>
            <w:r w:rsidRPr="00575A42">
              <w:t>If the measurement location is on a boundary property between two different zones, the noise limit shall be the arithmetic mean of the maximum permissible noise level limits of the subject zones; except as provided for above</w:t>
            </w:r>
            <w:r w:rsidR="00546B79">
              <w:t>.</w:t>
            </w:r>
            <w:r w:rsidR="00546B79" w:rsidRPr="00575A42">
              <w:t xml:space="preserve"> When </w:t>
            </w:r>
            <w:r w:rsidRPr="00575A42">
              <w:t>an intruding noise source originates on an industrial property and is impacting another noise zone, the applicable exterior noise level shall be the daytime exterior noise level for the subject receptor property.</w:t>
            </w:r>
          </w:p>
        </w:tc>
      </w:tr>
    </w:tbl>
    <w:p w14:paraId="39FF7111" w14:textId="77777777" w:rsidR="000E40F4" w:rsidRPr="00816F17" w:rsidRDefault="000E40F4" w:rsidP="000E40F4">
      <w:pPr>
        <w:pStyle w:val="BodyText"/>
      </w:pPr>
    </w:p>
    <w:p w14:paraId="17A16D49" w14:textId="77777777" w:rsidR="000E40F4" w:rsidRDefault="000E40F4" w:rsidP="000E40F4">
      <w:pPr>
        <w:pStyle w:val="Heading8"/>
      </w:pPr>
      <w:r>
        <w:t>Construction Noise</w:t>
      </w:r>
    </w:p>
    <w:p w14:paraId="26EA4C0F" w14:textId="5A260172" w:rsidR="000E40F4" w:rsidRPr="00684278" w:rsidRDefault="000E40F4" w:rsidP="003E7D69">
      <w:pPr>
        <w:pStyle w:val="BodyText"/>
      </w:pPr>
      <w:r w:rsidRPr="00684278">
        <w:t xml:space="preserve">The County prohibits the operation of any tools or equipment used in construction, drilling, repair, alteration, or demolition work between the hours of 7:00 </w:t>
      </w:r>
      <w:r>
        <w:t>pm</w:t>
      </w:r>
      <w:r w:rsidRPr="00684278">
        <w:t xml:space="preserve"> and 7:00 </w:t>
      </w:r>
      <w:r>
        <w:t>am</w:t>
      </w:r>
      <w:r w:rsidRPr="00684278">
        <w:t xml:space="preserve"> on weekdays or at any time on Sundays or holidays except for emergency work of public service utilities or by </w:t>
      </w:r>
      <w:r w:rsidR="003E7D69">
        <w:t>V</w:t>
      </w:r>
      <w:r w:rsidRPr="00684278">
        <w:t xml:space="preserve">ariance. </w:t>
      </w:r>
      <w:r w:rsidR="00FA54BD">
        <w:t xml:space="preserve">The County Code does not specify hours of construction for Saturdays. It is assumed that the weekday hours also apply to Saturdays. </w:t>
      </w:r>
      <w:r w:rsidRPr="00684278">
        <w:t>All</w:t>
      </w:r>
      <w:r w:rsidRPr="00212F6D">
        <w:t xml:space="preserve"> mobile and stationary internal</w:t>
      </w:r>
      <w:r>
        <w:t>-</w:t>
      </w:r>
      <w:r w:rsidRPr="00212F6D">
        <w:t>combustion</w:t>
      </w:r>
      <w:r>
        <w:t>-</w:t>
      </w:r>
      <w:r w:rsidRPr="00212F6D">
        <w:t xml:space="preserve">powered equipment or machinery </w:t>
      </w:r>
      <w:r w:rsidR="00546B79">
        <w:t>must</w:t>
      </w:r>
      <w:r w:rsidR="00546B79" w:rsidRPr="00212F6D">
        <w:t xml:space="preserve"> </w:t>
      </w:r>
      <w:r w:rsidRPr="00212F6D">
        <w:t>be equipped with suitable exhaust and air intake silence</w:t>
      </w:r>
      <w:r w:rsidR="00546B79">
        <w:t>r</w:t>
      </w:r>
      <w:r w:rsidRPr="00212F6D">
        <w:t>s in proper working order.</w:t>
      </w:r>
    </w:p>
    <w:p w14:paraId="05749A51" w14:textId="7D0D69BC" w:rsidR="000E40F4" w:rsidRPr="00BB7329" w:rsidRDefault="000E40F4" w:rsidP="00E10913">
      <w:pPr>
        <w:pStyle w:val="BodyText"/>
      </w:pPr>
      <w:r w:rsidRPr="00BB1565">
        <w:t xml:space="preserve">Construction is anticipated to last for approximately eight months. </w:t>
      </w:r>
      <w:r w:rsidRPr="00684278">
        <w:t xml:space="preserve">Maximum noise levels for long-term </w:t>
      </w:r>
      <w:r w:rsidRPr="00D835E9">
        <w:t xml:space="preserve">construction </w:t>
      </w:r>
      <w:r w:rsidRPr="00684278">
        <w:t xml:space="preserve">(10 days or more) are </w:t>
      </w:r>
      <w:r w:rsidRPr="00BB7329">
        <w:t xml:space="preserve">summarized in Table </w:t>
      </w:r>
      <w:r w:rsidR="00345BC8" w:rsidRPr="00BB7329">
        <w:t>1</w:t>
      </w:r>
      <w:r w:rsidR="00345BC8">
        <w:t>9</w:t>
      </w:r>
      <w:r w:rsidRPr="00BB7329">
        <w:t>.</w:t>
      </w:r>
    </w:p>
    <w:p w14:paraId="3ADDF3AE" w14:textId="77777777" w:rsidR="00235F31" w:rsidRDefault="00235F31">
      <w:bookmarkStart w:id="197" w:name="_Toc437434933"/>
      <w:bookmarkStart w:id="198" w:name="_Toc527966210"/>
      <w:r>
        <w:rPr>
          <w:b/>
        </w:rPr>
        <w:br w:type="page"/>
      </w:r>
    </w:p>
    <w:tbl>
      <w:tblPr>
        <w:tblW w:w="5000" w:type="pct"/>
        <w:jc w:val="center"/>
        <w:tblBorders>
          <w:top w:val="single" w:sz="12" w:space="0" w:color="auto"/>
          <w:bottom w:val="single" w:sz="12"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4539"/>
        <w:gridCol w:w="1544"/>
        <w:gridCol w:w="1544"/>
        <w:gridCol w:w="1733"/>
      </w:tblGrid>
      <w:tr w:rsidR="000E40F4" w:rsidRPr="00212F6D" w14:paraId="697F9D56" w14:textId="77777777" w:rsidTr="00FD0109">
        <w:trPr>
          <w:jc w:val="center"/>
        </w:trPr>
        <w:tc>
          <w:tcPr>
            <w:tcW w:w="5000" w:type="pct"/>
            <w:gridSpan w:val="4"/>
            <w:tcBorders>
              <w:top w:val="nil"/>
              <w:bottom w:val="single" w:sz="12" w:space="0" w:color="auto"/>
            </w:tcBorders>
            <w:vAlign w:val="bottom"/>
          </w:tcPr>
          <w:p w14:paraId="6550D81C" w14:textId="268AEE1F" w:rsidR="000E40F4" w:rsidRPr="00246634" w:rsidRDefault="000E40F4" w:rsidP="00FD0109">
            <w:pPr>
              <w:pStyle w:val="TblTitles"/>
            </w:pPr>
            <w:bookmarkStart w:id="199" w:name="_Toc90882265"/>
            <w:r w:rsidRPr="00BB7329">
              <w:t xml:space="preserve">Table </w:t>
            </w:r>
            <w:r w:rsidR="00345BC8" w:rsidRPr="00BB7329">
              <w:t>1</w:t>
            </w:r>
            <w:r w:rsidR="00345BC8">
              <w:t>9</w:t>
            </w:r>
            <w:r w:rsidRPr="00BB7329">
              <w:tab/>
              <w:t>County of Los Angeles Stationary Construction Equipment Noise Limits</w:t>
            </w:r>
            <w:bookmarkEnd w:id="197"/>
            <w:bookmarkEnd w:id="198"/>
            <w:bookmarkEnd w:id="199"/>
          </w:p>
        </w:tc>
      </w:tr>
      <w:tr w:rsidR="000E40F4" w:rsidRPr="00212F6D" w14:paraId="416F75E7" w14:textId="77777777" w:rsidTr="00235F31">
        <w:trPr>
          <w:jc w:val="center"/>
        </w:trPr>
        <w:tc>
          <w:tcPr>
            <w:tcW w:w="2424" w:type="pct"/>
            <w:tcBorders>
              <w:top w:val="single" w:sz="12" w:space="0" w:color="auto"/>
              <w:bottom w:val="single" w:sz="12" w:space="0" w:color="auto"/>
            </w:tcBorders>
            <w:vAlign w:val="bottom"/>
          </w:tcPr>
          <w:p w14:paraId="5FC3CD0C" w14:textId="77777777" w:rsidR="000E40F4" w:rsidRPr="00684278" w:rsidRDefault="000E40F4" w:rsidP="00FD0109">
            <w:pPr>
              <w:keepNext/>
              <w:keepLines/>
              <w:jc w:val="center"/>
              <w:rPr>
                <w:rFonts w:ascii="Arial Narrow" w:hAnsi="Arial Narrow"/>
                <w:b/>
                <w:kern w:val="20"/>
                <w:sz w:val="16"/>
                <w:szCs w:val="20"/>
              </w:rPr>
            </w:pPr>
            <w:r w:rsidRPr="00684278">
              <w:rPr>
                <w:rFonts w:ascii="Arial Narrow" w:hAnsi="Arial Narrow"/>
                <w:b/>
                <w:kern w:val="20"/>
                <w:sz w:val="16"/>
                <w:szCs w:val="20"/>
              </w:rPr>
              <w:t>Time Period</w:t>
            </w:r>
          </w:p>
        </w:tc>
        <w:tc>
          <w:tcPr>
            <w:tcW w:w="825" w:type="pct"/>
            <w:tcBorders>
              <w:top w:val="single" w:sz="12" w:space="0" w:color="auto"/>
              <w:bottom w:val="single" w:sz="12" w:space="0" w:color="auto"/>
            </w:tcBorders>
            <w:vAlign w:val="bottom"/>
          </w:tcPr>
          <w:p w14:paraId="759E3945" w14:textId="77777777" w:rsidR="000E40F4" w:rsidRPr="00684278" w:rsidRDefault="000E40F4" w:rsidP="00FD0109">
            <w:pPr>
              <w:keepNext/>
              <w:keepLines/>
              <w:jc w:val="center"/>
              <w:rPr>
                <w:rFonts w:ascii="Arial Narrow" w:hAnsi="Arial Narrow"/>
                <w:b/>
                <w:kern w:val="20"/>
                <w:sz w:val="16"/>
                <w:szCs w:val="20"/>
              </w:rPr>
            </w:pPr>
            <w:r w:rsidRPr="00684278">
              <w:rPr>
                <w:rFonts w:ascii="Arial Narrow" w:hAnsi="Arial Narrow"/>
                <w:b/>
                <w:kern w:val="20"/>
                <w:sz w:val="16"/>
                <w:szCs w:val="20"/>
              </w:rPr>
              <w:t>Single-Family Residential</w:t>
            </w:r>
          </w:p>
        </w:tc>
        <w:tc>
          <w:tcPr>
            <w:tcW w:w="825" w:type="pct"/>
            <w:tcBorders>
              <w:top w:val="single" w:sz="12" w:space="0" w:color="auto"/>
              <w:bottom w:val="single" w:sz="12" w:space="0" w:color="auto"/>
            </w:tcBorders>
            <w:vAlign w:val="bottom"/>
          </w:tcPr>
          <w:p w14:paraId="52080C31" w14:textId="77777777" w:rsidR="000E40F4" w:rsidRPr="00684278" w:rsidRDefault="000E40F4" w:rsidP="00FD0109">
            <w:pPr>
              <w:keepNext/>
              <w:keepLines/>
              <w:jc w:val="center"/>
              <w:rPr>
                <w:rFonts w:ascii="Arial Narrow" w:hAnsi="Arial Narrow"/>
                <w:b/>
                <w:kern w:val="20"/>
                <w:sz w:val="16"/>
                <w:szCs w:val="20"/>
              </w:rPr>
            </w:pPr>
            <w:r w:rsidRPr="00684278">
              <w:rPr>
                <w:rFonts w:ascii="Arial Narrow" w:hAnsi="Arial Narrow"/>
                <w:b/>
                <w:kern w:val="20"/>
                <w:sz w:val="16"/>
                <w:szCs w:val="20"/>
              </w:rPr>
              <w:t>Multifamily Residential</w:t>
            </w:r>
          </w:p>
        </w:tc>
        <w:tc>
          <w:tcPr>
            <w:tcW w:w="927" w:type="pct"/>
            <w:tcBorders>
              <w:top w:val="single" w:sz="12" w:space="0" w:color="auto"/>
              <w:bottom w:val="single" w:sz="12" w:space="0" w:color="auto"/>
            </w:tcBorders>
            <w:vAlign w:val="bottom"/>
          </w:tcPr>
          <w:p w14:paraId="19C8A505" w14:textId="77777777" w:rsidR="000E40F4" w:rsidRPr="00684278" w:rsidRDefault="000E40F4" w:rsidP="00FD0109">
            <w:pPr>
              <w:keepNext/>
              <w:keepLines/>
              <w:jc w:val="center"/>
              <w:rPr>
                <w:rFonts w:ascii="Arial Narrow" w:hAnsi="Arial Narrow"/>
                <w:b/>
                <w:kern w:val="20"/>
                <w:sz w:val="16"/>
                <w:szCs w:val="20"/>
              </w:rPr>
            </w:pPr>
            <w:r w:rsidRPr="00684278">
              <w:rPr>
                <w:rFonts w:ascii="Arial Narrow" w:hAnsi="Arial Narrow"/>
                <w:b/>
                <w:kern w:val="20"/>
                <w:sz w:val="16"/>
                <w:szCs w:val="20"/>
              </w:rPr>
              <w:t>Semiresidential/</w:t>
            </w:r>
            <w:r w:rsidRPr="00684278">
              <w:rPr>
                <w:rFonts w:ascii="Arial Narrow" w:hAnsi="Arial Narrow"/>
                <w:b/>
                <w:kern w:val="20"/>
                <w:sz w:val="16"/>
                <w:szCs w:val="20"/>
              </w:rPr>
              <w:br/>
              <w:t>Commercial</w:t>
            </w:r>
          </w:p>
        </w:tc>
      </w:tr>
      <w:tr w:rsidR="000E40F4" w:rsidRPr="00212F6D" w14:paraId="6AFF2D52" w14:textId="77777777" w:rsidTr="00235F31">
        <w:trPr>
          <w:trHeight w:val="288"/>
          <w:jc w:val="center"/>
        </w:trPr>
        <w:tc>
          <w:tcPr>
            <w:tcW w:w="2424" w:type="pct"/>
            <w:tcBorders>
              <w:top w:val="single" w:sz="12" w:space="0" w:color="auto"/>
            </w:tcBorders>
          </w:tcPr>
          <w:p w14:paraId="6C0AE486" w14:textId="77777777" w:rsidR="000E40F4" w:rsidRPr="00127B06" w:rsidRDefault="000E40F4" w:rsidP="00FD0109">
            <w:pPr>
              <w:spacing w:before="20" w:after="20"/>
              <w:jc w:val="center"/>
              <w:rPr>
                <w:rFonts w:ascii="Arial Narrow" w:hAnsi="Arial Narrow"/>
                <w:kern w:val="20"/>
                <w:sz w:val="18"/>
                <w:szCs w:val="20"/>
                <w:vertAlign w:val="superscript"/>
              </w:rPr>
            </w:pPr>
            <w:r w:rsidRPr="00684278">
              <w:rPr>
                <w:rFonts w:ascii="Arial Narrow" w:hAnsi="Arial Narrow"/>
                <w:kern w:val="20"/>
                <w:sz w:val="18"/>
                <w:szCs w:val="20"/>
              </w:rPr>
              <w:t xml:space="preserve">Daily, except Sundays and legal holidays, 7 </w:t>
            </w:r>
            <w:r w:rsidR="00546B79" w:rsidRPr="00684278">
              <w:rPr>
                <w:rFonts w:ascii="Arial Narrow" w:hAnsi="Arial Narrow"/>
                <w:kern w:val="20"/>
                <w:sz w:val="18"/>
                <w:szCs w:val="20"/>
              </w:rPr>
              <w:t>am</w:t>
            </w:r>
            <w:r w:rsidRPr="00684278">
              <w:rPr>
                <w:rFonts w:ascii="Arial Narrow" w:hAnsi="Arial Narrow"/>
                <w:kern w:val="20"/>
                <w:sz w:val="18"/>
                <w:szCs w:val="20"/>
              </w:rPr>
              <w:t xml:space="preserve"> to 8 </w:t>
            </w:r>
            <w:r w:rsidR="00546B79" w:rsidRPr="00684278">
              <w:rPr>
                <w:rFonts w:ascii="Arial Narrow" w:hAnsi="Arial Narrow"/>
                <w:kern w:val="20"/>
                <w:sz w:val="18"/>
                <w:szCs w:val="20"/>
              </w:rPr>
              <w:t>pm</w:t>
            </w:r>
            <w:r w:rsidR="006577EF">
              <w:rPr>
                <w:rFonts w:ascii="Arial Narrow" w:hAnsi="Arial Narrow"/>
                <w:kern w:val="20"/>
                <w:sz w:val="18"/>
                <w:szCs w:val="20"/>
                <w:vertAlign w:val="superscript"/>
              </w:rPr>
              <w:t>1</w:t>
            </w:r>
          </w:p>
        </w:tc>
        <w:tc>
          <w:tcPr>
            <w:tcW w:w="825" w:type="pct"/>
            <w:tcBorders>
              <w:top w:val="single" w:sz="12" w:space="0" w:color="auto"/>
            </w:tcBorders>
            <w:vAlign w:val="center"/>
          </w:tcPr>
          <w:p w14:paraId="78EDDF10" w14:textId="77777777" w:rsidR="000E40F4" w:rsidRPr="00684278" w:rsidRDefault="000E40F4" w:rsidP="00FD0109">
            <w:pPr>
              <w:spacing w:before="20" w:after="20"/>
              <w:jc w:val="center"/>
              <w:rPr>
                <w:rFonts w:ascii="Arial Narrow" w:hAnsi="Arial Narrow"/>
                <w:kern w:val="20"/>
                <w:sz w:val="18"/>
                <w:szCs w:val="20"/>
              </w:rPr>
            </w:pPr>
            <w:r w:rsidRPr="00684278">
              <w:rPr>
                <w:rFonts w:ascii="Arial Narrow" w:hAnsi="Arial Narrow"/>
                <w:kern w:val="20"/>
                <w:sz w:val="18"/>
                <w:szCs w:val="20"/>
              </w:rPr>
              <w:t>60 dBA</w:t>
            </w:r>
          </w:p>
        </w:tc>
        <w:tc>
          <w:tcPr>
            <w:tcW w:w="825" w:type="pct"/>
            <w:tcBorders>
              <w:top w:val="single" w:sz="12" w:space="0" w:color="auto"/>
            </w:tcBorders>
            <w:vAlign w:val="center"/>
          </w:tcPr>
          <w:p w14:paraId="589368B7" w14:textId="77777777" w:rsidR="000E40F4" w:rsidRPr="00684278" w:rsidRDefault="000E40F4" w:rsidP="00FD0109">
            <w:pPr>
              <w:spacing w:before="20" w:after="20"/>
              <w:jc w:val="center"/>
              <w:rPr>
                <w:rFonts w:ascii="Arial Narrow" w:hAnsi="Arial Narrow"/>
                <w:kern w:val="20"/>
                <w:sz w:val="18"/>
                <w:szCs w:val="20"/>
              </w:rPr>
            </w:pPr>
            <w:r w:rsidRPr="00684278">
              <w:rPr>
                <w:rFonts w:ascii="Arial Narrow" w:hAnsi="Arial Narrow"/>
                <w:kern w:val="20"/>
                <w:sz w:val="18"/>
                <w:szCs w:val="20"/>
              </w:rPr>
              <w:t>65 dBA</w:t>
            </w:r>
          </w:p>
        </w:tc>
        <w:tc>
          <w:tcPr>
            <w:tcW w:w="927" w:type="pct"/>
            <w:tcBorders>
              <w:top w:val="single" w:sz="12" w:space="0" w:color="auto"/>
            </w:tcBorders>
            <w:vAlign w:val="center"/>
          </w:tcPr>
          <w:p w14:paraId="2A2510B8" w14:textId="77777777" w:rsidR="000E40F4" w:rsidRPr="00684278" w:rsidRDefault="000E40F4" w:rsidP="00FD0109">
            <w:pPr>
              <w:spacing w:before="20" w:after="20"/>
              <w:jc w:val="center"/>
              <w:rPr>
                <w:rFonts w:ascii="Arial Narrow" w:hAnsi="Arial Narrow"/>
                <w:kern w:val="20"/>
                <w:sz w:val="18"/>
                <w:szCs w:val="20"/>
              </w:rPr>
            </w:pPr>
            <w:r w:rsidRPr="00684278">
              <w:rPr>
                <w:rFonts w:ascii="Arial Narrow" w:hAnsi="Arial Narrow"/>
                <w:kern w:val="20"/>
                <w:sz w:val="18"/>
                <w:szCs w:val="20"/>
              </w:rPr>
              <w:t>70 dBA</w:t>
            </w:r>
          </w:p>
        </w:tc>
      </w:tr>
      <w:tr w:rsidR="000E40F4" w:rsidRPr="00212F6D" w14:paraId="13926367" w14:textId="77777777" w:rsidTr="00235F31">
        <w:trPr>
          <w:trHeight w:val="288"/>
          <w:jc w:val="center"/>
        </w:trPr>
        <w:tc>
          <w:tcPr>
            <w:tcW w:w="2424" w:type="pct"/>
            <w:tcBorders>
              <w:bottom w:val="single" w:sz="12" w:space="0" w:color="333333"/>
            </w:tcBorders>
          </w:tcPr>
          <w:p w14:paraId="5A7A91C2" w14:textId="77777777" w:rsidR="000E40F4" w:rsidRPr="00127B06" w:rsidRDefault="000E40F4" w:rsidP="00FD0109">
            <w:pPr>
              <w:spacing w:before="20" w:after="20"/>
              <w:jc w:val="center"/>
              <w:rPr>
                <w:rFonts w:ascii="Arial Narrow" w:hAnsi="Arial Narrow"/>
                <w:kern w:val="20"/>
                <w:sz w:val="18"/>
                <w:szCs w:val="20"/>
                <w:vertAlign w:val="superscript"/>
              </w:rPr>
            </w:pPr>
            <w:r w:rsidRPr="00684278">
              <w:rPr>
                <w:rFonts w:ascii="Arial Narrow" w:hAnsi="Arial Narrow"/>
                <w:kern w:val="20"/>
                <w:sz w:val="18"/>
                <w:szCs w:val="20"/>
              </w:rPr>
              <w:t xml:space="preserve">Daily, 8 </w:t>
            </w:r>
            <w:r w:rsidR="00546B79" w:rsidRPr="00684278">
              <w:rPr>
                <w:rFonts w:ascii="Arial Narrow" w:hAnsi="Arial Narrow"/>
                <w:kern w:val="20"/>
                <w:sz w:val="18"/>
                <w:szCs w:val="20"/>
              </w:rPr>
              <w:t>pm</w:t>
            </w:r>
            <w:r w:rsidRPr="00684278">
              <w:rPr>
                <w:rFonts w:ascii="Arial Narrow" w:hAnsi="Arial Narrow"/>
                <w:kern w:val="20"/>
                <w:sz w:val="18"/>
                <w:szCs w:val="20"/>
              </w:rPr>
              <w:t xml:space="preserve"> to 7 </w:t>
            </w:r>
            <w:r w:rsidR="00546B79" w:rsidRPr="00684278">
              <w:rPr>
                <w:rFonts w:ascii="Arial Narrow" w:hAnsi="Arial Narrow"/>
                <w:kern w:val="20"/>
                <w:sz w:val="18"/>
                <w:szCs w:val="20"/>
              </w:rPr>
              <w:t>am</w:t>
            </w:r>
            <w:r w:rsidRPr="00684278">
              <w:rPr>
                <w:rFonts w:ascii="Arial Narrow" w:hAnsi="Arial Narrow"/>
                <w:kern w:val="20"/>
                <w:sz w:val="18"/>
                <w:szCs w:val="20"/>
              </w:rPr>
              <w:t xml:space="preserve"> and all-day Sunday and legal holidays</w:t>
            </w:r>
            <w:r w:rsidR="006577EF">
              <w:rPr>
                <w:rFonts w:ascii="Arial Narrow" w:hAnsi="Arial Narrow"/>
                <w:kern w:val="20"/>
                <w:sz w:val="18"/>
                <w:szCs w:val="20"/>
                <w:vertAlign w:val="superscript"/>
              </w:rPr>
              <w:t>1</w:t>
            </w:r>
          </w:p>
        </w:tc>
        <w:tc>
          <w:tcPr>
            <w:tcW w:w="825" w:type="pct"/>
            <w:tcBorders>
              <w:bottom w:val="single" w:sz="12" w:space="0" w:color="333333"/>
            </w:tcBorders>
            <w:vAlign w:val="center"/>
          </w:tcPr>
          <w:p w14:paraId="2B3699C4" w14:textId="77777777" w:rsidR="000E40F4" w:rsidRPr="00684278" w:rsidRDefault="000E40F4" w:rsidP="00FD0109">
            <w:pPr>
              <w:spacing w:before="20" w:after="20"/>
              <w:jc w:val="center"/>
              <w:rPr>
                <w:rFonts w:ascii="Arial Narrow" w:hAnsi="Arial Narrow"/>
                <w:kern w:val="20"/>
                <w:sz w:val="18"/>
                <w:szCs w:val="20"/>
              </w:rPr>
            </w:pPr>
            <w:r w:rsidRPr="00684278">
              <w:rPr>
                <w:rFonts w:ascii="Arial Narrow" w:hAnsi="Arial Narrow"/>
                <w:kern w:val="20"/>
                <w:sz w:val="18"/>
                <w:szCs w:val="20"/>
              </w:rPr>
              <w:t>50 dBA</w:t>
            </w:r>
          </w:p>
        </w:tc>
        <w:tc>
          <w:tcPr>
            <w:tcW w:w="825" w:type="pct"/>
            <w:tcBorders>
              <w:bottom w:val="single" w:sz="12" w:space="0" w:color="333333"/>
            </w:tcBorders>
            <w:vAlign w:val="center"/>
          </w:tcPr>
          <w:p w14:paraId="68B5C952" w14:textId="77777777" w:rsidR="000E40F4" w:rsidRPr="00684278" w:rsidRDefault="000E40F4" w:rsidP="00FD0109">
            <w:pPr>
              <w:spacing w:before="20" w:after="20"/>
              <w:jc w:val="center"/>
              <w:rPr>
                <w:rFonts w:ascii="Arial Narrow" w:hAnsi="Arial Narrow"/>
                <w:kern w:val="20"/>
                <w:sz w:val="18"/>
                <w:szCs w:val="20"/>
              </w:rPr>
            </w:pPr>
            <w:r w:rsidRPr="00684278">
              <w:rPr>
                <w:rFonts w:ascii="Arial Narrow" w:hAnsi="Arial Narrow"/>
                <w:kern w:val="20"/>
                <w:sz w:val="18"/>
                <w:szCs w:val="20"/>
              </w:rPr>
              <w:t>55 dBA</w:t>
            </w:r>
          </w:p>
        </w:tc>
        <w:tc>
          <w:tcPr>
            <w:tcW w:w="927" w:type="pct"/>
            <w:tcBorders>
              <w:bottom w:val="single" w:sz="12" w:space="0" w:color="333333"/>
            </w:tcBorders>
            <w:vAlign w:val="center"/>
          </w:tcPr>
          <w:p w14:paraId="20F935D1" w14:textId="77777777" w:rsidR="000E40F4" w:rsidRPr="00684278" w:rsidRDefault="000E40F4" w:rsidP="00FD0109">
            <w:pPr>
              <w:spacing w:before="20" w:after="20"/>
              <w:jc w:val="center"/>
              <w:rPr>
                <w:rFonts w:ascii="Arial Narrow" w:hAnsi="Arial Narrow"/>
                <w:kern w:val="20"/>
                <w:sz w:val="18"/>
                <w:szCs w:val="20"/>
              </w:rPr>
            </w:pPr>
            <w:r w:rsidRPr="00684278">
              <w:rPr>
                <w:rFonts w:ascii="Arial Narrow" w:hAnsi="Arial Narrow"/>
                <w:kern w:val="20"/>
                <w:sz w:val="18"/>
                <w:szCs w:val="20"/>
              </w:rPr>
              <w:t>60 dBA</w:t>
            </w:r>
          </w:p>
        </w:tc>
      </w:tr>
      <w:tr w:rsidR="000E40F4" w:rsidRPr="00212F6D" w14:paraId="564B5215" w14:textId="77777777" w:rsidTr="00FD0109">
        <w:trPr>
          <w:jc w:val="center"/>
        </w:trPr>
        <w:tc>
          <w:tcPr>
            <w:tcW w:w="5000" w:type="pct"/>
            <w:gridSpan w:val="4"/>
            <w:tcBorders>
              <w:top w:val="single" w:sz="12" w:space="0" w:color="333333"/>
            </w:tcBorders>
            <w:vAlign w:val="center"/>
          </w:tcPr>
          <w:p w14:paraId="71FC1D0A" w14:textId="77777777" w:rsidR="000E40F4" w:rsidRDefault="000E40F4" w:rsidP="00FD464A">
            <w:pPr>
              <w:pStyle w:val="Tblnote"/>
            </w:pPr>
            <w:r w:rsidRPr="00684278">
              <w:t xml:space="preserve">Source: Los Angeles </w:t>
            </w:r>
            <w:r w:rsidR="00546B79">
              <w:t>County</w:t>
            </w:r>
            <w:r w:rsidR="00546B79" w:rsidRPr="00684278">
              <w:t xml:space="preserve"> </w:t>
            </w:r>
            <w:r w:rsidRPr="00684278">
              <w:t>Code, Section 12.08.440. For repetitively scheduled and relatively long</w:t>
            </w:r>
            <w:r w:rsidRPr="00684278">
              <w:noBreakHyphen/>
              <w:t>term operations of 10 days or more.</w:t>
            </w:r>
          </w:p>
          <w:p w14:paraId="6FF2F26E" w14:textId="77777777" w:rsidR="006577EF" w:rsidRPr="006577EF" w:rsidRDefault="006577EF" w:rsidP="00FD464A">
            <w:pPr>
              <w:pStyle w:val="Tblnote"/>
            </w:pPr>
            <w:r>
              <w:rPr>
                <w:vertAlign w:val="superscript"/>
              </w:rPr>
              <w:t xml:space="preserve">1 </w:t>
            </w:r>
            <w:r w:rsidR="00FD464A">
              <w:rPr>
                <w:vertAlign w:val="superscript"/>
              </w:rPr>
              <w:tab/>
            </w:r>
            <w:r>
              <w:t xml:space="preserve">Note that this table shows this is a discrepancy </w:t>
            </w:r>
            <w:r w:rsidR="00EA5C8E">
              <w:t xml:space="preserve">in allowable construction hours between Section 12.08.440 (A) and 12.08.440(B). </w:t>
            </w:r>
            <w:r>
              <w:t xml:space="preserve">To be conservative and </w:t>
            </w:r>
            <w:r w:rsidR="00EA5C8E">
              <w:t xml:space="preserve">fort </w:t>
            </w:r>
            <w:r>
              <w:t>the purposes of this analysis, the allowable hours will be  7</w:t>
            </w:r>
            <w:r w:rsidR="00EA5C8E">
              <w:t xml:space="preserve">:00 am to </w:t>
            </w:r>
            <w:r>
              <w:t>7</w:t>
            </w:r>
            <w:r w:rsidR="00EA5C8E">
              <w:t xml:space="preserve">:00 pm </w:t>
            </w:r>
            <w:r>
              <w:t xml:space="preserve"> from sub section A. </w:t>
            </w:r>
          </w:p>
        </w:tc>
      </w:tr>
    </w:tbl>
    <w:p w14:paraId="2298CDAB" w14:textId="77777777" w:rsidR="000E40F4" w:rsidRPr="00812405" w:rsidRDefault="000E40F4" w:rsidP="000E40F4">
      <w:pPr>
        <w:pStyle w:val="BodyText"/>
        <w:tabs>
          <w:tab w:val="left" w:pos="2529"/>
        </w:tabs>
        <w:jc w:val="left"/>
      </w:pPr>
    </w:p>
    <w:p w14:paraId="5B16CB06" w14:textId="77777777" w:rsidR="000E40F4" w:rsidRPr="00812405" w:rsidRDefault="000E40F4" w:rsidP="000E40F4">
      <w:pPr>
        <w:pStyle w:val="Heading8"/>
      </w:pPr>
      <w:r w:rsidRPr="00812405">
        <w:t xml:space="preserve">Vibration </w:t>
      </w:r>
      <w:r>
        <w:t>Annoyance</w:t>
      </w:r>
    </w:p>
    <w:p w14:paraId="14777DF9" w14:textId="77777777" w:rsidR="000E40F4" w:rsidRPr="009E3D24" w:rsidRDefault="000E40F4" w:rsidP="000E40F4">
      <w:pPr>
        <w:pStyle w:val="BodyText"/>
      </w:pPr>
      <w:r w:rsidRPr="00812405">
        <w:t>The Los Angeles</w:t>
      </w:r>
      <w:r>
        <w:t xml:space="preserve"> </w:t>
      </w:r>
      <w:r w:rsidR="004D1E43" w:rsidRPr="00812405">
        <w:t>County</w:t>
      </w:r>
      <w:r w:rsidR="004D1E43">
        <w:t xml:space="preserve"> </w:t>
      </w:r>
      <w:r w:rsidRPr="00812405">
        <w:t xml:space="preserve">Code Section 12.08.560 prohibits the operation of any device that creates </w:t>
      </w:r>
      <w:r w:rsidRPr="000624CA">
        <w:t>vibration above the vibration perception threshold of any individual at or beyond the property boundary of the source if on private property</w:t>
      </w:r>
      <w:r>
        <w:t xml:space="preserve">. The perception threshold is </w:t>
      </w:r>
      <w:r w:rsidRPr="00812405">
        <w:t>0.01 inches/second (in/sec)</w:t>
      </w:r>
      <w:r>
        <w:t>,</w:t>
      </w:r>
      <w:r w:rsidRPr="00812405">
        <w:t xml:space="preserve"> </w:t>
      </w:r>
      <w:r>
        <w:t xml:space="preserve">which is </w:t>
      </w:r>
      <w:r w:rsidRPr="00812405">
        <w:t>equivalent to 80 VdB (root-mean-square vibration decibel level).</w:t>
      </w:r>
    </w:p>
    <w:p w14:paraId="4728764C" w14:textId="77777777" w:rsidR="000E40F4" w:rsidRPr="00812405" w:rsidRDefault="000E40F4" w:rsidP="000E40F4">
      <w:pPr>
        <w:pStyle w:val="Heading6"/>
      </w:pPr>
      <w:r w:rsidRPr="00812405">
        <w:t>Federal Transit Administration</w:t>
      </w:r>
    </w:p>
    <w:p w14:paraId="764F2E54" w14:textId="77777777" w:rsidR="000E40F4" w:rsidRPr="00812405" w:rsidRDefault="000E40F4" w:rsidP="000E40F4">
      <w:pPr>
        <w:pStyle w:val="BodyText"/>
      </w:pPr>
      <w:r>
        <w:t>Neither t</w:t>
      </w:r>
      <w:r w:rsidRPr="00812405">
        <w:t>he City of Irwindale</w:t>
      </w:r>
      <w:r>
        <w:t>,</w:t>
      </w:r>
      <w:r w:rsidRPr="00812405">
        <w:t xml:space="preserve"> West Covina, </w:t>
      </w:r>
      <w:r>
        <w:t>nor</w:t>
      </w:r>
      <w:r w:rsidRPr="00812405">
        <w:t xml:space="preserve"> the County of Los Ang</w:t>
      </w:r>
      <w:r w:rsidR="003E7D69">
        <w:t>e</w:t>
      </w:r>
      <w:r w:rsidRPr="00812405">
        <w:t>les have quantified threshold</w:t>
      </w:r>
      <w:r>
        <w:t>s</w:t>
      </w:r>
      <w:r w:rsidRPr="00812405">
        <w:t xml:space="preserve"> for </w:t>
      </w:r>
      <w:r>
        <w:t xml:space="preserve">potential </w:t>
      </w:r>
      <w:r w:rsidRPr="00812405">
        <w:t>vibration damage. Therefore, to determine impact significance, the following Federal Transit Administration (FTA) criteria are used in this analysis.</w:t>
      </w:r>
    </w:p>
    <w:p w14:paraId="56B13BDC" w14:textId="77777777" w:rsidR="000E40F4" w:rsidRPr="00812405" w:rsidRDefault="000E40F4" w:rsidP="000E40F4">
      <w:pPr>
        <w:pStyle w:val="BodyText"/>
      </w:pPr>
      <w:r w:rsidRPr="00812405">
        <w:t>A vibration impact would occur if:</w:t>
      </w:r>
    </w:p>
    <w:p w14:paraId="68523DC3" w14:textId="77777777" w:rsidR="000E40F4" w:rsidRPr="00812405" w:rsidRDefault="000E40F4" w:rsidP="00816F17">
      <w:pPr>
        <w:pStyle w:val="Bullet1last"/>
      </w:pPr>
      <w:r w:rsidRPr="00812405">
        <w:t>Vibration levels would exceed 0.20 inches/second (in/sec) peak particle velocity (PPV) at the façade of a nonengineered</w:t>
      </w:r>
      <w:r>
        <w:t xml:space="preserve"> timber and masonry</w:t>
      </w:r>
      <w:r w:rsidRPr="00812405">
        <w:t xml:space="preserve"> structure (e.g., wood-frame residential). </w:t>
      </w:r>
    </w:p>
    <w:p w14:paraId="36184FB0" w14:textId="77777777" w:rsidR="000E40F4" w:rsidRDefault="000E40F4" w:rsidP="00816F17">
      <w:pPr>
        <w:pStyle w:val="Bullet1last"/>
      </w:pPr>
      <w:r w:rsidRPr="00812405">
        <w:t>Vibration levels would exceed 0.30 in/sec PPV at the façade of a concrete and masonry buildings (no plaster) (e.g., commercial/industrial buildings)</w:t>
      </w:r>
      <w:r w:rsidR="004D1E43">
        <w:t>.</w:t>
      </w:r>
      <w:r>
        <w:t xml:space="preserve"> (FTA 2018)</w:t>
      </w:r>
    </w:p>
    <w:p w14:paraId="5DB5D15A" w14:textId="77777777" w:rsidR="000E40F4" w:rsidRDefault="000E40F4" w:rsidP="000E40F4">
      <w:pPr>
        <w:pStyle w:val="BodyText"/>
      </w:pPr>
      <w:r>
        <w:t>Would the project result in:</w:t>
      </w:r>
    </w:p>
    <w:p w14:paraId="232D4F4D" w14:textId="77777777" w:rsidR="000E40F4" w:rsidRDefault="000E40F4" w:rsidP="0088481D">
      <w:pPr>
        <w:pStyle w:val="List"/>
        <w:numPr>
          <w:ilvl w:val="0"/>
          <w:numId w:val="70"/>
        </w:numPr>
      </w:pPr>
      <w:r w:rsidRPr="00AE239A">
        <w:t>Generation of a substantial temporary or permanent increase in ambient noise levels in the vicinity of the project in excess of standards established in the local general plan or noise ordinance, or applicable standards of other agencies</w:t>
      </w:r>
      <w:r>
        <w:t>?</w:t>
      </w:r>
    </w:p>
    <w:p w14:paraId="1C47FC24" w14:textId="77777777" w:rsidR="000E40F4" w:rsidRPr="00B31770" w:rsidRDefault="000E40F4" w:rsidP="000E40F4">
      <w:pPr>
        <w:pStyle w:val="BodyText"/>
        <w:rPr>
          <w:rStyle w:val="InsertText"/>
        </w:rPr>
      </w:pPr>
      <w:r w:rsidRPr="00B31770">
        <w:rPr>
          <w:rStyle w:val="BodyTextBoldChar"/>
        </w:rPr>
        <w:t>Less Than Significant Impact.</w:t>
      </w:r>
    </w:p>
    <w:p w14:paraId="10A0A947" w14:textId="77777777" w:rsidR="000E40F4" w:rsidRPr="00D323CA" w:rsidRDefault="000E40F4" w:rsidP="000E40F4">
      <w:pPr>
        <w:pStyle w:val="Heading5"/>
      </w:pPr>
      <w:r w:rsidRPr="00D323CA">
        <w:t>Construction Noise</w:t>
      </w:r>
    </w:p>
    <w:p w14:paraId="7E8AC51B" w14:textId="551979CC" w:rsidR="000E40F4" w:rsidRPr="00714323" w:rsidRDefault="000E40F4" w:rsidP="000E40F4">
      <w:pPr>
        <w:pStyle w:val="BodyText"/>
      </w:pPr>
      <w:r w:rsidRPr="00714323">
        <w:t xml:space="preserve">The total duration for project construction is anticipated to be approximately eight months, with a tentative start date of </w:t>
      </w:r>
      <w:r w:rsidR="00C031D2">
        <w:t>April</w:t>
      </w:r>
      <w:r w:rsidRPr="00714323">
        <w:t xml:space="preserve"> 2022. Two types of short-term noise impacts could occur during construction: (1</w:t>
      </w:r>
      <w:r w:rsidR="004D1E43" w:rsidRPr="00714323">
        <w:t>)</w:t>
      </w:r>
      <w:r w:rsidR="004D1E43">
        <w:t> </w:t>
      </w:r>
      <w:r w:rsidRPr="00714323">
        <w:t>mobile-source noise from transport of workers, material deliveries, and debris and soil haul</w:t>
      </w:r>
      <w:r w:rsidR="004D1E43">
        <w:t>;</w:t>
      </w:r>
      <w:r w:rsidRPr="00714323">
        <w:t xml:space="preserve"> and (2) stationary-source noise from use of construction equipment.</w:t>
      </w:r>
    </w:p>
    <w:p w14:paraId="2CB8A57B" w14:textId="77777777" w:rsidR="000E40F4" w:rsidRPr="004C76C1" w:rsidRDefault="000E40F4" w:rsidP="00AD6FE2">
      <w:pPr>
        <w:pStyle w:val="Heading6"/>
        <w:spacing w:line="264" w:lineRule="auto"/>
      </w:pPr>
      <w:r w:rsidRPr="004C76C1">
        <w:t>Construction Vehicles</w:t>
      </w:r>
    </w:p>
    <w:p w14:paraId="42B11F26" w14:textId="77777777" w:rsidR="000E40F4" w:rsidRPr="004C76C1" w:rsidRDefault="000E40F4" w:rsidP="00AD6FE2">
      <w:pPr>
        <w:pStyle w:val="BodyText"/>
        <w:spacing w:after="160" w:line="264" w:lineRule="auto"/>
      </w:pPr>
      <w:r w:rsidRPr="004C76C1">
        <w:t>The transport of workers and materials to and from the construction site would incrementally increase noise levels along site</w:t>
      </w:r>
      <w:r w:rsidR="004D1E43">
        <w:t>-</w:t>
      </w:r>
      <w:r w:rsidRPr="004C76C1">
        <w:t xml:space="preserve">access roadways. Individual construction </w:t>
      </w:r>
      <w:r w:rsidR="004D1E43">
        <w:t xml:space="preserve">worker and vendor </w:t>
      </w:r>
      <w:r w:rsidRPr="004C76C1">
        <w:t>vehicle pass-bys may create momentary noise levels of up to approximately 85 dBA L</w:t>
      </w:r>
      <w:r w:rsidRPr="004C76C1">
        <w:rPr>
          <w:vertAlign w:val="subscript"/>
        </w:rPr>
        <w:t>max</w:t>
      </w:r>
      <w:r w:rsidRPr="004C76C1">
        <w:t xml:space="preserve"> at 50 feet. However, these occurrences would generally be infrequent and short-lived.</w:t>
      </w:r>
      <w:r w:rsidR="000937CC">
        <w:rPr>
          <w:rStyle w:val="FootnoteReference"/>
        </w:rPr>
        <w:footnoteReference w:id="27"/>
      </w:r>
      <w:r w:rsidRPr="004C76C1">
        <w:t xml:space="preserve"> </w:t>
      </w:r>
    </w:p>
    <w:p w14:paraId="2004C8E0" w14:textId="3B464618" w:rsidR="000E40F4" w:rsidRPr="00D55AB1" w:rsidRDefault="000E40F4" w:rsidP="00AD6FE2">
      <w:pPr>
        <w:pStyle w:val="BodyText"/>
        <w:spacing w:after="160" w:line="264" w:lineRule="auto"/>
      </w:pPr>
      <w:r w:rsidRPr="00D55AB1">
        <w:t xml:space="preserve">Worker and vendor trips would total a maximum of 161 daily trips during overlapping site preparation, building construction, </w:t>
      </w:r>
      <w:r>
        <w:t>and</w:t>
      </w:r>
      <w:r w:rsidRPr="00D55AB1">
        <w:t xml:space="preserve"> rough grading phases. Maximum daily haul truck trips would be 136 during demolition debris haul and import of soil for rough grading. Site access would be through Azusa Canyon Road. Existing average daily traffic</w:t>
      </w:r>
      <w:r w:rsidR="004D1E43">
        <w:t xml:space="preserve"> </w:t>
      </w:r>
      <w:r w:rsidRPr="00D55AB1">
        <w:t xml:space="preserve">along the study roadway segments range </w:t>
      </w:r>
      <w:r w:rsidR="004D1E43">
        <w:t>from</w:t>
      </w:r>
      <w:r w:rsidR="004D1E43" w:rsidRPr="00D55AB1">
        <w:t xml:space="preserve"> </w:t>
      </w:r>
      <w:r>
        <w:t xml:space="preserve">1,181 </w:t>
      </w:r>
      <w:r w:rsidR="004D1E43">
        <w:t xml:space="preserve">to </w:t>
      </w:r>
      <w:r w:rsidRPr="00D55AB1">
        <w:t>49,428.</w:t>
      </w:r>
      <w:r w:rsidRPr="00D55AB1">
        <w:rPr>
          <w:vertAlign w:val="superscript"/>
        </w:rPr>
        <w:footnoteReference w:id="28"/>
      </w:r>
      <w:r w:rsidRPr="00D55AB1">
        <w:t xml:space="preserve"> The addition of construction trips and haul trips would result in a temporary noise increase of up to 1 dBA CNEL, which would not be substantial or permanent. Therefore, construction-vehicle noise impacts would be considered less than significant.</w:t>
      </w:r>
    </w:p>
    <w:p w14:paraId="729B0B92" w14:textId="77777777" w:rsidR="000E40F4" w:rsidRPr="004C76C1" w:rsidRDefault="000E40F4" w:rsidP="00AD6FE2">
      <w:pPr>
        <w:pStyle w:val="Heading6"/>
        <w:spacing w:line="264" w:lineRule="auto"/>
      </w:pPr>
      <w:r w:rsidRPr="004C76C1">
        <w:t>Construction Equipment</w:t>
      </w:r>
    </w:p>
    <w:p w14:paraId="4117C3D8" w14:textId="77777777" w:rsidR="000E40F4" w:rsidRDefault="000E40F4" w:rsidP="00AD6FE2">
      <w:pPr>
        <w:pStyle w:val="BodyText"/>
        <w:spacing w:after="160" w:line="264" w:lineRule="auto"/>
      </w:pPr>
      <w:r w:rsidRPr="004C76C1">
        <w:t>Noise generated by on</w:t>
      </w:r>
      <w:r w:rsidR="004D1E43">
        <w:t>-</w:t>
      </w:r>
      <w:r w:rsidRPr="004C76C1">
        <w:t>site construction equipment is based on the type of equipment used, its location relative to sensitive receptors, and the timing and duration of noise-generating activities. Each stage of construction involves different kinds of equipment and has distinct noise characteristics. Noise levels from construction activities are typically dominated by the loudest equipment. The dominant equipment noise source is typically the engine, although work-piece noise (such as dropping of materials) can also be noticeable.</w:t>
      </w:r>
      <w:r>
        <w:t xml:space="preserve"> </w:t>
      </w:r>
    </w:p>
    <w:p w14:paraId="47C10D36" w14:textId="25183FA2" w:rsidR="000E40F4" w:rsidRDefault="000E40F4" w:rsidP="00AD6FE2">
      <w:pPr>
        <w:pStyle w:val="BodyText"/>
        <w:spacing w:line="264" w:lineRule="auto"/>
      </w:pPr>
      <w:r w:rsidRPr="005270A4">
        <w:t xml:space="preserve">Construction is performed in distinct steps, each of which has its own mix of equipment and, consequently, its own noise characteristics. </w:t>
      </w:r>
      <w:r w:rsidRPr="00320C15">
        <w:t xml:space="preserve">Table </w:t>
      </w:r>
      <w:r w:rsidR="00345BC8">
        <w:t>20</w:t>
      </w:r>
      <w:r w:rsidR="00345BC8" w:rsidRPr="00320C15">
        <w:t xml:space="preserve"> </w:t>
      </w:r>
      <w:r w:rsidRPr="00320C15">
        <w:t>lists</w:t>
      </w:r>
      <w:r w:rsidRPr="005270A4">
        <w:t xml:space="preserve"> </w:t>
      </w:r>
      <w:r>
        <w:t xml:space="preserve">various </w:t>
      </w:r>
      <w:r w:rsidRPr="00C21931">
        <w:t xml:space="preserve">construction equipment noise levels </w:t>
      </w:r>
      <w:r>
        <w:t>at a reference distance of 50 feet based on the Federal Highway Administration Roadway Construction Noise Model</w:t>
      </w:r>
      <w:r w:rsidRPr="00845B76">
        <w:t>.</w:t>
      </w:r>
      <w:r>
        <w:t xml:space="preserve"> </w:t>
      </w:r>
      <w:r w:rsidR="00BA1A86">
        <w:t xml:space="preserve">Construction activities are anticipated to take place between the hours of 7:00 a.m. and 4:00 p.m. Monday through Friday. </w:t>
      </w:r>
      <w:r>
        <w:t>No blasting, rock crushing, or pile driving is proposed. Noise levels at a distance of 50 feet could vary between 68 dBA L</w:t>
      </w:r>
      <w:r w:rsidRPr="00CD5225">
        <w:rPr>
          <w:vertAlign w:val="subscript"/>
        </w:rPr>
        <w:t>eq</w:t>
      </w:r>
      <w:r>
        <w:t xml:space="preserve"> and 84 dBA L</w:t>
      </w:r>
      <w:r w:rsidRPr="00CD5225">
        <w:rPr>
          <w:vertAlign w:val="subscript"/>
        </w:rPr>
        <w:t>eq</w:t>
      </w:r>
      <w:r>
        <w:t>.</w:t>
      </w:r>
      <w:r w:rsidR="000937CC">
        <w:rPr>
          <w:rStyle w:val="FootnoteReference"/>
        </w:rPr>
        <w:footnoteReference w:id="29"/>
      </w:r>
      <w:r>
        <w:t xml:space="preserve"> </w:t>
      </w:r>
    </w:p>
    <w:tbl>
      <w:tblPr>
        <w:tblW w:w="9360" w:type="dxa"/>
        <w:jc w:val="center"/>
        <w:tblBorders>
          <w:top w:val="single" w:sz="18" w:space="0" w:color="auto"/>
          <w:bottom w:val="single" w:sz="18" w:space="0" w:color="auto"/>
        </w:tblBorders>
        <w:tblLayout w:type="fixed"/>
        <w:tblLook w:val="0000" w:firstRow="0" w:lastRow="0" w:firstColumn="0" w:lastColumn="0" w:noHBand="0" w:noVBand="0"/>
      </w:tblPr>
      <w:tblGrid>
        <w:gridCol w:w="2160"/>
        <w:gridCol w:w="2340"/>
        <w:gridCol w:w="2520"/>
        <w:gridCol w:w="2340"/>
      </w:tblGrid>
      <w:tr w:rsidR="00305F41" w:rsidRPr="00845B76" w14:paraId="0E4DDC9D" w14:textId="77777777" w:rsidTr="00432DB2">
        <w:trPr>
          <w:tblHeader/>
          <w:jc w:val="center"/>
        </w:trPr>
        <w:tc>
          <w:tcPr>
            <w:tcW w:w="9360" w:type="dxa"/>
            <w:gridSpan w:val="4"/>
            <w:tcBorders>
              <w:top w:val="nil"/>
              <w:bottom w:val="single" w:sz="12" w:space="0" w:color="auto"/>
            </w:tcBorders>
            <w:noWrap/>
            <w:vAlign w:val="bottom"/>
          </w:tcPr>
          <w:p w14:paraId="29D93EE0" w14:textId="15D8AA0B" w:rsidR="00305F41" w:rsidRPr="00825D1E" w:rsidRDefault="00305F41" w:rsidP="00432DB2">
            <w:pPr>
              <w:pStyle w:val="TblTitles"/>
              <w:keepNext/>
              <w:tabs>
                <w:tab w:val="left" w:pos="1422"/>
              </w:tabs>
            </w:pPr>
            <w:bookmarkStart w:id="200" w:name="_Toc90882266"/>
            <w:r w:rsidRPr="00320C15">
              <w:t xml:space="preserve">Table </w:t>
            </w:r>
            <w:r>
              <w:t>20</w:t>
            </w:r>
            <w:r w:rsidRPr="00320C15">
              <w:tab/>
              <w:t>Construction Equipment Noise Emission Levels</w:t>
            </w:r>
            <w:bookmarkEnd w:id="200"/>
          </w:p>
        </w:tc>
      </w:tr>
      <w:tr w:rsidR="00305F41" w:rsidRPr="00845B76" w14:paraId="7D30C9A6" w14:textId="77777777" w:rsidTr="00432DB2">
        <w:trPr>
          <w:trHeight w:val="44"/>
          <w:tblHeader/>
          <w:jc w:val="center"/>
        </w:trPr>
        <w:tc>
          <w:tcPr>
            <w:tcW w:w="2160" w:type="dxa"/>
            <w:tcBorders>
              <w:top w:val="single" w:sz="12" w:space="0" w:color="auto"/>
              <w:bottom w:val="single" w:sz="12" w:space="0" w:color="auto"/>
              <w:right w:val="single" w:sz="6" w:space="0" w:color="auto"/>
            </w:tcBorders>
            <w:tcMar>
              <w:left w:w="29" w:type="dxa"/>
              <w:bottom w:w="0" w:type="dxa"/>
              <w:right w:w="29" w:type="dxa"/>
            </w:tcMar>
            <w:vAlign w:val="bottom"/>
          </w:tcPr>
          <w:p w14:paraId="5C152037" w14:textId="77777777" w:rsidR="00305F41" w:rsidRPr="00825D1E" w:rsidRDefault="00305F41" w:rsidP="00432DB2">
            <w:pPr>
              <w:pStyle w:val="TblColumnHeads"/>
              <w:keepNext/>
            </w:pPr>
            <w:r w:rsidRPr="00825D1E">
              <w:t>Construction Equipment</w:t>
            </w:r>
          </w:p>
        </w:tc>
        <w:tc>
          <w:tcPr>
            <w:tcW w:w="2340" w:type="dxa"/>
            <w:tcBorders>
              <w:top w:val="single" w:sz="12" w:space="0" w:color="auto"/>
              <w:bottom w:val="single" w:sz="12" w:space="0" w:color="auto"/>
              <w:right w:val="single" w:sz="12" w:space="0" w:color="auto"/>
            </w:tcBorders>
            <w:vAlign w:val="bottom"/>
          </w:tcPr>
          <w:p w14:paraId="3181CC20" w14:textId="77777777" w:rsidR="00305F41" w:rsidRPr="00825D1E" w:rsidRDefault="00305F41" w:rsidP="00432DB2">
            <w:pPr>
              <w:pStyle w:val="TblColumnHeads"/>
              <w:keepNext/>
              <w:rPr>
                <w:vertAlign w:val="superscript"/>
              </w:rPr>
            </w:pPr>
            <w:r>
              <w:t>Typical Max Noise Level</w:t>
            </w:r>
            <w:r>
              <w:br/>
            </w:r>
            <w:r w:rsidRPr="00825D1E">
              <w:t>(dBA L</w:t>
            </w:r>
            <w:r>
              <w:rPr>
                <w:vertAlign w:val="subscript"/>
              </w:rPr>
              <w:t>eq</w:t>
            </w:r>
            <w:r w:rsidRPr="00825D1E">
              <w:t>)</w:t>
            </w:r>
            <w:r w:rsidRPr="00825D1E">
              <w:rPr>
                <w:vertAlign w:val="superscript"/>
              </w:rPr>
              <w:t>1</w:t>
            </w:r>
          </w:p>
        </w:tc>
        <w:tc>
          <w:tcPr>
            <w:tcW w:w="2520" w:type="dxa"/>
            <w:tcBorders>
              <w:top w:val="single" w:sz="12" w:space="0" w:color="auto"/>
              <w:left w:val="single" w:sz="12" w:space="0" w:color="auto"/>
              <w:bottom w:val="single" w:sz="12" w:space="0" w:color="auto"/>
              <w:right w:val="single" w:sz="6" w:space="0" w:color="auto"/>
            </w:tcBorders>
            <w:vAlign w:val="bottom"/>
          </w:tcPr>
          <w:p w14:paraId="5B80C1EA" w14:textId="77777777" w:rsidR="00305F41" w:rsidRPr="00825D1E" w:rsidRDefault="00305F41" w:rsidP="00432DB2">
            <w:pPr>
              <w:pStyle w:val="TblColumnHeads"/>
              <w:keepNext/>
            </w:pPr>
            <w:r w:rsidRPr="00825D1E">
              <w:t>Construction Equipment</w:t>
            </w:r>
          </w:p>
        </w:tc>
        <w:tc>
          <w:tcPr>
            <w:tcW w:w="2340" w:type="dxa"/>
            <w:tcBorders>
              <w:top w:val="single" w:sz="12" w:space="0" w:color="auto"/>
              <w:left w:val="single" w:sz="6" w:space="0" w:color="auto"/>
              <w:bottom w:val="single" w:sz="12" w:space="0" w:color="auto"/>
            </w:tcBorders>
            <w:vAlign w:val="bottom"/>
          </w:tcPr>
          <w:p w14:paraId="759C0320" w14:textId="77777777" w:rsidR="00305F41" w:rsidRPr="00825D1E" w:rsidRDefault="00305F41" w:rsidP="00432DB2">
            <w:pPr>
              <w:pStyle w:val="TblColumnHeads"/>
              <w:keepNext/>
              <w:rPr>
                <w:vertAlign w:val="superscript"/>
              </w:rPr>
            </w:pPr>
            <w:r>
              <w:t>Typical Max Noise Level</w:t>
            </w:r>
            <w:r>
              <w:br/>
              <w:t>(</w:t>
            </w:r>
            <w:r w:rsidRPr="00825D1E">
              <w:t>dBA L</w:t>
            </w:r>
            <w:r>
              <w:rPr>
                <w:vertAlign w:val="subscript"/>
              </w:rPr>
              <w:t>eq</w:t>
            </w:r>
            <w:r w:rsidRPr="00825D1E">
              <w:t>)</w:t>
            </w:r>
            <w:r w:rsidRPr="00825D1E">
              <w:rPr>
                <w:vertAlign w:val="superscript"/>
              </w:rPr>
              <w:t>1</w:t>
            </w:r>
          </w:p>
        </w:tc>
      </w:tr>
      <w:tr w:rsidR="00305F41" w:rsidRPr="00845B76" w14:paraId="2DFEFA5B" w14:textId="77777777" w:rsidTr="00432DB2">
        <w:trPr>
          <w:trHeight w:val="44"/>
          <w:jc w:val="center"/>
        </w:trPr>
        <w:tc>
          <w:tcPr>
            <w:tcW w:w="2160" w:type="dxa"/>
            <w:tcBorders>
              <w:top w:val="single" w:sz="12" w:space="0" w:color="auto"/>
              <w:bottom w:val="single" w:sz="6" w:space="0" w:color="auto"/>
              <w:right w:val="single" w:sz="6" w:space="0" w:color="auto"/>
            </w:tcBorders>
            <w:shd w:val="clear" w:color="auto" w:fill="auto"/>
            <w:vAlign w:val="center"/>
          </w:tcPr>
          <w:p w14:paraId="53B4DC37" w14:textId="77777777" w:rsidR="00305F41" w:rsidRPr="00825D1E" w:rsidRDefault="00305F41" w:rsidP="00432DB2">
            <w:pPr>
              <w:pStyle w:val="TblTxt"/>
              <w:keepNext/>
            </w:pPr>
            <w:r>
              <w:t>Auger Drill Rig</w:t>
            </w:r>
          </w:p>
        </w:tc>
        <w:tc>
          <w:tcPr>
            <w:tcW w:w="2340" w:type="dxa"/>
            <w:tcBorders>
              <w:top w:val="single" w:sz="12" w:space="0" w:color="auto"/>
              <w:bottom w:val="single" w:sz="6" w:space="0" w:color="auto"/>
              <w:right w:val="single" w:sz="12" w:space="0" w:color="auto"/>
            </w:tcBorders>
            <w:shd w:val="clear" w:color="auto" w:fill="auto"/>
          </w:tcPr>
          <w:p w14:paraId="5C710E02" w14:textId="77777777" w:rsidR="00305F41" w:rsidRPr="00825D1E" w:rsidRDefault="00305F41" w:rsidP="00432DB2">
            <w:pPr>
              <w:pStyle w:val="TblTxtCenter"/>
              <w:keepNext/>
            </w:pPr>
            <w:r w:rsidRPr="00F95C80">
              <w:t>77</w:t>
            </w:r>
          </w:p>
        </w:tc>
        <w:tc>
          <w:tcPr>
            <w:tcW w:w="2520" w:type="dxa"/>
            <w:tcBorders>
              <w:top w:val="single" w:sz="12" w:space="0" w:color="auto"/>
              <w:left w:val="single" w:sz="12" w:space="0" w:color="auto"/>
              <w:bottom w:val="single" w:sz="6" w:space="0" w:color="auto"/>
              <w:right w:val="single" w:sz="6" w:space="0" w:color="auto"/>
            </w:tcBorders>
            <w:shd w:val="clear" w:color="auto" w:fill="auto"/>
          </w:tcPr>
          <w:p w14:paraId="78334F5F" w14:textId="77777777" w:rsidR="00305F41" w:rsidRPr="00825D1E" w:rsidRDefault="00305F41" w:rsidP="00432DB2">
            <w:pPr>
              <w:pStyle w:val="TblTxt"/>
              <w:keepNext/>
            </w:pPr>
            <w:r w:rsidRPr="004E67E0">
              <w:t>Jackhammer</w:t>
            </w:r>
          </w:p>
        </w:tc>
        <w:tc>
          <w:tcPr>
            <w:tcW w:w="2340" w:type="dxa"/>
            <w:tcBorders>
              <w:top w:val="single" w:sz="12" w:space="0" w:color="auto"/>
              <w:left w:val="single" w:sz="6" w:space="0" w:color="auto"/>
              <w:bottom w:val="single" w:sz="6" w:space="0" w:color="auto"/>
            </w:tcBorders>
            <w:shd w:val="clear" w:color="auto" w:fill="auto"/>
          </w:tcPr>
          <w:p w14:paraId="6378D7E3" w14:textId="77777777" w:rsidR="00305F41" w:rsidRPr="00825D1E" w:rsidRDefault="00305F41" w:rsidP="00432DB2">
            <w:pPr>
              <w:pStyle w:val="TblTxtCenter"/>
              <w:keepNext/>
            </w:pPr>
            <w:r w:rsidRPr="00C818CF">
              <w:t>76</w:t>
            </w:r>
          </w:p>
        </w:tc>
      </w:tr>
      <w:tr w:rsidR="00305F41" w:rsidRPr="00845B76" w14:paraId="6819B2E7" w14:textId="77777777" w:rsidTr="008614BA">
        <w:trPr>
          <w:trHeight w:val="331"/>
          <w:jc w:val="center"/>
        </w:trPr>
        <w:tc>
          <w:tcPr>
            <w:tcW w:w="2160" w:type="dxa"/>
            <w:tcBorders>
              <w:top w:val="single" w:sz="6" w:space="0" w:color="auto"/>
              <w:bottom w:val="single" w:sz="6" w:space="0" w:color="auto"/>
              <w:right w:val="single" w:sz="6" w:space="0" w:color="auto"/>
            </w:tcBorders>
            <w:shd w:val="clear" w:color="auto" w:fill="auto"/>
            <w:vAlign w:val="center"/>
          </w:tcPr>
          <w:p w14:paraId="29D73533" w14:textId="77777777" w:rsidR="00305F41" w:rsidRPr="00825D1E" w:rsidRDefault="00305F41" w:rsidP="00432DB2">
            <w:pPr>
              <w:pStyle w:val="TblTxt"/>
              <w:keepNext/>
            </w:pPr>
            <w:r>
              <w:t>Backhoe</w:t>
            </w:r>
          </w:p>
        </w:tc>
        <w:tc>
          <w:tcPr>
            <w:tcW w:w="2340" w:type="dxa"/>
            <w:tcBorders>
              <w:top w:val="single" w:sz="6" w:space="0" w:color="auto"/>
              <w:bottom w:val="single" w:sz="6" w:space="0" w:color="auto"/>
              <w:right w:val="single" w:sz="12" w:space="0" w:color="auto"/>
            </w:tcBorders>
            <w:shd w:val="clear" w:color="auto" w:fill="auto"/>
            <w:vAlign w:val="center"/>
          </w:tcPr>
          <w:p w14:paraId="4020AB96" w14:textId="77777777" w:rsidR="00305F41" w:rsidRPr="00825D1E" w:rsidRDefault="00305F41" w:rsidP="00432DB2">
            <w:pPr>
              <w:pStyle w:val="TblTxtCenter"/>
              <w:keepNext/>
            </w:pPr>
            <w:r w:rsidRPr="00F95C80">
              <w:t>74</w:t>
            </w:r>
          </w:p>
        </w:tc>
        <w:tc>
          <w:tcPr>
            <w:tcW w:w="2520" w:type="dxa"/>
            <w:tcBorders>
              <w:top w:val="single" w:sz="6" w:space="0" w:color="auto"/>
              <w:left w:val="single" w:sz="12" w:space="0" w:color="auto"/>
              <w:bottom w:val="single" w:sz="6" w:space="0" w:color="auto"/>
              <w:right w:val="single" w:sz="6" w:space="0" w:color="auto"/>
            </w:tcBorders>
            <w:shd w:val="clear" w:color="auto" w:fill="auto"/>
            <w:vAlign w:val="center"/>
          </w:tcPr>
          <w:p w14:paraId="40636CF6" w14:textId="77777777" w:rsidR="00305F41" w:rsidRPr="00825D1E" w:rsidRDefault="00305F41" w:rsidP="00432DB2">
            <w:pPr>
              <w:pStyle w:val="TblTxt"/>
              <w:keepNext/>
            </w:pPr>
            <w:r w:rsidRPr="004E67E0">
              <w:t>Man Lift</w:t>
            </w:r>
          </w:p>
        </w:tc>
        <w:tc>
          <w:tcPr>
            <w:tcW w:w="2340" w:type="dxa"/>
            <w:tcBorders>
              <w:top w:val="single" w:sz="6" w:space="0" w:color="auto"/>
              <w:left w:val="single" w:sz="6" w:space="0" w:color="auto"/>
              <w:bottom w:val="single" w:sz="6" w:space="0" w:color="auto"/>
            </w:tcBorders>
            <w:shd w:val="clear" w:color="auto" w:fill="auto"/>
            <w:vAlign w:val="center"/>
          </w:tcPr>
          <w:p w14:paraId="4158008B" w14:textId="77777777" w:rsidR="00305F41" w:rsidRPr="00825D1E" w:rsidRDefault="00305F41" w:rsidP="00432DB2">
            <w:pPr>
              <w:pStyle w:val="TblTxtCenter"/>
              <w:keepNext/>
            </w:pPr>
            <w:r w:rsidRPr="00C818CF">
              <w:t>80</w:t>
            </w:r>
          </w:p>
        </w:tc>
      </w:tr>
      <w:tr w:rsidR="00305F41" w:rsidRPr="00845B76" w14:paraId="2DFB73EB" w14:textId="77777777" w:rsidTr="008614BA">
        <w:trPr>
          <w:trHeight w:val="331"/>
          <w:jc w:val="center"/>
        </w:trPr>
        <w:tc>
          <w:tcPr>
            <w:tcW w:w="2160" w:type="dxa"/>
            <w:tcBorders>
              <w:top w:val="single" w:sz="6" w:space="0" w:color="auto"/>
              <w:bottom w:val="single" w:sz="6" w:space="0" w:color="auto"/>
              <w:right w:val="single" w:sz="6" w:space="0" w:color="auto"/>
            </w:tcBorders>
            <w:shd w:val="clear" w:color="auto" w:fill="auto"/>
            <w:vAlign w:val="center"/>
          </w:tcPr>
          <w:p w14:paraId="3CF14307" w14:textId="77777777" w:rsidR="00305F41" w:rsidRPr="00825D1E" w:rsidRDefault="00305F41" w:rsidP="00432DB2">
            <w:pPr>
              <w:pStyle w:val="TblTxt"/>
              <w:keepNext/>
            </w:pPr>
            <w:r>
              <w:t>Bar Bender</w:t>
            </w:r>
          </w:p>
        </w:tc>
        <w:tc>
          <w:tcPr>
            <w:tcW w:w="2340" w:type="dxa"/>
            <w:tcBorders>
              <w:top w:val="single" w:sz="6" w:space="0" w:color="auto"/>
              <w:bottom w:val="single" w:sz="6" w:space="0" w:color="auto"/>
              <w:right w:val="single" w:sz="12" w:space="0" w:color="auto"/>
            </w:tcBorders>
            <w:shd w:val="clear" w:color="auto" w:fill="auto"/>
            <w:vAlign w:val="center"/>
          </w:tcPr>
          <w:p w14:paraId="0EA527BB" w14:textId="77777777" w:rsidR="00305F41" w:rsidRPr="00825D1E" w:rsidRDefault="00305F41" w:rsidP="00432DB2">
            <w:pPr>
              <w:pStyle w:val="TblTxtCenter"/>
              <w:keepNext/>
            </w:pPr>
            <w:r w:rsidRPr="00F95C80">
              <w:t>73</w:t>
            </w:r>
          </w:p>
        </w:tc>
        <w:tc>
          <w:tcPr>
            <w:tcW w:w="2520" w:type="dxa"/>
            <w:tcBorders>
              <w:top w:val="single" w:sz="6" w:space="0" w:color="auto"/>
              <w:left w:val="single" w:sz="12" w:space="0" w:color="auto"/>
              <w:bottom w:val="single" w:sz="6" w:space="0" w:color="auto"/>
              <w:right w:val="single" w:sz="6" w:space="0" w:color="auto"/>
            </w:tcBorders>
            <w:shd w:val="clear" w:color="auto" w:fill="auto"/>
            <w:vAlign w:val="center"/>
          </w:tcPr>
          <w:p w14:paraId="70F1EFA5" w14:textId="77777777" w:rsidR="00305F41" w:rsidRPr="00825D1E" w:rsidRDefault="00305F41" w:rsidP="00432DB2">
            <w:pPr>
              <w:pStyle w:val="TblTxt"/>
              <w:keepNext/>
            </w:pPr>
            <w:r w:rsidRPr="004E67E0">
              <w:t>Mounted Impact Hammer (hoe</w:t>
            </w:r>
          </w:p>
        </w:tc>
        <w:tc>
          <w:tcPr>
            <w:tcW w:w="2340" w:type="dxa"/>
            <w:tcBorders>
              <w:top w:val="single" w:sz="6" w:space="0" w:color="auto"/>
              <w:left w:val="single" w:sz="6" w:space="0" w:color="auto"/>
              <w:bottom w:val="single" w:sz="6" w:space="0" w:color="auto"/>
            </w:tcBorders>
            <w:shd w:val="clear" w:color="auto" w:fill="auto"/>
            <w:vAlign w:val="center"/>
          </w:tcPr>
          <w:p w14:paraId="0C838E6C" w14:textId="77777777" w:rsidR="00305F41" w:rsidRPr="00825D1E" w:rsidRDefault="00305F41" w:rsidP="00432DB2">
            <w:pPr>
              <w:pStyle w:val="TblTxtCenter"/>
              <w:keepNext/>
            </w:pPr>
            <w:r w:rsidRPr="00C818CF">
              <w:t>82</w:t>
            </w:r>
          </w:p>
        </w:tc>
      </w:tr>
      <w:tr w:rsidR="00305F41" w:rsidRPr="00845B76" w14:paraId="43F3A37C" w14:textId="77777777" w:rsidTr="008614BA">
        <w:trPr>
          <w:trHeight w:val="331"/>
          <w:jc w:val="center"/>
        </w:trPr>
        <w:tc>
          <w:tcPr>
            <w:tcW w:w="2160" w:type="dxa"/>
            <w:tcBorders>
              <w:top w:val="single" w:sz="6" w:space="0" w:color="auto"/>
              <w:bottom w:val="single" w:sz="6" w:space="0" w:color="auto"/>
              <w:right w:val="single" w:sz="6" w:space="0" w:color="auto"/>
            </w:tcBorders>
            <w:shd w:val="clear" w:color="auto" w:fill="auto"/>
            <w:vAlign w:val="center"/>
          </w:tcPr>
          <w:p w14:paraId="229AB811" w14:textId="77777777" w:rsidR="00305F41" w:rsidRPr="00825D1E" w:rsidRDefault="00305F41" w:rsidP="00432DB2">
            <w:pPr>
              <w:pStyle w:val="TblTxt"/>
              <w:keepNext/>
            </w:pPr>
            <w:r>
              <w:t>Boring Jack Power Unit</w:t>
            </w:r>
          </w:p>
        </w:tc>
        <w:tc>
          <w:tcPr>
            <w:tcW w:w="2340" w:type="dxa"/>
            <w:tcBorders>
              <w:top w:val="single" w:sz="6" w:space="0" w:color="auto"/>
              <w:bottom w:val="single" w:sz="6" w:space="0" w:color="auto"/>
              <w:right w:val="single" w:sz="12" w:space="0" w:color="auto"/>
            </w:tcBorders>
            <w:shd w:val="clear" w:color="auto" w:fill="auto"/>
            <w:vAlign w:val="center"/>
          </w:tcPr>
          <w:p w14:paraId="249438C6" w14:textId="77777777" w:rsidR="00305F41" w:rsidRPr="00825D1E" w:rsidRDefault="00305F41" w:rsidP="00432DB2">
            <w:pPr>
              <w:pStyle w:val="TblTxtCenter"/>
              <w:keepNext/>
            </w:pPr>
            <w:r w:rsidRPr="00F95C80">
              <w:t>80</w:t>
            </w:r>
          </w:p>
        </w:tc>
        <w:tc>
          <w:tcPr>
            <w:tcW w:w="2520" w:type="dxa"/>
            <w:tcBorders>
              <w:top w:val="single" w:sz="6" w:space="0" w:color="auto"/>
              <w:left w:val="single" w:sz="12" w:space="0" w:color="auto"/>
              <w:bottom w:val="single" w:sz="6" w:space="0" w:color="auto"/>
              <w:right w:val="single" w:sz="6" w:space="0" w:color="auto"/>
            </w:tcBorders>
            <w:shd w:val="clear" w:color="auto" w:fill="auto"/>
            <w:vAlign w:val="center"/>
          </w:tcPr>
          <w:p w14:paraId="6552BA2D" w14:textId="77777777" w:rsidR="00305F41" w:rsidRPr="00825D1E" w:rsidRDefault="00305F41" w:rsidP="00432DB2">
            <w:pPr>
              <w:pStyle w:val="TblTxt"/>
              <w:keepNext/>
            </w:pPr>
            <w:r w:rsidRPr="004E67E0">
              <w:t>Pavement Scarafier</w:t>
            </w:r>
          </w:p>
        </w:tc>
        <w:tc>
          <w:tcPr>
            <w:tcW w:w="2340" w:type="dxa"/>
            <w:tcBorders>
              <w:top w:val="single" w:sz="6" w:space="0" w:color="auto"/>
              <w:left w:val="single" w:sz="6" w:space="0" w:color="auto"/>
              <w:bottom w:val="single" w:sz="6" w:space="0" w:color="auto"/>
            </w:tcBorders>
            <w:shd w:val="clear" w:color="auto" w:fill="auto"/>
            <w:vAlign w:val="center"/>
          </w:tcPr>
          <w:p w14:paraId="31BD3DAB" w14:textId="77777777" w:rsidR="00305F41" w:rsidRPr="00825D1E" w:rsidRDefault="00305F41" w:rsidP="00432DB2">
            <w:pPr>
              <w:pStyle w:val="TblTxtCenter"/>
              <w:keepNext/>
            </w:pPr>
            <w:r w:rsidRPr="00C818CF">
              <w:t>68</w:t>
            </w:r>
          </w:p>
        </w:tc>
      </w:tr>
      <w:tr w:rsidR="00305F41" w:rsidRPr="00845B76" w14:paraId="65992F09" w14:textId="77777777" w:rsidTr="008614BA">
        <w:trPr>
          <w:trHeight w:val="331"/>
          <w:jc w:val="center"/>
        </w:trPr>
        <w:tc>
          <w:tcPr>
            <w:tcW w:w="2160" w:type="dxa"/>
            <w:tcBorders>
              <w:top w:val="single" w:sz="6" w:space="0" w:color="auto"/>
              <w:bottom w:val="single" w:sz="6" w:space="0" w:color="auto"/>
              <w:right w:val="single" w:sz="6" w:space="0" w:color="auto"/>
            </w:tcBorders>
            <w:shd w:val="clear" w:color="auto" w:fill="auto"/>
            <w:vAlign w:val="center"/>
          </w:tcPr>
          <w:p w14:paraId="74D3A821" w14:textId="77777777" w:rsidR="00305F41" w:rsidRPr="00825D1E" w:rsidRDefault="00305F41" w:rsidP="00432DB2">
            <w:pPr>
              <w:pStyle w:val="TblTxt"/>
              <w:keepNext/>
            </w:pPr>
            <w:r>
              <w:t>Chain Saw</w:t>
            </w:r>
          </w:p>
        </w:tc>
        <w:tc>
          <w:tcPr>
            <w:tcW w:w="2340" w:type="dxa"/>
            <w:tcBorders>
              <w:top w:val="single" w:sz="6" w:space="0" w:color="auto"/>
              <w:bottom w:val="single" w:sz="6" w:space="0" w:color="auto"/>
              <w:right w:val="single" w:sz="12" w:space="0" w:color="auto"/>
            </w:tcBorders>
            <w:shd w:val="clear" w:color="auto" w:fill="auto"/>
            <w:vAlign w:val="center"/>
          </w:tcPr>
          <w:p w14:paraId="76E60341" w14:textId="77777777" w:rsidR="00305F41" w:rsidRPr="00825D1E" w:rsidRDefault="00305F41" w:rsidP="00432DB2">
            <w:pPr>
              <w:pStyle w:val="TblTxtCenter"/>
              <w:keepNext/>
            </w:pPr>
            <w:r w:rsidRPr="00F95C80">
              <w:t>77</w:t>
            </w:r>
          </w:p>
        </w:tc>
        <w:tc>
          <w:tcPr>
            <w:tcW w:w="2520" w:type="dxa"/>
            <w:tcBorders>
              <w:top w:val="single" w:sz="6" w:space="0" w:color="auto"/>
              <w:left w:val="single" w:sz="12" w:space="0" w:color="auto"/>
              <w:bottom w:val="single" w:sz="6" w:space="0" w:color="auto"/>
              <w:right w:val="single" w:sz="6" w:space="0" w:color="auto"/>
            </w:tcBorders>
            <w:shd w:val="clear" w:color="auto" w:fill="auto"/>
            <w:vAlign w:val="center"/>
          </w:tcPr>
          <w:p w14:paraId="7117CBD2" w14:textId="77777777" w:rsidR="00305F41" w:rsidRPr="00825D1E" w:rsidRDefault="00305F41" w:rsidP="00432DB2">
            <w:pPr>
              <w:pStyle w:val="TblTxt"/>
              <w:keepNext/>
            </w:pPr>
            <w:r w:rsidRPr="004E67E0">
              <w:t>Paver</w:t>
            </w:r>
          </w:p>
        </w:tc>
        <w:tc>
          <w:tcPr>
            <w:tcW w:w="2340" w:type="dxa"/>
            <w:tcBorders>
              <w:top w:val="single" w:sz="6" w:space="0" w:color="auto"/>
              <w:left w:val="single" w:sz="6" w:space="0" w:color="auto"/>
              <w:bottom w:val="single" w:sz="6" w:space="0" w:color="auto"/>
            </w:tcBorders>
            <w:shd w:val="clear" w:color="auto" w:fill="auto"/>
            <w:vAlign w:val="center"/>
          </w:tcPr>
          <w:p w14:paraId="38F33731" w14:textId="77777777" w:rsidR="00305F41" w:rsidRPr="00825D1E" w:rsidRDefault="00305F41" w:rsidP="00432DB2">
            <w:pPr>
              <w:pStyle w:val="TblTxtCenter"/>
              <w:keepNext/>
            </w:pPr>
            <w:r w:rsidRPr="00C818CF">
              <w:t>83</w:t>
            </w:r>
          </w:p>
        </w:tc>
      </w:tr>
      <w:tr w:rsidR="00305F41" w:rsidRPr="00845B76" w14:paraId="713315D6" w14:textId="77777777" w:rsidTr="008614BA">
        <w:trPr>
          <w:trHeight w:val="331"/>
          <w:jc w:val="center"/>
        </w:trPr>
        <w:tc>
          <w:tcPr>
            <w:tcW w:w="2160" w:type="dxa"/>
            <w:tcBorders>
              <w:top w:val="single" w:sz="6" w:space="0" w:color="auto"/>
              <w:bottom w:val="single" w:sz="6" w:space="0" w:color="auto"/>
              <w:right w:val="single" w:sz="6" w:space="0" w:color="auto"/>
            </w:tcBorders>
            <w:shd w:val="clear" w:color="auto" w:fill="auto"/>
            <w:vAlign w:val="center"/>
          </w:tcPr>
          <w:p w14:paraId="40AE5D1D" w14:textId="77777777" w:rsidR="00305F41" w:rsidRPr="00825D1E" w:rsidRDefault="00305F41" w:rsidP="00432DB2">
            <w:pPr>
              <w:pStyle w:val="TblTxt"/>
              <w:keepNext/>
            </w:pPr>
            <w:r>
              <w:t>Clam Shovel (dropping)</w:t>
            </w:r>
          </w:p>
        </w:tc>
        <w:tc>
          <w:tcPr>
            <w:tcW w:w="2340" w:type="dxa"/>
            <w:tcBorders>
              <w:top w:val="single" w:sz="6" w:space="0" w:color="auto"/>
              <w:bottom w:val="single" w:sz="6" w:space="0" w:color="auto"/>
              <w:right w:val="single" w:sz="12" w:space="0" w:color="auto"/>
            </w:tcBorders>
            <w:shd w:val="clear" w:color="auto" w:fill="auto"/>
            <w:vAlign w:val="center"/>
          </w:tcPr>
          <w:p w14:paraId="7C36EA23" w14:textId="77777777" w:rsidR="00305F41" w:rsidRPr="00825D1E" w:rsidRDefault="00305F41" w:rsidP="00432DB2">
            <w:pPr>
              <w:pStyle w:val="TblTxtCenter"/>
              <w:keepNext/>
            </w:pPr>
            <w:r w:rsidRPr="00F95C80">
              <w:t>80</w:t>
            </w:r>
          </w:p>
        </w:tc>
        <w:tc>
          <w:tcPr>
            <w:tcW w:w="2520" w:type="dxa"/>
            <w:tcBorders>
              <w:top w:val="single" w:sz="6" w:space="0" w:color="auto"/>
              <w:left w:val="single" w:sz="12" w:space="0" w:color="auto"/>
              <w:bottom w:val="single" w:sz="6" w:space="0" w:color="auto"/>
              <w:right w:val="single" w:sz="6" w:space="0" w:color="auto"/>
            </w:tcBorders>
            <w:shd w:val="clear" w:color="auto" w:fill="auto"/>
            <w:vAlign w:val="center"/>
          </w:tcPr>
          <w:p w14:paraId="61C1414A" w14:textId="77777777" w:rsidR="00305F41" w:rsidRPr="00825D1E" w:rsidRDefault="00305F41" w:rsidP="00432DB2">
            <w:pPr>
              <w:pStyle w:val="TblTxt"/>
              <w:keepNext/>
            </w:pPr>
            <w:r w:rsidRPr="004E67E0">
              <w:t>Pickup Truck</w:t>
            </w:r>
          </w:p>
        </w:tc>
        <w:tc>
          <w:tcPr>
            <w:tcW w:w="2340" w:type="dxa"/>
            <w:tcBorders>
              <w:top w:val="single" w:sz="6" w:space="0" w:color="auto"/>
              <w:left w:val="single" w:sz="6" w:space="0" w:color="auto"/>
              <w:bottom w:val="single" w:sz="6" w:space="0" w:color="auto"/>
            </w:tcBorders>
            <w:shd w:val="clear" w:color="auto" w:fill="auto"/>
            <w:vAlign w:val="center"/>
          </w:tcPr>
          <w:p w14:paraId="4DF2A865" w14:textId="77777777" w:rsidR="00305F41" w:rsidRPr="00825D1E" w:rsidRDefault="00305F41" w:rsidP="00432DB2">
            <w:pPr>
              <w:pStyle w:val="TblTxtCenter"/>
              <w:keepNext/>
            </w:pPr>
            <w:r w:rsidRPr="00C818CF">
              <w:t>83</w:t>
            </w:r>
          </w:p>
        </w:tc>
      </w:tr>
      <w:tr w:rsidR="00305F41" w:rsidRPr="00845B76" w14:paraId="14EDB694" w14:textId="77777777" w:rsidTr="008614BA">
        <w:trPr>
          <w:trHeight w:val="331"/>
          <w:jc w:val="center"/>
        </w:trPr>
        <w:tc>
          <w:tcPr>
            <w:tcW w:w="2160" w:type="dxa"/>
            <w:tcBorders>
              <w:top w:val="single" w:sz="6" w:space="0" w:color="auto"/>
              <w:bottom w:val="single" w:sz="6" w:space="0" w:color="auto"/>
              <w:right w:val="single" w:sz="6" w:space="0" w:color="auto"/>
            </w:tcBorders>
            <w:shd w:val="clear" w:color="auto" w:fill="auto"/>
            <w:vAlign w:val="center"/>
          </w:tcPr>
          <w:p w14:paraId="4FD9A934" w14:textId="77777777" w:rsidR="00305F41" w:rsidRPr="00825D1E" w:rsidRDefault="00305F41" w:rsidP="00432DB2">
            <w:pPr>
              <w:pStyle w:val="TblTxt"/>
              <w:keepNext/>
            </w:pPr>
            <w:r>
              <w:t>Compactor (ground)</w:t>
            </w:r>
          </w:p>
        </w:tc>
        <w:tc>
          <w:tcPr>
            <w:tcW w:w="2340" w:type="dxa"/>
            <w:tcBorders>
              <w:top w:val="single" w:sz="6" w:space="0" w:color="auto"/>
              <w:bottom w:val="single" w:sz="6" w:space="0" w:color="auto"/>
              <w:right w:val="single" w:sz="12" w:space="0" w:color="auto"/>
            </w:tcBorders>
            <w:shd w:val="clear" w:color="auto" w:fill="auto"/>
            <w:vAlign w:val="center"/>
          </w:tcPr>
          <w:p w14:paraId="6C3D1079" w14:textId="77777777" w:rsidR="00305F41" w:rsidRPr="00825D1E" w:rsidRDefault="00305F41" w:rsidP="00432DB2">
            <w:pPr>
              <w:pStyle w:val="TblTxtCenter"/>
              <w:keepNext/>
            </w:pPr>
            <w:r w:rsidRPr="00F95C80">
              <w:t>76</w:t>
            </w:r>
          </w:p>
        </w:tc>
        <w:tc>
          <w:tcPr>
            <w:tcW w:w="2520" w:type="dxa"/>
            <w:tcBorders>
              <w:top w:val="single" w:sz="6" w:space="0" w:color="auto"/>
              <w:left w:val="single" w:sz="12" w:space="0" w:color="auto"/>
              <w:bottom w:val="single" w:sz="6" w:space="0" w:color="auto"/>
              <w:right w:val="single" w:sz="6" w:space="0" w:color="auto"/>
            </w:tcBorders>
            <w:shd w:val="clear" w:color="auto" w:fill="auto"/>
            <w:vAlign w:val="center"/>
          </w:tcPr>
          <w:p w14:paraId="7DADD0F6" w14:textId="77777777" w:rsidR="00305F41" w:rsidRPr="00825D1E" w:rsidRDefault="00305F41" w:rsidP="00432DB2">
            <w:pPr>
              <w:pStyle w:val="TblTxt"/>
              <w:keepNext/>
            </w:pPr>
            <w:r w:rsidRPr="004E67E0">
              <w:t>Pneumatic Tools</w:t>
            </w:r>
          </w:p>
        </w:tc>
        <w:tc>
          <w:tcPr>
            <w:tcW w:w="2340" w:type="dxa"/>
            <w:tcBorders>
              <w:top w:val="single" w:sz="6" w:space="0" w:color="auto"/>
              <w:left w:val="single" w:sz="6" w:space="0" w:color="auto"/>
              <w:bottom w:val="single" w:sz="6" w:space="0" w:color="auto"/>
            </w:tcBorders>
            <w:shd w:val="clear" w:color="auto" w:fill="auto"/>
            <w:vAlign w:val="center"/>
          </w:tcPr>
          <w:p w14:paraId="103679DC" w14:textId="77777777" w:rsidR="00305F41" w:rsidRPr="00825D1E" w:rsidRDefault="00305F41" w:rsidP="00432DB2">
            <w:pPr>
              <w:pStyle w:val="TblTxtCenter"/>
              <w:keepNext/>
            </w:pPr>
            <w:r w:rsidRPr="00C818CF">
              <w:t>74</w:t>
            </w:r>
          </w:p>
        </w:tc>
      </w:tr>
      <w:tr w:rsidR="00305F41" w:rsidRPr="00845B76" w14:paraId="4EFC21A1" w14:textId="77777777" w:rsidTr="008614BA">
        <w:trPr>
          <w:trHeight w:val="331"/>
          <w:jc w:val="center"/>
        </w:trPr>
        <w:tc>
          <w:tcPr>
            <w:tcW w:w="2160" w:type="dxa"/>
            <w:tcBorders>
              <w:top w:val="single" w:sz="6" w:space="0" w:color="auto"/>
              <w:bottom w:val="single" w:sz="6" w:space="0" w:color="auto"/>
              <w:right w:val="single" w:sz="6" w:space="0" w:color="auto"/>
            </w:tcBorders>
            <w:shd w:val="clear" w:color="auto" w:fill="auto"/>
            <w:vAlign w:val="center"/>
          </w:tcPr>
          <w:p w14:paraId="7E821471" w14:textId="77777777" w:rsidR="00305F41" w:rsidRPr="00825D1E" w:rsidRDefault="00305F41" w:rsidP="00432DB2">
            <w:pPr>
              <w:pStyle w:val="TblTxt"/>
              <w:keepNext/>
            </w:pPr>
            <w:r>
              <w:t>Compressor (air)</w:t>
            </w:r>
          </w:p>
        </w:tc>
        <w:tc>
          <w:tcPr>
            <w:tcW w:w="2340" w:type="dxa"/>
            <w:tcBorders>
              <w:top w:val="single" w:sz="6" w:space="0" w:color="auto"/>
              <w:bottom w:val="single" w:sz="6" w:space="0" w:color="auto"/>
              <w:right w:val="single" w:sz="12" w:space="0" w:color="auto"/>
            </w:tcBorders>
            <w:shd w:val="clear" w:color="auto" w:fill="auto"/>
            <w:vAlign w:val="center"/>
          </w:tcPr>
          <w:p w14:paraId="5F573A98" w14:textId="77777777" w:rsidR="00305F41" w:rsidRPr="00825D1E" w:rsidRDefault="00305F41" w:rsidP="00432DB2">
            <w:pPr>
              <w:pStyle w:val="TblTxtCenter"/>
              <w:keepNext/>
            </w:pPr>
            <w:r w:rsidRPr="00F95C80">
              <w:t>74</w:t>
            </w:r>
          </w:p>
        </w:tc>
        <w:tc>
          <w:tcPr>
            <w:tcW w:w="2520" w:type="dxa"/>
            <w:tcBorders>
              <w:top w:val="single" w:sz="6" w:space="0" w:color="auto"/>
              <w:left w:val="single" w:sz="12" w:space="0" w:color="auto"/>
              <w:bottom w:val="single" w:sz="6" w:space="0" w:color="auto"/>
              <w:right w:val="single" w:sz="6" w:space="0" w:color="auto"/>
            </w:tcBorders>
            <w:shd w:val="clear" w:color="auto" w:fill="auto"/>
            <w:vAlign w:val="center"/>
          </w:tcPr>
          <w:p w14:paraId="306FC9B0" w14:textId="77777777" w:rsidR="00305F41" w:rsidRPr="00825D1E" w:rsidRDefault="00305F41" w:rsidP="00432DB2">
            <w:pPr>
              <w:pStyle w:val="TblTxt"/>
              <w:keepNext/>
            </w:pPr>
            <w:r w:rsidRPr="004E67E0">
              <w:t>Pumps</w:t>
            </w:r>
          </w:p>
        </w:tc>
        <w:tc>
          <w:tcPr>
            <w:tcW w:w="2340" w:type="dxa"/>
            <w:tcBorders>
              <w:top w:val="single" w:sz="6" w:space="0" w:color="auto"/>
              <w:left w:val="single" w:sz="6" w:space="0" w:color="auto"/>
              <w:bottom w:val="single" w:sz="6" w:space="0" w:color="auto"/>
            </w:tcBorders>
            <w:shd w:val="clear" w:color="auto" w:fill="auto"/>
            <w:vAlign w:val="center"/>
          </w:tcPr>
          <w:p w14:paraId="4B993110" w14:textId="77777777" w:rsidR="00305F41" w:rsidRPr="00825D1E" w:rsidRDefault="00305F41" w:rsidP="00432DB2">
            <w:pPr>
              <w:pStyle w:val="TblTxtCenter"/>
              <w:keepNext/>
            </w:pPr>
            <w:r w:rsidRPr="00C818CF">
              <w:t>71</w:t>
            </w:r>
          </w:p>
        </w:tc>
      </w:tr>
      <w:tr w:rsidR="00305F41" w:rsidRPr="00845B76" w14:paraId="46597D6A" w14:textId="77777777" w:rsidTr="008614BA">
        <w:trPr>
          <w:trHeight w:val="331"/>
          <w:jc w:val="center"/>
        </w:trPr>
        <w:tc>
          <w:tcPr>
            <w:tcW w:w="2160" w:type="dxa"/>
            <w:tcBorders>
              <w:top w:val="single" w:sz="6" w:space="0" w:color="auto"/>
              <w:bottom w:val="single" w:sz="6" w:space="0" w:color="auto"/>
              <w:right w:val="single" w:sz="6" w:space="0" w:color="auto"/>
            </w:tcBorders>
            <w:shd w:val="clear" w:color="auto" w:fill="auto"/>
            <w:vAlign w:val="center"/>
          </w:tcPr>
          <w:p w14:paraId="39A31021" w14:textId="77777777" w:rsidR="00305F41" w:rsidRPr="00825D1E" w:rsidRDefault="00305F41" w:rsidP="00432DB2">
            <w:pPr>
              <w:pStyle w:val="TblTxt"/>
              <w:keepNext/>
            </w:pPr>
            <w:r>
              <w:t>Concrete Batch Plant</w:t>
            </w:r>
          </w:p>
        </w:tc>
        <w:tc>
          <w:tcPr>
            <w:tcW w:w="2340" w:type="dxa"/>
            <w:tcBorders>
              <w:top w:val="single" w:sz="6" w:space="0" w:color="auto"/>
              <w:bottom w:val="single" w:sz="6" w:space="0" w:color="auto"/>
              <w:right w:val="single" w:sz="12" w:space="0" w:color="auto"/>
            </w:tcBorders>
            <w:shd w:val="clear" w:color="auto" w:fill="auto"/>
            <w:vAlign w:val="center"/>
          </w:tcPr>
          <w:p w14:paraId="3FAE9862" w14:textId="77777777" w:rsidR="00305F41" w:rsidRPr="00825D1E" w:rsidRDefault="00305F41" w:rsidP="00432DB2">
            <w:pPr>
              <w:pStyle w:val="TblTxtCenter"/>
              <w:keepNext/>
            </w:pPr>
            <w:r w:rsidRPr="00F95C80">
              <w:t>75</w:t>
            </w:r>
          </w:p>
        </w:tc>
        <w:tc>
          <w:tcPr>
            <w:tcW w:w="2520" w:type="dxa"/>
            <w:tcBorders>
              <w:top w:val="single" w:sz="6" w:space="0" w:color="auto"/>
              <w:left w:val="single" w:sz="12" w:space="0" w:color="auto"/>
              <w:bottom w:val="single" w:sz="6" w:space="0" w:color="auto"/>
              <w:right w:val="single" w:sz="6" w:space="0" w:color="auto"/>
            </w:tcBorders>
            <w:shd w:val="clear" w:color="auto" w:fill="auto"/>
            <w:vAlign w:val="center"/>
          </w:tcPr>
          <w:p w14:paraId="2818ABA3" w14:textId="77777777" w:rsidR="00305F41" w:rsidRPr="00825D1E" w:rsidRDefault="00305F41" w:rsidP="00432DB2">
            <w:pPr>
              <w:pStyle w:val="TblTxt"/>
              <w:keepNext/>
            </w:pPr>
            <w:r w:rsidRPr="004E67E0">
              <w:t>Refrigerator Unit</w:t>
            </w:r>
          </w:p>
        </w:tc>
        <w:tc>
          <w:tcPr>
            <w:tcW w:w="2340" w:type="dxa"/>
            <w:tcBorders>
              <w:top w:val="single" w:sz="6" w:space="0" w:color="auto"/>
              <w:left w:val="single" w:sz="6" w:space="0" w:color="auto"/>
              <w:bottom w:val="single" w:sz="6" w:space="0" w:color="auto"/>
            </w:tcBorders>
            <w:shd w:val="clear" w:color="auto" w:fill="auto"/>
            <w:vAlign w:val="center"/>
          </w:tcPr>
          <w:p w14:paraId="557D635B" w14:textId="77777777" w:rsidR="00305F41" w:rsidRPr="00825D1E" w:rsidRDefault="00305F41" w:rsidP="00432DB2">
            <w:pPr>
              <w:pStyle w:val="TblTxtCenter"/>
              <w:keepNext/>
            </w:pPr>
            <w:r w:rsidRPr="00C818CF">
              <w:t>82</w:t>
            </w:r>
          </w:p>
        </w:tc>
      </w:tr>
      <w:tr w:rsidR="00305F41" w:rsidRPr="00845B76" w14:paraId="46585A0D" w14:textId="77777777" w:rsidTr="008614BA">
        <w:trPr>
          <w:trHeight w:val="331"/>
          <w:jc w:val="center"/>
        </w:trPr>
        <w:tc>
          <w:tcPr>
            <w:tcW w:w="2160" w:type="dxa"/>
            <w:tcBorders>
              <w:top w:val="single" w:sz="6" w:space="0" w:color="auto"/>
              <w:bottom w:val="single" w:sz="6" w:space="0" w:color="auto"/>
              <w:right w:val="single" w:sz="6" w:space="0" w:color="auto"/>
            </w:tcBorders>
            <w:shd w:val="clear" w:color="auto" w:fill="auto"/>
            <w:vAlign w:val="center"/>
          </w:tcPr>
          <w:p w14:paraId="722D1FCD" w14:textId="77777777" w:rsidR="00305F41" w:rsidRPr="00825D1E" w:rsidRDefault="00305F41" w:rsidP="00432DB2">
            <w:pPr>
              <w:pStyle w:val="TblTxt"/>
              <w:keepNext/>
            </w:pPr>
            <w:r>
              <w:t>Concrete Mixer Truck</w:t>
            </w:r>
          </w:p>
        </w:tc>
        <w:tc>
          <w:tcPr>
            <w:tcW w:w="2340" w:type="dxa"/>
            <w:tcBorders>
              <w:top w:val="single" w:sz="6" w:space="0" w:color="auto"/>
              <w:bottom w:val="single" w:sz="6" w:space="0" w:color="auto"/>
              <w:right w:val="single" w:sz="12" w:space="0" w:color="auto"/>
            </w:tcBorders>
            <w:shd w:val="clear" w:color="auto" w:fill="auto"/>
            <w:vAlign w:val="center"/>
          </w:tcPr>
          <w:p w14:paraId="4829E293" w14:textId="77777777" w:rsidR="00305F41" w:rsidRPr="00825D1E" w:rsidRDefault="00305F41" w:rsidP="00432DB2">
            <w:pPr>
              <w:pStyle w:val="TblTxtCenter"/>
              <w:keepNext/>
            </w:pPr>
            <w:r w:rsidRPr="00F95C80">
              <w:t>75</w:t>
            </w:r>
          </w:p>
        </w:tc>
        <w:tc>
          <w:tcPr>
            <w:tcW w:w="2520" w:type="dxa"/>
            <w:tcBorders>
              <w:top w:val="single" w:sz="6" w:space="0" w:color="auto"/>
              <w:left w:val="single" w:sz="12" w:space="0" w:color="auto"/>
              <w:bottom w:val="single" w:sz="6" w:space="0" w:color="auto"/>
              <w:right w:val="single" w:sz="6" w:space="0" w:color="auto"/>
            </w:tcBorders>
            <w:shd w:val="clear" w:color="auto" w:fill="auto"/>
            <w:vAlign w:val="center"/>
          </w:tcPr>
          <w:p w14:paraId="09E5F8D9" w14:textId="77777777" w:rsidR="00305F41" w:rsidRPr="00825D1E" w:rsidRDefault="00305F41" w:rsidP="00432DB2">
            <w:pPr>
              <w:pStyle w:val="TblTxt"/>
              <w:keepNext/>
            </w:pPr>
            <w:r w:rsidRPr="004E67E0">
              <w:t>Rivet Buster/chipping gun</w:t>
            </w:r>
          </w:p>
        </w:tc>
        <w:tc>
          <w:tcPr>
            <w:tcW w:w="2340" w:type="dxa"/>
            <w:tcBorders>
              <w:top w:val="single" w:sz="6" w:space="0" w:color="auto"/>
              <w:left w:val="single" w:sz="6" w:space="0" w:color="auto"/>
              <w:bottom w:val="single" w:sz="6" w:space="0" w:color="auto"/>
            </w:tcBorders>
            <w:shd w:val="clear" w:color="auto" w:fill="auto"/>
            <w:vAlign w:val="center"/>
          </w:tcPr>
          <w:p w14:paraId="56884F55" w14:textId="77777777" w:rsidR="00305F41" w:rsidRPr="00825D1E" w:rsidRDefault="00305F41" w:rsidP="00432DB2">
            <w:pPr>
              <w:pStyle w:val="TblTxtCenter"/>
              <w:keepNext/>
            </w:pPr>
            <w:r w:rsidRPr="00C818CF">
              <w:t>78</w:t>
            </w:r>
          </w:p>
        </w:tc>
      </w:tr>
      <w:tr w:rsidR="00305F41" w:rsidRPr="00845B76" w14:paraId="4D604DF4" w14:textId="77777777" w:rsidTr="008614BA">
        <w:trPr>
          <w:trHeight w:val="331"/>
          <w:jc w:val="center"/>
        </w:trPr>
        <w:tc>
          <w:tcPr>
            <w:tcW w:w="2160" w:type="dxa"/>
            <w:tcBorders>
              <w:top w:val="single" w:sz="6" w:space="0" w:color="auto"/>
              <w:bottom w:val="single" w:sz="6" w:space="0" w:color="auto"/>
              <w:right w:val="single" w:sz="6" w:space="0" w:color="auto"/>
            </w:tcBorders>
            <w:shd w:val="clear" w:color="auto" w:fill="auto"/>
            <w:vAlign w:val="center"/>
          </w:tcPr>
          <w:p w14:paraId="46838D53" w14:textId="77777777" w:rsidR="00305F41" w:rsidRPr="00825D1E" w:rsidRDefault="00305F41" w:rsidP="00432DB2">
            <w:pPr>
              <w:pStyle w:val="TblTxt"/>
              <w:keepNext/>
            </w:pPr>
            <w:r>
              <w:t>Concrete Pump Truck</w:t>
            </w:r>
          </w:p>
        </w:tc>
        <w:tc>
          <w:tcPr>
            <w:tcW w:w="2340" w:type="dxa"/>
            <w:tcBorders>
              <w:top w:val="single" w:sz="6" w:space="0" w:color="auto"/>
              <w:bottom w:val="single" w:sz="6" w:space="0" w:color="auto"/>
              <w:right w:val="single" w:sz="12" w:space="0" w:color="auto"/>
            </w:tcBorders>
            <w:shd w:val="clear" w:color="auto" w:fill="auto"/>
            <w:vAlign w:val="center"/>
          </w:tcPr>
          <w:p w14:paraId="3FD17282" w14:textId="77777777" w:rsidR="00305F41" w:rsidRPr="00825D1E" w:rsidRDefault="00305F41" w:rsidP="00432DB2">
            <w:pPr>
              <w:pStyle w:val="TblTxtCenter"/>
              <w:keepNext/>
            </w:pPr>
            <w:r w:rsidRPr="00F95C80">
              <w:t>74</w:t>
            </w:r>
          </w:p>
        </w:tc>
        <w:tc>
          <w:tcPr>
            <w:tcW w:w="2520" w:type="dxa"/>
            <w:tcBorders>
              <w:top w:val="single" w:sz="6" w:space="0" w:color="auto"/>
              <w:left w:val="single" w:sz="12" w:space="0" w:color="auto"/>
              <w:bottom w:val="single" w:sz="6" w:space="0" w:color="auto"/>
              <w:right w:val="single" w:sz="6" w:space="0" w:color="auto"/>
            </w:tcBorders>
            <w:shd w:val="clear" w:color="auto" w:fill="auto"/>
            <w:vAlign w:val="center"/>
          </w:tcPr>
          <w:p w14:paraId="6122B865" w14:textId="77777777" w:rsidR="00305F41" w:rsidRPr="00825D1E" w:rsidRDefault="00305F41" w:rsidP="00432DB2">
            <w:pPr>
              <w:pStyle w:val="TblTxt"/>
              <w:keepNext/>
            </w:pPr>
            <w:r w:rsidRPr="004E67E0">
              <w:t>Rock Drill</w:t>
            </w:r>
          </w:p>
        </w:tc>
        <w:tc>
          <w:tcPr>
            <w:tcW w:w="2340" w:type="dxa"/>
            <w:tcBorders>
              <w:top w:val="single" w:sz="6" w:space="0" w:color="auto"/>
              <w:left w:val="single" w:sz="6" w:space="0" w:color="auto"/>
              <w:bottom w:val="single" w:sz="6" w:space="0" w:color="auto"/>
            </w:tcBorders>
            <w:shd w:val="clear" w:color="auto" w:fill="auto"/>
            <w:vAlign w:val="center"/>
          </w:tcPr>
          <w:p w14:paraId="0C08EC5C" w14:textId="77777777" w:rsidR="00305F41" w:rsidRPr="00825D1E" w:rsidRDefault="00305F41" w:rsidP="00432DB2">
            <w:pPr>
              <w:pStyle w:val="TblTxtCenter"/>
              <w:keepNext/>
            </w:pPr>
            <w:r w:rsidRPr="00C818CF">
              <w:t>73</w:t>
            </w:r>
          </w:p>
        </w:tc>
      </w:tr>
      <w:tr w:rsidR="00305F41" w:rsidRPr="00845B76" w14:paraId="373F72F1" w14:textId="77777777" w:rsidTr="008614BA">
        <w:trPr>
          <w:trHeight w:val="331"/>
          <w:jc w:val="center"/>
        </w:trPr>
        <w:tc>
          <w:tcPr>
            <w:tcW w:w="2160" w:type="dxa"/>
            <w:tcBorders>
              <w:top w:val="single" w:sz="6" w:space="0" w:color="auto"/>
              <w:bottom w:val="single" w:sz="6" w:space="0" w:color="auto"/>
              <w:right w:val="single" w:sz="6" w:space="0" w:color="auto"/>
            </w:tcBorders>
            <w:shd w:val="clear" w:color="auto" w:fill="auto"/>
            <w:vAlign w:val="center"/>
          </w:tcPr>
          <w:p w14:paraId="029B5CE4" w14:textId="77777777" w:rsidR="00305F41" w:rsidRPr="00825D1E" w:rsidRDefault="00305F41" w:rsidP="00432DB2">
            <w:pPr>
              <w:pStyle w:val="TblTxt"/>
            </w:pPr>
            <w:r>
              <w:t>Concrete Saw</w:t>
            </w:r>
          </w:p>
        </w:tc>
        <w:tc>
          <w:tcPr>
            <w:tcW w:w="2340" w:type="dxa"/>
            <w:tcBorders>
              <w:top w:val="single" w:sz="6" w:space="0" w:color="auto"/>
              <w:bottom w:val="single" w:sz="6" w:space="0" w:color="auto"/>
              <w:right w:val="single" w:sz="12" w:space="0" w:color="auto"/>
            </w:tcBorders>
            <w:shd w:val="clear" w:color="auto" w:fill="auto"/>
            <w:vAlign w:val="center"/>
          </w:tcPr>
          <w:p w14:paraId="1D4742BD" w14:textId="77777777" w:rsidR="00305F41" w:rsidRPr="00825D1E" w:rsidRDefault="00305F41" w:rsidP="00432DB2">
            <w:pPr>
              <w:pStyle w:val="TblTxtCenter"/>
            </w:pPr>
            <w:r w:rsidRPr="00F95C80">
              <w:t>83</w:t>
            </w:r>
          </w:p>
        </w:tc>
        <w:tc>
          <w:tcPr>
            <w:tcW w:w="2520" w:type="dxa"/>
            <w:tcBorders>
              <w:top w:val="single" w:sz="6" w:space="0" w:color="auto"/>
              <w:left w:val="single" w:sz="12" w:space="0" w:color="auto"/>
              <w:bottom w:val="single" w:sz="6" w:space="0" w:color="auto"/>
              <w:right w:val="single" w:sz="6" w:space="0" w:color="auto"/>
            </w:tcBorders>
            <w:shd w:val="clear" w:color="auto" w:fill="auto"/>
            <w:vAlign w:val="center"/>
          </w:tcPr>
          <w:p w14:paraId="51D81112" w14:textId="77777777" w:rsidR="00305F41" w:rsidRPr="00825D1E" w:rsidRDefault="00305F41" w:rsidP="00432DB2">
            <w:pPr>
              <w:pStyle w:val="TblTxt"/>
            </w:pPr>
            <w:r w:rsidRPr="004E67E0">
              <w:t>Roller</w:t>
            </w:r>
          </w:p>
        </w:tc>
        <w:tc>
          <w:tcPr>
            <w:tcW w:w="2340" w:type="dxa"/>
            <w:tcBorders>
              <w:top w:val="single" w:sz="6" w:space="0" w:color="auto"/>
              <w:left w:val="single" w:sz="6" w:space="0" w:color="auto"/>
              <w:bottom w:val="single" w:sz="6" w:space="0" w:color="auto"/>
            </w:tcBorders>
            <w:shd w:val="clear" w:color="auto" w:fill="auto"/>
            <w:vAlign w:val="center"/>
          </w:tcPr>
          <w:p w14:paraId="6913CA29" w14:textId="77777777" w:rsidR="00305F41" w:rsidRPr="00825D1E" w:rsidRDefault="00305F41" w:rsidP="00432DB2">
            <w:pPr>
              <w:pStyle w:val="TblTxtCenter"/>
            </w:pPr>
            <w:r w:rsidRPr="00C818CF">
              <w:t>72</w:t>
            </w:r>
          </w:p>
        </w:tc>
      </w:tr>
      <w:tr w:rsidR="00305F41" w:rsidRPr="00845B76" w14:paraId="42EC1551" w14:textId="77777777" w:rsidTr="008614BA">
        <w:trPr>
          <w:trHeight w:val="331"/>
          <w:jc w:val="center"/>
        </w:trPr>
        <w:tc>
          <w:tcPr>
            <w:tcW w:w="2160" w:type="dxa"/>
            <w:tcBorders>
              <w:top w:val="single" w:sz="6" w:space="0" w:color="auto"/>
              <w:bottom w:val="single" w:sz="6" w:space="0" w:color="auto"/>
              <w:right w:val="single" w:sz="6" w:space="0" w:color="auto"/>
            </w:tcBorders>
            <w:shd w:val="clear" w:color="auto" w:fill="auto"/>
            <w:vAlign w:val="center"/>
          </w:tcPr>
          <w:p w14:paraId="18295E8C" w14:textId="77777777" w:rsidR="00305F41" w:rsidRPr="00825D1E" w:rsidRDefault="00305F41" w:rsidP="00432DB2">
            <w:pPr>
              <w:pStyle w:val="TblTxt"/>
            </w:pPr>
            <w:r>
              <w:t>Crane</w:t>
            </w:r>
          </w:p>
        </w:tc>
        <w:tc>
          <w:tcPr>
            <w:tcW w:w="2340" w:type="dxa"/>
            <w:tcBorders>
              <w:top w:val="single" w:sz="6" w:space="0" w:color="auto"/>
              <w:bottom w:val="single" w:sz="6" w:space="0" w:color="auto"/>
              <w:right w:val="single" w:sz="12" w:space="0" w:color="auto"/>
            </w:tcBorders>
            <w:shd w:val="clear" w:color="auto" w:fill="auto"/>
            <w:vAlign w:val="center"/>
          </w:tcPr>
          <w:p w14:paraId="061CCFEB" w14:textId="77777777" w:rsidR="00305F41" w:rsidRPr="00825D1E" w:rsidRDefault="00305F41" w:rsidP="00432DB2">
            <w:pPr>
              <w:pStyle w:val="TblTxtCenter"/>
            </w:pPr>
            <w:r w:rsidRPr="00F95C80">
              <w:t>73</w:t>
            </w:r>
          </w:p>
        </w:tc>
        <w:tc>
          <w:tcPr>
            <w:tcW w:w="2520" w:type="dxa"/>
            <w:tcBorders>
              <w:top w:val="single" w:sz="6" w:space="0" w:color="auto"/>
              <w:left w:val="single" w:sz="12" w:space="0" w:color="auto"/>
              <w:bottom w:val="single" w:sz="6" w:space="0" w:color="auto"/>
              <w:right w:val="single" w:sz="6" w:space="0" w:color="auto"/>
            </w:tcBorders>
            <w:shd w:val="clear" w:color="auto" w:fill="auto"/>
            <w:vAlign w:val="center"/>
          </w:tcPr>
          <w:p w14:paraId="1A61208C" w14:textId="77777777" w:rsidR="00305F41" w:rsidRPr="00825D1E" w:rsidRDefault="00305F41" w:rsidP="00432DB2">
            <w:pPr>
              <w:pStyle w:val="TblTxt"/>
            </w:pPr>
            <w:r w:rsidRPr="004E67E0">
              <w:t>Scraper</w:t>
            </w:r>
          </w:p>
        </w:tc>
        <w:tc>
          <w:tcPr>
            <w:tcW w:w="2340" w:type="dxa"/>
            <w:tcBorders>
              <w:top w:val="single" w:sz="6" w:space="0" w:color="auto"/>
              <w:left w:val="single" w:sz="6" w:space="0" w:color="auto"/>
              <w:bottom w:val="single" w:sz="6" w:space="0" w:color="auto"/>
            </w:tcBorders>
            <w:shd w:val="clear" w:color="auto" w:fill="auto"/>
            <w:vAlign w:val="center"/>
          </w:tcPr>
          <w:p w14:paraId="1B2A5ADA" w14:textId="77777777" w:rsidR="00305F41" w:rsidRPr="00825D1E" w:rsidRDefault="00305F41" w:rsidP="00432DB2">
            <w:pPr>
              <w:pStyle w:val="TblTxtCenter"/>
            </w:pPr>
            <w:r w:rsidRPr="00C818CF">
              <w:t>74</w:t>
            </w:r>
          </w:p>
        </w:tc>
      </w:tr>
      <w:tr w:rsidR="00305F41" w:rsidRPr="00845B76" w14:paraId="26185255" w14:textId="77777777" w:rsidTr="008614BA">
        <w:trPr>
          <w:trHeight w:val="331"/>
          <w:jc w:val="center"/>
        </w:trPr>
        <w:tc>
          <w:tcPr>
            <w:tcW w:w="2160" w:type="dxa"/>
            <w:tcBorders>
              <w:top w:val="single" w:sz="6" w:space="0" w:color="auto"/>
              <w:bottom w:val="single" w:sz="6" w:space="0" w:color="auto"/>
              <w:right w:val="single" w:sz="6" w:space="0" w:color="auto"/>
            </w:tcBorders>
            <w:shd w:val="clear" w:color="auto" w:fill="auto"/>
            <w:vAlign w:val="center"/>
          </w:tcPr>
          <w:p w14:paraId="75FAA023" w14:textId="77777777" w:rsidR="00305F41" w:rsidRPr="00825D1E" w:rsidRDefault="00305F41" w:rsidP="00432DB2">
            <w:pPr>
              <w:pStyle w:val="TblTxt"/>
            </w:pPr>
            <w:r>
              <w:t xml:space="preserve"> Dozer</w:t>
            </w:r>
          </w:p>
        </w:tc>
        <w:tc>
          <w:tcPr>
            <w:tcW w:w="2340" w:type="dxa"/>
            <w:tcBorders>
              <w:top w:val="single" w:sz="6" w:space="0" w:color="auto"/>
              <w:bottom w:val="single" w:sz="6" w:space="0" w:color="auto"/>
              <w:right w:val="single" w:sz="12" w:space="0" w:color="auto"/>
            </w:tcBorders>
            <w:shd w:val="clear" w:color="auto" w:fill="auto"/>
            <w:vAlign w:val="center"/>
          </w:tcPr>
          <w:p w14:paraId="2ADE4525" w14:textId="77777777" w:rsidR="00305F41" w:rsidRPr="00825D1E" w:rsidRDefault="00305F41" w:rsidP="00432DB2">
            <w:pPr>
              <w:pStyle w:val="TblTxtCenter"/>
            </w:pPr>
            <w:r w:rsidRPr="00F95C80">
              <w:t>78</w:t>
            </w:r>
          </w:p>
        </w:tc>
        <w:tc>
          <w:tcPr>
            <w:tcW w:w="2520" w:type="dxa"/>
            <w:tcBorders>
              <w:top w:val="single" w:sz="6" w:space="0" w:color="auto"/>
              <w:left w:val="single" w:sz="12" w:space="0" w:color="auto"/>
              <w:bottom w:val="single" w:sz="6" w:space="0" w:color="auto"/>
              <w:right w:val="single" w:sz="6" w:space="0" w:color="auto"/>
            </w:tcBorders>
            <w:shd w:val="clear" w:color="auto" w:fill="auto"/>
            <w:vAlign w:val="center"/>
          </w:tcPr>
          <w:p w14:paraId="2C0F5B9C" w14:textId="77777777" w:rsidR="00305F41" w:rsidRPr="00825D1E" w:rsidRDefault="00305F41" w:rsidP="00432DB2">
            <w:pPr>
              <w:pStyle w:val="TblTxt"/>
            </w:pPr>
            <w:r w:rsidRPr="009A3393">
              <w:t>Slurry Plant</w:t>
            </w:r>
          </w:p>
        </w:tc>
        <w:tc>
          <w:tcPr>
            <w:tcW w:w="2340" w:type="dxa"/>
            <w:tcBorders>
              <w:top w:val="single" w:sz="6" w:space="0" w:color="auto"/>
              <w:left w:val="single" w:sz="6" w:space="0" w:color="auto"/>
              <w:bottom w:val="single" w:sz="6" w:space="0" w:color="auto"/>
            </w:tcBorders>
            <w:shd w:val="clear" w:color="auto" w:fill="auto"/>
            <w:vAlign w:val="center"/>
          </w:tcPr>
          <w:p w14:paraId="643A27DE" w14:textId="77777777" w:rsidR="00305F41" w:rsidRPr="00825D1E" w:rsidRDefault="00305F41" w:rsidP="00432DB2">
            <w:pPr>
              <w:pStyle w:val="TblTxtCenter"/>
            </w:pPr>
            <w:r w:rsidRPr="00B95A77">
              <w:t>78</w:t>
            </w:r>
          </w:p>
        </w:tc>
      </w:tr>
      <w:tr w:rsidR="00305F41" w:rsidRPr="00845B76" w14:paraId="06E8A0B1" w14:textId="77777777" w:rsidTr="008614BA">
        <w:trPr>
          <w:trHeight w:val="331"/>
          <w:jc w:val="center"/>
        </w:trPr>
        <w:tc>
          <w:tcPr>
            <w:tcW w:w="2160" w:type="dxa"/>
            <w:tcBorders>
              <w:top w:val="single" w:sz="6" w:space="0" w:color="auto"/>
              <w:bottom w:val="single" w:sz="6" w:space="0" w:color="auto"/>
              <w:right w:val="single" w:sz="6" w:space="0" w:color="auto"/>
            </w:tcBorders>
            <w:shd w:val="clear" w:color="auto" w:fill="auto"/>
            <w:vAlign w:val="center"/>
          </w:tcPr>
          <w:p w14:paraId="0E1B42D3" w14:textId="77777777" w:rsidR="00305F41" w:rsidRPr="00825D1E" w:rsidRDefault="00305F41" w:rsidP="00432DB2">
            <w:pPr>
              <w:pStyle w:val="TblTxt"/>
            </w:pPr>
            <w:r>
              <w:t>Drill Rig Truck</w:t>
            </w:r>
          </w:p>
        </w:tc>
        <w:tc>
          <w:tcPr>
            <w:tcW w:w="2340" w:type="dxa"/>
            <w:tcBorders>
              <w:top w:val="single" w:sz="6" w:space="0" w:color="auto"/>
              <w:bottom w:val="single" w:sz="6" w:space="0" w:color="auto"/>
              <w:right w:val="single" w:sz="12" w:space="0" w:color="auto"/>
            </w:tcBorders>
            <w:shd w:val="clear" w:color="auto" w:fill="auto"/>
            <w:vAlign w:val="center"/>
          </w:tcPr>
          <w:p w14:paraId="46DF581E" w14:textId="77777777" w:rsidR="00305F41" w:rsidRPr="00825D1E" w:rsidRDefault="00305F41" w:rsidP="00432DB2">
            <w:pPr>
              <w:pStyle w:val="TblTxtCenter"/>
            </w:pPr>
            <w:r w:rsidRPr="00F95C80">
              <w:t>72</w:t>
            </w:r>
          </w:p>
        </w:tc>
        <w:tc>
          <w:tcPr>
            <w:tcW w:w="2520" w:type="dxa"/>
            <w:tcBorders>
              <w:top w:val="single" w:sz="6" w:space="0" w:color="auto"/>
              <w:left w:val="single" w:sz="12" w:space="0" w:color="auto"/>
              <w:bottom w:val="single" w:sz="6" w:space="0" w:color="auto"/>
              <w:right w:val="single" w:sz="6" w:space="0" w:color="auto"/>
            </w:tcBorders>
            <w:shd w:val="clear" w:color="auto" w:fill="auto"/>
            <w:vAlign w:val="center"/>
          </w:tcPr>
          <w:p w14:paraId="01444AF9" w14:textId="77777777" w:rsidR="00305F41" w:rsidRPr="00825D1E" w:rsidRDefault="00305F41" w:rsidP="00432DB2">
            <w:pPr>
              <w:pStyle w:val="TblTxt"/>
            </w:pPr>
            <w:r w:rsidRPr="009A3393">
              <w:t>Slurry Trenching Machine</w:t>
            </w:r>
          </w:p>
        </w:tc>
        <w:tc>
          <w:tcPr>
            <w:tcW w:w="2340" w:type="dxa"/>
            <w:tcBorders>
              <w:top w:val="single" w:sz="6" w:space="0" w:color="auto"/>
              <w:left w:val="single" w:sz="6" w:space="0" w:color="auto"/>
              <w:bottom w:val="single" w:sz="6" w:space="0" w:color="auto"/>
            </w:tcBorders>
            <w:shd w:val="clear" w:color="auto" w:fill="auto"/>
            <w:vAlign w:val="center"/>
          </w:tcPr>
          <w:p w14:paraId="33FCDE4B" w14:textId="77777777" w:rsidR="00305F41" w:rsidRPr="00825D1E" w:rsidRDefault="00305F41" w:rsidP="00432DB2">
            <w:pPr>
              <w:pStyle w:val="TblTxtCenter"/>
            </w:pPr>
            <w:r w:rsidRPr="00B95A77">
              <w:t>77</w:t>
            </w:r>
          </w:p>
        </w:tc>
      </w:tr>
      <w:tr w:rsidR="00305F41" w:rsidRPr="00845B76" w14:paraId="12B0AFE9" w14:textId="77777777" w:rsidTr="008614BA">
        <w:trPr>
          <w:trHeight w:val="331"/>
          <w:jc w:val="center"/>
        </w:trPr>
        <w:tc>
          <w:tcPr>
            <w:tcW w:w="2160" w:type="dxa"/>
            <w:tcBorders>
              <w:top w:val="single" w:sz="6" w:space="0" w:color="auto"/>
              <w:bottom w:val="single" w:sz="6" w:space="0" w:color="auto"/>
              <w:right w:val="single" w:sz="6" w:space="0" w:color="auto"/>
            </w:tcBorders>
            <w:shd w:val="clear" w:color="auto" w:fill="auto"/>
            <w:vAlign w:val="center"/>
          </w:tcPr>
          <w:p w14:paraId="2569632F" w14:textId="77777777" w:rsidR="00305F41" w:rsidRPr="00825D1E" w:rsidRDefault="00305F41" w:rsidP="00432DB2">
            <w:pPr>
              <w:pStyle w:val="TblTxt"/>
            </w:pPr>
            <w:r>
              <w:t>Drum Mixer</w:t>
            </w:r>
          </w:p>
        </w:tc>
        <w:tc>
          <w:tcPr>
            <w:tcW w:w="2340" w:type="dxa"/>
            <w:tcBorders>
              <w:top w:val="single" w:sz="6" w:space="0" w:color="auto"/>
              <w:bottom w:val="single" w:sz="6" w:space="0" w:color="auto"/>
              <w:right w:val="single" w:sz="12" w:space="0" w:color="auto"/>
            </w:tcBorders>
            <w:shd w:val="clear" w:color="auto" w:fill="auto"/>
            <w:vAlign w:val="center"/>
          </w:tcPr>
          <w:p w14:paraId="570EB8BC" w14:textId="77777777" w:rsidR="00305F41" w:rsidRPr="00825D1E" w:rsidRDefault="00305F41" w:rsidP="00432DB2">
            <w:pPr>
              <w:pStyle w:val="TblTxtCenter"/>
            </w:pPr>
            <w:r w:rsidRPr="00F95C80">
              <w:t>77</w:t>
            </w:r>
          </w:p>
        </w:tc>
        <w:tc>
          <w:tcPr>
            <w:tcW w:w="2520" w:type="dxa"/>
            <w:tcBorders>
              <w:top w:val="single" w:sz="6" w:space="0" w:color="auto"/>
              <w:left w:val="single" w:sz="12" w:space="0" w:color="auto"/>
              <w:bottom w:val="single" w:sz="6" w:space="0" w:color="auto"/>
              <w:right w:val="single" w:sz="6" w:space="0" w:color="auto"/>
            </w:tcBorders>
            <w:shd w:val="clear" w:color="auto" w:fill="auto"/>
            <w:vAlign w:val="center"/>
          </w:tcPr>
          <w:p w14:paraId="6AD1DE65" w14:textId="77777777" w:rsidR="00305F41" w:rsidRPr="00825D1E" w:rsidRDefault="00305F41" w:rsidP="00432DB2">
            <w:pPr>
              <w:pStyle w:val="TblTxt"/>
            </w:pPr>
            <w:r w:rsidRPr="009A3393">
              <w:t>Soil Mix Drill Rig</w:t>
            </w:r>
          </w:p>
        </w:tc>
        <w:tc>
          <w:tcPr>
            <w:tcW w:w="2340" w:type="dxa"/>
            <w:tcBorders>
              <w:top w:val="single" w:sz="6" w:space="0" w:color="auto"/>
              <w:left w:val="single" w:sz="6" w:space="0" w:color="auto"/>
              <w:bottom w:val="single" w:sz="6" w:space="0" w:color="auto"/>
            </w:tcBorders>
            <w:shd w:val="clear" w:color="auto" w:fill="auto"/>
            <w:vAlign w:val="center"/>
          </w:tcPr>
          <w:p w14:paraId="104DC5FA" w14:textId="77777777" w:rsidR="00305F41" w:rsidRPr="00825D1E" w:rsidRDefault="00305F41" w:rsidP="00432DB2">
            <w:pPr>
              <w:pStyle w:val="TblTxtCenter"/>
            </w:pPr>
            <w:r w:rsidRPr="00B95A77">
              <w:t>77</w:t>
            </w:r>
          </w:p>
        </w:tc>
      </w:tr>
      <w:tr w:rsidR="00305F41" w:rsidRPr="00845B76" w14:paraId="11757097" w14:textId="77777777" w:rsidTr="008614BA">
        <w:trPr>
          <w:trHeight w:val="331"/>
          <w:jc w:val="center"/>
        </w:trPr>
        <w:tc>
          <w:tcPr>
            <w:tcW w:w="2160" w:type="dxa"/>
            <w:tcBorders>
              <w:top w:val="single" w:sz="6" w:space="0" w:color="auto"/>
              <w:bottom w:val="single" w:sz="6" w:space="0" w:color="auto"/>
              <w:right w:val="single" w:sz="6" w:space="0" w:color="auto"/>
            </w:tcBorders>
            <w:shd w:val="clear" w:color="auto" w:fill="auto"/>
            <w:vAlign w:val="center"/>
          </w:tcPr>
          <w:p w14:paraId="1F5937F1" w14:textId="77777777" w:rsidR="00305F41" w:rsidRPr="00825D1E" w:rsidRDefault="00305F41" w:rsidP="00432DB2">
            <w:pPr>
              <w:pStyle w:val="TblTxt"/>
            </w:pPr>
            <w:r>
              <w:t>Dump Truck</w:t>
            </w:r>
          </w:p>
        </w:tc>
        <w:tc>
          <w:tcPr>
            <w:tcW w:w="2340" w:type="dxa"/>
            <w:tcBorders>
              <w:top w:val="single" w:sz="6" w:space="0" w:color="auto"/>
              <w:bottom w:val="single" w:sz="6" w:space="0" w:color="auto"/>
              <w:right w:val="single" w:sz="12" w:space="0" w:color="auto"/>
            </w:tcBorders>
            <w:shd w:val="clear" w:color="auto" w:fill="auto"/>
            <w:vAlign w:val="center"/>
          </w:tcPr>
          <w:p w14:paraId="3CC3D82A" w14:textId="77777777" w:rsidR="00305F41" w:rsidRPr="00825D1E" w:rsidRDefault="00305F41" w:rsidP="00432DB2">
            <w:pPr>
              <w:pStyle w:val="TblTxtCenter"/>
            </w:pPr>
            <w:r w:rsidRPr="00F95C80">
              <w:t>73</w:t>
            </w:r>
          </w:p>
        </w:tc>
        <w:tc>
          <w:tcPr>
            <w:tcW w:w="2520" w:type="dxa"/>
            <w:tcBorders>
              <w:top w:val="single" w:sz="6" w:space="0" w:color="auto"/>
              <w:left w:val="single" w:sz="12" w:space="0" w:color="auto"/>
              <w:bottom w:val="single" w:sz="6" w:space="0" w:color="auto"/>
              <w:right w:val="single" w:sz="6" w:space="0" w:color="auto"/>
            </w:tcBorders>
            <w:shd w:val="clear" w:color="auto" w:fill="auto"/>
            <w:vAlign w:val="center"/>
          </w:tcPr>
          <w:p w14:paraId="4048A544" w14:textId="77777777" w:rsidR="00305F41" w:rsidRPr="00825D1E" w:rsidRDefault="00305F41" w:rsidP="00432DB2">
            <w:pPr>
              <w:pStyle w:val="TblTxt"/>
            </w:pPr>
            <w:r w:rsidRPr="009A3393">
              <w:t>Tractor</w:t>
            </w:r>
          </w:p>
        </w:tc>
        <w:tc>
          <w:tcPr>
            <w:tcW w:w="2340" w:type="dxa"/>
            <w:tcBorders>
              <w:top w:val="single" w:sz="6" w:space="0" w:color="auto"/>
              <w:left w:val="single" w:sz="6" w:space="0" w:color="auto"/>
              <w:bottom w:val="single" w:sz="6" w:space="0" w:color="auto"/>
            </w:tcBorders>
            <w:shd w:val="clear" w:color="auto" w:fill="auto"/>
            <w:vAlign w:val="center"/>
          </w:tcPr>
          <w:p w14:paraId="3DF8EBA8" w14:textId="77777777" w:rsidR="00305F41" w:rsidRPr="00825D1E" w:rsidRDefault="00305F41" w:rsidP="00432DB2">
            <w:pPr>
              <w:pStyle w:val="TblTxtCenter"/>
            </w:pPr>
            <w:r w:rsidRPr="00B95A77">
              <w:t>80</w:t>
            </w:r>
          </w:p>
        </w:tc>
      </w:tr>
      <w:tr w:rsidR="00305F41" w:rsidRPr="00845B76" w14:paraId="0B8C6814" w14:textId="77777777" w:rsidTr="008614BA">
        <w:trPr>
          <w:trHeight w:val="331"/>
          <w:jc w:val="center"/>
        </w:trPr>
        <w:tc>
          <w:tcPr>
            <w:tcW w:w="2160" w:type="dxa"/>
            <w:tcBorders>
              <w:top w:val="single" w:sz="6" w:space="0" w:color="auto"/>
              <w:bottom w:val="single" w:sz="6" w:space="0" w:color="auto"/>
              <w:right w:val="single" w:sz="6" w:space="0" w:color="auto"/>
            </w:tcBorders>
            <w:shd w:val="clear" w:color="auto" w:fill="auto"/>
            <w:vAlign w:val="center"/>
          </w:tcPr>
          <w:p w14:paraId="616CFB30" w14:textId="77777777" w:rsidR="00305F41" w:rsidRPr="00825D1E" w:rsidRDefault="00305F41" w:rsidP="00432DB2">
            <w:pPr>
              <w:pStyle w:val="TblTxt"/>
            </w:pPr>
            <w:r w:rsidRPr="004E67E0">
              <w:t>Front End Loader</w:t>
            </w:r>
          </w:p>
        </w:tc>
        <w:tc>
          <w:tcPr>
            <w:tcW w:w="2340" w:type="dxa"/>
            <w:tcBorders>
              <w:top w:val="single" w:sz="6" w:space="0" w:color="auto"/>
              <w:bottom w:val="single" w:sz="6" w:space="0" w:color="auto"/>
              <w:right w:val="single" w:sz="12" w:space="0" w:color="auto"/>
            </w:tcBorders>
            <w:shd w:val="clear" w:color="auto" w:fill="auto"/>
            <w:vAlign w:val="center"/>
          </w:tcPr>
          <w:p w14:paraId="2CED5254" w14:textId="77777777" w:rsidR="00305F41" w:rsidRPr="00825D1E" w:rsidRDefault="00305F41" w:rsidP="00432DB2">
            <w:pPr>
              <w:pStyle w:val="TblTxtCenter"/>
            </w:pPr>
            <w:r>
              <w:t>77</w:t>
            </w:r>
          </w:p>
        </w:tc>
        <w:tc>
          <w:tcPr>
            <w:tcW w:w="2520" w:type="dxa"/>
            <w:tcBorders>
              <w:top w:val="single" w:sz="6" w:space="0" w:color="auto"/>
              <w:left w:val="single" w:sz="12" w:space="0" w:color="auto"/>
              <w:bottom w:val="single" w:sz="6" w:space="0" w:color="auto"/>
              <w:right w:val="single" w:sz="6" w:space="0" w:color="auto"/>
            </w:tcBorders>
            <w:shd w:val="clear" w:color="auto" w:fill="auto"/>
            <w:vAlign w:val="center"/>
          </w:tcPr>
          <w:p w14:paraId="277C3DF4" w14:textId="77777777" w:rsidR="00305F41" w:rsidRPr="00825D1E" w:rsidRDefault="00305F41" w:rsidP="00432DB2">
            <w:pPr>
              <w:pStyle w:val="TblTxt"/>
            </w:pPr>
            <w:r w:rsidRPr="009A3393">
              <w:t>Vacuum Excavator (Vac-truck)</w:t>
            </w:r>
          </w:p>
        </w:tc>
        <w:tc>
          <w:tcPr>
            <w:tcW w:w="2340" w:type="dxa"/>
            <w:tcBorders>
              <w:top w:val="single" w:sz="6" w:space="0" w:color="auto"/>
              <w:left w:val="single" w:sz="6" w:space="0" w:color="auto"/>
              <w:bottom w:val="single" w:sz="6" w:space="0" w:color="auto"/>
            </w:tcBorders>
            <w:shd w:val="clear" w:color="auto" w:fill="auto"/>
            <w:vAlign w:val="center"/>
          </w:tcPr>
          <w:p w14:paraId="64618085" w14:textId="77777777" w:rsidR="00305F41" w:rsidRPr="00825D1E" w:rsidRDefault="00305F41" w:rsidP="00432DB2">
            <w:pPr>
              <w:pStyle w:val="TblTxtCenter"/>
            </w:pPr>
            <w:r w:rsidRPr="00B95A77">
              <w:t>81</w:t>
            </w:r>
          </w:p>
        </w:tc>
      </w:tr>
      <w:tr w:rsidR="00305F41" w:rsidRPr="00845B76" w14:paraId="40937841" w14:textId="77777777" w:rsidTr="008614BA">
        <w:trPr>
          <w:trHeight w:val="331"/>
          <w:jc w:val="center"/>
        </w:trPr>
        <w:tc>
          <w:tcPr>
            <w:tcW w:w="2160" w:type="dxa"/>
            <w:tcBorders>
              <w:top w:val="single" w:sz="6" w:space="0" w:color="auto"/>
              <w:bottom w:val="single" w:sz="6" w:space="0" w:color="auto"/>
              <w:right w:val="single" w:sz="6" w:space="0" w:color="auto"/>
            </w:tcBorders>
            <w:shd w:val="clear" w:color="auto" w:fill="auto"/>
            <w:vAlign w:val="center"/>
          </w:tcPr>
          <w:p w14:paraId="2481811D" w14:textId="77777777" w:rsidR="00305F41" w:rsidRDefault="00305F41" w:rsidP="00432DB2">
            <w:pPr>
              <w:pStyle w:val="TblTxt"/>
            </w:pPr>
            <w:r w:rsidRPr="004E67E0">
              <w:t>Generator</w:t>
            </w:r>
          </w:p>
        </w:tc>
        <w:tc>
          <w:tcPr>
            <w:tcW w:w="2340" w:type="dxa"/>
            <w:tcBorders>
              <w:top w:val="single" w:sz="6" w:space="0" w:color="auto"/>
              <w:bottom w:val="single" w:sz="6" w:space="0" w:color="auto"/>
              <w:right w:val="single" w:sz="12" w:space="0" w:color="auto"/>
            </w:tcBorders>
            <w:shd w:val="clear" w:color="auto" w:fill="auto"/>
            <w:vAlign w:val="center"/>
          </w:tcPr>
          <w:p w14:paraId="1742F1B5" w14:textId="77777777" w:rsidR="00305F41" w:rsidRPr="00F95C80" w:rsidRDefault="00305F41" w:rsidP="00432DB2">
            <w:pPr>
              <w:pStyle w:val="TblTxtCenter"/>
            </w:pPr>
            <w:r>
              <w:t>70</w:t>
            </w:r>
          </w:p>
        </w:tc>
        <w:tc>
          <w:tcPr>
            <w:tcW w:w="2520" w:type="dxa"/>
            <w:tcBorders>
              <w:top w:val="single" w:sz="6" w:space="0" w:color="auto"/>
              <w:left w:val="single" w:sz="12" w:space="0" w:color="auto"/>
              <w:bottom w:val="single" w:sz="6" w:space="0" w:color="auto"/>
              <w:right w:val="single" w:sz="6" w:space="0" w:color="auto"/>
            </w:tcBorders>
            <w:shd w:val="clear" w:color="auto" w:fill="auto"/>
            <w:vAlign w:val="center"/>
          </w:tcPr>
          <w:p w14:paraId="7E3F5AC2" w14:textId="77777777" w:rsidR="00305F41" w:rsidRPr="00825D1E" w:rsidRDefault="00305F41" w:rsidP="00432DB2">
            <w:pPr>
              <w:pStyle w:val="TblTxt"/>
            </w:pPr>
            <w:r w:rsidRPr="009A3393">
              <w:t>Vacuum Street Sweeper</w:t>
            </w:r>
          </w:p>
        </w:tc>
        <w:tc>
          <w:tcPr>
            <w:tcW w:w="2340" w:type="dxa"/>
            <w:tcBorders>
              <w:top w:val="single" w:sz="6" w:space="0" w:color="auto"/>
              <w:left w:val="single" w:sz="6" w:space="0" w:color="auto"/>
              <w:bottom w:val="single" w:sz="6" w:space="0" w:color="auto"/>
            </w:tcBorders>
            <w:shd w:val="clear" w:color="auto" w:fill="auto"/>
            <w:vAlign w:val="center"/>
          </w:tcPr>
          <w:p w14:paraId="5F89B28B" w14:textId="77777777" w:rsidR="00305F41" w:rsidRPr="00825D1E" w:rsidRDefault="00305F41" w:rsidP="00432DB2">
            <w:pPr>
              <w:pStyle w:val="TblTxtCenter"/>
            </w:pPr>
            <w:r w:rsidRPr="00B95A77">
              <w:t>72</w:t>
            </w:r>
          </w:p>
        </w:tc>
      </w:tr>
      <w:tr w:rsidR="00305F41" w:rsidRPr="00845B76" w14:paraId="2389A4A9" w14:textId="77777777" w:rsidTr="008614BA">
        <w:trPr>
          <w:trHeight w:val="331"/>
          <w:jc w:val="center"/>
        </w:trPr>
        <w:tc>
          <w:tcPr>
            <w:tcW w:w="2160" w:type="dxa"/>
            <w:tcBorders>
              <w:top w:val="single" w:sz="6" w:space="0" w:color="auto"/>
              <w:bottom w:val="single" w:sz="6" w:space="0" w:color="auto"/>
              <w:right w:val="single" w:sz="6" w:space="0" w:color="auto"/>
            </w:tcBorders>
            <w:shd w:val="clear" w:color="auto" w:fill="auto"/>
            <w:vAlign w:val="center"/>
          </w:tcPr>
          <w:p w14:paraId="747935D1" w14:textId="77777777" w:rsidR="00305F41" w:rsidRDefault="00305F41" w:rsidP="00432DB2">
            <w:pPr>
              <w:pStyle w:val="TblTxt"/>
            </w:pPr>
            <w:r w:rsidRPr="004E67E0">
              <w:t>Gradall</w:t>
            </w:r>
          </w:p>
        </w:tc>
        <w:tc>
          <w:tcPr>
            <w:tcW w:w="2340" w:type="dxa"/>
            <w:tcBorders>
              <w:top w:val="single" w:sz="6" w:space="0" w:color="auto"/>
              <w:bottom w:val="single" w:sz="6" w:space="0" w:color="auto"/>
              <w:right w:val="single" w:sz="12" w:space="0" w:color="auto"/>
            </w:tcBorders>
            <w:shd w:val="clear" w:color="auto" w:fill="auto"/>
            <w:vAlign w:val="center"/>
          </w:tcPr>
          <w:p w14:paraId="69129BD1" w14:textId="77777777" w:rsidR="00305F41" w:rsidRPr="00F95C80" w:rsidRDefault="00305F41" w:rsidP="00432DB2">
            <w:pPr>
              <w:pStyle w:val="TblTxtCenter"/>
            </w:pPr>
            <w:r w:rsidRPr="00C818CF">
              <w:t>75</w:t>
            </w:r>
          </w:p>
        </w:tc>
        <w:tc>
          <w:tcPr>
            <w:tcW w:w="2520" w:type="dxa"/>
            <w:tcBorders>
              <w:top w:val="single" w:sz="6" w:space="0" w:color="auto"/>
              <w:left w:val="single" w:sz="12" w:space="0" w:color="auto"/>
              <w:bottom w:val="single" w:sz="6" w:space="0" w:color="auto"/>
              <w:right w:val="single" w:sz="6" w:space="0" w:color="auto"/>
            </w:tcBorders>
            <w:shd w:val="clear" w:color="auto" w:fill="auto"/>
            <w:vAlign w:val="center"/>
          </w:tcPr>
          <w:p w14:paraId="09F09BBD" w14:textId="77777777" w:rsidR="00305F41" w:rsidRPr="00825D1E" w:rsidRDefault="00305F41" w:rsidP="00432DB2">
            <w:pPr>
              <w:pStyle w:val="TblTxt"/>
            </w:pPr>
            <w:r w:rsidRPr="009A3393">
              <w:t>Ventilation Fan</w:t>
            </w:r>
          </w:p>
        </w:tc>
        <w:tc>
          <w:tcPr>
            <w:tcW w:w="2340" w:type="dxa"/>
            <w:tcBorders>
              <w:top w:val="single" w:sz="6" w:space="0" w:color="auto"/>
              <w:left w:val="single" w:sz="6" w:space="0" w:color="auto"/>
              <w:bottom w:val="single" w:sz="6" w:space="0" w:color="auto"/>
            </w:tcBorders>
            <w:shd w:val="clear" w:color="auto" w:fill="auto"/>
            <w:vAlign w:val="center"/>
          </w:tcPr>
          <w:p w14:paraId="6E9349F8" w14:textId="77777777" w:rsidR="00305F41" w:rsidRPr="00825D1E" w:rsidRDefault="00305F41" w:rsidP="00432DB2">
            <w:pPr>
              <w:pStyle w:val="TblTxtCenter"/>
            </w:pPr>
            <w:r w:rsidRPr="00B95A77">
              <w:t>79</w:t>
            </w:r>
          </w:p>
        </w:tc>
      </w:tr>
      <w:tr w:rsidR="00305F41" w:rsidRPr="00845B76" w14:paraId="3021A8E4" w14:textId="77777777" w:rsidTr="008614BA">
        <w:trPr>
          <w:trHeight w:val="331"/>
          <w:jc w:val="center"/>
        </w:trPr>
        <w:tc>
          <w:tcPr>
            <w:tcW w:w="2160" w:type="dxa"/>
            <w:tcBorders>
              <w:top w:val="single" w:sz="6" w:space="0" w:color="auto"/>
              <w:bottom w:val="single" w:sz="6" w:space="0" w:color="auto"/>
              <w:right w:val="single" w:sz="6" w:space="0" w:color="auto"/>
            </w:tcBorders>
            <w:shd w:val="clear" w:color="auto" w:fill="auto"/>
            <w:vAlign w:val="center"/>
          </w:tcPr>
          <w:p w14:paraId="727E9AB8" w14:textId="77777777" w:rsidR="00305F41" w:rsidRDefault="00305F41" w:rsidP="00432DB2">
            <w:pPr>
              <w:pStyle w:val="TblTxt"/>
            </w:pPr>
            <w:r w:rsidRPr="004E67E0">
              <w:t>Grader</w:t>
            </w:r>
          </w:p>
        </w:tc>
        <w:tc>
          <w:tcPr>
            <w:tcW w:w="2340" w:type="dxa"/>
            <w:tcBorders>
              <w:top w:val="single" w:sz="6" w:space="0" w:color="auto"/>
              <w:bottom w:val="single" w:sz="6" w:space="0" w:color="auto"/>
              <w:right w:val="single" w:sz="12" w:space="0" w:color="auto"/>
            </w:tcBorders>
            <w:shd w:val="clear" w:color="auto" w:fill="auto"/>
            <w:vAlign w:val="center"/>
          </w:tcPr>
          <w:p w14:paraId="7E026EF0" w14:textId="77777777" w:rsidR="00305F41" w:rsidRPr="00F95C80" w:rsidRDefault="00305F41" w:rsidP="00432DB2">
            <w:pPr>
              <w:pStyle w:val="TblTxtCenter"/>
            </w:pPr>
            <w:r w:rsidRPr="00C818CF">
              <w:t>78</w:t>
            </w:r>
          </w:p>
        </w:tc>
        <w:tc>
          <w:tcPr>
            <w:tcW w:w="2520" w:type="dxa"/>
            <w:tcBorders>
              <w:top w:val="single" w:sz="6" w:space="0" w:color="auto"/>
              <w:left w:val="single" w:sz="12" w:space="0" w:color="auto"/>
              <w:bottom w:val="single" w:sz="6" w:space="0" w:color="auto"/>
              <w:right w:val="single" w:sz="6" w:space="0" w:color="auto"/>
            </w:tcBorders>
            <w:shd w:val="clear" w:color="auto" w:fill="auto"/>
            <w:vAlign w:val="center"/>
          </w:tcPr>
          <w:p w14:paraId="3E66F52F" w14:textId="77777777" w:rsidR="00305F41" w:rsidRPr="00825D1E" w:rsidRDefault="00305F41" w:rsidP="00432DB2">
            <w:pPr>
              <w:pStyle w:val="TblTxt"/>
            </w:pPr>
            <w:r w:rsidRPr="009A3393">
              <w:t>Vibrating Hopper</w:t>
            </w:r>
          </w:p>
        </w:tc>
        <w:tc>
          <w:tcPr>
            <w:tcW w:w="2340" w:type="dxa"/>
            <w:tcBorders>
              <w:top w:val="single" w:sz="6" w:space="0" w:color="auto"/>
              <w:left w:val="single" w:sz="6" w:space="0" w:color="auto"/>
              <w:bottom w:val="single" w:sz="6" w:space="0" w:color="auto"/>
            </w:tcBorders>
            <w:shd w:val="clear" w:color="auto" w:fill="auto"/>
            <w:vAlign w:val="center"/>
          </w:tcPr>
          <w:p w14:paraId="0ED8D9A1" w14:textId="77777777" w:rsidR="00305F41" w:rsidRPr="00825D1E" w:rsidRDefault="00305F41" w:rsidP="00432DB2">
            <w:pPr>
              <w:pStyle w:val="TblTxtCenter"/>
            </w:pPr>
            <w:r w:rsidRPr="00B95A77">
              <w:t>84</w:t>
            </w:r>
          </w:p>
        </w:tc>
      </w:tr>
      <w:tr w:rsidR="00305F41" w:rsidRPr="00845B76" w14:paraId="6B1962A2" w14:textId="77777777" w:rsidTr="008614BA">
        <w:trPr>
          <w:trHeight w:val="331"/>
          <w:jc w:val="center"/>
        </w:trPr>
        <w:tc>
          <w:tcPr>
            <w:tcW w:w="2160" w:type="dxa"/>
            <w:tcBorders>
              <w:top w:val="single" w:sz="6" w:space="0" w:color="auto"/>
              <w:bottom w:val="single" w:sz="6" w:space="0" w:color="auto"/>
              <w:right w:val="single" w:sz="6" w:space="0" w:color="auto"/>
            </w:tcBorders>
            <w:shd w:val="clear" w:color="auto" w:fill="auto"/>
            <w:vAlign w:val="center"/>
          </w:tcPr>
          <w:p w14:paraId="1658FD89" w14:textId="77777777" w:rsidR="00305F41" w:rsidRDefault="00305F41" w:rsidP="00432DB2">
            <w:pPr>
              <w:pStyle w:val="TblTxt"/>
            </w:pPr>
            <w:r w:rsidRPr="004E67E0">
              <w:t>Grapple (on backhoe)</w:t>
            </w:r>
          </w:p>
        </w:tc>
        <w:tc>
          <w:tcPr>
            <w:tcW w:w="2340" w:type="dxa"/>
            <w:tcBorders>
              <w:top w:val="single" w:sz="6" w:space="0" w:color="auto"/>
              <w:bottom w:val="single" w:sz="6" w:space="0" w:color="auto"/>
              <w:right w:val="single" w:sz="12" w:space="0" w:color="auto"/>
            </w:tcBorders>
            <w:shd w:val="clear" w:color="auto" w:fill="auto"/>
            <w:vAlign w:val="center"/>
          </w:tcPr>
          <w:p w14:paraId="6F0327EA" w14:textId="77777777" w:rsidR="00305F41" w:rsidRPr="00F95C80" w:rsidRDefault="00305F41" w:rsidP="00432DB2">
            <w:pPr>
              <w:pStyle w:val="TblTxtCenter"/>
            </w:pPr>
            <w:r w:rsidRPr="00C818CF">
              <w:t>79</w:t>
            </w:r>
          </w:p>
        </w:tc>
        <w:tc>
          <w:tcPr>
            <w:tcW w:w="2520" w:type="dxa"/>
            <w:tcBorders>
              <w:top w:val="single" w:sz="6" w:space="0" w:color="auto"/>
              <w:left w:val="single" w:sz="12" w:space="0" w:color="auto"/>
              <w:bottom w:val="single" w:sz="6" w:space="0" w:color="auto"/>
              <w:right w:val="single" w:sz="6" w:space="0" w:color="auto"/>
            </w:tcBorders>
            <w:shd w:val="clear" w:color="auto" w:fill="auto"/>
            <w:vAlign w:val="center"/>
          </w:tcPr>
          <w:p w14:paraId="671F3038" w14:textId="77777777" w:rsidR="00305F41" w:rsidRPr="00825D1E" w:rsidRDefault="00305F41" w:rsidP="00432DB2">
            <w:pPr>
              <w:pStyle w:val="TblTxt"/>
            </w:pPr>
            <w:r w:rsidRPr="009A3393">
              <w:t>Vibratory Concrete Mixer</w:t>
            </w:r>
          </w:p>
        </w:tc>
        <w:tc>
          <w:tcPr>
            <w:tcW w:w="2340" w:type="dxa"/>
            <w:tcBorders>
              <w:top w:val="single" w:sz="6" w:space="0" w:color="auto"/>
              <w:left w:val="single" w:sz="6" w:space="0" w:color="auto"/>
              <w:bottom w:val="single" w:sz="6" w:space="0" w:color="auto"/>
            </w:tcBorders>
            <w:shd w:val="clear" w:color="auto" w:fill="auto"/>
            <w:vAlign w:val="center"/>
          </w:tcPr>
          <w:p w14:paraId="3289CA0F" w14:textId="77777777" w:rsidR="00305F41" w:rsidRPr="00825D1E" w:rsidRDefault="00305F41" w:rsidP="00432DB2">
            <w:pPr>
              <w:pStyle w:val="TblTxtCenter"/>
            </w:pPr>
            <w:r w:rsidRPr="00B95A77">
              <w:t>73</w:t>
            </w:r>
          </w:p>
        </w:tc>
      </w:tr>
      <w:tr w:rsidR="00305F41" w:rsidRPr="00845B76" w14:paraId="48A9C47F" w14:textId="77777777" w:rsidTr="008614BA">
        <w:trPr>
          <w:trHeight w:val="331"/>
          <w:jc w:val="center"/>
        </w:trPr>
        <w:tc>
          <w:tcPr>
            <w:tcW w:w="2160" w:type="dxa"/>
            <w:tcBorders>
              <w:top w:val="single" w:sz="6" w:space="0" w:color="auto"/>
              <w:bottom w:val="single" w:sz="6" w:space="0" w:color="auto"/>
              <w:right w:val="single" w:sz="6" w:space="0" w:color="auto"/>
            </w:tcBorders>
            <w:shd w:val="clear" w:color="auto" w:fill="auto"/>
            <w:vAlign w:val="center"/>
          </w:tcPr>
          <w:p w14:paraId="47E9E21A" w14:textId="77777777" w:rsidR="00305F41" w:rsidRDefault="00305F41" w:rsidP="00432DB2">
            <w:pPr>
              <w:pStyle w:val="TblTxt"/>
            </w:pPr>
            <w:r w:rsidRPr="004E67E0">
              <w:t>Horizontal Boring Hydr. Ja</w:t>
            </w:r>
            <w:r>
              <w:t>ck</w:t>
            </w:r>
          </w:p>
        </w:tc>
        <w:tc>
          <w:tcPr>
            <w:tcW w:w="2340" w:type="dxa"/>
            <w:tcBorders>
              <w:top w:val="single" w:sz="6" w:space="0" w:color="auto"/>
              <w:bottom w:val="single" w:sz="6" w:space="0" w:color="auto"/>
              <w:right w:val="single" w:sz="12" w:space="0" w:color="auto"/>
            </w:tcBorders>
            <w:shd w:val="clear" w:color="auto" w:fill="auto"/>
            <w:vAlign w:val="center"/>
          </w:tcPr>
          <w:p w14:paraId="7293E605" w14:textId="77777777" w:rsidR="00305F41" w:rsidRPr="00F95C80" w:rsidRDefault="00305F41" w:rsidP="00432DB2">
            <w:pPr>
              <w:pStyle w:val="TblTxtCenter"/>
            </w:pPr>
            <w:r w:rsidRPr="00C818CF">
              <w:t>81</w:t>
            </w:r>
          </w:p>
        </w:tc>
        <w:tc>
          <w:tcPr>
            <w:tcW w:w="2520" w:type="dxa"/>
            <w:tcBorders>
              <w:top w:val="single" w:sz="6" w:space="0" w:color="auto"/>
              <w:left w:val="single" w:sz="12" w:space="0" w:color="auto"/>
              <w:bottom w:val="single" w:sz="6" w:space="0" w:color="auto"/>
              <w:right w:val="single" w:sz="6" w:space="0" w:color="auto"/>
            </w:tcBorders>
            <w:shd w:val="clear" w:color="auto" w:fill="auto"/>
            <w:vAlign w:val="center"/>
          </w:tcPr>
          <w:p w14:paraId="2EEC4135" w14:textId="77777777" w:rsidR="00305F41" w:rsidRPr="00825D1E" w:rsidRDefault="00305F41" w:rsidP="00432DB2">
            <w:pPr>
              <w:pStyle w:val="TblTxt"/>
            </w:pPr>
            <w:r w:rsidRPr="00B85005">
              <w:t>Warning Horn</w:t>
            </w:r>
          </w:p>
        </w:tc>
        <w:tc>
          <w:tcPr>
            <w:tcW w:w="2340" w:type="dxa"/>
            <w:tcBorders>
              <w:top w:val="single" w:sz="6" w:space="0" w:color="auto"/>
              <w:left w:val="single" w:sz="6" w:space="0" w:color="auto"/>
              <w:bottom w:val="single" w:sz="6" w:space="0" w:color="auto"/>
            </w:tcBorders>
            <w:shd w:val="clear" w:color="auto" w:fill="auto"/>
            <w:vAlign w:val="center"/>
          </w:tcPr>
          <w:p w14:paraId="388E5D9B" w14:textId="77777777" w:rsidR="00305F41" w:rsidRPr="00825D1E" w:rsidRDefault="00305F41" w:rsidP="00432DB2">
            <w:pPr>
              <w:pStyle w:val="TblTxtCenter"/>
            </w:pPr>
            <w:r w:rsidRPr="00B95A77">
              <w:t>70</w:t>
            </w:r>
          </w:p>
        </w:tc>
      </w:tr>
      <w:tr w:rsidR="00305F41" w:rsidRPr="00845B76" w14:paraId="4B6D9CF7" w14:textId="77777777" w:rsidTr="008614BA">
        <w:trPr>
          <w:trHeight w:val="331"/>
          <w:jc w:val="center"/>
        </w:trPr>
        <w:tc>
          <w:tcPr>
            <w:tcW w:w="2160" w:type="dxa"/>
            <w:tcBorders>
              <w:top w:val="single" w:sz="6" w:space="0" w:color="auto"/>
              <w:bottom w:val="single" w:sz="6" w:space="0" w:color="auto"/>
              <w:right w:val="single" w:sz="6" w:space="0" w:color="auto"/>
            </w:tcBorders>
            <w:shd w:val="clear" w:color="auto" w:fill="auto"/>
            <w:vAlign w:val="center"/>
          </w:tcPr>
          <w:p w14:paraId="33E41707" w14:textId="77777777" w:rsidR="00305F41" w:rsidRDefault="00305F41" w:rsidP="00432DB2">
            <w:pPr>
              <w:pStyle w:val="TblTxt"/>
            </w:pPr>
            <w:r w:rsidRPr="004E67E0">
              <w:t>Hydra Break Ram</w:t>
            </w:r>
          </w:p>
        </w:tc>
        <w:tc>
          <w:tcPr>
            <w:tcW w:w="2340" w:type="dxa"/>
            <w:tcBorders>
              <w:top w:val="single" w:sz="6" w:space="0" w:color="auto"/>
              <w:bottom w:val="single" w:sz="6" w:space="0" w:color="auto"/>
              <w:right w:val="single" w:sz="12" w:space="0" w:color="auto"/>
            </w:tcBorders>
            <w:shd w:val="clear" w:color="auto" w:fill="auto"/>
            <w:vAlign w:val="center"/>
          </w:tcPr>
          <w:p w14:paraId="505427AE" w14:textId="77777777" w:rsidR="00305F41" w:rsidRPr="00F95C80" w:rsidRDefault="00305F41" w:rsidP="00432DB2">
            <w:pPr>
              <w:pStyle w:val="TblTxtCenter"/>
            </w:pPr>
            <w:r w:rsidRPr="00C818CF">
              <w:t>83</w:t>
            </w:r>
          </w:p>
        </w:tc>
        <w:tc>
          <w:tcPr>
            <w:tcW w:w="2520" w:type="dxa"/>
            <w:tcBorders>
              <w:top w:val="single" w:sz="6" w:space="0" w:color="auto"/>
              <w:left w:val="single" w:sz="12" w:space="0" w:color="auto"/>
              <w:bottom w:val="single" w:sz="6" w:space="0" w:color="auto"/>
              <w:right w:val="single" w:sz="6" w:space="0" w:color="auto"/>
            </w:tcBorders>
            <w:shd w:val="clear" w:color="auto" w:fill="auto"/>
            <w:vAlign w:val="center"/>
          </w:tcPr>
          <w:p w14:paraId="47832AA2" w14:textId="77777777" w:rsidR="00305F41" w:rsidRPr="00825D1E" w:rsidRDefault="00305F41" w:rsidP="00432DB2">
            <w:pPr>
              <w:pStyle w:val="TblTxt"/>
            </w:pPr>
            <w:r w:rsidRPr="00B85005">
              <w:t>Welder / Torch</w:t>
            </w:r>
          </w:p>
        </w:tc>
        <w:tc>
          <w:tcPr>
            <w:tcW w:w="2340" w:type="dxa"/>
            <w:tcBorders>
              <w:top w:val="single" w:sz="6" w:space="0" w:color="auto"/>
              <w:left w:val="single" w:sz="6" w:space="0" w:color="auto"/>
              <w:bottom w:val="single" w:sz="6" w:space="0" w:color="auto"/>
            </w:tcBorders>
            <w:shd w:val="clear" w:color="auto" w:fill="auto"/>
            <w:vAlign w:val="center"/>
          </w:tcPr>
          <w:p w14:paraId="0E075C53" w14:textId="77777777" w:rsidR="00305F41" w:rsidRPr="00825D1E" w:rsidRDefault="00305F41" w:rsidP="00432DB2">
            <w:pPr>
              <w:pStyle w:val="TblTxtCenter"/>
            </w:pPr>
            <w:r w:rsidRPr="00B95A77">
              <w:t>70</w:t>
            </w:r>
          </w:p>
        </w:tc>
      </w:tr>
      <w:tr w:rsidR="00305F41" w:rsidRPr="00845B76" w14:paraId="204995D7" w14:textId="77777777" w:rsidTr="00432DB2">
        <w:trPr>
          <w:trHeight w:val="150"/>
          <w:jc w:val="center"/>
        </w:trPr>
        <w:tc>
          <w:tcPr>
            <w:tcW w:w="9360" w:type="dxa"/>
            <w:gridSpan w:val="4"/>
            <w:tcBorders>
              <w:top w:val="single" w:sz="12" w:space="0" w:color="auto"/>
              <w:bottom w:val="single" w:sz="12" w:space="0" w:color="auto"/>
            </w:tcBorders>
            <w:vAlign w:val="bottom"/>
          </w:tcPr>
          <w:p w14:paraId="472B8E24" w14:textId="77777777" w:rsidR="00305F41" w:rsidRPr="00845B76" w:rsidRDefault="00305F41" w:rsidP="00432DB2">
            <w:pPr>
              <w:pStyle w:val="TblSourcesNotes"/>
            </w:pPr>
            <w:r>
              <w:t>Source: FHWA Roadway Construction Noise Model.</w:t>
            </w:r>
          </w:p>
          <w:p w14:paraId="6CF8CFD2" w14:textId="77777777" w:rsidR="00305F41" w:rsidRPr="00845B76" w:rsidRDefault="00305F41" w:rsidP="00432DB2">
            <w:pPr>
              <w:pStyle w:val="TblSourcesNotes"/>
            </w:pPr>
            <w:r>
              <w:rPr>
                <w:vertAlign w:val="superscript"/>
              </w:rPr>
              <w:t>1</w:t>
            </w:r>
            <w:r>
              <w:rPr>
                <w:vertAlign w:val="superscript"/>
              </w:rPr>
              <w:tab/>
            </w:r>
            <w:r w:rsidRPr="00845B76">
              <w:t>Measured 50 feet from the source</w:t>
            </w:r>
            <w:r>
              <w:t>.</w:t>
            </w:r>
          </w:p>
        </w:tc>
      </w:tr>
    </w:tbl>
    <w:p w14:paraId="078C3BA8" w14:textId="77777777" w:rsidR="00305F41" w:rsidRDefault="00305F41" w:rsidP="00AD6FE2">
      <w:pPr>
        <w:pStyle w:val="BodyText"/>
        <w:spacing w:line="264" w:lineRule="auto"/>
      </w:pPr>
    </w:p>
    <w:p w14:paraId="54249EFE" w14:textId="77777777" w:rsidR="000E40F4" w:rsidRDefault="000E40F4" w:rsidP="00AD6FE2">
      <w:pPr>
        <w:pStyle w:val="BodyText"/>
        <w:spacing w:after="160" w:line="264" w:lineRule="auto"/>
      </w:pPr>
      <w:r w:rsidRPr="00B15A36">
        <w:t>The nearest noise-sensitive receptors</w:t>
      </w:r>
      <w:r w:rsidR="00A579CA">
        <w:t>—</w:t>
      </w:r>
      <w:r>
        <w:t xml:space="preserve">measured from the acoustical center of the project </w:t>
      </w:r>
      <w:r w:rsidR="00A579CA">
        <w:t>site—</w:t>
      </w:r>
      <w:r w:rsidRPr="00B15A36">
        <w:t xml:space="preserve">are to the </w:t>
      </w:r>
      <w:r>
        <w:t xml:space="preserve">northeast, </w:t>
      </w:r>
      <w:r w:rsidRPr="00B15A36">
        <w:t>south</w:t>
      </w:r>
      <w:r>
        <w:t>, southeast,</w:t>
      </w:r>
      <w:r w:rsidRPr="00B15A36">
        <w:t xml:space="preserve"> and east</w:t>
      </w:r>
      <w:r>
        <w:t xml:space="preserve"> in various jurisdictions</w:t>
      </w:r>
      <w:r w:rsidR="00A579CA">
        <w:t>—</w:t>
      </w:r>
      <w:r>
        <w:t>Irwindale, West Covina, and Vincent</w:t>
      </w:r>
      <w:r w:rsidR="00A579CA">
        <w:t xml:space="preserve"> in unincorporated Los Angeles County</w:t>
      </w:r>
      <w:r>
        <w:t>.</w:t>
      </w:r>
      <w:r w:rsidRPr="00B15A36">
        <w:t xml:space="preserve"> </w:t>
      </w:r>
    </w:p>
    <w:p w14:paraId="1BF44FF7" w14:textId="77777777" w:rsidR="000E40F4" w:rsidRDefault="000E40F4" w:rsidP="00AD6FE2">
      <w:pPr>
        <w:pStyle w:val="Heading7"/>
        <w:spacing w:line="264" w:lineRule="auto"/>
      </w:pPr>
      <w:r>
        <w:t>City of Irwindale</w:t>
      </w:r>
    </w:p>
    <w:p w14:paraId="06AC7A78" w14:textId="77777777" w:rsidR="000E40F4" w:rsidRDefault="000937CC" w:rsidP="00AD6FE2">
      <w:pPr>
        <w:pStyle w:val="BodyText"/>
        <w:spacing w:after="160" w:line="264" w:lineRule="auto"/>
      </w:pPr>
      <w:r>
        <w:t xml:space="preserve">As stated </w:t>
      </w:r>
      <w:r w:rsidR="00134ABF">
        <w:t xml:space="preserve">under the heading “Applicable Standards,” </w:t>
      </w:r>
      <w:r>
        <w:t>above, a</w:t>
      </w:r>
      <w:r w:rsidR="000E40F4">
        <w:t>ccording to Section 9.28.110 of the Irwindale Municipal Code</w:t>
      </w:r>
      <w:r w:rsidR="00A579CA">
        <w:t xml:space="preserve">, </w:t>
      </w:r>
      <w:r w:rsidR="000E40F4" w:rsidRPr="009E030B">
        <w:t xml:space="preserve">it is unlawful for any person in a residential zone, or within a radius of </w:t>
      </w:r>
      <w:r w:rsidR="000E40F4">
        <w:t>500</w:t>
      </w:r>
      <w:r w:rsidR="000E40F4" w:rsidRPr="009E030B">
        <w:t xml:space="preserve"> feet therefrom, to operate </w:t>
      </w:r>
      <w:r>
        <w:t xml:space="preserve">construction </w:t>
      </w:r>
      <w:r w:rsidR="000E40F4" w:rsidRPr="009E030B">
        <w:t xml:space="preserve">equipment in such a manner that noise is produced which would constitute a violation of Section </w:t>
      </w:r>
      <w:r w:rsidR="000E40F4" w:rsidRPr="002355BB">
        <w:t>9.28.040</w:t>
      </w:r>
      <w:r w:rsidR="000E40F4">
        <w:t xml:space="preserve">. The nearest receptor in Irwindale is 550 feet from the edge of the project site property line (single-family residence to the northeast), and is therefore outside of the 500-foot screening distance. Impacts would be less than significant. </w:t>
      </w:r>
    </w:p>
    <w:p w14:paraId="21E308DD" w14:textId="77777777" w:rsidR="000E40F4" w:rsidRDefault="000E40F4" w:rsidP="000E40F4">
      <w:pPr>
        <w:pStyle w:val="Heading7"/>
      </w:pPr>
      <w:r>
        <w:t>City of West Covina</w:t>
      </w:r>
    </w:p>
    <w:p w14:paraId="1DD7D3C3" w14:textId="77777777" w:rsidR="000E40F4" w:rsidRDefault="00134ABF" w:rsidP="000E40F4">
      <w:pPr>
        <w:pStyle w:val="BodyText"/>
      </w:pPr>
      <w:r>
        <w:t>As stated under the heading “Applicable Standards,” above, a</w:t>
      </w:r>
      <w:r w:rsidR="000E40F4">
        <w:t>ccording to Section 15-95</w:t>
      </w:r>
      <w:r w:rsidR="000E40F4" w:rsidRPr="009E030B">
        <w:t xml:space="preserve">, </w:t>
      </w:r>
      <w:r w:rsidR="000E40F4" w:rsidRPr="00472058">
        <w:t>Construction and Building Projects</w:t>
      </w:r>
      <w:r w:rsidR="000E40F4" w:rsidRPr="009E030B">
        <w:t xml:space="preserve">, of </w:t>
      </w:r>
      <w:r w:rsidR="000E40F4">
        <w:t xml:space="preserve">the </w:t>
      </w:r>
      <w:r w:rsidR="000E40F4" w:rsidRPr="009E030B">
        <w:t xml:space="preserve">West Covina </w:t>
      </w:r>
      <w:r w:rsidR="000E40F4">
        <w:t>M</w:t>
      </w:r>
      <w:r w:rsidR="000E40F4" w:rsidRPr="009E030B">
        <w:t xml:space="preserve">unicipal </w:t>
      </w:r>
      <w:r w:rsidR="000E40F4">
        <w:t>C</w:t>
      </w:r>
      <w:r w:rsidR="000E40F4" w:rsidRPr="009E030B">
        <w:t>ode</w:t>
      </w:r>
      <w:r w:rsidR="000E40F4">
        <w:t xml:space="preserve">, </w:t>
      </w:r>
      <w:r w:rsidR="000E40F4" w:rsidRPr="009E030B">
        <w:t xml:space="preserve">it is unlawful for any person within a residential zone or within a </w:t>
      </w:r>
      <w:r w:rsidR="000E40F4" w:rsidRPr="002862ED">
        <w:t>500</w:t>
      </w:r>
      <w:r w:rsidR="00A579CA">
        <w:t>-</w:t>
      </w:r>
      <w:r w:rsidR="000E40F4" w:rsidRPr="002862ED">
        <w:t>foot</w:t>
      </w:r>
      <w:r w:rsidR="000E40F4" w:rsidRPr="00346DA0">
        <w:t xml:space="preserve"> radius</w:t>
      </w:r>
      <w:r w:rsidR="000E40F4" w:rsidRPr="009E030B">
        <w:t xml:space="preserve"> of a residential zone to operate </w:t>
      </w:r>
      <w:r w:rsidR="00A02DDA">
        <w:t xml:space="preserve">construction </w:t>
      </w:r>
      <w:r w:rsidR="000E40F4" w:rsidRPr="009E030B">
        <w:t xml:space="preserve">equipment </w:t>
      </w:r>
      <w:r w:rsidR="000E40F4">
        <w:t xml:space="preserve">The nearest receptors in West Covina are </w:t>
      </w:r>
      <w:r w:rsidR="00EC7CF0">
        <w:t xml:space="preserve">700 feet and </w:t>
      </w:r>
      <w:r w:rsidR="000E40F4">
        <w:t>950 feet from the edge of the project site property line, and are</w:t>
      </w:r>
      <w:r w:rsidR="00A579CA">
        <w:t xml:space="preserve"> </w:t>
      </w:r>
      <w:r w:rsidR="000E40F4">
        <w:t>therefore outside of the 500-foot screening distance. Impacts would be less than significant.</w:t>
      </w:r>
    </w:p>
    <w:p w14:paraId="7BE3B2A2" w14:textId="77777777" w:rsidR="000E40F4" w:rsidRPr="00652B06" w:rsidRDefault="000E40F4" w:rsidP="000E40F4">
      <w:pPr>
        <w:pStyle w:val="Heading7"/>
      </w:pPr>
      <w:r>
        <w:t>Vincent</w:t>
      </w:r>
    </w:p>
    <w:p w14:paraId="6948E60A" w14:textId="77777777" w:rsidR="000E40F4" w:rsidRDefault="000E40F4" w:rsidP="000E40F4">
      <w:pPr>
        <w:pStyle w:val="BodyText"/>
      </w:pPr>
      <w:r>
        <w:t>For the receptors in the unincorporate</w:t>
      </w:r>
      <w:r w:rsidR="00A579CA">
        <w:t>d</w:t>
      </w:r>
      <w:r>
        <w:t xml:space="preserve"> area of Vincent, noise levels from typical construction equipment would attenuate to 56 dBA or less. This is a conservative estimate</w:t>
      </w:r>
      <w:r w:rsidR="00A579CA">
        <w:t xml:space="preserve"> that </w:t>
      </w:r>
      <w:r>
        <w:t>does not factor in acoustical shielding from existing buildings between the project site and the sensitive receptors. Construction noise would not exceed the County’s long</w:t>
      </w:r>
      <w:r w:rsidR="00A579CA">
        <w:t>-</w:t>
      </w:r>
      <w:r>
        <w:t xml:space="preserve">term construction standard of 60 dBA. Therefore, impacts would be less than significant. </w:t>
      </w:r>
    </w:p>
    <w:p w14:paraId="11CF3FC7" w14:textId="77777777" w:rsidR="000E40F4" w:rsidRPr="0085465E" w:rsidRDefault="000E40F4" w:rsidP="000E40F4">
      <w:pPr>
        <w:pStyle w:val="Heading5"/>
      </w:pPr>
      <w:r w:rsidRPr="0085465E">
        <w:t>Operational Noise</w:t>
      </w:r>
    </w:p>
    <w:p w14:paraId="56CE8311" w14:textId="77777777" w:rsidR="000E40F4" w:rsidRPr="00F20B1F" w:rsidRDefault="000E40F4" w:rsidP="000E40F4">
      <w:pPr>
        <w:pStyle w:val="Heading6"/>
      </w:pPr>
      <w:r w:rsidRPr="00F20B1F">
        <w:t xml:space="preserve">Mobile Noise </w:t>
      </w:r>
    </w:p>
    <w:p w14:paraId="4B8711D8" w14:textId="77777777" w:rsidR="000E40F4" w:rsidRPr="00F20B1F" w:rsidRDefault="000E40F4" w:rsidP="000E40F4">
      <w:pPr>
        <w:pStyle w:val="BodyText"/>
      </w:pPr>
      <w:bookmarkStart w:id="201" w:name="_Hlk11051269"/>
      <w:r w:rsidRPr="00F20B1F">
        <w:t xml:space="preserve">A project will normally have a significant </w:t>
      </w:r>
      <w:r w:rsidR="004359C1">
        <w:t xml:space="preserve">noise impact </w:t>
      </w:r>
      <w:r w:rsidRPr="00F20B1F">
        <w:t xml:space="preserve">on the environment </w:t>
      </w:r>
      <w:r w:rsidR="004359C1">
        <w:t>i</w:t>
      </w:r>
      <w:r w:rsidRPr="00F20B1F">
        <w:t xml:space="preserve">f it will substantially increase the ambient noise levels at adjoining areas. Most people can detect changes in sound levels of approximately 3 dBA under normal, quiet conditions, and changes of 1 to 3 dBA are detectable under quiet, controlled conditions. Changes of less than 1 dBA are usually indiscernible. A change of 5 dBA is readily discernible to most people in an exterior environment. </w:t>
      </w:r>
      <w:bookmarkStart w:id="202" w:name="_Hlk71567526"/>
      <w:r w:rsidRPr="00F20B1F">
        <w:t>Based on this, the following thresholds of significance, similar to those recommended by the Federal Aviation Administration, are used to assess traffic noise impacts at sensitive receptor locations. A significant impact would occur if traffic noise increase would exceed:</w:t>
      </w:r>
      <w:bookmarkEnd w:id="202"/>
    </w:p>
    <w:p w14:paraId="17C4702D" w14:textId="77777777" w:rsidR="000E40F4" w:rsidRPr="00F20B1F" w:rsidRDefault="000E40F4" w:rsidP="00816F17">
      <w:pPr>
        <w:pStyle w:val="Bullet1"/>
      </w:pPr>
      <w:bookmarkStart w:id="203" w:name="_Hlk71567470"/>
      <w:r w:rsidRPr="00F20B1F">
        <w:t>1.5 dBA in ambient noise environments of 65 dBA CNEL and higher.</w:t>
      </w:r>
    </w:p>
    <w:p w14:paraId="6610269E" w14:textId="77777777" w:rsidR="000E40F4" w:rsidRPr="00F20B1F" w:rsidRDefault="000E40F4" w:rsidP="00816F17">
      <w:pPr>
        <w:pStyle w:val="Bullet1"/>
      </w:pPr>
      <w:r w:rsidRPr="00F20B1F">
        <w:t>3 dBA in ambient noise environments of 60 to 64 dBA CNEL.</w:t>
      </w:r>
    </w:p>
    <w:p w14:paraId="14A6650D" w14:textId="77777777" w:rsidR="000E40F4" w:rsidRPr="00F20B1F" w:rsidRDefault="000E40F4" w:rsidP="000E40F4">
      <w:pPr>
        <w:pStyle w:val="Bullet1last"/>
      </w:pPr>
      <w:r w:rsidRPr="00F20B1F">
        <w:t>5 dBA in ambient noise environments of less than 60 dBA CNEL.</w:t>
      </w:r>
    </w:p>
    <w:bookmarkEnd w:id="203"/>
    <w:p w14:paraId="2BACE71B" w14:textId="58E9D2A3" w:rsidR="008614BA" w:rsidRDefault="000E40F4" w:rsidP="000E40F4">
      <w:pPr>
        <w:pStyle w:val="BodyText"/>
      </w:pPr>
      <w:r>
        <w:t xml:space="preserve">Traffic </w:t>
      </w:r>
      <w:r w:rsidRPr="00FA6963">
        <w:t xml:space="preserve">noise </w:t>
      </w:r>
      <w:r>
        <w:t xml:space="preserve">increases </w:t>
      </w:r>
      <w:r w:rsidRPr="00FA6963">
        <w:t xml:space="preserve">were modeled using </w:t>
      </w:r>
      <w:r>
        <w:t xml:space="preserve">a version of the </w:t>
      </w:r>
      <w:r w:rsidRPr="00FA6963">
        <w:t xml:space="preserve">FHWA </w:t>
      </w:r>
      <w:r>
        <w:t xml:space="preserve">Traffic </w:t>
      </w:r>
      <w:r w:rsidRPr="00FA6963">
        <w:t xml:space="preserve">Noise </w:t>
      </w:r>
      <w:r>
        <w:t xml:space="preserve">Prediction </w:t>
      </w:r>
      <w:r w:rsidRPr="00FA6963">
        <w:t>Model</w:t>
      </w:r>
      <w:r>
        <w:t xml:space="preserve">RD-77-108. Model inputs such as roadway daily segment </w:t>
      </w:r>
      <w:r w:rsidRPr="00FA6963">
        <w:t>volumes</w:t>
      </w:r>
      <w:r w:rsidR="00927144">
        <w:t xml:space="preserve">; </w:t>
      </w:r>
      <w:r w:rsidRPr="00FA6963">
        <w:t>vehicle mix</w:t>
      </w:r>
      <w:r w:rsidR="00927144">
        <w:t xml:space="preserve">; and </w:t>
      </w:r>
      <w:r>
        <w:t xml:space="preserve">day, night, </w:t>
      </w:r>
      <w:r w:rsidR="00927144">
        <w:t xml:space="preserve">and </w:t>
      </w:r>
      <w:r>
        <w:t>evening splits were</w:t>
      </w:r>
      <w:r w:rsidRPr="00FA6963">
        <w:t xml:space="preserve"> provided by </w:t>
      </w:r>
      <w:r>
        <w:t>Urban Crossroads</w:t>
      </w:r>
      <w:r w:rsidR="00BA1A86">
        <w:t xml:space="preserve">. In addition, Urban Crossroads “Existing” baseline includes the previously </w:t>
      </w:r>
      <w:r w:rsidR="00BA1A86" w:rsidRPr="00BA1A86">
        <w:t>occupied Pepsi</w:t>
      </w:r>
      <w:r w:rsidR="00BA1A86">
        <w:t xml:space="preserve"> </w:t>
      </w:r>
      <w:r w:rsidR="00EC294C">
        <w:t xml:space="preserve">bottling plant </w:t>
      </w:r>
      <w:r w:rsidR="00BA1A86">
        <w:t>operations</w:t>
      </w:r>
      <w:r w:rsidR="00BA1A86" w:rsidRPr="00BA1A86">
        <w:t>.</w:t>
      </w:r>
      <w:r w:rsidR="00BA1A86">
        <w:t xml:space="preserve"> </w:t>
      </w:r>
      <w:r>
        <w:t>Speeds and number</w:t>
      </w:r>
      <w:r w:rsidR="00927144">
        <w:t>s</w:t>
      </w:r>
      <w:r>
        <w:t xml:space="preserve"> of lanes were based on Google </w:t>
      </w:r>
      <w:r w:rsidRPr="00320C15">
        <w:t xml:space="preserve">Earth data. </w:t>
      </w:r>
      <w:bookmarkEnd w:id="201"/>
      <w:r w:rsidRPr="00320C15">
        <w:t xml:space="preserve">Table </w:t>
      </w:r>
      <w:r w:rsidR="00345BC8">
        <w:t>21</w:t>
      </w:r>
      <w:r w:rsidR="00345BC8" w:rsidRPr="00320C15">
        <w:t xml:space="preserve"> </w:t>
      </w:r>
      <w:r w:rsidRPr="00320C15">
        <w:t xml:space="preserve">shows </w:t>
      </w:r>
      <w:r w:rsidR="00927144">
        <w:t xml:space="preserve">estimates of </w:t>
      </w:r>
      <w:r w:rsidRPr="00320C15">
        <w:t>project-related and cumulative traffic noise increases along study roadway segments. Traffic noise increase</w:t>
      </w:r>
      <w:r w:rsidR="00927144">
        <w:t>s</w:t>
      </w:r>
      <w:r w:rsidRPr="00320C15">
        <w:t xml:space="preserve"> would not be greater than 1.5 dBA CNEL along any study roadway segment. Therefore, impacts would</w:t>
      </w:r>
      <w:r w:rsidRPr="00F20B1F">
        <w:t xml:space="preserve"> be less than significant. </w:t>
      </w:r>
    </w:p>
    <w:p w14:paraId="5CC66057" w14:textId="77777777" w:rsidR="008614BA" w:rsidRDefault="008614BA">
      <w:pPr>
        <w:rPr>
          <w:kern w:val="20"/>
          <w:szCs w:val="20"/>
        </w:rPr>
      </w:pPr>
      <w:r>
        <w:br w:type="page"/>
      </w:r>
    </w:p>
    <w:p w14:paraId="4D0CAA7E" w14:textId="73F76F0E" w:rsidR="000E40F4" w:rsidRPr="00235F31" w:rsidRDefault="00235F31" w:rsidP="000E40F4">
      <w:pPr>
        <w:pStyle w:val="BodyText"/>
        <w:rPr>
          <w:i/>
          <w:iCs/>
        </w:rPr>
      </w:pPr>
      <w:r w:rsidRPr="00235F31">
        <w:rPr>
          <w:i/>
          <w:iCs/>
        </w:rPr>
        <w:t>This page intentionally left blank.</w:t>
      </w:r>
    </w:p>
    <w:p w14:paraId="02183AA4" w14:textId="77777777" w:rsidR="008614BA" w:rsidRDefault="008614BA" w:rsidP="000E40F4">
      <w:pPr>
        <w:pStyle w:val="BodyText"/>
      </w:pPr>
    </w:p>
    <w:p w14:paraId="4E7F5B8B" w14:textId="3A023782" w:rsidR="008614BA" w:rsidRPr="008614BA" w:rsidRDefault="008614BA" w:rsidP="000E40F4">
      <w:pPr>
        <w:pStyle w:val="BodyText"/>
        <w:sectPr w:rsidR="008614BA" w:rsidRPr="008614BA" w:rsidSect="00756DE2">
          <w:headerReference w:type="even" r:id="rId25"/>
          <w:headerReference w:type="default" r:id="rId26"/>
          <w:pgSz w:w="12240" w:h="15840" w:code="1"/>
          <w:pgMar w:top="2376" w:right="1440" w:bottom="1440" w:left="1440" w:header="720" w:footer="720" w:gutter="0"/>
          <w:cols w:space="720"/>
          <w:noEndnote/>
          <w:titlePg/>
        </w:sectPr>
      </w:pPr>
    </w:p>
    <w:tbl>
      <w:tblPr>
        <w:tblW w:w="5000" w:type="pct"/>
        <w:tblBorders>
          <w:insideH w:val="single" w:sz="2" w:space="0" w:color="7F7F7F" w:themeColor="text1" w:themeTint="80"/>
        </w:tblBorders>
        <w:tblCellMar>
          <w:left w:w="58" w:type="dxa"/>
          <w:right w:w="58" w:type="dxa"/>
        </w:tblCellMar>
        <w:tblLook w:val="01E0" w:firstRow="1" w:lastRow="1" w:firstColumn="1" w:lastColumn="1" w:noHBand="0" w:noVBand="0"/>
      </w:tblPr>
      <w:tblGrid>
        <w:gridCol w:w="4560"/>
        <w:gridCol w:w="1358"/>
        <w:gridCol w:w="1454"/>
        <w:gridCol w:w="1550"/>
        <w:gridCol w:w="1361"/>
        <w:gridCol w:w="1358"/>
        <w:gridCol w:w="1319"/>
      </w:tblGrid>
      <w:tr w:rsidR="000E40F4" w:rsidRPr="00812923" w14:paraId="0531A894" w14:textId="77777777" w:rsidTr="00FD0109">
        <w:trPr>
          <w:tblHeader/>
        </w:trPr>
        <w:tc>
          <w:tcPr>
            <w:tcW w:w="5000" w:type="pct"/>
            <w:gridSpan w:val="7"/>
            <w:tcBorders>
              <w:top w:val="nil"/>
              <w:bottom w:val="single" w:sz="12" w:space="0" w:color="auto"/>
              <w:right w:val="nil"/>
            </w:tcBorders>
          </w:tcPr>
          <w:p w14:paraId="06E7C9B4" w14:textId="3579BD01" w:rsidR="000E40F4" w:rsidRPr="009008E4" w:rsidRDefault="000E40F4" w:rsidP="00FD0109">
            <w:pPr>
              <w:pStyle w:val="TblTitles"/>
              <w:keepNext/>
            </w:pPr>
            <w:bookmarkStart w:id="204" w:name="_Toc512511659"/>
            <w:bookmarkStart w:id="205" w:name="_Toc21942098"/>
            <w:bookmarkStart w:id="206" w:name="_Toc90882267"/>
            <w:r w:rsidRPr="00320C15">
              <w:t xml:space="preserve">Table </w:t>
            </w:r>
            <w:r w:rsidR="00345BC8">
              <w:t>21</w:t>
            </w:r>
            <w:r w:rsidRPr="00320C15">
              <w:tab/>
              <w:t>Project and Cumulative</w:t>
            </w:r>
            <w:bookmarkEnd w:id="204"/>
            <w:r w:rsidRPr="00320C15">
              <w:t xml:space="preserve"> Traffic Noise Increase</w:t>
            </w:r>
            <w:bookmarkEnd w:id="205"/>
            <w:r w:rsidRPr="00320C15">
              <w:t>s</w:t>
            </w:r>
            <w:bookmarkEnd w:id="206"/>
          </w:p>
        </w:tc>
      </w:tr>
      <w:tr w:rsidR="000E40F4" w:rsidRPr="00812923" w14:paraId="214E8530" w14:textId="77777777" w:rsidTr="00FD464A">
        <w:trPr>
          <w:trHeight w:val="360"/>
          <w:tblHeader/>
        </w:trPr>
        <w:tc>
          <w:tcPr>
            <w:tcW w:w="1759" w:type="pct"/>
            <w:vMerge w:val="restart"/>
            <w:tcBorders>
              <w:top w:val="single" w:sz="12" w:space="0" w:color="auto"/>
              <w:right w:val="single" w:sz="12" w:space="0" w:color="auto"/>
            </w:tcBorders>
            <w:shd w:val="clear" w:color="auto" w:fill="auto"/>
            <w:vAlign w:val="bottom"/>
          </w:tcPr>
          <w:p w14:paraId="5D1CF35B" w14:textId="77777777" w:rsidR="000E40F4" w:rsidRPr="009008E4" w:rsidRDefault="000E40F4" w:rsidP="00FD0109">
            <w:pPr>
              <w:pStyle w:val="TblColumnHeads"/>
              <w:keepNext/>
            </w:pPr>
            <w:r w:rsidRPr="009008E4">
              <w:t>Roadway Segment</w:t>
            </w:r>
          </w:p>
        </w:tc>
        <w:tc>
          <w:tcPr>
            <w:tcW w:w="2208" w:type="pct"/>
            <w:gridSpan w:val="4"/>
            <w:tcBorders>
              <w:top w:val="single" w:sz="4" w:space="0" w:color="auto"/>
              <w:left w:val="single" w:sz="12" w:space="0" w:color="auto"/>
              <w:bottom w:val="single" w:sz="4" w:space="0" w:color="auto"/>
              <w:right w:val="single" w:sz="12" w:space="0" w:color="auto"/>
            </w:tcBorders>
            <w:shd w:val="clear" w:color="auto" w:fill="auto"/>
            <w:vAlign w:val="bottom"/>
          </w:tcPr>
          <w:p w14:paraId="3AB0CFBD" w14:textId="77777777" w:rsidR="000E40F4" w:rsidRPr="009008E4" w:rsidRDefault="000E40F4" w:rsidP="00FD0109">
            <w:pPr>
              <w:pStyle w:val="TblColumnHeads"/>
              <w:keepNext/>
            </w:pPr>
            <w:r w:rsidRPr="009008E4">
              <w:t>dBA CNEL</w:t>
            </w:r>
          </w:p>
        </w:tc>
        <w:tc>
          <w:tcPr>
            <w:tcW w:w="1033" w:type="pct"/>
            <w:gridSpan w:val="2"/>
            <w:tcBorders>
              <w:top w:val="single" w:sz="2" w:space="0" w:color="7F7F7F" w:themeColor="text1" w:themeTint="80"/>
              <w:left w:val="single" w:sz="12" w:space="0" w:color="auto"/>
              <w:bottom w:val="single" w:sz="4" w:space="0" w:color="auto"/>
              <w:right w:val="nil"/>
            </w:tcBorders>
            <w:shd w:val="clear" w:color="auto" w:fill="auto"/>
            <w:vAlign w:val="bottom"/>
          </w:tcPr>
          <w:p w14:paraId="2C1E4BCB" w14:textId="77777777" w:rsidR="000E40F4" w:rsidRPr="009008E4" w:rsidRDefault="000E40F4" w:rsidP="00FD0109">
            <w:pPr>
              <w:pStyle w:val="TblColumnHeads"/>
              <w:keepNext/>
            </w:pPr>
            <w:r w:rsidRPr="009008E4">
              <w:t>Increase in dBA CNEL</w:t>
            </w:r>
          </w:p>
        </w:tc>
      </w:tr>
      <w:tr w:rsidR="000E40F4" w:rsidRPr="00812923" w14:paraId="2557E525" w14:textId="77777777" w:rsidTr="00FD464A">
        <w:trPr>
          <w:trHeight w:val="360"/>
          <w:tblHeader/>
        </w:trPr>
        <w:tc>
          <w:tcPr>
            <w:tcW w:w="1759" w:type="pct"/>
            <w:vMerge/>
            <w:tcBorders>
              <w:bottom w:val="single" w:sz="12" w:space="0" w:color="auto"/>
              <w:right w:val="single" w:sz="12" w:space="0" w:color="auto"/>
            </w:tcBorders>
            <w:shd w:val="clear" w:color="auto" w:fill="auto"/>
            <w:vAlign w:val="bottom"/>
          </w:tcPr>
          <w:p w14:paraId="5C583F21" w14:textId="77777777" w:rsidR="000E40F4" w:rsidRPr="009008E4" w:rsidRDefault="000E40F4" w:rsidP="00FD0109">
            <w:pPr>
              <w:pStyle w:val="TblColumnHeads"/>
              <w:keepNext/>
            </w:pPr>
          </w:p>
        </w:tc>
        <w:tc>
          <w:tcPr>
            <w:tcW w:w="524" w:type="pct"/>
            <w:tcBorders>
              <w:top w:val="single" w:sz="4" w:space="0" w:color="auto"/>
              <w:left w:val="single" w:sz="12" w:space="0" w:color="auto"/>
              <w:bottom w:val="single" w:sz="12" w:space="0" w:color="auto"/>
              <w:right w:val="single" w:sz="4" w:space="0" w:color="auto"/>
            </w:tcBorders>
            <w:shd w:val="clear" w:color="auto" w:fill="auto"/>
            <w:vAlign w:val="bottom"/>
          </w:tcPr>
          <w:p w14:paraId="407AB3C6" w14:textId="77777777" w:rsidR="000E40F4" w:rsidRPr="009008E4" w:rsidRDefault="000E40F4" w:rsidP="00FD0109">
            <w:pPr>
              <w:pStyle w:val="TblColumnHeads"/>
              <w:keepNext/>
            </w:pPr>
            <w:r w:rsidRPr="009008E4">
              <w:t xml:space="preserve">Existing </w:t>
            </w:r>
            <w:r w:rsidR="00927144">
              <w:t>Without</w:t>
            </w:r>
            <w:r w:rsidR="00927144" w:rsidRPr="009008E4">
              <w:t xml:space="preserve"> </w:t>
            </w:r>
            <w:r w:rsidRPr="009008E4">
              <w:t>Project</w:t>
            </w:r>
          </w:p>
        </w:tc>
        <w:tc>
          <w:tcPr>
            <w:tcW w:w="561" w:type="pct"/>
            <w:tcBorders>
              <w:top w:val="single" w:sz="4" w:space="0" w:color="auto"/>
              <w:left w:val="single" w:sz="4" w:space="0" w:color="auto"/>
              <w:bottom w:val="single" w:sz="12" w:space="0" w:color="auto"/>
              <w:right w:val="single" w:sz="4" w:space="0" w:color="auto"/>
            </w:tcBorders>
            <w:shd w:val="clear" w:color="auto" w:fill="auto"/>
            <w:vAlign w:val="bottom"/>
          </w:tcPr>
          <w:p w14:paraId="3E4F8427" w14:textId="77777777" w:rsidR="000E40F4" w:rsidRPr="009008E4" w:rsidRDefault="000E40F4" w:rsidP="00FD0109">
            <w:pPr>
              <w:pStyle w:val="TblColumnHeads"/>
              <w:keepNext/>
            </w:pPr>
            <w:r w:rsidRPr="009008E4">
              <w:t>Existing Plus Project</w:t>
            </w:r>
          </w:p>
        </w:tc>
        <w:tc>
          <w:tcPr>
            <w:tcW w:w="598" w:type="pct"/>
            <w:tcBorders>
              <w:top w:val="single" w:sz="4" w:space="0" w:color="auto"/>
              <w:left w:val="single" w:sz="4" w:space="0" w:color="auto"/>
              <w:bottom w:val="single" w:sz="12" w:space="0" w:color="auto"/>
              <w:right w:val="single" w:sz="6" w:space="0" w:color="auto"/>
            </w:tcBorders>
            <w:shd w:val="clear" w:color="auto" w:fill="auto"/>
            <w:vAlign w:val="bottom"/>
          </w:tcPr>
          <w:p w14:paraId="0B8DA21D" w14:textId="77777777" w:rsidR="000E40F4" w:rsidRPr="009008E4" w:rsidRDefault="000E40F4" w:rsidP="00FD0109">
            <w:pPr>
              <w:pStyle w:val="TblColumnHeads"/>
              <w:keepNext/>
            </w:pPr>
            <w:r w:rsidRPr="009008E4">
              <w:t xml:space="preserve">Cumulative </w:t>
            </w:r>
            <w:r w:rsidR="00927144">
              <w:t>Without</w:t>
            </w:r>
            <w:r w:rsidR="00927144" w:rsidRPr="009008E4">
              <w:t xml:space="preserve"> </w:t>
            </w:r>
            <w:r w:rsidRPr="009008E4">
              <w:t>Project</w:t>
            </w:r>
          </w:p>
        </w:tc>
        <w:tc>
          <w:tcPr>
            <w:tcW w:w="525" w:type="pct"/>
            <w:tcBorders>
              <w:top w:val="single" w:sz="4" w:space="0" w:color="auto"/>
              <w:left w:val="single" w:sz="6" w:space="0" w:color="auto"/>
              <w:bottom w:val="single" w:sz="12" w:space="0" w:color="auto"/>
              <w:right w:val="single" w:sz="12" w:space="0" w:color="auto"/>
            </w:tcBorders>
            <w:shd w:val="clear" w:color="auto" w:fill="auto"/>
            <w:vAlign w:val="bottom"/>
          </w:tcPr>
          <w:p w14:paraId="5390F31F" w14:textId="77777777" w:rsidR="000E40F4" w:rsidRPr="009008E4" w:rsidRDefault="000E40F4" w:rsidP="00FD0109">
            <w:pPr>
              <w:pStyle w:val="TblColumnHeads"/>
              <w:keepNext/>
            </w:pPr>
            <w:r w:rsidRPr="009008E4">
              <w:t>Cumulative Plus Project</w:t>
            </w:r>
          </w:p>
        </w:tc>
        <w:tc>
          <w:tcPr>
            <w:tcW w:w="524" w:type="pct"/>
            <w:tcBorders>
              <w:top w:val="single" w:sz="4" w:space="0" w:color="auto"/>
              <w:left w:val="single" w:sz="12" w:space="0" w:color="auto"/>
              <w:bottom w:val="single" w:sz="12" w:space="0" w:color="auto"/>
              <w:right w:val="nil"/>
            </w:tcBorders>
            <w:shd w:val="clear" w:color="auto" w:fill="auto"/>
            <w:vAlign w:val="bottom"/>
          </w:tcPr>
          <w:p w14:paraId="7ACBDC20" w14:textId="77777777" w:rsidR="000E40F4" w:rsidRPr="009008E4" w:rsidRDefault="000E40F4" w:rsidP="00FD0109">
            <w:pPr>
              <w:pStyle w:val="TblColumnHeads"/>
              <w:keepNext/>
            </w:pPr>
            <w:r w:rsidRPr="009008E4">
              <w:t>Project Noise Increase</w:t>
            </w:r>
          </w:p>
        </w:tc>
        <w:tc>
          <w:tcPr>
            <w:tcW w:w="509" w:type="pct"/>
            <w:tcBorders>
              <w:top w:val="single" w:sz="4" w:space="0" w:color="auto"/>
              <w:left w:val="single" w:sz="6" w:space="0" w:color="auto"/>
              <w:bottom w:val="single" w:sz="12" w:space="0" w:color="auto"/>
              <w:right w:val="nil"/>
            </w:tcBorders>
            <w:shd w:val="clear" w:color="auto" w:fill="auto"/>
            <w:vAlign w:val="bottom"/>
          </w:tcPr>
          <w:p w14:paraId="79C8BF18" w14:textId="77777777" w:rsidR="000E40F4" w:rsidRPr="009008E4" w:rsidRDefault="000E40F4" w:rsidP="00FD0109">
            <w:pPr>
              <w:pStyle w:val="TblColumnHeads"/>
              <w:keepNext/>
            </w:pPr>
            <w:r w:rsidRPr="009008E4">
              <w:t>Cumulative Increase</w:t>
            </w:r>
          </w:p>
        </w:tc>
      </w:tr>
      <w:tr w:rsidR="000E40F4" w:rsidRPr="00812923" w14:paraId="2CBA1E3B" w14:textId="77777777" w:rsidTr="00FD464A">
        <w:trPr>
          <w:trHeight w:val="288"/>
        </w:trPr>
        <w:tc>
          <w:tcPr>
            <w:tcW w:w="1759" w:type="pct"/>
            <w:tcBorders>
              <w:top w:val="single" w:sz="12" w:space="0" w:color="auto"/>
              <w:bottom w:val="single" w:sz="2" w:space="0" w:color="000000" w:themeColor="text1"/>
              <w:right w:val="single" w:sz="12" w:space="0" w:color="auto"/>
            </w:tcBorders>
          </w:tcPr>
          <w:p w14:paraId="37FE85CC" w14:textId="77777777" w:rsidR="000E40F4" w:rsidRPr="00812923" w:rsidRDefault="000E40F4" w:rsidP="00FD0109">
            <w:pPr>
              <w:pStyle w:val="TblTxt"/>
              <w:keepNext/>
              <w:rPr>
                <w:highlight w:val="yellow"/>
              </w:rPr>
            </w:pPr>
            <w:r w:rsidRPr="005C2E50">
              <w:t>Azusa Canyon Road - north of Cypress Street</w:t>
            </w:r>
          </w:p>
        </w:tc>
        <w:tc>
          <w:tcPr>
            <w:tcW w:w="524" w:type="pct"/>
            <w:tcBorders>
              <w:top w:val="single" w:sz="12" w:space="0" w:color="auto"/>
              <w:left w:val="single" w:sz="12" w:space="0" w:color="auto"/>
              <w:bottom w:val="single" w:sz="2" w:space="0" w:color="000000" w:themeColor="text1"/>
              <w:right w:val="single" w:sz="2" w:space="0" w:color="000000" w:themeColor="text1"/>
            </w:tcBorders>
            <w:vAlign w:val="center"/>
          </w:tcPr>
          <w:p w14:paraId="3A5FB648" w14:textId="77777777" w:rsidR="000E40F4" w:rsidRPr="00812923" w:rsidRDefault="000E40F4" w:rsidP="00FD0109">
            <w:pPr>
              <w:pStyle w:val="TblTxtCenter"/>
              <w:rPr>
                <w:highlight w:val="yellow"/>
              </w:rPr>
            </w:pPr>
            <w:r w:rsidRPr="008A1BE2">
              <w:t xml:space="preserve"> 68.1 </w:t>
            </w:r>
          </w:p>
        </w:tc>
        <w:tc>
          <w:tcPr>
            <w:tcW w:w="561" w:type="pct"/>
            <w:tcBorders>
              <w:top w:val="single" w:sz="12" w:space="0" w:color="auto"/>
              <w:left w:val="single" w:sz="2" w:space="0" w:color="000000" w:themeColor="text1"/>
              <w:bottom w:val="single" w:sz="2" w:space="0" w:color="000000" w:themeColor="text1"/>
              <w:right w:val="single" w:sz="2" w:space="0" w:color="000000" w:themeColor="text1"/>
            </w:tcBorders>
            <w:vAlign w:val="center"/>
          </w:tcPr>
          <w:p w14:paraId="04E0B377" w14:textId="77777777" w:rsidR="000E40F4" w:rsidRPr="00812923" w:rsidRDefault="000E40F4" w:rsidP="00FD0109">
            <w:pPr>
              <w:pStyle w:val="TblTxtCenter"/>
              <w:rPr>
                <w:highlight w:val="yellow"/>
              </w:rPr>
            </w:pPr>
            <w:r w:rsidRPr="008A1BE2">
              <w:t xml:space="preserve"> 68.2 </w:t>
            </w:r>
          </w:p>
        </w:tc>
        <w:tc>
          <w:tcPr>
            <w:tcW w:w="598" w:type="pct"/>
            <w:tcBorders>
              <w:top w:val="nil"/>
              <w:left w:val="single" w:sz="4" w:space="0" w:color="auto"/>
              <w:bottom w:val="single" w:sz="4" w:space="0" w:color="auto"/>
              <w:right w:val="single" w:sz="4" w:space="0" w:color="auto"/>
            </w:tcBorders>
            <w:shd w:val="clear" w:color="auto" w:fill="auto"/>
            <w:vAlign w:val="center"/>
          </w:tcPr>
          <w:p w14:paraId="3B517E66" w14:textId="77777777" w:rsidR="000E40F4" w:rsidRPr="00812923" w:rsidRDefault="000E40F4" w:rsidP="00FD0109">
            <w:pPr>
              <w:pStyle w:val="TblTxtCenter"/>
              <w:rPr>
                <w:highlight w:val="yellow"/>
              </w:rPr>
            </w:pPr>
            <w:r w:rsidRPr="008A1BE2">
              <w:t xml:space="preserve"> 68.5 </w:t>
            </w:r>
          </w:p>
        </w:tc>
        <w:tc>
          <w:tcPr>
            <w:tcW w:w="525" w:type="pct"/>
            <w:tcBorders>
              <w:top w:val="nil"/>
              <w:left w:val="single" w:sz="4" w:space="0" w:color="auto"/>
              <w:bottom w:val="single" w:sz="4" w:space="0" w:color="auto"/>
              <w:right w:val="single" w:sz="12" w:space="0" w:color="auto"/>
            </w:tcBorders>
            <w:shd w:val="clear" w:color="auto" w:fill="auto"/>
            <w:vAlign w:val="center"/>
          </w:tcPr>
          <w:p w14:paraId="406AE24D" w14:textId="77777777" w:rsidR="000E40F4" w:rsidRPr="00812923" w:rsidRDefault="000E40F4" w:rsidP="00FD0109">
            <w:pPr>
              <w:pStyle w:val="TblTxtCenter"/>
              <w:rPr>
                <w:highlight w:val="yellow"/>
              </w:rPr>
            </w:pPr>
            <w:r w:rsidRPr="008A1BE2">
              <w:t xml:space="preserve"> 68.5 </w:t>
            </w:r>
          </w:p>
        </w:tc>
        <w:tc>
          <w:tcPr>
            <w:tcW w:w="524" w:type="pct"/>
            <w:tcBorders>
              <w:top w:val="single" w:sz="4" w:space="0" w:color="auto"/>
              <w:left w:val="single" w:sz="12" w:space="0" w:color="auto"/>
              <w:bottom w:val="single" w:sz="4" w:space="0" w:color="auto"/>
              <w:right w:val="nil"/>
            </w:tcBorders>
            <w:shd w:val="clear" w:color="auto" w:fill="auto"/>
            <w:vAlign w:val="center"/>
          </w:tcPr>
          <w:p w14:paraId="5F78763E" w14:textId="77777777" w:rsidR="000E40F4" w:rsidRPr="00812923" w:rsidRDefault="000E40F4" w:rsidP="00FD0109">
            <w:pPr>
              <w:pStyle w:val="TblTxtCenter"/>
              <w:rPr>
                <w:highlight w:val="yellow"/>
              </w:rPr>
            </w:pPr>
            <w:r w:rsidRPr="008A1BE2">
              <w:t xml:space="preserve"> 0.1 </w:t>
            </w:r>
          </w:p>
        </w:tc>
        <w:tc>
          <w:tcPr>
            <w:tcW w:w="509" w:type="pct"/>
            <w:tcBorders>
              <w:top w:val="single" w:sz="12" w:space="0" w:color="auto"/>
              <w:left w:val="single" w:sz="6" w:space="0" w:color="auto"/>
              <w:bottom w:val="single" w:sz="2" w:space="0" w:color="000000" w:themeColor="text1"/>
              <w:right w:val="nil"/>
            </w:tcBorders>
            <w:vAlign w:val="center"/>
          </w:tcPr>
          <w:p w14:paraId="2B5D134C" w14:textId="77777777" w:rsidR="000E40F4" w:rsidRPr="00812923" w:rsidRDefault="000E40F4" w:rsidP="00FD0109">
            <w:pPr>
              <w:pStyle w:val="TblTxtCenter"/>
              <w:rPr>
                <w:highlight w:val="yellow"/>
              </w:rPr>
            </w:pPr>
            <w:r w:rsidRPr="008A1BE2">
              <w:t xml:space="preserve"> 0.4 </w:t>
            </w:r>
          </w:p>
        </w:tc>
      </w:tr>
      <w:tr w:rsidR="000E40F4" w:rsidRPr="00812923" w14:paraId="5664C7C9" w14:textId="77777777" w:rsidTr="00FD464A">
        <w:trPr>
          <w:trHeight w:val="288"/>
        </w:trPr>
        <w:tc>
          <w:tcPr>
            <w:tcW w:w="1759" w:type="pct"/>
            <w:tcBorders>
              <w:top w:val="single" w:sz="2" w:space="0" w:color="000000" w:themeColor="text1"/>
              <w:bottom w:val="single" w:sz="2" w:space="0" w:color="000000" w:themeColor="text1"/>
              <w:right w:val="single" w:sz="12" w:space="0" w:color="auto"/>
            </w:tcBorders>
          </w:tcPr>
          <w:p w14:paraId="7B268C2E" w14:textId="77777777" w:rsidR="000E40F4" w:rsidRPr="00812923" w:rsidRDefault="000E40F4" w:rsidP="00FD0109">
            <w:pPr>
              <w:pStyle w:val="TblTxt"/>
              <w:keepNext/>
              <w:rPr>
                <w:highlight w:val="yellow"/>
              </w:rPr>
            </w:pPr>
            <w:r w:rsidRPr="005C2E50">
              <w:t>Azusa Canyon Road - south of Cypress Street</w:t>
            </w:r>
          </w:p>
        </w:tc>
        <w:tc>
          <w:tcPr>
            <w:tcW w:w="524" w:type="pct"/>
            <w:tcBorders>
              <w:top w:val="single" w:sz="2" w:space="0" w:color="000000" w:themeColor="text1"/>
              <w:left w:val="single" w:sz="12" w:space="0" w:color="auto"/>
              <w:bottom w:val="single" w:sz="2" w:space="0" w:color="000000" w:themeColor="text1"/>
              <w:right w:val="single" w:sz="2" w:space="0" w:color="000000" w:themeColor="text1"/>
            </w:tcBorders>
            <w:vAlign w:val="center"/>
          </w:tcPr>
          <w:p w14:paraId="10DCBD3F" w14:textId="77777777" w:rsidR="000E40F4" w:rsidRPr="00812923" w:rsidRDefault="000E40F4" w:rsidP="00FD0109">
            <w:pPr>
              <w:pStyle w:val="TblTxtCenter"/>
              <w:rPr>
                <w:highlight w:val="yellow"/>
              </w:rPr>
            </w:pPr>
            <w:r w:rsidRPr="008A1BE2">
              <w:t xml:space="preserve"> 68.2 </w:t>
            </w:r>
          </w:p>
        </w:tc>
        <w:tc>
          <w:tcPr>
            <w:tcW w:w="56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F54C92A" w14:textId="77777777" w:rsidR="000E40F4" w:rsidRPr="00812923" w:rsidRDefault="000E40F4" w:rsidP="00FD0109">
            <w:pPr>
              <w:pStyle w:val="TblTxtCenter"/>
              <w:rPr>
                <w:highlight w:val="yellow"/>
              </w:rPr>
            </w:pPr>
            <w:r w:rsidRPr="008A1BE2">
              <w:t xml:space="preserve"> 68.3 </w:t>
            </w:r>
          </w:p>
        </w:tc>
        <w:tc>
          <w:tcPr>
            <w:tcW w:w="598" w:type="pct"/>
            <w:tcBorders>
              <w:top w:val="nil"/>
              <w:left w:val="single" w:sz="4" w:space="0" w:color="auto"/>
              <w:bottom w:val="single" w:sz="4" w:space="0" w:color="auto"/>
              <w:right w:val="single" w:sz="4" w:space="0" w:color="auto"/>
            </w:tcBorders>
            <w:shd w:val="clear" w:color="auto" w:fill="auto"/>
            <w:vAlign w:val="center"/>
          </w:tcPr>
          <w:p w14:paraId="72B641B2" w14:textId="77777777" w:rsidR="000E40F4" w:rsidRPr="00812923" w:rsidRDefault="000E40F4" w:rsidP="00FD0109">
            <w:pPr>
              <w:pStyle w:val="TblTxtCenter"/>
              <w:rPr>
                <w:highlight w:val="yellow"/>
              </w:rPr>
            </w:pPr>
            <w:r w:rsidRPr="008A1BE2">
              <w:t xml:space="preserve"> 68.6 </w:t>
            </w:r>
          </w:p>
        </w:tc>
        <w:tc>
          <w:tcPr>
            <w:tcW w:w="525" w:type="pct"/>
            <w:tcBorders>
              <w:top w:val="nil"/>
              <w:left w:val="single" w:sz="4" w:space="0" w:color="auto"/>
              <w:bottom w:val="single" w:sz="4" w:space="0" w:color="auto"/>
              <w:right w:val="single" w:sz="12" w:space="0" w:color="auto"/>
            </w:tcBorders>
            <w:shd w:val="clear" w:color="auto" w:fill="auto"/>
            <w:vAlign w:val="center"/>
          </w:tcPr>
          <w:p w14:paraId="55034A2A" w14:textId="77777777" w:rsidR="000E40F4" w:rsidRPr="00812923" w:rsidRDefault="000E40F4" w:rsidP="00FD0109">
            <w:pPr>
              <w:pStyle w:val="TblTxtCenter"/>
              <w:rPr>
                <w:highlight w:val="yellow"/>
              </w:rPr>
            </w:pPr>
            <w:r w:rsidRPr="008A1BE2">
              <w:t xml:space="preserve"> 68.7 </w:t>
            </w:r>
          </w:p>
        </w:tc>
        <w:tc>
          <w:tcPr>
            <w:tcW w:w="524" w:type="pct"/>
            <w:tcBorders>
              <w:top w:val="nil"/>
              <w:left w:val="single" w:sz="12" w:space="0" w:color="auto"/>
              <w:bottom w:val="single" w:sz="4" w:space="0" w:color="auto"/>
              <w:right w:val="nil"/>
            </w:tcBorders>
            <w:shd w:val="clear" w:color="auto" w:fill="auto"/>
            <w:vAlign w:val="center"/>
          </w:tcPr>
          <w:p w14:paraId="7A411AE0" w14:textId="77777777" w:rsidR="000E40F4" w:rsidRPr="00812923" w:rsidRDefault="000E40F4" w:rsidP="00FD0109">
            <w:pPr>
              <w:pStyle w:val="TblTxtCenter"/>
              <w:rPr>
                <w:highlight w:val="yellow"/>
              </w:rPr>
            </w:pPr>
            <w:r w:rsidRPr="008A1BE2">
              <w:t xml:space="preserve"> 0.1 </w:t>
            </w:r>
          </w:p>
        </w:tc>
        <w:tc>
          <w:tcPr>
            <w:tcW w:w="509" w:type="pct"/>
            <w:tcBorders>
              <w:top w:val="single" w:sz="2" w:space="0" w:color="000000" w:themeColor="text1"/>
              <w:left w:val="single" w:sz="6" w:space="0" w:color="auto"/>
              <w:bottom w:val="single" w:sz="2" w:space="0" w:color="000000" w:themeColor="text1"/>
              <w:right w:val="nil"/>
            </w:tcBorders>
            <w:vAlign w:val="center"/>
          </w:tcPr>
          <w:p w14:paraId="2EB0F99D" w14:textId="77777777" w:rsidR="000E40F4" w:rsidRPr="00812923" w:rsidRDefault="000E40F4" w:rsidP="00FD0109">
            <w:pPr>
              <w:pStyle w:val="TblTxtCenter"/>
              <w:rPr>
                <w:highlight w:val="yellow"/>
              </w:rPr>
            </w:pPr>
            <w:r w:rsidRPr="008A1BE2">
              <w:t xml:space="preserve"> 0.5 </w:t>
            </w:r>
          </w:p>
        </w:tc>
      </w:tr>
      <w:tr w:rsidR="000E40F4" w:rsidRPr="00812923" w14:paraId="36F7C737" w14:textId="77777777" w:rsidTr="00FD464A">
        <w:trPr>
          <w:trHeight w:val="288"/>
        </w:trPr>
        <w:tc>
          <w:tcPr>
            <w:tcW w:w="1759" w:type="pct"/>
            <w:tcBorders>
              <w:top w:val="single" w:sz="2" w:space="0" w:color="000000" w:themeColor="text1"/>
              <w:bottom w:val="single" w:sz="2" w:space="0" w:color="000000" w:themeColor="text1"/>
              <w:right w:val="single" w:sz="12" w:space="0" w:color="auto"/>
            </w:tcBorders>
          </w:tcPr>
          <w:p w14:paraId="73515C5B" w14:textId="77777777" w:rsidR="000E40F4" w:rsidRPr="00812923" w:rsidRDefault="000E40F4" w:rsidP="00FD0109">
            <w:pPr>
              <w:pStyle w:val="TblTxt"/>
              <w:keepNext/>
              <w:rPr>
                <w:highlight w:val="yellow"/>
              </w:rPr>
            </w:pPr>
            <w:r w:rsidRPr="005C2E50">
              <w:t>Cypress Street - east of Azusa Canyon Road</w:t>
            </w:r>
          </w:p>
        </w:tc>
        <w:tc>
          <w:tcPr>
            <w:tcW w:w="524" w:type="pct"/>
            <w:tcBorders>
              <w:top w:val="single" w:sz="2" w:space="0" w:color="000000" w:themeColor="text1"/>
              <w:left w:val="single" w:sz="12" w:space="0" w:color="auto"/>
              <w:bottom w:val="single" w:sz="2" w:space="0" w:color="000000" w:themeColor="text1"/>
              <w:right w:val="single" w:sz="2" w:space="0" w:color="000000" w:themeColor="text1"/>
            </w:tcBorders>
            <w:vAlign w:val="center"/>
          </w:tcPr>
          <w:p w14:paraId="1351164F" w14:textId="77777777" w:rsidR="000E40F4" w:rsidRPr="00812923" w:rsidRDefault="000E40F4" w:rsidP="00FD0109">
            <w:pPr>
              <w:pStyle w:val="TblTxtCenter"/>
              <w:rPr>
                <w:highlight w:val="yellow"/>
              </w:rPr>
            </w:pPr>
            <w:r w:rsidRPr="008A1BE2">
              <w:t xml:space="preserve"> 69.1 </w:t>
            </w:r>
          </w:p>
        </w:tc>
        <w:tc>
          <w:tcPr>
            <w:tcW w:w="56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8D182EF" w14:textId="77777777" w:rsidR="000E40F4" w:rsidRPr="00812923" w:rsidRDefault="000E40F4" w:rsidP="00FD0109">
            <w:pPr>
              <w:pStyle w:val="TblTxtCenter"/>
              <w:rPr>
                <w:highlight w:val="yellow"/>
              </w:rPr>
            </w:pPr>
            <w:r w:rsidRPr="008A1BE2">
              <w:t xml:space="preserve"> 69.1 </w:t>
            </w:r>
          </w:p>
        </w:tc>
        <w:tc>
          <w:tcPr>
            <w:tcW w:w="598" w:type="pct"/>
            <w:tcBorders>
              <w:top w:val="nil"/>
              <w:left w:val="single" w:sz="4" w:space="0" w:color="auto"/>
              <w:bottom w:val="single" w:sz="4" w:space="0" w:color="auto"/>
              <w:right w:val="single" w:sz="4" w:space="0" w:color="auto"/>
            </w:tcBorders>
            <w:shd w:val="clear" w:color="auto" w:fill="auto"/>
            <w:vAlign w:val="center"/>
          </w:tcPr>
          <w:p w14:paraId="0898C113" w14:textId="77777777" w:rsidR="000E40F4" w:rsidRPr="00812923" w:rsidRDefault="000E40F4" w:rsidP="00FD0109">
            <w:pPr>
              <w:pStyle w:val="TblTxtCenter"/>
              <w:rPr>
                <w:highlight w:val="yellow"/>
              </w:rPr>
            </w:pPr>
            <w:r w:rsidRPr="008A1BE2">
              <w:t xml:space="preserve"> 69.5 </w:t>
            </w:r>
          </w:p>
        </w:tc>
        <w:tc>
          <w:tcPr>
            <w:tcW w:w="525" w:type="pct"/>
            <w:tcBorders>
              <w:top w:val="nil"/>
              <w:left w:val="single" w:sz="4" w:space="0" w:color="auto"/>
              <w:bottom w:val="single" w:sz="4" w:space="0" w:color="auto"/>
              <w:right w:val="single" w:sz="12" w:space="0" w:color="auto"/>
            </w:tcBorders>
            <w:shd w:val="clear" w:color="auto" w:fill="auto"/>
            <w:vAlign w:val="center"/>
          </w:tcPr>
          <w:p w14:paraId="6733BCDB" w14:textId="77777777" w:rsidR="000E40F4" w:rsidRPr="00812923" w:rsidRDefault="000E40F4" w:rsidP="00FD0109">
            <w:pPr>
              <w:pStyle w:val="TblTxtCenter"/>
              <w:rPr>
                <w:highlight w:val="yellow"/>
              </w:rPr>
            </w:pPr>
            <w:r w:rsidRPr="008A1BE2">
              <w:t xml:space="preserve"> 69.5 </w:t>
            </w:r>
          </w:p>
        </w:tc>
        <w:tc>
          <w:tcPr>
            <w:tcW w:w="524" w:type="pct"/>
            <w:tcBorders>
              <w:top w:val="nil"/>
              <w:left w:val="single" w:sz="12" w:space="0" w:color="auto"/>
              <w:bottom w:val="single" w:sz="4" w:space="0" w:color="auto"/>
              <w:right w:val="nil"/>
            </w:tcBorders>
            <w:shd w:val="clear" w:color="auto" w:fill="auto"/>
            <w:vAlign w:val="center"/>
          </w:tcPr>
          <w:p w14:paraId="46E11E49" w14:textId="77777777" w:rsidR="000E40F4" w:rsidRPr="00812923" w:rsidRDefault="000E40F4" w:rsidP="00FD0109">
            <w:pPr>
              <w:pStyle w:val="TblTxtCenter"/>
              <w:rPr>
                <w:highlight w:val="yellow"/>
              </w:rPr>
            </w:pPr>
            <w:r w:rsidRPr="008A1BE2">
              <w:t xml:space="preserve"> 0.0 </w:t>
            </w:r>
          </w:p>
        </w:tc>
        <w:tc>
          <w:tcPr>
            <w:tcW w:w="509" w:type="pct"/>
            <w:tcBorders>
              <w:top w:val="single" w:sz="2" w:space="0" w:color="000000" w:themeColor="text1"/>
              <w:left w:val="single" w:sz="6" w:space="0" w:color="auto"/>
              <w:bottom w:val="single" w:sz="2" w:space="0" w:color="000000" w:themeColor="text1"/>
              <w:right w:val="nil"/>
            </w:tcBorders>
            <w:vAlign w:val="center"/>
          </w:tcPr>
          <w:p w14:paraId="4553B29B" w14:textId="77777777" w:rsidR="000E40F4" w:rsidRPr="00812923" w:rsidRDefault="000E40F4" w:rsidP="00FD0109">
            <w:pPr>
              <w:pStyle w:val="TblTxtCenter"/>
              <w:rPr>
                <w:highlight w:val="yellow"/>
              </w:rPr>
            </w:pPr>
            <w:r w:rsidRPr="008A1BE2">
              <w:t xml:space="preserve"> 0.4 </w:t>
            </w:r>
          </w:p>
        </w:tc>
      </w:tr>
      <w:tr w:rsidR="000E40F4" w:rsidRPr="00812923" w14:paraId="416807DC" w14:textId="77777777" w:rsidTr="00FD464A">
        <w:trPr>
          <w:trHeight w:val="288"/>
        </w:trPr>
        <w:tc>
          <w:tcPr>
            <w:tcW w:w="1759" w:type="pct"/>
            <w:tcBorders>
              <w:top w:val="single" w:sz="2" w:space="0" w:color="000000" w:themeColor="text1"/>
              <w:bottom w:val="single" w:sz="2" w:space="0" w:color="000000" w:themeColor="text1"/>
              <w:right w:val="single" w:sz="12" w:space="0" w:color="auto"/>
            </w:tcBorders>
          </w:tcPr>
          <w:p w14:paraId="5AA259D4" w14:textId="77777777" w:rsidR="000E40F4" w:rsidRPr="00812923" w:rsidRDefault="000E40F4" w:rsidP="00FD0109">
            <w:pPr>
              <w:pStyle w:val="TblTxt"/>
              <w:keepNext/>
              <w:rPr>
                <w:highlight w:val="yellow"/>
              </w:rPr>
            </w:pPr>
            <w:r w:rsidRPr="005C2E50">
              <w:t>Azusa Canyon Road - north of Los Angeles Street</w:t>
            </w:r>
          </w:p>
        </w:tc>
        <w:tc>
          <w:tcPr>
            <w:tcW w:w="524" w:type="pct"/>
            <w:tcBorders>
              <w:top w:val="single" w:sz="2" w:space="0" w:color="000000" w:themeColor="text1"/>
              <w:left w:val="single" w:sz="12" w:space="0" w:color="auto"/>
              <w:bottom w:val="single" w:sz="2" w:space="0" w:color="000000" w:themeColor="text1"/>
              <w:right w:val="single" w:sz="2" w:space="0" w:color="000000" w:themeColor="text1"/>
            </w:tcBorders>
            <w:vAlign w:val="center"/>
          </w:tcPr>
          <w:p w14:paraId="215CF37B" w14:textId="77777777" w:rsidR="000E40F4" w:rsidRPr="00812923" w:rsidRDefault="000E40F4" w:rsidP="00FD0109">
            <w:pPr>
              <w:pStyle w:val="TblTxtCenter"/>
              <w:rPr>
                <w:highlight w:val="yellow"/>
              </w:rPr>
            </w:pPr>
            <w:r w:rsidRPr="008A1BE2">
              <w:t xml:space="preserve"> 66.7 </w:t>
            </w:r>
          </w:p>
        </w:tc>
        <w:tc>
          <w:tcPr>
            <w:tcW w:w="56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5F58AE2" w14:textId="77777777" w:rsidR="000E40F4" w:rsidRPr="00812923" w:rsidRDefault="000E40F4" w:rsidP="00FD0109">
            <w:pPr>
              <w:pStyle w:val="TblTxtCenter"/>
              <w:rPr>
                <w:highlight w:val="yellow"/>
              </w:rPr>
            </w:pPr>
            <w:r w:rsidRPr="008A1BE2">
              <w:t xml:space="preserve"> 66.8 </w:t>
            </w:r>
          </w:p>
        </w:tc>
        <w:tc>
          <w:tcPr>
            <w:tcW w:w="598" w:type="pct"/>
            <w:tcBorders>
              <w:top w:val="nil"/>
              <w:left w:val="single" w:sz="4" w:space="0" w:color="auto"/>
              <w:bottom w:val="single" w:sz="4" w:space="0" w:color="auto"/>
              <w:right w:val="single" w:sz="4" w:space="0" w:color="auto"/>
            </w:tcBorders>
            <w:shd w:val="clear" w:color="auto" w:fill="auto"/>
            <w:vAlign w:val="center"/>
          </w:tcPr>
          <w:p w14:paraId="37DDA15F" w14:textId="77777777" w:rsidR="000E40F4" w:rsidRPr="00812923" w:rsidRDefault="000E40F4" w:rsidP="00FD0109">
            <w:pPr>
              <w:pStyle w:val="TblTxtCenter"/>
              <w:rPr>
                <w:highlight w:val="yellow"/>
              </w:rPr>
            </w:pPr>
            <w:r w:rsidRPr="008A1BE2">
              <w:t xml:space="preserve"> 67.8 </w:t>
            </w:r>
          </w:p>
        </w:tc>
        <w:tc>
          <w:tcPr>
            <w:tcW w:w="525" w:type="pct"/>
            <w:tcBorders>
              <w:top w:val="nil"/>
              <w:left w:val="single" w:sz="4" w:space="0" w:color="auto"/>
              <w:bottom w:val="single" w:sz="4" w:space="0" w:color="auto"/>
              <w:right w:val="single" w:sz="12" w:space="0" w:color="auto"/>
            </w:tcBorders>
            <w:shd w:val="clear" w:color="auto" w:fill="auto"/>
            <w:vAlign w:val="center"/>
          </w:tcPr>
          <w:p w14:paraId="4C8485DD" w14:textId="77777777" w:rsidR="000E40F4" w:rsidRPr="00812923" w:rsidRDefault="000E40F4" w:rsidP="00FD0109">
            <w:pPr>
              <w:pStyle w:val="TblTxtCenter"/>
              <w:rPr>
                <w:highlight w:val="yellow"/>
              </w:rPr>
            </w:pPr>
            <w:r w:rsidRPr="008A1BE2">
              <w:t xml:space="preserve"> 67.8 </w:t>
            </w:r>
          </w:p>
        </w:tc>
        <w:tc>
          <w:tcPr>
            <w:tcW w:w="524" w:type="pct"/>
            <w:tcBorders>
              <w:top w:val="nil"/>
              <w:left w:val="single" w:sz="12" w:space="0" w:color="auto"/>
              <w:bottom w:val="single" w:sz="4" w:space="0" w:color="auto"/>
              <w:right w:val="nil"/>
            </w:tcBorders>
            <w:shd w:val="clear" w:color="auto" w:fill="auto"/>
            <w:vAlign w:val="center"/>
          </w:tcPr>
          <w:p w14:paraId="13104CA6" w14:textId="77777777" w:rsidR="000E40F4" w:rsidRPr="00812923" w:rsidRDefault="000E40F4" w:rsidP="00FD0109">
            <w:pPr>
              <w:pStyle w:val="TblTxtCenter"/>
              <w:rPr>
                <w:highlight w:val="yellow"/>
              </w:rPr>
            </w:pPr>
            <w:r w:rsidRPr="008A1BE2">
              <w:t xml:space="preserve"> 0.</w:t>
            </w:r>
            <w:r>
              <w:t>1</w:t>
            </w:r>
          </w:p>
        </w:tc>
        <w:tc>
          <w:tcPr>
            <w:tcW w:w="509" w:type="pct"/>
            <w:tcBorders>
              <w:top w:val="single" w:sz="2" w:space="0" w:color="000000" w:themeColor="text1"/>
              <w:left w:val="single" w:sz="6" w:space="0" w:color="auto"/>
              <w:bottom w:val="single" w:sz="2" w:space="0" w:color="000000" w:themeColor="text1"/>
              <w:right w:val="nil"/>
            </w:tcBorders>
            <w:vAlign w:val="center"/>
          </w:tcPr>
          <w:p w14:paraId="73593C37" w14:textId="77777777" w:rsidR="000E40F4" w:rsidRPr="00812923" w:rsidRDefault="000E40F4" w:rsidP="00FD0109">
            <w:pPr>
              <w:pStyle w:val="TblTxtCenter"/>
              <w:rPr>
                <w:highlight w:val="yellow"/>
              </w:rPr>
            </w:pPr>
            <w:r w:rsidRPr="008A1BE2">
              <w:t xml:space="preserve"> 1.1 </w:t>
            </w:r>
          </w:p>
        </w:tc>
      </w:tr>
      <w:tr w:rsidR="000E40F4" w:rsidRPr="00812923" w14:paraId="21280054" w14:textId="77777777" w:rsidTr="00FD464A">
        <w:trPr>
          <w:trHeight w:val="288"/>
        </w:trPr>
        <w:tc>
          <w:tcPr>
            <w:tcW w:w="1759" w:type="pct"/>
            <w:tcBorders>
              <w:top w:val="single" w:sz="2" w:space="0" w:color="000000" w:themeColor="text1"/>
              <w:bottom w:val="single" w:sz="2" w:space="0" w:color="000000" w:themeColor="text1"/>
              <w:right w:val="single" w:sz="12" w:space="0" w:color="auto"/>
            </w:tcBorders>
          </w:tcPr>
          <w:p w14:paraId="4F0262C1" w14:textId="77777777" w:rsidR="000E40F4" w:rsidRPr="00812923" w:rsidRDefault="000E40F4" w:rsidP="00FD0109">
            <w:pPr>
              <w:pStyle w:val="TblTxt"/>
              <w:keepNext/>
              <w:rPr>
                <w:highlight w:val="yellow"/>
              </w:rPr>
            </w:pPr>
            <w:r w:rsidRPr="005C2E50">
              <w:t>Azusa Canyon Road - south of Los Angeles Street</w:t>
            </w:r>
          </w:p>
        </w:tc>
        <w:tc>
          <w:tcPr>
            <w:tcW w:w="524" w:type="pct"/>
            <w:tcBorders>
              <w:top w:val="single" w:sz="2" w:space="0" w:color="000000" w:themeColor="text1"/>
              <w:left w:val="single" w:sz="12" w:space="0" w:color="auto"/>
              <w:bottom w:val="single" w:sz="2" w:space="0" w:color="000000" w:themeColor="text1"/>
              <w:right w:val="single" w:sz="2" w:space="0" w:color="000000" w:themeColor="text1"/>
            </w:tcBorders>
            <w:vAlign w:val="center"/>
          </w:tcPr>
          <w:p w14:paraId="29936C2B" w14:textId="77777777" w:rsidR="000E40F4" w:rsidRPr="00812923" w:rsidRDefault="000E40F4" w:rsidP="00FD0109">
            <w:pPr>
              <w:pStyle w:val="TblTxtCenter"/>
              <w:rPr>
                <w:highlight w:val="yellow"/>
              </w:rPr>
            </w:pPr>
            <w:r w:rsidRPr="008A1BE2">
              <w:t xml:space="preserve"> 66.0 </w:t>
            </w:r>
          </w:p>
        </w:tc>
        <w:tc>
          <w:tcPr>
            <w:tcW w:w="56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7A9703C" w14:textId="77777777" w:rsidR="000E40F4" w:rsidRPr="00812923" w:rsidRDefault="000E40F4" w:rsidP="00FD0109">
            <w:pPr>
              <w:pStyle w:val="TblTxtCenter"/>
              <w:rPr>
                <w:highlight w:val="yellow"/>
              </w:rPr>
            </w:pPr>
            <w:r w:rsidRPr="008A1BE2">
              <w:t xml:space="preserve"> 66.2 </w:t>
            </w:r>
          </w:p>
        </w:tc>
        <w:tc>
          <w:tcPr>
            <w:tcW w:w="598" w:type="pct"/>
            <w:tcBorders>
              <w:top w:val="nil"/>
              <w:left w:val="single" w:sz="4" w:space="0" w:color="auto"/>
              <w:bottom w:val="single" w:sz="4" w:space="0" w:color="auto"/>
              <w:right w:val="single" w:sz="4" w:space="0" w:color="auto"/>
            </w:tcBorders>
            <w:shd w:val="clear" w:color="auto" w:fill="auto"/>
            <w:vAlign w:val="center"/>
          </w:tcPr>
          <w:p w14:paraId="5A4373A1" w14:textId="77777777" w:rsidR="000E40F4" w:rsidRPr="00812923" w:rsidRDefault="000E40F4" w:rsidP="00FD0109">
            <w:pPr>
              <w:pStyle w:val="TblTxtCenter"/>
              <w:rPr>
                <w:highlight w:val="yellow"/>
              </w:rPr>
            </w:pPr>
            <w:r w:rsidRPr="008A1BE2">
              <w:t xml:space="preserve"> 66.8 </w:t>
            </w:r>
          </w:p>
        </w:tc>
        <w:tc>
          <w:tcPr>
            <w:tcW w:w="525" w:type="pct"/>
            <w:tcBorders>
              <w:top w:val="nil"/>
              <w:left w:val="single" w:sz="4" w:space="0" w:color="auto"/>
              <w:bottom w:val="single" w:sz="4" w:space="0" w:color="auto"/>
              <w:right w:val="single" w:sz="12" w:space="0" w:color="auto"/>
            </w:tcBorders>
            <w:shd w:val="clear" w:color="auto" w:fill="auto"/>
            <w:vAlign w:val="center"/>
          </w:tcPr>
          <w:p w14:paraId="68B7CC6A" w14:textId="77777777" w:rsidR="000E40F4" w:rsidRPr="00812923" w:rsidRDefault="000E40F4" w:rsidP="00FD0109">
            <w:pPr>
              <w:pStyle w:val="TblTxtCenter"/>
              <w:rPr>
                <w:highlight w:val="yellow"/>
              </w:rPr>
            </w:pPr>
            <w:r w:rsidRPr="008A1BE2">
              <w:t xml:space="preserve"> 66.8 </w:t>
            </w:r>
          </w:p>
        </w:tc>
        <w:tc>
          <w:tcPr>
            <w:tcW w:w="524" w:type="pct"/>
            <w:tcBorders>
              <w:top w:val="nil"/>
              <w:left w:val="single" w:sz="12" w:space="0" w:color="auto"/>
              <w:bottom w:val="single" w:sz="4" w:space="0" w:color="auto"/>
              <w:right w:val="nil"/>
            </w:tcBorders>
            <w:shd w:val="clear" w:color="auto" w:fill="auto"/>
            <w:vAlign w:val="center"/>
          </w:tcPr>
          <w:p w14:paraId="6E29F20B" w14:textId="77777777" w:rsidR="000E40F4" w:rsidRPr="00812923" w:rsidRDefault="000E40F4" w:rsidP="00FD0109">
            <w:pPr>
              <w:pStyle w:val="TblTxtCenter"/>
              <w:rPr>
                <w:highlight w:val="yellow"/>
              </w:rPr>
            </w:pPr>
            <w:r w:rsidRPr="008A1BE2">
              <w:t xml:space="preserve"> 0.</w:t>
            </w:r>
            <w:r>
              <w:t>2</w:t>
            </w:r>
            <w:r w:rsidRPr="008A1BE2">
              <w:t xml:space="preserve"> </w:t>
            </w:r>
          </w:p>
        </w:tc>
        <w:tc>
          <w:tcPr>
            <w:tcW w:w="509" w:type="pct"/>
            <w:tcBorders>
              <w:top w:val="single" w:sz="2" w:space="0" w:color="000000" w:themeColor="text1"/>
              <w:left w:val="single" w:sz="6" w:space="0" w:color="auto"/>
              <w:bottom w:val="single" w:sz="2" w:space="0" w:color="000000" w:themeColor="text1"/>
              <w:right w:val="nil"/>
            </w:tcBorders>
            <w:vAlign w:val="center"/>
          </w:tcPr>
          <w:p w14:paraId="5A3793A5" w14:textId="77777777" w:rsidR="000E40F4" w:rsidRPr="00812923" w:rsidRDefault="000E40F4" w:rsidP="00FD0109">
            <w:pPr>
              <w:pStyle w:val="TblTxtCenter"/>
              <w:rPr>
                <w:highlight w:val="yellow"/>
              </w:rPr>
            </w:pPr>
            <w:r w:rsidRPr="008A1BE2">
              <w:t xml:space="preserve"> 0.8 </w:t>
            </w:r>
          </w:p>
        </w:tc>
      </w:tr>
      <w:tr w:rsidR="000E40F4" w:rsidRPr="00812923" w14:paraId="762AA93E" w14:textId="77777777" w:rsidTr="00FD464A">
        <w:trPr>
          <w:trHeight w:val="288"/>
        </w:trPr>
        <w:tc>
          <w:tcPr>
            <w:tcW w:w="1759" w:type="pct"/>
            <w:tcBorders>
              <w:top w:val="single" w:sz="2" w:space="0" w:color="000000" w:themeColor="text1"/>
              <w:bottom w:val="single" w:sz="2" w:space="0" w:color="000000" w:themeColor="text1"/>
              <w:right w:val="single" w:sz="12" w:space="0" w:color="auto"/>
            </w:tcBorders>
          </w:tcPr>
          <w:p w14:paraId="16A152C3" w14:textId="77777777" w:rsidR="000E40F4" w:rsidRPr="00812923" w:rsidRDefault="000E40F4" w:rsidP="00FD0109">
            <w:pPr>
              <w:pStyle w:val="TblTxt"/>
              <w:keepNext/>
              <w:rPr>
                <w:highlight w:val="yellow"/>
              </w:rPr>
            </w:pPr>
            <w:r w:rsidRPr="005C2E50">
              <w:t>Los Angeles Street - east of Azusa Canyon Road</w:t>
            </w:r>
          </w:p>
        </w:tc>
        <w:tc>
          <w:tcPr>
            <w:tcW w:w="524" w:type="pct"/>
            <w:tcBorders>
              <w:top w:val="single" w:sz="2" w:space="0" w:color="000000" w:themeColor="text1"/>
              <w:left w:val="single" w:sz="12" w:space="0" w:color="auto"/>
              <w:bottom w:val="single" w:sz="2" w:space="0" w:color="000000" w:themeColor="text1"/>
              <w:right w:val="single" w:sz="2" w:space="0" w:color="000000" w:themeColor="text1"/>
            </w:tcBorders>
            <w:vAlign w:val="center"/>
          </w:tcPr>
          <w:p w14:paraId="45F0B7D0" w14:textId="77777777" w:rsidR="000E40F4" w:rsidRPr="00812923" w:rsidRDefault="000E40F4" w:rsidP="00FD0109">
            <w:pPr>
              <w:pStyle w:val="TblTxtCenter"/>
              <w:rPr>
                <w:highlight w:val="yellow"/>
              </w:rPr>
            </w:pPr>
            <w:r w:rsidRPr="008A1BE2">
              <w:t xml:space="preserve"> 55.0 </w:t>
            </w:r>
          </w:p>
        </w:tc>
        <w:tc>
          <w:tcPr>
            <w:tcW w:w="56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EC89083" w14:textId="77777777" w:rsidR="000E40F4" w:rsidRPr="00812923" w:rsidRDefault="000E40F4" w:rsidP="00FD0109">
            <w:pPr>
              <w:pStyle w:val="TblTxtCenter"/>
              <w:rPr>
                <w:highlight w:val="yellow"/>
              </w:rPr>
            </w:pPr>
            <w:r w:rsidRPr="008A1BE2">
              <w:t xml:space="preserve"> 55.0 </w:t>
            </w:r>
          </w:p>
        </w:tc>
        <w:tc>
          <w:tcPr>
            <w:tcW w:w="598" w:type="pct"/>
            <w:tcBorders>
              <w:top w:val="nil"/>
              <w:left w:val="single" w:sz="4" w:space="0" w:color="auto"/>
              <w:bottom w:val="single" w:sz="4" w:space="0" w:color="auto"/>
              <w:right w:val="single" w:sz="4" w:space="0" w:color="auto"/>
            </w:tcBorders>
            <w:shd w:val="clear" w:color="auto" w:fill="auto"/>
            <w:vAlign w:val="center"/>
          </w:tcPr>
          <w:p w14:paraId="2F5CC549" w14:textId="77777777" w:rsidR="000E40F4" w:rsidRPr="00812923" w:rsidRDefault="000E40F4" w:rsidP="00FD0109">
            <w:pPr>
              <w:pStyle w:val="TblTxtCenter"/>
              <w:rPr>
                <w:highlight w:val="yellow"/>
              </w:rPr>
            </w:pPr>
            <w:r w:rsidRPr="008A1BE2">
              <w:t xml:space="preserve"> 55.7 </w:t>
            </w:r>
          </w:p>
        </w:tc>
        <w:tc>
          <w:tcPr>
            <w:tcW w:w="525" w:type="pct"/>
            <w:tcBorders>
              <w:top w:val="nil"/>
              <w:left w:val="single" w:sz="4" w:space="0" w:color="auto"/>
              <w:bottom w:val="single" w:sz="4" w:space="0" w:color="auto"/>
              <w:right w:val="single" w:sz="12" w:space="0" w:color="auto"/>
            </w:tcBorders>
            <w:shd w:val="clear" w:color="auto" w:fill="auto"/>
            <w:vAlign w:val="center"/>
          </w:tcPr>
          <w:p w14:paraId="1509573E" w14:textId="77777777" w:rsidR="000E40F4" w:rsidRPr="00812923" w:rsidRDefault="000E40F4" w:rsidP="00FD0109">
            <w:pPr>
              <w:pStyle w:val="TblTxtCenter"/>
              <w:rPr>
                <w:highlight w:val="yellow"/>
              </w:rPr>
            </w:pPr>
            <w:r w:rsidRPr="008A1BE2">
              <w:t xml:space="preserve"> 56.0 </w:t>
            </w:r>
          </w:p>
        </w:tc>
        <w:tc>
          <w:tcPr>
            <w:tcW w:w="524" w:type="pct"/>
            <w:tcBorders>
              <w:top w:val="nil"/>
              <w:left w:val="single" w:sz="12" w:space="0" w:color="auto"/>
              <w:bottom w:val="single" w:sz="4" w:space="0" w:color="auto"/>
              <w:right w:val="nil"/>
            </w:tcBorders>
            <w:shd w:val="clear" w:color="auto" w:fill="auto"/>
            <w:vAlign w:val="center"/>
          </w:tcPr>
          <w:p w14:paraId="22649135" w14:textId="77777777" w:rsidR="000E40F4" w:rsidRPr="00812923" w:rsidRDefault="000E40F4" w:rsidP="00FD0109">
            <w:pPr>
              <w:pStyle w:val="TblTxtCenter"/>
              <w:rPr>
                <w:highlight w:val="yellow"/>
              </w:rPr>
            </w:pPr>
            <w:r>
              <w:t>0.0</w:t>
            </w:r>
            <w:r w:rsidRPr="008A1BE2">
              <w:t xml:space="preserve">   </w:t>
            </w:r>
          </w:p>
        </w:tc>
        <w:tc>
          <w:tcPr>
            <w:tcW w:w="509" w:type="pct"/>
            <w:tcBorders>
              <w:top w:val="single" w:sz="2" w:space="0" w:color="000000" w:themeColor="text1"/>
              <w:left w:val="single" w:sz="6" w:space="0" w:color="auto"/>
              <w:bottom w:val="single" w:sz="2" w:space="0" w:color="000000" w:themeColor="text1"/>
              <w:right w:val="nil"/>
            </w:tcBorders>
            <w:vAlign w:val="center"/>
          </w:tcPr>
          <w:p w14:paraId="07237420" w14:textId="77777777" w:rsidR="000E40F4" w:rsidRPr="00812923" w:rsidRDefault="000E40F4" w:rsidP="00FD0109">
            <w:pPr>
              <w:pStyle w:val="TblTxtCenter"/>
              <w:rPr>
                <w:highlight w:val="yellow"/>
              </w:rPr>
            </w:pPr>
            <w:r w:rsidRPr="008A1BE2">
              <w:t xml:space="preserve"> 1.0 </w:t>
            </w:r>
          </w:p>
        </w:tc>
      </w:tr>
      <w:tr w:rsidR="000E40F4" w:rsidRPr="00812923" w14:paraId="6044E332" w14:textId="77777777" w:rsidTr="00FD464A">
        <w:trPr>
          <w:trHeight w:val="288"/>
        </w:trPr>
        <w:tc>
          <w:tcPr>
            <w:tcW w:w="1759" w:type="pct"/>
            <w:tcBorders>
              <w:top w:val="single" w:sz="2" w:space="0" w:color="000000" w:themeColor="text1"/>
              <w:bottom w:val="single" w:sz="2" w:space="0" w:color="000000" w:themeColor="text1"/>
              <w:right w:val="single" w:sz="12" w:space="0" w:color="auto"/>
            </w:tcBorders>
          </w:tcPr>
          <w:p w14:paraId="5DABA383" w14:textId="77777777" w:rsidR="000E40F4" w:rsidRPr="00812923" w:rsidRDefault="000E40F4" w:rsidP="00FD0109">
            <w:pPr>
              <w:pStyle w:val="TblTxt"/>
              <w:keepNext/>
              <w:rPr>
                <w:highlight w:val="yellow"/>
              </w:rPr>
            </w:pPr>
            <w:r w:rsidRPr="005C2E50">
              <w:t>Los Angeles Street - west of Azusa Canyon Road</w:t>
            </w:r>
          </w:p>
        </w:tc>
        <w:tc>
          <w:tcPr>
            <w:tcW w:w="524" w:type="pct"/>
            <w:tcBorders>
              <w:top w:val="single" w:sz="2" w:space="0" w:color="000000" w:themeColor="text1"/>
              <w:left w:val="single" w:sz="12" w:space="0" w:color="auto"/>
              <w:bottom w:val="single" w:sz="2" w:space="0" w:color="000000" w:themeColor="text1"/>
              <w:right w:val="single" w:sz="2" w:space="0" w:color="000000" w:themeColor="text1"/>
            </w:tcBorders>
            <w:vAlign w:val="center"/>
          </w:tcPr>
          <w:p w14:paraId="1CACB953" w14:textId="77777777" w:rsidR="000E40F4" w:rsidRPr="00812923" w:rsidRDefault="000E40F4" w:rsidP="00FD0109">
            <w:pPr>
              <w:pStyle w:val="TblTxtCenter"/>
              <w:rPr>
                <w:highlight w:val="yellow"/>
              </w:rPr>
            </w:pPr>
            <w:r w:rsidRPr="008A1BE2">
              <w:t xml:space="preserve"> 69.7 </w:t>
            </w:r>
          </w:p>
        </w:tc>
        <w:tc>
          <w:tcPr>
            <w:tcW w:w="56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94E6BBD" w14:textId="77777777" w:rsidR="000E40F4" w:rsidRPr="00812923" w:rsidRDefault="000E40F4" w:rsidP="00FD0109">
            <w:pPr>
              <w:pStyle w:val="TblTxtCenter"/>
              <w:rPr>
                <w:highlight w:val="yellow"/>
              </w:rPr>
            </w:pPr>
            <w:r w:rsidRPr="008A1BE2">
              <w:t xml:space="preserve"> 69.7 </w:t>
            </w:r>
          </w:p>
        </w:tc>
        <w:tc>
          <w:tcPr>
            <w:tcW w:w="598" w:type="pct"/>
            <w:tcBorders>
              <w:top w:val="nil"/>
              <w:left w:val="single" w:sz="4" w:space="0" w:color="auto"/>
              <w:bottom w:val="single" w:sz="4" w:space="0" w:color="auto"/>
              <w:right w:val="single" w:sz="4" w:space="0" w:color="auto"/>
            </w:tcBorders>
            <w:shd w:val="clear" w:color="auto" w:fill="auto"/>
            <w:vAlign w:val="center"/>
          </w:tcPr>
          <w:p w14:paraId="4087E92F" w14:textId="77777777" w:rsidR="000E40F4" w:rsidRPr="00812923" w:rsidRDefault="000E40F4" w:rsidP="00FD0109">
            <w:pPr>
              <w:pStyle w:val="TblTxtCenter"/>
              <w:rPr>
                <w:highlight w:val="yellow"/>
              </w:rPr>
            </w:pPr>
            <w:r w:rsidRPr="008A1BE2">
              <w:t xml:space="preserve"> 70.8 </w:t>
            </w:r>
          </w:p>
        </w:tc>
        <w:tc>
          <w:tcPr>
            <w:tcW w:w="525" w:type="pct"/>
            <w:tcBorders>
              <w:top w:val="nil"/>
              <w:left w:val="single" w:sz="4" w:space="0" w:color="auto"/>
              <w:bottom w:val="single" w:sz="4" w:space="0" w:color="auto"/>
              <w:right w:val="single" w:sz="12" w:space="0" w:color="auto"/>
            </w:tcBorders>
            <w:shd w:val="clear" w:color="auto" w:fill="auto"/>
            <w:vAlign w:val="center"/>
          </w:tcPr>
          <w:p w14:paraId="39097A67" w14:textId="77777777" w:rsidR="000E40F4" w:rsidRPr="00812923" w:rsidRDefault="000E40F4" w:rsidP="00FD0109">
            <w:pPr>
              <w:pStyle w:val="TblTxtCenter"/>
              <w:rPr>
                <w:highlight w:val="yellow"/>
              </w:rPr>
            </w:pPr>
            <w:r w:rsidRPr="008A1BE2">
              <w:t xml:space="preserve"> 70.9 </w:t>
            </w:r>
          </w:p>
        </w:tc>
        <w:tc>
          <w:tcPr>
            <w:tcW w:w="524" w:type="pct"/>
            <w:tcBorders>
              <w:top w:val="nil"/>
              <w:left w:val="single" w:sz="12" w:space="0" w:color="auto"/>
              <w:bottom w:val="single" w:sz="4" w:space="0" w:color="auto"/>
              <w:right w:val="nil"/>
            </w:tcBorders>
            <w:shd w:val="clear" w:color="auto" w:fill="auto"/>
            <w:vAlign w:val="center"/>
          </w:tcPr>
          <w:p w14:paraId="3BA9A273" w14:textId="77777777" w:rsidR="000E40F4" w:rsidRPr="00812923" w:rsidRDefault="000E40F4" w:rsidP="00FD0109">
            <w:pPr>
              <w:pStyle w:val="TblTxtCenter"/>
              <w:rPr>
                <w:highlight w:val="yellow"/>
              </w:rPr>
            </w:pPr>
            <w:r w:rsidRPr="008A1BE2">
              <w:t xml:space="preserve"> </w:t>
            </w:r>
            <w:r>
              <w:t>0.0</w:t>
            </w:r>
          </w:p>
        </w:tc>
        <w:tc>
          <w:tcPr>
            <w:tcW w:w="509" w:type="pct"/>
            <w:tcBorders>
              <w:top w:val="single" w:sz="2" w:space="0" w:color="000000" w:themeColor="text1"/>
              <w:left w:val="single" w:sz="6" w:space="0" w:color="auto"/>
              <w:bottom w:val="single" w:sz="2" w:space="0" w:color="000000" w:themeColor="text1"/>
              <w:right w:val="nil"/>
            </w:tcBorders>
            <w:vAlign w:val="center"/>
          </w:tcPr>
          <w:p w14:paraId="75C9F83B" w14:textId="77777777" w:rsidR="000E40F4" w:rsidRPr="00812923" w:rsidRDefault="000E40F4" w:rsidP="00FD0109">
            <w:pPr>
              <w:pStyle w:val="TblTxtCenter"/>
              <w:rPr>
                <w:highlight w:val="yellow"/>
              </w:rPr>
            </w:pPr>
            <w:r w:rsidRPr="008A1BE2">
              <w:t xml:space="preserve"> 1.2 </w:t>
            </w:r>
          </w:p>
        </w:tc>
      </w:tr>
      <w:tr w:rsidR="000E40F4" w:rsidRPr="00812923" w14:paraId="2F14AC7F" w14:textId="77777777" w:rsidTr="00FD464A">
        <w:trPr>
          <w:trHeight w:val="288"/>
        </w:trPr>
        <w:tc>
          <w:tcPr>
            <w:tcW w:w="1759" w:type="pct"/>
            <w:tcBorders>
              <w:top w:val="single" w:sz="2" w:space="0" w:color="000000" w:themeColor="text1"/>
              <w:bottom w:val="single" w:sz="2" w:space="0" w:color="000000" w:themeColor="text1"/>
              <w:right w:val="single" w:sz="12" w:space="0" w:color="auto"/>
            </w:tcBorders>
          </w:tcPr>
          <w:p w14:paraId="4DCCE76E" w14:textId="77777777" w:rsidR="000E40F4" w:rsidRPr="00812923" w:rsidRDefault="000E40F4" w:rsidP="00FD0109">
            <w:pPr>
              <w:pStyle w:val="TblTxt"/>
              <w:keepNext/>
              <w:rPr>
                <w:highlight w:val="yellow"/>
              </w:rPr>
            </w:pPr>
            <w:r w:rsidRPr="005C2E50">
              <w:t>Azusa Canyon Road - north of San Bernardino Road</w:t>
            </w:r>
          </w:p>
        </w:tc>
        <w:tc>
          <w:tcPr>
            <w:tcW w:w="524" w:type="pct"/>
            <w:tcBorders>
              <w:top w:val="single" w:sz="2" w:space="0" w:color="000000" w:themeColor="text1"/>
              <w:left w:val="single" w:sz="12" w:space="0" w:color="auto"/>
              <w:bottom w:val="single" w:sz="2" w:space="0" w:color="000000" w:themeColor="text1"/>
              <w:right w:val="single" w:sz="2" w:space="0" w:color="000000" w:themeColor="text1"/>
            </w:tcBorders>
            <w:vAlign w:val="center"/>
          </w:tcPr>
          <w:p w14:paraId="48D740E0" w14:textId="77777777" w:rsidR="000E40F4" w:rsidRPr="00812923" w:rsidRDefault="000E40F4" w:rsidP="00FD0109">
            <w:pPr>
              <w:pStyle w:val="TblTxtCenter"/>
              <w:rPr>
                <w:highlight w:val="yellow"/>
              </w:rPr>
            </w:pPr>
            <w:r w:rsidRPr="008A1BE2">
              <w:t xml:space="preserve"> 65.9 </w:t>
            </w:r>
          </w:p>
        </w:tc>
        <w:tc>
          <w:tcPr>
            <w:tcW w:w="56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4E0AA05" w14:textId="77777777" w:rsidR="000E40F4" w:rsidRPr="00812923" w:rsidRDefault="000E40F4" w:rsidP="00FD0109">
            <w:pPr>
              <w:pStyle w:val="TblTxtCenter"/>
              <w:rPr>
                <w:highlight w:val="yellow"/>
              </w:rPr>
            </w:pPr>
            <w:r w:rsidRPr="008A1BE2">
              <w:t xml:space="preserve"> 66.1 </w:t>
            </w:r>
          </w:p>
        </w:tc>
        <w:tc>
          <w:tcPr>
            <w:tcW w:w="598" w:type="pct"/>
            <w:tcBorders>
              <w:top w:val="nil"/>
              <w:left w:val="single" w:sz="4" w:space="0" w:color="auto"/>
              <w:bottom w:val="single" w:sz="4" w:space="0" w:color="auto"/>
              <w:right w:val="single" w:sz="4" w:space="0" w:color="auto"/>
            </w:tcBorders>
            <w:shd w:val="clear" w:color="auto" w:fill="auto"/>
            <w:vAlign w:val="center"/>
          </w:tcPr>
          <w:p w14:paraId="39E730B9" w14:textId="77777777" w:rsidR="000E40F4" w:rsidRPr="00812923" w:rsidRDefault="000E40F4" w:rsidP="00FD0109">
            <w:pPr>
              <w:pStyle w:val="TblTxtCenter"/>
              <w:rPr>
                <w:highlight w:val="yellow"/>
              </w:rPr>
            </w:pPr>
            <w:r w:rsidRPr="008A1BE2">
              <w:t xml:space="preserve"> 66.7 </w:t>
            </w:r>
          </w:p>
        </w:tc>
        <w:tc>
          <w:tcPr>
            <w:tcW w:w="525" w:type="pct"/>
            <w:tcBorders>
              <w:top w:val="nil"/>
              <w:left w:val="single" w:sz="4" w:space="0" w:color="auto"/>
              <w:bottom w:val="single" w:sz="4" w:space="0" w:color="auto"/>
              <w:right w:val="single" w:sz="12" w:space="0" w:color="auto"/>
            </w:tcBorders>
            <w:shd w:val="clear" w:color="auto" w:fill="auto"/>
            <w:vAlign w:val="center"/>
          </w:tcPr>
          <w:p w14:paraId="7544F7CE" w14:textId="77777777" w:rsidR="000E40F4" w:rsidRPr="00812923" w:rsidRDefault="000E40F4" w:rsidP="00FD0109">
            <w:pPr>
              <w:pStyle w:val="TblTxtCenter"/>
              <w:rPr>
                <w:highlight w:val="yellow"/>
              </w:rPr>
            </w:pPr>
            <w:r w:rsidRPr="008A1BE2">
              <w:t xml:space="preserve"> 66.7 </w:t>
            </w:r>
          </w:p>
        </w:tc>
        <w:tc>
          <w:tcPr>
            <w:tcW w:w="524" w:type="pct"/>
            <w:tcBorders>
              <w:top w:val="nil"/>
              <w:left w:val="single" w:sz="12" w:space="0" w:color="auto"/>
              <w:bottom w:val="single" w:sz="4" w:space="0" w:color="auto"/>
              <w:right w:val="nil"/>
            </w:tcBorders>
            <w:shd w:val="clear" w:color="auto" w:fill="auto"/>
            <w:vAlign w:val="center"/>
          </w:tcPr>
          <w:p w14:paraId="71E3886D" w14:textId="77777777" w:rsidR="000E40F4" w:rsidRPr="00812923" w:rsidRDefault="000E40F4" w:rsidP="00FD0109">
            <w:pPr>
              <w:pStyle w:val="TblTxtCenter"/>
              <w:rPr>
                <w:highlight w:val="yellow"/>
              </w:rPr>
            </w:pPr>
            <w:r w:rsidRPr="008A1BE2">
              <w:t xml:space="preserve"> 0.</w:t>
            </w:r>
            <w:r>
              <w:t>2</w:t>
            </w:r>
            <w:r w:rsidRPr="008A1BE2">
              <w:t xml:space="preserve"> </w:t>
            </w:r>
          </w:p>
        </w:tc>
        <w:tc>
          <w:tcPr>
            <w:tcW w:w="509" w:type="pct"/>
            <w:tcBorders>
              <w:top w:val="single" w:sz="2" w:space="0" w:color="000000" w:themeColor="text1"/>
              <w:left w:val="single" w:sz="6" w:space="0" w:color="auto"/>
              <w:bottom w:val="single" w:sz="2" w:space="0" w:color="000000" w:themeColor="text1"/>
              <w:right w:val="nil"/>
            </w:tcBorders>
            <w:vAlign w:val="center"/>
          </w:tcPr>
          <w:p w14:paraId="40F5C1B2" w14:textId="77777777" w:rsidR="000E40F4" w:rsidRPr="00812923" w:rsidRDefault="000E40F4" w:rsidP="00FD0109">
            <w:pPr>
              <w:pStyle w:val="TblTxtCenter"/>
              <w:rPr>
                <w:highlight w:val="yellow"/>
              </w:rPr>
            </w:pPr>
            <w:r w:rsidRPr="008A1BE2">
              <w:t xml:space="preserve"> 0.8 </w:t>
            </w:r>
          </w:p>
        </w:tc>
      </w:tr>
      <w:tr w:rsidR="000E40F4" w:rsidRPr="00812923" w14:paraId="5662083D" w14:textId="77777777" w:rsidTr="00FD464A">
        <w:trPr>
          <w:trHeight w:val="288"/>
        </w:trPr>
        <w:tc>
          <w:tcPr>
            <w:tcW w:w="1759" w:type="pct"/>
            <w:tcBorders>
              <w:top w:val="single" w:sz="2" w:space="0" w:color="000000" w:themeColor="text1"/>
              <w:bottom w:val="single" w:sz="2" w:space="0" w:color="000000" w:themeColor="text1"/>
              <w:right w:val="single" w:sz="12" w:space="0" w:color="auto"/>
            </w:tcBorders>
          </w:tcPr>
          <w:p w14:paraId="472A4E04" w14:textId="77777777" w:rsidR="000E40F4" w:rsidRPr="00812923" w:rsidRDefault="000E40F4" w:rsidP="00FD0109">
            <w:pPr>
              <w:pStyle w:val="TblTxt"/>
              <w:keepNext/>
              <w:rPr>
                <w:highlight w:val="yellow"/>
              </w:rPr>
            </w:pPr>
            <w:r w:rsidRPr="005C2E50">
              <w:t>San Bernardino Road - east of Azusa Canyon Road</w:t>
            </w:r>
          </w:p>
        </w:tc>
        <w:tc>
          <w:tcPr>
            <w:tcW w:w="524" w:type="pct"/>
            <w:tcBorders>
              <w:top w:val="single" w:sz="2" w:space="0" w:color="000000" w:themeColor="text1"/>
              <w:left w:val="single" w:sz="12" w:space="0" w:color="auto"/>
              <w:bottom w:val="single" w:sz="2" w:space="0" w:color="000000" w:themeColor="text1"/>
              <w:right w:val="single" w:sz="2" w:space="0" w:color="000000" w:themeColor="text1"/>
            </w:tcBorders>
            <w:vAlign w:val="center"/>
          </w:tcPr>
          <w:p w14:paraId="3CFFCD0A" w14:textId="77777777" w:rsidR="000E40F4" w:rsidRPr="00812923" w:rsidRDefault="000E40F4" w:rsidP="00FD0109">
            <w:pPr>
              <w:pStyle w:val="TblTxtCenter"/>
              <w:rPr>
                <w:highlight w:val="yellow"/>
              </w:rPr>
            </w:pPr>
            <w:r w:rsidRPr="008A1BE2">
              <w:t xml:space="preserve"> 70.4 </w:t>
            </w:r>
          </w:p>
        </w:tc>
        <w:tc>
          <w:tcPr>
            <w:tcW w:w="56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C69CD74" w14:textId="77777777" w:rsidR="000E40F4" w:rsidRPr="00812923" w:rsidRDefault="000E40F4" w:rsidP="00FD0109">
            <w:pPr>
              <w:pStyle w:val="TblTxtCenter"/>
              <w:rPr>
                <w:highlight w:val="yellow"/>
              </w:rPr>
            </w:pPr>
            <w:r w:rsidRPr="008A1BE2">
              <w:t xml:space="preserve"> 70.5 </w:t>
            </w:r>
          </w:p>
        </w:tc>
        <w:tc>
          <w:tcPr>
            <w:tcW w:w="598" w:type="pct"/>
            <w:tcBorders>
              <w:top w:val="nil"/>
              <w:left w:val="single" w:sz="4" w:space="0" w:color="auto"/>
              <w:bottom w:val="single" w:sz="4" w:space="0" w:color="auto"/>
              <w:right w:val="single" w:sz="4" w:space="0" w:color="auto"/>
            </w:tcBorders>
            <w:shd w:val="clear" w:color="auto" w:fill="auto"/>
            <w:vAlign w:val="center"/>
          </w:tcPr>
          <w:p w14:paraId="41FBA64B" w14:textId="77777777" w:rsidR="000E40F4" w:rsidRPr="00812923" w:rsidRDefault="000E40F4" w:rsidP="00FD0109">
            <w:pPr>
              <w:pStyle w:val="TblTxtCenter"/>
              <w:rPr>
                <w:highlight w:val="yellow"/>
              </w:rPr>
            </w:pPr>
            <w:r w:rsidRPr="008A1BE2">
              <w:t xml:space="preserve"> 70.8 </w:t>
            </w:r>
          </w:p>
        </w:tc>
        <w:tc>
          <w:tcPr>
            <w:tcW w:w="525" w:type="pct"/>
            <w:tcBorders>
              <w:top w:val="nil"/>
              <w:left w:val="single" w:sz="4" w:space="0" w:color="auto"/>
              <w:bottom w:val="single" w:sz="4" w:space="0" w:color="auto"/>
              <w:right w:val="single" w:sz="12" w:space="0" w:color="auto"/>
            </w:tcBorders>
            <w:shd w:val="clear" w:color="auto" w:fill="auto"/>
            <w:vAlign w:val="center"/>
          </w:tcPr>
          <w:p w14:paraId="6E276C33" w14:textId="77777777" w:rsidR="000E40F4" w:rsidRPr="00812923" w:rsidRDefault="000E40F4" w:rsidP="00FD0109">
            <w:pPr>
              <w:pStyle w:val="TblTxtCenter"/>
              <w:rPr>
                <w:highlight w:val="yellow"/>
              </w:rPr>
            </w:pPr>
            <w:r w:rsidRPr="008A1BE2">
              <w:t xml:space="preserve"> 70.8 </w:t>
            </w:r>
          </w:p>
        </w:tc>
        <w:tc>
          <w:tcPr>
            <w:tcW w:w="524" w:type="pct"/>
            <w:tcBorders>
              <w:top w:val="nil"/>
              <w:left w:val="single" w:sz="12" w:space="0" w:color="auto"/>
              <w:bottom w:val="single" w:sz="4" w:space="0" w:color="auto"/>
              <w:right w:val="nil"/>
            </w:tcBorders>
            <w:shd w:val="clear" w:color="auto" w:fill="auto"/>
            <w:vAlign w:val="center"/>
          </w:tcPr>
          <w:p w14:paraId="796EE260" w14:textId="77777777" w:rsidR="000E40F4" w:rsidRPr="00812923" w:rsidRDefault="000E40F4" w:rsidP="00FD0109">
            <w:pPr>
              <w:pStyle w:val="TblTxtCenter"/>
              <w:rPr>
                <w:highlight w:val="yellow"/>
              </w:rPr>
            </w:pPr>
            <w:r w:rsidRPr="008A1BE2">
              <w:t xml:space="preserve"> 0.1 </w:t>
            </w:r>
          </w:p>
        </w:tc>
        <w:tc>
          <w:tcPr>
            <w:tcW w:w="509" w:type="pct"/>
            <w:tcBorders>
              <w:top w:val="single" w:sz="2" w:space="0" w:color="000000" w:themeColor="text1"/>
              <w:left w:val="single" w:sz="6" w:space="0" w:color="auto"/>
              <w:bottom w:val="single" w:sz="2" w:space="0" w:color="000000" w:themeColor="text1"/>
              <w:right w:val="nil"/>
            </w:tcBorders>
            <w:vAlign w:val="center"/>
          </w:tcPr>
          <w:p w14:paraId="2DEF74D6" w14:textId="77777777" w:rsidR="000E40F4" w:rsidRPr="00812923" w:rsidRDefault="000E40F4" w:rsidP="00FD0109">
            <w:pPr>
              <w:pStyle w:val="TblTxtCenter"/>
              <w:rPr>
                <w:highlight w:val="yellow"/>
              </w:rPr>
            </w:pPr>
            <w:r w:rsidRPr="008A1BE2">
              <w:t xml:space="preserve"> 0.</w:t>
            </w:r>
            <w:r>
              <w:t>4</w:t>
            </w:r>
            <w:r w:rsidRPr="008A1BE2">
              <w:t xml:space="preserve"> </w:t>
            </w:r>
          </w:p>
        </w:tc>
      </w:tr>
      <w:tr w:rsidR="000E40F4" w:rsidRPr="00812923" w14:paraId="21195119" w14:textId="77777777" w:rsidTr="00FD464A">
        <w:trPr>
          <w:trHeight w:val="288"/>
        </w:trPr>
        <w:tc>
          <w:tcPr>
            <w:tcW w:w="1759" w:type="pct"/>
            <w:tcBorders>
              <w:top w:val="single" w:sz="2" w:space="0" w:color="000000" w:themeColor="text1"/>
              <w:bottom w:val="single" w:sz="2" w:space="0" w:color="000000" w:themeColor="text1"/>
              <w:right w:val="single" w:sz="12" w:space="0" w:color="auto"/>
            </w:tcBorders>
          </w:tcPr>
          <w:p w14:paraId="09E2E57A" w14:textId="77777777" w:rsidR="000E40F4" w:rsidRPr="00812923" w:rsidRDefault="000E40F4" w:rsidP="00FD0109">
            <w:pPr>
              <w:pStyle w:val="TblTxt"/>
              <w:keepNext/>
              <w:rPr>
                <w:highlight w:val="yellow"/>
              </w:rPr>
            </w:pPr>
            <w:r w:rsidRPr="005C2E50">
              <w:t>San Bernardino Road - west of Azusa Canyon Road</w:t>
            </w:r>
          </w:p>
        </w:tc>
        <w:tc>
          <w:tcPr>
            <w:tcW w:w="524" w:type="pct"/>
            <w:tcBorders>
              <w:top w:val="single" w:sz="2" w:space="0" w:color="000000" w:themeColor="text1"/>
              <w:left w:val="single" w:sz="12" w:space="0" w:color="auto"/>
              <w:bottom w:val="single" w:sz="2" w:space="0" w:color="000000" w:themeColor="text1"/>
              <w:right w:val="single" w:sz="2" w:space="0" w:color="000000" w:themeColor="text1"/>
            </w:tcBorders>
            <w:vAlign w:val="center"/>
          </w:tcPr>
          <w:p w14:paraId="608A4093" w14:textId="77777777" w:rsidR="000E40F4" w:rsidRPr="00812923" w:rsidRDefault="000E40F4" w:rsidP="00FD0109">
            <w:pPr>
              <w:pStyle w:val="TblTxtCenter"/>
              <w:rPr>
                <w:highlight w:val="yellow"/>
              </w:rPr>
            </w:pPr>
            <w:r w:rsidRPr="008A1BE2">
              <w:t xml:space="preserve"> 67.6 </w:t>
            </w:r>
          </w:p>
        </w:tc>
        <w:tc>
          <w:tcPr>
            <w:tcW w:w="56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2DC3DA4" w14:textId="77777777" w:rsidR="000E40F4" w:rsidRPr="00812923" w:rsidRDefault="000E40F4" w:rsidP="00FD0109">
            <w:pPr>
              <w:pStyle w:val="TblTxtCenter"/>
              <w:rPr>
                <w:highlight w:val="yellow"/>
              </w:rPr>
            </w:pPr>
            <w:r w:rsidRPr="008A1BE2">
              <w:t xml:space="preserve"> 67.7 </w:t>
            </w:r>
          </w:p>
        </w:tc>
        <w:tc>
          <w:tcPr>
            <w:tcW w:w="598" w:type="pct"/>
            <w:tcBorders>
              <w:top w:val="nil"/>
              <w:left w:val="single" w:sz="4" w:space="0" w:color="auto"/>
              <w:bottom w:val="single" w:sz="4" w:space="0" w:color="auto"/>
              <w:right w:val="single" w:sz="4" w:space="0" w:color="auto"/>
            </w:tcBorders>
            <w:shd w:val="clear" w:color="auto" w:fill="auto"/>
            <w:vAlign w:val="center"/>
          </w:tcPr>
          <w:p w14:paraId="4635882E" w14:textId="77777777" w:rsidR="000E40F4" w:rsidRPr="00812923" w:rsidRDefault="000E40F4" w:rsidP="00FD0109">
            <w:pPr>
              <w:pStyle w:val="TblTxtCenter"/>
              <w:rPr>
                <w:highlight w:val="yellow"/>
              </w:rPr>
            </w:pPr>
            <w:r w:rsidRPr="008A1BE2">
              <w:t xml:space="preserve"> 68.1 </w:t>
            </w:r>
          </w:p>
        </w:tc>
        <w:tc>
          <w:tcPr>
            <w:tcW w:w="525" w:type="pct"/>
            <w:tcBorders>
              <w:top w:val="nil"/>
              <w:left w:val="single" w:sz="4" w:space="0" w:color="auto"/>
              <w:bottom w:val="single" w:sz="4" w:space="0" w:color="auto"/>
              <w:right w:val="single" w:sz="12" w:space="0" w:color="auto"/>
            </w:tcBorders>
            <w:shd w:val="clear" w:color="auto" w:fill="auto"/>
            <w:vAlign w:val="center"/>
          </w:tcPr>
          <w:p w14:paraId="0EB6311E" w14:textId="77777777" w:rsidR="000E40F4" w:rsidRPr="00812923" w:rsidRDefault="000E40F4" w:rsidP="00FD0109">
            <w:pPr>
              <w:pStyle w:val="TblTxtCenter"/>
              <w:rPr>
                <w:highlight w:val="yellow"/>
              </w:rPr>
            </w:pPr>
            <w:r w:rsidRPr="008A1BE2">
              <w:t xml:space="preserve"> 68.1 </w:t>
            </w:r>
          </w:p>
        </w:tc>
        <w:tc>
          <w:tcPr>
            <w:tcW w:w="524" w:type="pct"/>
            <w:tcBorders>
              <w:top w:val="nil"/>
              <w:left w:val="single" w:sz="12" w:space="0" w:color="auto"/>
              <w:bottom w:val="single" w:sz="4" w:space="0" w:color="auto"/>
              <w:right w:val="nil"/>
            </w:tcBorders>
            <w:shd w:val="clear" w:color="auto" w:fill="auto"/>
            <w:vAlign w:val="center"/>
          </w:tcPr>
          <w:p w14:paraId="7E870EA8" w14:textId="77777777" w:rsidR="000E40F4" w:rsidRPr="00812923" w:rsidRDefault="000E40F4" w:rsidP="00FD0109">
            <w:pPr>
              <w:pStyle w:val="TblTxtCenter"/>
              <w:rPr>
                <w:highlight w:val="yellow"/>
              </w:rPr>
            </w:pPr>
            <w:r w:rsidRPr="008A1BE2">
              <w:t xml:space="preserve"> 0.1 </w:t>
            </w:r>
          </w:p>
        </w:tc>
        <w:tc>
          <w:tcPr>
            <w:tcW w:w="509" w:type="pct"/>
            <w:tcBorders>
              <w:top w:val="single" w:sz="2" w:space="0" w:color="000000" w:themeColor="text1"/>
              <w:left w:val="single" w:sz="6" w:space="0" w:color="auto"/>
              <w:bottom w:val="single" w:sz="2" w:space="0" w:color="000000" w:themeColor="text1"/>
              <w:right w:val="nil"/>
            </w:tcBorders>
            <w:vAlign w:val="center"/>
          </w:tcPr>
          <w:p w14:paraId="1E4A3D2B" w14:textId="77777777" w:rsidR="000E40F4" w:rsidRPr="00812923" w:rsidRDefault="000E40F4" w:rsidP="00FD0109">
            <w:pPr>
              <w:pStyle w:val="TblTxtCenter"/>
              <w:rPr>
                <w:highlight w:val="yellow"/>
              </w:rPr>
            </w:pPr>
            <w:r w:rsidRPr="008A1BE2">
              <w:t xml:space="preserve"> 0.5 </w:t>
            </w:r>
          </w:p>
        </w:tc>
      </w:tr>
      <w:tr w:rsidR="000E40F4" w:rsidRPr="00812923" w14:paraId="150EE210" w14:textId="77777777" w:rsidTr="00FD464A">
        <w:trPr>
          <w:trHeight w:val="288"/>
        </w:trPr>
        <w:tc>
          <w:tcPr>
            <w:tcW w:w="1759" w:type="pct"/>
            <w:tcBorders>
              <w:top w:val="single" w:sz="2" w:space="0" w:color="000000" w:themeColor="text1"/>
              <w:bottom w:val="single" w:sz="2" w:space="0" w:color="000000" w:themeColor="text1"/>
              <w:right w:val="single" w:sz="12" w:space="0" w:color="auto"/>
            </w:tcBorders>
          </w:tcPr>
          <w:p w14:paraId="6348E194" w14:textId="77777777" w:rsidR="000E40F4" w:rsidRPr="00812923" w:rsidRDefault="000E40F4" w:rsidP="00FD0109">
            <w:pPr>
              <w:pStyle w:val="TblTxt"/>
              <w:keepNext/>
              <w:rPr>
                <w:highlight w:val="yellow"/>
              </w:rPr>
            </w:pPr>
            <w:r w:rsidRPr="005C2E50">
              <w:t>Azusa Canyon Road - north of Arrow Highway</w:t>
            </w:r>
          </w:p>
        </w:tc>
        <w:tc>
          <w:tcPr>
            <w:tcW w:w="524" w:type="pct"/>
            <w:tcBorders>
              <w:top w:val="single" w:sz="2" w:space="0" w:color="000000" w:themeColor="text1"/>
              <w:left w:val="single" w:sz="12" w:space="0" w:color="auto"/>
              <w:bottom w:val="single" w:sz="2" w:space="0" w:color="000000" w:themeColor="text1"/>
              <w:right w:val="single" w:sz="2" w:space="0" w:color="000000" w:themeColor="text1"/>
            </w:tcBorders>
            <w:vAlign w:val="center"/>
          </w:tcPr>
          <w:p w14:paraId="7E02DF20" w14:textId="77777777" w:rsidR="000E40F4" w:rsidRPr="00812923" w:rsidRDefault="000E40F4" w:rsidP="00FD0109">
            <w:pPr>
              <w:pStyle w:val="TblTxtCenter"/>
              <w:rPr>
                <w:highlight w:val="yellow"/>
              </w:rPr>
            </w:pPr>
            <w:r w:rsidRPr="008A1BE2">
              <w:t xml:space="preserve"> 59.0 </w:t>
            </w:r>
          </w:p>
        </w:tc>
        <w:tc>
          <w:tcPr>
            <w:tcW w:w="56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F36D233" w14:textId="77777777" w:rsidR="000E40F4" w:rsidRPr="00812923" w:rsidRDefault="000E40F4" w:rsidP="00FD0109">
            <w:pPr>
              <w:pStyle w:val="TblTxtCenter"/>
              <w:rPr>
                <w:highlight w:val="yellow"/>
              </w:rPr>
            </w:pPr>
            <w:r w:rsidRPr="008A1BE2">
              <w:t xml:space="preserve"> 59.0 </w:t>
            </w:r>
          </w:p>
        </w:tc>
        <w:tc>
          <w:tcPr>
            <w:tcW w:w="598" w:type="pct"/>
            <w:tcBorders>
              <w:top w:val="nil"/>
              <w:left w:val="single" w:sz="4" w:space="0" w:color="auto"/>
              <w:bottom w:val="single" w:sz="4" w:space="0" w:color="auto"/>
              <w:right w:val="single" w:sz="4" w:space="0" w:color="auto"/>
            </w:tcBorders>
            <w:shd w:val="clear" w:color="auto" w:fill="auto"/>
            <w:vAlign w:val="center"/>
          </w:tcPr>
          <w:p w14:paraId="052AC6DF" w14:textId="77777777" w:rsidR="000E40F4" w:rsidRPr="00812923" w:rsidRDefault="000E40F4" w:rsidP="00FD0109">
            <w:pPr>
              <w:pStyle w:val="TblTxtCenter"/>
              <w:rPr>
                <w:highlight w:val="yellow"/>
              </w:rPr>
            </w:pPr>
            <w:r w:rsidRPr="008A1BE2">
              <w:t xml:space="preserve"> 59.3 </w:t>
            </w:r>
          </w:p>
        </w:tc>
        <w:tc>
          <w:tcPr>
            <w:tcW w:w="525" w:type="pct"/>
            <w:tcBorders>
              <w:top w:val="nil"/>
              <w:left w:val="single" w:sz="4" w:space="0" w:color="auto"/>
              <w:bottom w:val="single" w:sz="4" w:space="0" w:color="auto"/>
              <w:right w:val="single" w:sz="12" w:space="0" w:color="auto"/>
            </w:tcBorders>
            <w:shd w:val="clear" w:color="auto" w:fill="auto"/>
            <w:vAlign w:val="center"/>
          </w:tcPr>
          <w:p w14:paraId="551C1268" w14:textId="77777777" w:rsidR="000E40F4" w:rsidRPr="00812923" w:rsidRDefault="000E40F4" w:rsidP="00FD0109">
            <w:pPr>
              <w:pStyle w:val="TblTxtCenter"/>
              <w:rPr>
                <w:highlight w:val="yellow"/>
              </w:rPr>
            </w:pPr>
            <w:r w:rsidRPr="008A1BE2">
              <w:t xml:space="preserve"> 59.3 </w:t>
            </w:r>
          </w:p>
        </w:tc>
        <w:tc>
          <w:tcPr>
            <w:tcW w:w="524" w:type="pct"/>
            <w:tcBorders>
              <w:top w:val="nil"/>
              <w:left w:val="single" w:sz="12" w:space="0" w:color="auto"/>
              <w:bottom w:val="single" w:sz="4" w:space="0" w:color="auto"/>
              <w:right w:val="nil"/>
            </w:tcBorders>
            <w:shd w:val="clear" w:color="auto" w:fill="auto"/>
            <w:vAlign w:val="center"/>
          </w:tcPr>
          <w:p w14:paraId="30FAFEDE" w14:textId="77777777" w:rsidR="000E40F4" w:rsidRPr="00812923" w:rsidRDefault="000E40F4" w:rsidP="00FD0109">
            <w:pPr>
              <w:pStyle w:val="TblTxtCenter"/>
              <w:rPr>
                <w:highlight w:val="yellow"/>
              </w:rPr>
            </w:pPr>
            <w:r>
              <w:t>0.0</w:t>
            </w:r>
            <w:r w:rsidRPr="008A1BE2">
              <w:t xml:space="preserve">   </w:t>
            </w:r>
          </w:p>
        </w:tc>
        <w:tc>
          <w:tcPr>
            <w:tcW w:w="509" w:type="pct"/>
            <w:tcBorders>
              <w:top w:val="single" w:sz="2" w:space="0" w:color="000000" w:themeColor="text1"/>
              <w:left w:val="single" w:sz="6" w:space="0" w:color="auto"/>
              <w:bottom w:val="single" w:sz="2" w:space="0" w:color="000000" w:themeColor="text1"/>
              <w:right w:val="nil"/>
            </w:tcBorders>
            <w:vAlign w:val="center"/>
          </w:tcPr>
          <w:p w14:paraId="28105162" w14:textId="77777777" w:rsidR="000E40F4" w:rsidRPr="00812923" w:rsidRDefault="000E40F4" w:rsidP="00FD0109">
            <w:pPr>
              <w:pStyle w:val="TblTxtCenter"/>
              <w:rPr>
                <w:highlight w:val="yellow"/>
              </w:rPr>
            </w:pPr>
            <w:r w:rsidRPr="008A1BE2">
              <w:t xml:space="preserve"> 0.</w:t>
            </w:r>
            <w:r>
              <w:t>3</w:t>
            </w:r>
          </w:p>
        </w:tc>
      </w:tr>
      <w:tr w:rsidR="000E40F4" w:rsidRPr="00812923" w14:paraId="0E5E3364" w14:textId="77777777" w:rsidTr="00FD464A">
        <w:trPr>
          <w:trHeight w:val="288"/>
        </w:trPr>
        <w:tc>
          <w:tcPr>
            <w:tcW w:w="1759" w:type="pct"/>
            <w:tcBorders>
              <w:top w:val="single" w:sz="2" w:space="0" w:color="000000" w:themeColor="text1"/>
              <w:bottom w:val="single" w:sz="2" w:space="0" w:color="000000" w:themeColor="text1"/>
              <w:right w:val="single" w:sz="12" w:space="0" w:color="auto"/>
            </w:tcBorders>
          </w:tcPr>
          <w:p w14:paraId="770341E5" w14:textId="77777777" w:rsidR="000E40F4" w:rsidRPr="00812923" w:rsidRDefault="000E40F4" w:rsidP="00FD0109">
            <w:pPr>
              <w:pStyle w:val="TblTxt"/>
              <w:keepNext/>
              <w:rPr>
                <w:highlight w:val="yellow"/>
              </w:rPr>
            </w:pPr>
            <w:r w:rsidRPr="005C2E50">
              <w:t>Azusa Canyon Road - south of Arrow Highway</w:t>
            </w:r>
          </w:p>
        </w:tc>
        <w:tc>
          <w:tcPr>
            <w:tcW w:w="524" w:type="pct"/>
            <w:tcBorders>
              <w:top w:val="single" w:sz="2" w:space="0" w:color="000000" w:themeColor="text1"/>
              <w:left w:val="single" w:sz="12" w:space="0" w:color="auto"/>
              <w:bottom w:val="single" w:sz="2" w:space="0" w:color="000000" w:themeColor="text1"/>
              <w:right w:val="single" w:sz="2" w:space="0" w:color="000000" w:themeColor="text1"/>
            </w:tcBorders>
            <w:vAlign w:val="center"/>
          </w:tcPr>
          <w:p w14:paraId="5303F656" w14:textId="77777777" w:rsidR="000E40F4" w:rsidRPr="00812923" w:rsidRDefault="000E40F4" w:rsidP="00FD0109">
            <w:pPr>
              <w:pStyle w:val="TblTxtCenter"/>
              <w:rPr>
                <w:highlight w:val="yellow"/>
              </w:rPr>
            </w:pPr>
            <w:r w:rsidRPr="008A1BE2">
              <w:t xml:space="preserve"> 66.6 </w:t>
            </w:r>
          </w:p>
        </w:tc>
        <w:tc>
          <w:tcPr>
            <w:tcW w:w="56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A0E1CBA" w14:textId="77777777" w:rsidR="000E40F4" w:rsidRPr="00812923" w:rsidRDefault="000E40F4" w:rsidP="00FD0109">
            <w:pPr>
              <w:pStyle w:val="TblTxtCenter"/>
              <w:rPr>
                <w:highlight w:val="yellow"/>
              </w:rPr>
            </w:pPr>
            <w:r w:rsidRPr="008A1BE2">
              <w:t xml:space="preserve"> 67.1 </w:t>
            </w:r>
          </w:p>
        </w:tc>
        <w:tc>
          <w:tcPr>
            <w:tcW w:w="598" w:type="pct"/>
            <w:tcBorders>
              <w:top w:val="nil"/>
              <w:left w:val="single" w:sz="4" w:space="0" w:color="auto"/>
              <w:bottom w:val="single" w:sz="4" w:space="0" w:color="auto"/>
              <w:right w:val="single" w:sz="4" w:space="0" w:color="auto"/>
            </w:tcBorders>
            <w:shd w:val="clear" w:color="auto" w:fill="auto"/>
            <w:vAlign w:val="center"/>
          </w:tcPr>
          <w:p w14:paraId="6A710374" w14:textId="77777777" w:rsidR="000E40F4" w:rsidRPr="00812923" w:rsidRDefault="000E40F4" w:rsidP="00FD0109">
            <w:pPr>
              <w:pStyle w:val="TblTxtCenter"/>
              <w:rPr>
                <w:highlight w:val="yellow"/>
              </w:rPr>
            </w:pPr>
            <w:r w:rsidRPr="008A1BE2">
              <w:t xml:space="preserve"> 67.0 </w:t>
            </w:r>
          </w:p>
        </w:tc>
        <w:tc>
          <w:tcPr>
            <w:tcW w:w="525" w:type="pct"/>
            <w:tcBorders>
              <w:top w:val="nil"/>
              <w:left w:val="single" w:sz="4" w:space="0" w:color="auto"/>
              <w:bottom w:val="single" w:sz="4" w:space="0" w:color="auto"/>
              <w:right w:val="single" w:sz="12" w:space="0" w:color="auto"/>
            </w:tcBorders>
            <w:shd w:val="clear" w:color="auto" w:fill="auto"/>
            <w:vAlign w:val="center"/>
          </w:tcPr>
          <w:p w14:paraId="0C9E6AF6" w14:textId="77777777" w:rsidR="000E40F4" w:rsidRPr="00812923" w:rsidRDefault="000E40F4" w:rsidP="00FD0109">
            <w:pPr>
              <w:pStyle w:val="TblTxtCenter"/>
              <w:rPr>
                <w:highlight w:val="yellow"/>
              </w:rPr>
            </w:pPr>
            <w:r w:rsidRPr="008A1BE2">
              <w:t xml:space="preserve"> 67.1 </w:t>
            </w:r>
          </w:p>
        </w:tc>
        <w:tc>
          <w:tcPr>
            <w:tcW w:w="524" w:type="pct"/>
            <w:tcBorders>
              <w:top w:val="nil"/>
              <w:left w:val="single" w:sz="12" w:space="0" w:color="auto"/>
              <w:bottom w:val="single" w:sz="4" w:space="0" w:color="auto"/>
              <w:right w:val="nil"/>
            </w:tcBorders>
            <w:shd w:val="clear" w:color="auto" w:fill="auto"/>
            <w:vAlign w:val="center"/>
          </w:tcPr>
          <w:p w14:paraId="347A0F79" w14:textId="77777777" w:rsidR="000E40F4" w:rsidRPr="00812923" w:rsidRDefault="000E40F4" w:rsidP="00FD0109">
            <w:pPr>
              <w:pStyle w:val="TblTxtCenter"/>
              <w:rPr>
                <w:highlight w:val="yellow"/>
              </w:rPr>
            </w:pPr>
            <w:r w:rsidRPr="008A1BE2">
              <w:t xml:space="preserve"> 0.</w:t>
            </w:r>
            <w:r>
              <w:t>5</w:t>
            </w:r>
            <w:r w:rsidRPr="008A1BE2">
              <w:t xml:space="preserve"> </w:t>
            </w:r>
          </w:p>
        </w:tc>
        <w:tc>
          <w:tcPr>
            <w:tcW w:w="509" w:type="pct"/>
            <w:tcBorders>
              <w:top w:val="single" w:sz="2" w:space="0" w:color="000000" w:themeColor="text1"/>
              <w:left w:val="single" w:sz="6" w:space="0" w:color="auto"/>
              <w:bottom w:val="single" w:sz="2" w:space="0" w:color="000000" w:themeColor="text1"/>
              <w:right w:val="nil"/>
            </w:tcBorders>
            <w:vAlign w:val="center"/>
          </w:tcPr>
          <w:p w14:paraId="49B05FF6" w14:textId="77777777" w:rsidR="000E40F4" w:rsidRPr="00812923" w:rsidRDefault="000E40F4" w:rsidP="00FD0109">
            <w:pPr>
              <w:pStyle w:val="TblTxtCenter"/>
              <w:rPr>
                <w:highlight w:val="yellow"/>
              </w:rPr>
            </w:pPr>
            <w:r w:rsidRPr="008A1BE2">
              <w:t xml:space="preserve"> 0.</w:t>
            </w:r>
            <w:r>
              <w:t>5</w:t>
            </w:r>
            <w:r w:rsidRPr="008A1BE2">
              <w:t xml:space="preserve"> </w:t>
            </w:r>
          </w:p>
        </w:tc>
      </w:tr>
      <w:tr w:rsidR="000E40F4" w:rsidRPr="00812923" w14:paraId="7D723F85" w14:textId="77777777" w:rsidTr="00FD464A">
        <w:trPr>
          <w:trHeight w:val="288"/>
        </w:trPr>
        <w:tc>
          <w:tcPr>
            <w:tcW w:w="1759" w:type="pct"/>
            <w:tcBorders>
              <w:top w:val="single" w:sz="2" w:space="0" w:color="000000" w:themeColor="text1"/>
              <w:bottom w:val="single" w:sz="2" w:space="0" w:color="000000" w:themeColor="text1"/>
              <w:right w:val="single" w:sz="12" w:space="0" w:color="auto"/>
            </w:tcBorders>
          </w:tcPr>
          <w:p w14:paraId="4EE640B2" w14:textId="77777777" w:rsidR="000E40F4" w:rsidRPr="00812923" w:rsidRDefault="000E40F4" w:rsidP="00FD0109">
            <w:pPr>
              <w:pStyle w:val="TblTxt"/>
              <w:keepNext/>
              <w:rPr>
                <w:highlight w:val="yellow"/>
              </w:rPr>
            </w:pPr>
            <w:r w:rsidRPr="005C2E50">
              <w:t>Arrow Highway - east of Azusa Canyon Road</w:t>
            </w:r>
          </w:p>
        </w:tc>
        <w:tc>
          <w:tcPr>
            <w:tcW w:w="524" w:type="pct"/>
            <w:tcBorders>
              <w:top w:val="single" w:sz="2" w:space="0" w:color="000000" w:themeColor="text1"/>
              <w:left w:val="single" w:sz="12" w:space="0" w:color="auto"/>
              <w:bottom w:val="single" w:sz="2" w:space="0" w:color="000000" w:themeColor="text1"/>
              <w:right w:val="single" w:sz="2" w:space="0" w:color="000000" w:themeColor="text1"/>
            </w:tcBorders>
            <w:vAlign w:val="center"/>
          </w:tcPr>
          <w:p w14:paraId="724CBD6F" w14:textId="77777777" w:rsidR="000E40F4" w:rsidRPr="00812923" w:rsidRDefault="000E40F4" w:rsidP="00FD0109">
            <w:pPr>
              <w:pStyle w:val="TblTxtCenter"/>
              <w:rPr>
                <w:highlight w:val="yellow"/>
              </w:rPr>
            </w:pPr>
            <w:r w:rsidRPr="008A1BE2">
              <w:t xml:space="preserve"> 76.6 </w:t>
            </w:r>
          </w:p>
        </w:tc>
        <w:tc>
          <w:tcPr>
            <w:tcW w:w="56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50C4430" w14:textId="77777777" w:rsidR="000E40F4" w:rsidRPr="00812923" w:rsidRDefault="000E40F4" w:rsidP="00FD0109">
            <w:pPr>
              <w:pStyle w:val="TblTxtCenter"/>
              <w:rPr>
                <w:highlight w:val="yellow"/>
              </w:rPr>
            </w:pPr>
            <w:r w:rsidRPr="008A1BE2">
              <w:t xml:space="preserve"> 76.9 </w:t>
            </w:r>
          </w:p>
        </w:tc>
        <w:tc>
          <w:tcPr>
            <w:tcW w:w="598" w:type="pct"/>
            <w:tcBorders>
              <w:top w:val="nil"/>
              <w:left w:val="single" w:sz="4" w:space="0" w:color="auto"/>
              <w:bottom w:val="single" w:sz="4" w:space="0" w:color="auto"/>
              <w:right w:val="single" w:sz="4" w:space="0" w:color="auto"/>
            </w:tcBorders>
            <w:shd w:val="clear" w:color="auto" w:fill="auto"/>
            <w:vAlign w:val="center"/>
          </w:tcPr>
          <w:p w14:paraId="42A09877" w14:textId="77777777" w:rsidR="000E40F4" w:rsidRPr="00812923" w:rsidRDefault="000E40F4" w:rsidP="00FD0109">
            <w:pPr>
              <w:pStyle w:val="TblTxtCenter"/>
              <w:rPr>
                <w:highlight w:val="yellow"/>
              </w:rPr>
            </w:pPr>
            <w:r w:rsidRPr="008A1BE2">
              <w:t xml:space="preserve"> 77.1 </w:t>
            </w:r>
          </w:p>
        </w:tc>
        <w:tc>
          <w:tcPr>
            <w:tcW w:w="525" w:type="pct"/>
            <w:tcBorders>
              <w:top w:val="nil"/>
              <w:left w:val="single" w:sz="4" w:space="0" w:color="auto"/>
              <w:bottom w:val="single" w:sz="4" w:space="0" w:color="auto"/>
              <w:right w:val="single" w:sz="12" w:space="0" w:color="auto"/>
            </w:tcBorders>
            <w:shd w:val="clear" w:color="auto" w:fill="auto"/>
            <w:vAlign w:val="center"/>
          </w:tcPr>
          <w:p w14:paraId="2605DB75" w14:textId="77777777" w:rsidR="000E40F4" w:rsidRPr="00812923" w:rsidRDefault="000E40F4" w:rsidP="00FD0109">
            <w:pPr>
              <w:pStyle w:val="TblTxtCenter"/>
              <w:rPr>
                <w:highlight w:val="yellow"/>
              </w:rPr>
            </w:pPr>
            <w:r w:rsidRPr="008A1BE2">
              <w:t xml:space="preserve"> 77.1 </w:t>
            </w:r>
          </w:p>
        </w:tc>
        <w:tc>
          <w:tcPr>
            <w:tcW w:w="524" w:type="pct"/>
            <w:tcBorders>
              <w:top w:val="nil"/>
              <w:left w:val="single" w:sz="12" w:space="0" w:color="auto"/>
              <w:bottom w:val="single" w:sz="4" w:space="0" w:color="auto"/>
              <w:right w:val="nil"/>
            </w:tcBorders>
            <w:shd w:val="clear" w:color="auto" w:fill="auto"/>
            <w:vAlign w:val="center"/>
          </w:tcPr>
          <w:p w14:paraId="49C0E342" w14:textId="77777777" w:rsidR="000E40F4" w:rsidRPr="00812923" w:rsidRDefault="000E40F4" w:rsidP="00FD0109">
            <w:pPr>
              <w:pStyle w:val="TblTxtCenter"/>
              <w:rPr>
                <w:highlight w:val="yellow"/>
              </w:rPr>
            </w:pPr>
            <w:r w:rsidRPr="008A1BE2">
              <w:t xml:space="preserve"> 0.3 </w:t>
            </w:r>
          </w:p>
        </w:tc>
        <w:tc>
          <w:tcPr>
            <w:tcW w:w="509" w:type="pct"/>
            <w:tcBorders>
              <w:top w:val="single" w:sz="2" w:space="0" w:color="000000" w:themeColor="text1"/>
              <w:left w:val="single" w:sz="6" w:space="0" w:color="auto"/>
              <w:bottom w:val="single" w:sz="2" w:space="0" w:color="000000" w:themeColor="text1"/>
              <w:right w:val="nil"/>
            </w:tcBorders>
            <w:vAlign w:val="center"/>
          </w:tcPr>
          <w:p w14:paraId="07DB26F5" w14:textId="77777777" w:rsidR="000E40F4" w:rsidRPr="00812923" w:rsidRDefault="000E40F4" w:rsidP="00FD0109">
            <w:pPr>
              <w:pStyle w:val="TblTxtCenter"/>
              <w:rPr>
                <w:highlight w:val="yellow"/>
              </w:rPr>
            </w:pPr>
            <w:r w:rsidRPr="008A1BE2">
              <w:t xml:space="preserve"> 0.5 </w:t>
            </w:r>
          </w:p>
        </w:tc>
      </w:tr>
      <w:tr w:rsidR="000E40F4" w:rsidRPr="00812923" w14:paraId="2C6772C7" w14:textId="77777777" w:rsidTr="00FD464A">
        <w:trPr>
          <w:trHeight w:val="288"/>
        </w:trPr>
        <w:tc>
          <w:tcPr>
            <w:tcW w:w="1759" w:type="pct"/>
            <w:tcBorders>
              <w:top w:val="single" w:sz="2" w:space="0" w:color="000000" w:themeColor="text1"/>
              <w:bottom w:val="single" w:sz="2" w:space="0" w:color="000000" w:themeColor="text1"/>
              <w:right w:val="single" w:sz="12" w:space="0" w:color="auto"/>
            </w:tcBorders>
          </w:tcPr>
          <w:p w14:paraId="22FBCC33" w14:textId="77777777" w:rsidR="000E40F4" w:rsidRPr="00812923" w:rsidRDefault="000E40F4" w:rsidP="00FD0109">
            <w:pPr>
              <w:pStyle w:val="TblTxt"/>
              <w:keepNext/>
              <w:rPr>
                <w:highlight w:val="yellow"/>
              </w:rPr>
            </w:pPr>
            <w:r w:rsidRPr="005C2E50">
              <w:t>Arrow Highway - west of Azusa Canyon Road</w:t>
            </w:r>
          </w:p>
        </w:tc>
        <w:tc>
          <w:tcPr>
            <w:tcW w:w="524" w:type="pct"/>
            <w:tcBorders>
              <w:top w:val="single" w:sz="2" w:space="0" w:color="000000" w:themeColor="text1"/>
              <w:left w:val="single" w:sz="12" w:space="0" w:color="auto"/>
              <w:bottom w:val="single" w:sz="2" w:space="0" w:color="000000" w:themeColor="text1"/>
              <w:right w:val="single" w:sz="2" w:space="0" w:color="000000" w:themeColor="text1"/>
            </w:tcBorders>
            <w:vAlign w:val="center"/>
          </w:tcPr>
          <w:p w14:paraId="30D5962C" w14:textId="77777777" w:rsidR="000E40F4" w:rsidRPr="00812923" w:rsidRDefault="000E40F4" w:rsidP="00FD0109">
            <w:pPr>
              <w:pStyle w:val="TblTxtCenter"/>
              <w:rPr>
                <w:highlight w:val="yellow"/>
              </w:rPr>
            </w:pPr>
            <w:r w:rsidRPr="008A1BE2">
              <w:t xml:space="preserve"> 76.6 </w:t>
            </w:r>
          </w:p>
        </w:tc>
        <w:tc>
          <w:tcPr>
            <w:tcW w:w="561"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CEEE111" w14:textId="77777777" w:rsidR="000E40F4" w:rsidRPr="00812923" w:rsidRDefault="000E40F4" w:rsidP="00FD0109">
            <w:pPr>
              <w:pStyle w:val="TblTxtCenter"/>
              <w:rPr>
                <w:highlight w:val="yellow"/>
              </w:rPr>
            </w:pPr>
            <w:r w:rsidRPr="008A1BE2">
              <w:t xml:space="preserve"> 76.9 </w:t>
            </w:r>
          </w:p>
        </w:tc>
        <w:tc>
          <w:tcPr>
            <w:tcW w:w="598" w:type="pct"/>
            <w:tcBorders>
              <w:top w:val="nil"/>
              <w:left w:val="single" w:sz="4" w:space="0" w:color="auto"/>
              <w:bottom w:val="single" w:sz="4" w:space="0" w:color="auto"/>
              <w:right w:val="single" w:sz="4" w:space="0" w:color="auto"/>
            </w:tcBorders>
            <w:shd w:val="clear" w:color="auto" w:fill="auto"/>
            <w:vAlign w:val="center"/>
          </w:tcPr>
          <w:p w14:paraId="433CFCCD" w14:textId="77777777" w:rsidR="000E40F4" w:rsidRPr="00812923" w:rsidRDefault="000E40F4" w:rsidP="00FD0109">
            <w:pPr>
              <w:pStyle w:val="TblTxtCenter"/>
              <w:rPr>
                <w:highlight w:val="yellow"/>
              </w:rPr>
            </w:pPr>
            <w:r w:rsidRPr="008A1BE2">
              <w:t xml:space="preserve"> 77.1 </w:t>
            </w:r>
          </w:p>
        </w:tc>
        <w:tc>
          <w:tcPr>
            <w:tcW w:w="525" w:type="pct"/>
            <w:tcBorders>
              <w:top w:val="nil"/>
              <w:left w:val="single" w:sz="4" w:space="0" w:color="auto"/>
              <w:bottom w:val="single" w:sz="4" w:space="0" w:color="auto"/>
              <w:right w:val="single" w:sz="12" w:space="0" w:color="auto"/>
            </w:tcBorders>
            <w:shd w:val="clear" w:color="auto" w:fill="auto"/>
            <w:vAlign w:val="center"/>
          </w:tcPr>
          <w:p w14:paraId="15BB2416" w14:textId="77777777" w:rsidR="000E40F4" w:rsidRPr="00812923" w:rsidRDefault="000E40F4" w:rsidP="00FD0109">
            <w:pPr>
              <w:pStyle w:val="TblTxtCenter"/>
              <w:rPr>
                <w:highlight w:val="yellow"/>
              </w:rPr>
            </w:pPr>
            <w:r w:rsidRPr="008A1BE2">
              <w:t xml:space="preserve"> 77.1 </w:t>
            </w:r>
          </w:p>
        </w:tc>
        <w:tc>
          <w:tcPr>
            <w:tcW w:w="524" w:type="pct"/>
            <w:tcBorders>
              <w:top w:val="nil"/>
              <w:left w:val="single" w:sz="12" w:space="0" w:color="auto"/>
              <w:bottom w:val="single" w:sz="4" w:space="0" w:color="auto"/>
              <w:right w:val="nil"/>
            </w:tcBorders>
            <w:shd w:val="clear" w:color="auto" w:fill="auto"/>
            <w:vAlign w:val="center"/>
          </w:tcPr>
          <w:p w14:paraId="47640AC7" w14:textId="77777777" w:rsidR="000E40F4" w:rsidRPr="00812923" w:rsidRDefault="000E40F4" w:rsidP="00FD0109">
            <w:pPr>
              <w:pStyle w:val="TblTxtCenter"/>
              <w:rPr>
                <w:highlight w:val="yellow"/>
              </w:rPr>
            </w:pPr>
            <w:r w:rsidRPr="008A1BE2">
              <w:t xml:space="preserve"> 0.3 </w:t>
            </w:r>
          </w:p>
        </w:tc>
        <w:tc>
          <w:tcPr>
            <w:tcW w:w="509" w:type="pct"/>
            <w:tcBorders>
              <w:top w:val="single" w:sz="2" w:space="0" w:color="000000" w:themeColor="text1"/>
              <w:left w:val="single" w:sz="6" w:space="0" w:color="auto"/>
              <w:bottom w:val="single" w:sz="2" w:space="0" w:color="000000" w:themeColor="text1"/>
              <w:right w:val="nil"/>
            </w:tcBorders>
            <w:vAlign w:val="center"/>
          </w:tcPr>
          <w:p w14:paraId="63FE4344" w14:textId="77777777" w:rsidR="000E40F4" w:rsidRPr="00812923" w:rsidRDefault="000E40F4" w:rsidP="00FD0109">
            <w:pPr>
              <w:pStyle w:val="TblTxtCenter"/>
              <w:rPr>
                <w:highlight w:val="yellow"/>
              </w:rPr>
            </w:pPr>
            <w:r w:rsidRPr="008A1BE2">
              <w:t xml:space="preserve"> 0.5 </w:t>
            </w:r>
          </w:p>
        </w:tc>
      </w:tr>
      <w:tr w:rsidR="000E40F4" w:rsidRPr="00812923" w14:paraId="3725DA58" w14:textId="77777777" w:rsidTr="00FD464A">
        <w:trPr>
          <w:trHeight w:val="288"/>
        </w:trPr>
        <w:tc>
          <w:tcPr>
            <w:tcW w:w="1759" w:type="pct"/>
            <w:tcBorders>
              <w:top w:val="single" w:sz="2" w:space="0" w:color="000000" w:themeColor="text1"/>
              <w:bottom w:val="single" w:sz="4" w:space="0" w:color="auto"/>
              <w:right w:val="single" w:sz="12" w:space="0" w:color="auto"/>
            </w:tcBorders>
          </w:tcPr>
          <w:p w14:paraId="17AB056D" w14:textId="77777777" w:rsidR="000E40F4" w:rsidRPr="00812923" w:rsidRDefault="000E40F4" w:rsidP="00FD0109">
            <w:pPr>
              <w:pStyle w:val="TblTxt"/>
              <w:keepNext/>
              <w:rPr>
                <w:highlight w:val="yellow"/>
              </w:rPr>
            </w:pPr>
            <w:r w:rsidRPr="005C2E50">
              <w:t>Azusa Canyon Road - north of Olive Street</w:t>
            </w:r>
          </w:p>
        </w:tc>
        <w:tc>
          <w:tcPr>
            <w:tcW w:w="524" w:type="pct"/>
            <w:tcBorders>
              <w:top w:val="single" w:sz="2" w:space="0" w:color="000000" w:themeColor="text1"/>
              <w:left w:val="single" w:sz="12" w:space="0" w:color="auto"/>
              <w:bottom w:val="single" w:sz="4" w:space="0" w:color="auto"/>
              <w:right w:val="single" w:sz="2" w:space="0" w:color="000000" w:themeColor="text1"/>
            </w:tcBorders>
            <w:vAlign w:val="center"/>
          </w:tcPr>
          <w:p w14:paraId="16FBE4DE" w14:textId="77777777" w:rsidR="000E40F4" w:rsidRPr="00812923" w:rsidRDefault="000E40F4" w:rsidP="00FD0109">
            <w:pPr>
              <w:pStyle w:val="TblTxtCenter"/>
              <w:rPr>
                <w:highlight w:val="yellow"/>
              </w:rPr>
            </w:pPr>
            <w:r w:rsidRPr="008A1BE2">
              <w:t xml:space="preserve"> 66.6 </w:t>
            </w:r>
          </w:p>
        </w:tc>
        <w:tc>
          <w:tcPr>
            <w:tcW w:w="561" w:type="pct"/>
            <w:tcBorders>
              <w:top w:val="single" w:sz="2" w:space="0" w:color="000000" w:themeColor="text1"/>
              <w:left w:val="single" w:sz="2" w:space="0" w:color="000000" w:themeColor="text1"/>
              <w:bottom w:val="single" w:sz="4" w:space="0" w:color="auto"/>
              <w:right w:val="single" w:sz="2" w:space="0" w:color="000000" w:themeColor="text1"/>
            </w:tcBorders>
            <w:vAlign w:val="center"/>
          </w:tcPr>
          <w:p w14:paraId="5887C9F3" w14:textId="77777777" w:rsidR="000E40F4" w:rsidRPr="00812923" w:rsidRDefault="000E40F4" w:rsidP="00FD0109">
            <w:pPr>
              <w:pStyle w:val="TblTxtCenter"/>
              <w:rPr>
                <w:highlight w:val="yellow"/>
              </w:rPr>
            </w:pPr>
            <w:r w:rsidRPr="008A1BE2">
              <w:t xml:space="preserve"> 67.1 </w:t>
            </w:r>
          </w:p>
        </w:tc>
        <w:tc>
          <w:tcPr>
            <w:tcW w:w="598" w:type="pct"/>
            <w:tcBorders>
              <w:top w:val="nil"/>
              <w:left w:val="single" w:sz="4" w:space="0" w:color="auto"/>
              <w:bottom w:val="single" w:sz="4" w:space="0" w:color="auto"/>
              <w:right w:val="single" w:sz="4" w:space="0" w:color="auto"/>
            </w:tcBorders>
            <w:shd w:val="clear" w:color="auto" w:fill="auto"/>
            <w:vAlign w:val="center"/>
          </w:tcPr>
          <w:p w14:paraId="6C5B5D0B" w14:textId="77777777" w:rsidR="000E40F4" w:rsidRPr="00812923" w:rsidRDefault="000E40F4" w:rsidP="00FD0109">
            <w:pPr>
              <w:pStyle w:val="TblTxtCenter"/>
              <w:rPr>
                <w:highlight w:val="yellow"/>
              </w:rPr>
            </w:pPr>
            <w:r w:rsidRPr="008A1BE2">
              <w:t xml:space="preserve"> 67.0 </w:t>
            </w:r>
          </w:p>
        </w:tc>
        <w:tc>
          <w:tcPr>
            <w:tcW w:w="525" w:type="pct"/>
            <w:tcBorders>
              <w:top w:val="nil"/>
              <w:left w:val="single" w:sz="4" w:space="0" w:color="auto"/>
              <w:bottom w:val="single" w:sz="4" w:space="0" w:color="auto"/>
              <w:right w:val="single" w:sz="12" w:space="0" w:color="auto"/>
            </w:tcBorders>
            <w:shd w:val="clear" w:color="auto" w:fill="auto"/>
            <w:vAlign w:val="center"/>
          </w:tcPr>
          <w:p w14:paraId="080D732C" w14:textId="77777777" w:rsidR="000E40F4" w:rsidRPr="00812923" w:rsidRDefault="000E40F4" w:rsidP="00FD0109">
            <w:pPr>
              <w:pStyle w:val="TblTxtCenter"/>
              <w:rPr>
                <w:highlight w:val="yellow"/>
              </w:rPr>
            </w:pPr>
            <w:r w:rsidRPr="008A1BE2">
              <w:t xml:space="preserve"> 67.1 </w:t>
            </w:r>
          </w:p>
        </w:tc>
        <w:tc>
          <w:tcPr>
            <w:tcW w:w="524" w:type="pct"/>
            <w:tcBorders>
              <w:top w:val="nil"/>
              <w:left w:val="single" w:sz="12" w:space="0" w:color="auto"/>
              <w:bottom w:val="single" w:sz="4" w:space="0" w:color="auto"/>
              <w:right w:val="nil"/>
            </w:tcBorders>
            <w:shd w:val="clear" w:color="auto" w:fill="auto"/>
            <w:vAlign w:val="center"/>
          </w:tcPr>
          <w:p w14:paraId="07082259" w14:textId="77777777" w:rsidR="000E40F4" w:rsidRPr="00812923" w:rsidRDefault="000E40F4" w:rsidP="00FD0109">
            <w:pPr>
              <w:pStyle w:val="TblTxtCenter"/>
              <w:rPr>
                <w:highlight w:val="yellow"/>
              </w:rPr>
            </w:pPr>
            <w:r w:rsidRPr="008A1BE2">
              <w:t xml:space="preserve"> 0.</w:t>
            </w:r>
            <w:r>
              <w:t>4</w:t>
            </w:r>
            <w:r w:rsidRPr="008A1BE2">
              <w:t xml:space="preserve"> </w:t>
            </w:r>
          </w:p>
        </w:tc>
        <w:tc>
          <w:tcPr>
            <w:tcW w:w="509" w:type="pct"/>
            <w:tcBorders>
              <w:top w:val="single" w:sz="2" w:space="0" w:color="000000" w:themeColor="text1"/>
              <w:left w:val="single" w:sz="6" w:space="0" w:color="auto"/>
              <w:bottom w:val="single" w:sz="4" w:space="0" w:color="auto"/>
              <w:right w:val="nil"/>
            </w:tcBorders>
            <w:vAlign w:val="center"/>
          </w:tcPr>
          <w:p w14:paraId="5E1A6F1F" w14:textId="77777777" w:rsidR="000E40F4" w:rsidRPr="00812923" w:rsidRDefault="000E40F4" w:rsidP="00FD0109">
            <w:pPr>
              <w:pStyle w:val="TblTxtCenter"/>
              <w:rPr>
                <w:highlight w:val="yellow"/>
              </w:rPr>
            </w:pPr>
            <w:r w:rsidRPr="008A1BE2">
              <w:t xml:space="preserve"> 0.</w:t>
            </w:r>
            <w:r>
              <w:t>5</w:t>
            </w:r>
            <w:r w:rsidRPr="008A1BE2">
              <w:t xml:space="preserve"> </w:t>
            </w:r>
          </w:p>
        </w:tc>
      </w:tr>
      <w:tr w:rsidR="000E40F4" w:rsidRPr="00812923" w14:paraId="2F0E948A" w14:textId="77777777" w:rsidTr="00FD464A">
        <w:trPr>
          <w:trHeight w:val="288"/>
        </w:trPr>
        <w:tc>
          <w:tcPr>
            <w:tcW w:w="1759" w:type="pct"/>
            <w:tcBorders>
              <w:top w:val="single" w:sz="4" w:space="0" w:color="auto"/>
              <w:bottom w:val="single" w:sz="4" w:space="0" w:color="auto"/>
              <w:right w:val="single" w:sz="12" w:space="0" w:color="auto"/>
            </w:tcBorders>
          </w:tcPr>
          <w:p w14:paraId="423632E4" w14:textId="77777777" w:rsidR="000E40F4" w:rsidRPr="00D42B97" w:rsidRDefault="000E40F4" w:rsidP="00FD0109">
            <w:pPr>
              <w:pStyle w:val="TblTxt"/>
              <w:keepNext/>
            </w:pPr>
            <w:r w:rsidRPr="005C2E50">
              <w:t>Azusa Canyon Road - south of Olive Street</w:t>
            </w:r>
          </w:p>
        </w:tc>
        <w:tc>
          <w:tcPr>
            <w:tcW w:w="524" w:type="pct"/>
            <w:tcBorders>
              <w:top w:val="single" w:sz="4" w:space="0" w:color="auto"/>
              <w:left w:val="single" w:sz="12" w:space="0" w:color="auto"/>
              <w:bottom w:val="single" w:sz="4" w:space="0" w:color="auto"/>
              <w:right w:val="single" w:sz="4" w:space="0" w:color="auto"/>
            </w:tcBorders>
            <w:vAlign w:val="center"/>
          </w:tcPr>
          <w:p w14:paraId="344B3543" w14:textId="77777777" w:rsidR="000E40F4" w:rsidRPr="00D42B97" w:rsidRDefault="000E40F4" w:rsidP="00FD0109">
            <w:pPr>
              <w:pStyle w:val="TblTxtCenter"/>
            </w:pPr>
            <w:r w:rsidRPr="008A1BE2">
              <w:t xml:space="preserve"> 68.1 </w:t>
            </w:r>
          </w:p>
        </w:tc>
        <w:tc>
          <w:tcPr>
            <w:tcW w:w="561" w:type="pct"/>
            <w:tcBorders>
              <w:top w:val="single" w:sz="4" w:space="0" w:color="auto"/>
              <w:left w:val="single" w:sz="4" w:space="0" w:color="auto"/>
              <w:bottom w:val="single" w:sz="4" w:space="0" w:color="auto"/>
              <w:right w:val="single" w:sz="4" w:space="0" w:color="auto"/>
            </w:tcBorders>
            <w:vAlign w:val="center"/>
          </w:tcPr>
          <w:p w14:paraId="44471C6A" w14:textId="77777777" w:rsidR="000E40F4" w:rsidRPr="00D42B97" w:rsidRDefault="000E40F4" w:rsidP="00FD0109">
            <w:pPr>
              <w:pStyle w:val="TblTxtCenter"/>
            </w:pPr>
            <w:r w:rsidRPr="008A1BE2">
              <w:t xml:space="preserve"> 68.2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7719D683" w14:textId="77777777" w:rsidR="000E40F4" w:rsidRPr="00D42B97" w:rsidRDefault="000E40F4" w:rsidP="00FD0109">
            <w:pPr>
              <w:pStyle w:val="TblTxtCenter"/>
            </w:pPr>
            <w:r w:rsidRPr="008A1BE2">
              <w:t xml:space="preserve"> 68.5 </w:t>
            </w:r>
          </w:p>
        </w:tc>
        <w:tc>
          <w:tcPr>
            <w:tcW w:w="525" w:type="pct"/>
            <w:tcBorders>
              <w:top w:val="single" w:sz="4" w:space="0" w:color="auto"/>
              <w:left w:val="single" w:sz="4" w:space="0" w:color="auto"/>
              <w:bottom w:val="single" w:sz="4" w:space="0" w:color="auto"/>
              <w:right w:val="single" w:sz="12" w:space="0" w:color="auto"/>
            </w:tcBorders>
            <w:shd w:val="clear" w:color="auto" w:fill="auto"/>
            <w:vAlign w:val="center"/>
          </w:tcPr>
          <w:p w14:paraId="35474EC9" w14:textId="77777777" w:rsidR="000E40F4" w:rsidRPr="00D42B97" w:rsidRDefault="000E40F4" w:rsidP="00FD0109">
            <w:pPr>
              <w:pStyle w:val="TblTxtCenter"/>
            </w:pPr>
            <w:r w:rsidRPr="008A1BE2">
              <w:t xml:space="preserve"> 68.5 </w:t>
            </w:r>
          </w:p>
        </w:tc>
        <w:tc>
          <w:tcPr>
            <w:tcW w:w="524" w:type="pct"/>
            <w:tcBorders>
              <w:top w:val="single" w:sz="4" w:space="0" w:color="auto"/>
              <w:left w:val="single" w:sz="12" w:space="0" w:color="auto"/>
              <w:bottom w:val="single" w:sz="4" w:space="0" w:color="auto"/>
              <w:right w:val="single" w:sz="4" w:space="0" w:color="auto"/>
            </w:tcBorders>
            <w:shd w:val="clear" w:color="auto" w:fill="auto"/>
            <w:vAlign w:val="center"/>
          </w:tcPr>
          <w:p w14:paraId="0BA63DC7" w14:textId="77777777" w:rsidR="000E40F4" w:rsidRPr="00D42B97" w:rsidRDefault="000E40F4" w:rsidP="00FD0109">
            <w:pPr>
              <w:pStyle w:val="TblTxtCenter"/>
            </w:pPr>
            <w:r w:rsidRPr="008A1BE2">
              <w:t xml:space="preserve"> 0.1 </w:t>
            </w:r>
          </w:p>
        </w:tc>
        <w:tc>
          <w:tcPr>
            <w:tcW w:w="509" w:type="pct"/>
            <w:tcBorders>
              <w:top w:val="single" w:sz="4" w:space="0" w:color="auto"/>
              <w:left w:val="single" w:sz="4" w:space="0" w:color="auto"/>
              <w:bottom w:val="single" w:sz="4" w:space="0" w:color="auto"/>
              <w:right w:val="nil"/>
            </w:tcBorders>
            <w:vAlign w:val="center"/>
          </w:tcPr>
          <w:p w14:paraId="039CBD16" w14:textId="77777777" w:rsidR="000E40F4" w:rsidRPr="00D42B97" w:rsidRDefault="000E40F4" w:rsidP="00FD0109">
            <w:pPr>
              <w:pStyle w:val="TblTxtCenter"/>
            </w:pPr>
            <w:r w:rsidRPr="008A1BE2">
              <w:t xml:space="preserve"> 0.4 </w:t>
            </w:r>
          </w:p>
        </w:tc>
      </w:tr>
      <w:tr w:rsidR="000E40F4" w:rsidRPr="00812923" w14:paraId="2D9C119E" w14:textId="77777777" w:rsidTr="00FD464A">
        <w:trPr>
          <w:trHeight w:val="288"/>
        </w:trPr>
        <w:tc>
          <w:tcPr>
            <w:tcW w:w="1759" w:type="pct"/>
            <w:tcBorders>
              <w:top w:val="single" w:sz="4" w:space="0" w:color="auto"/>
              <w:bottom w:val="single" w:sz="12" w:space="0" w:color="auto"/>
              <w:right w:val="single" w:sz="12" w:space="0" w:color="auto"/>
            </w:tcBorders>
          </w:tcPr>
          <w:p w14:paraId="5D6537AA" w14:textId="77777777" w:rsidR="000E40F4" w:rsidRPr="00812923" w:rsidRDefault="000E40F4" w:rsidP="00FD0109">
            <w:pPr>
              <w:pStyle w:val="TblTxt"/>
              <w:keepNext/>
              <w:rPr>
                <w:highlight w:val="yellow"/>
              </w:rPr>
            </w:pPr>
            <w:r w:rsidRPr="005C2E50">
              <w:t>Olive Street - west of Azusa Canyon Road</w:t>
            </w:r>
          </w:p>
        </w:tc>
        <w:tc>
          <w:tcPr>
            <w:tcW w:w="524" w:type="pct"/>
            <w:tcBorders>
              <w:top w:val="single" w:sz="4" w:space="0" w:color="auto"/>
              <w:left w:val="single" w:sz="12" w:space="0" w:color="auto"/>
              <w:bottom w:val="single" w:sz="12" w:space="0" w:color="auto"/>
              <w:right w:val="single" w:sz="4" w:space="0" w:color="auto"/>
            </w:tcBorders>
            <w:vAlign w:val="center"/>
          </w:tcPr>
          <w:p w14:paraId="0F15642E" w14:textId="77777777" w:rsidR="000E40F4" w:rsidRPr="00812923" w:rsidRDefault="000E40F4" w:rsidP="00FD0109">
            <w:pPr>
              <w:pStyle w:val="TblTxtCenter"/>
              <w:rPr>
                <w:highlight w:val="yellow"/>
              </w:rPr>
            </w:pPr>
            <w:r w:rsidRPr="008A1BE2">
              <w:t xml:space="preserve"> 65.3 </w:t>
            </w:r>
          </w:p>
        </w:tc>
        <w:tc>
          <w:tcPr>
            <w:tcW w:w="561" w:type="pct"/>
            <w:tcBorders>
              <w:top w:val="single" w:sz="4" w:space="0" w:color="auto"/>
              <w:left w:val="single" w:sz="4" w:space="0" w:color="auto"/>
              <w:bottom w:val="single" w:sz="12" w:space="0" w:color="auto"/>
              <w:right w:val="single" w:sz="4" w:space="0" w:color="auto"/>
            </w:tcBorders>
            <w:vAlign w:val="center"/>
          </w:tcPr>
          <w:p w14:paraId="42B0F002" w14:textId="77777777" w:rsidR="000E40F4" w:rsidRPr="00812923" w:rsidRDefault="000E40F4" w:rsidP="00FD0109">
            <w:pPr>
              <w:pStyle w:val="TblTxtCenter"/>
              <w:rPr>
                <w:highlight w:val="yellow"/>
              </w:rPr>
            </w:pPr>
            <w:r w:rsidRPr="008A1BE2">
              <w:t xml:space="preserve"> 65.4 </w:t>
            </w:r>
          </w:p>
        </w:tc>
        <w:tc>
          <w:tcPr>
            <w:tcW w:w="598" w:type="pct"/>
            <w:tcBorders>
              <w:top w:val="single" w:sz="4" w:space="0" w:color="auto"/>
              <w:left w:val="single" w:sz="4" w:space="0" w:color="auto"/>
              <w:bottom w:val="single" w:sz="12" w:space="0" w:color="auto"/>
              <w:right w:val="single" w:sz="4" w:space="0" w:color="auto"/>
            </w:tcBorders>
            <w:shd w:val="clear" w:color="auto" w:fill="auto"/>
            <w:vAlign w:val="center"/>
          </w:tcPr>
          <w:p w14:paraId="18F45884" w14:textId="77777777" w:rsidR="000E40F4" w:rsidRPr="00812923" w:rsidRDefault="000E40F4" w:rsidP="00FD0109">
            <w:pPr>
              <w:pStyle w:val="TblTxtCenter"/>
              <w:rPr>
                <w:highlight w:val="yellow"/>
              </w:rPr>
            </w:pPr>
            <w:r w:rsidRPr="008A1BE2">
              <w:t xml:space="preserve"> 65.7 </w:t>
            </w:r>
          </w:p>
        </w:tc>
        <w:tc>
          <w:tcPr>
            <w:tcW w:w="525" w:type="pct"/>
            <w:tcBorders>
              <w:top w:val="single" w:sz="4" w:space="0" w:color="auto"/>
              <w:left w:val="single" w:sz="4" w:space="0" w:color="auto"/>
              <w:bottom w:val="single" w:sz="12" w:space="0" w:color="auto"/>
              <w:right w:val="single" w:sz="12" w:space="0" w:color="auto"/>
            </w:tcBorders>
            <w:shd w:val="clear" w:color="auto" w:fill="auto"/>
            <w:vAlign w:val="center"/>
          </w:tcPr>
          <w:p w14:paraId="70F486FC" w14:textId="77777777" w:rsidR="000E40F4" w:rsidRPr="00812923" w:rsidRDefault="000E40F4" w:rsidP="00FD0109">
            <w:pPr>
              <w:pStyle w:val="TblTxtCenter"/>
              <w:rPr>
                <w:highlight w:val="yellow"/>
              </w:rPr>
            </w:pPr>
            <w:r w:rsidRPr="008A1BE2">
              <w:t xml:space="preserve"> 65.7 </w:t>
            </w:r>
          </w:p>
        </w:tc>
        <w:tc>
          <w:tcPr>
            <w:tcW w:w="524" w:type="pct"/>
            <w:tcBorders>
              <w:top w:val="single" w:sz="4" w:space="0" w:color="auto"/>
              <w:left w:val="single" w:sz="12" w:space="0" w:color="auto"/>
              <w:bottom w:val="single" w:sz="12" w:space="0" w:color="auto"/>
              <w:right w:val="single" w:sz="4" w:space="0" w:color="auto"/>
            </w:tcBorders>
            <w:shd w:val="clear" w:color="auto" w:fill="auto"/>
            <w:vAlign w:val="center"/>
          </w:tcPr>
          <w:p w14:paraId="6FEB52E0" w14:textId="77777777" w:rsidR="000E40F4" w:rsidRPr="00812923" w:rsidRDefault="000E40F4" w:rsidP="00FD0109">
            <w:pPr>
              <w:pStyle w:val="TblTxtCenter"/>
              <w:rPr>
                <w:highlight w:val="yellow"/>
              </w:rPr>
            </w:pPr>
            <w:r w:rsidRPr="008A1BE2">
              <w:t xml:space="preserve"> 0.2 </w:t>
            </w:r>
          </w:p>
        </w:tc>
        <w:tc>
          <w:tcPr>
            <w:tcW w:w="509" w:type="pct"/>
            <w:tcBorders>
              <w:top w:val="single" w:sz="4" w:space="0" w:color="auto"/>
              <w:left w:val="single" w:sz="4" w:space="0" w:color="auto"/>
              <w:bottom w:val="single" w:sz="12" w:space="0" w:color="auto"/>
              <w:right w:val="nil"/>
            </w:tcBorders>
            <w:vAlign w:val="center"/>
          </w:tcPr>
          <w:p w14:paraId="31D759C8" w14:textId="77777777" w:rsidR="000E40F4" w:rsidRPr="00812923" w:rsidRDefault="000E40F4" w:rsidP="00FD0109">
            <w:pPr>
              <w:pStyle w:val="TblTxtCenter"/>
              <w:rPr>
                <w:highlight w:val="yellow"/>
              </w:rPr>
            </w:pPr>
            <w:r w:rsidRPr="008A1BE2">
              <w:t xml:space="preserve"> 0.4 </w:t>
            </w:r>
          </w:p>
        </w:tc>
      </w:tr>
      <w:tr w:rsidR="000E40F4" w:rsidRPr="00812923" w14:paraId="389EFEA3" w14:textId="77777777" w:rsidTr="00FD464A">
        <w:trPr>
          <w:trHeight w:val="288"/>
        </w:trPr>
        <w:tc>
          <w:tcPr>
            <w:tcW w:w="3967" w:type="pct"/>
            <w:gridSpan w:val="5"/>
            <w:tcBorders>
              <w:top w:val="single" w:sz="12" w:space="0" w:color="auto"/>
              <w:bottom w:val="single" w:sz="12" w:space="0" w:color="auto"/>
              <w:right w:val="single" w:sz="12" w:space="0" w:color="auto"/>
            </w:tcBorders>
          </w:tcPr>
          <w:p w14:paraId="575CAA92" w14:textId="77777777" w:rsidR="000E40F4" w:rsidRPr="003F777E" w:rsidRDefault="000E40F4" w:rsidP="00FD0109">
            <w:pPr>
              <w:pStyle w:val="TblTxtCenter"/>
              <w:jc w:val="right"/>
            </w:pPr>
            <w:r>
              <w:t>Max Increase</w:t>
            </w:r>
          </w:p>
        </w:tc>
        <w:tc>
          <w:tcPr>
            <w:tcW w:w="524" w:type="pct"/>
            <w:tcBorders>
              <w:top w:val="single" w:sz="12" w:space="0" w:color="auto"/>
              <w:left w:val="single" w:sz="12" w:space="0" w:color="auto"/>
              <w:bottom w:val="single" w:sz="12" w:space="0" w:color="auto"/>
              <w:right w:val="nil"/>
            </w:tcBorders>
            <w:shd w:val="clear" w:color="auto" w:fill="auto"/>
            <w:vAlign w:val="center"/>
          </w:tcPr>
          <w:p w14:paraId="19088A85" w14:textId="77777777" w:rsidR="000E40F4" w:rsidRPr="00716070" w:rsidRDefault="000E40F4" w:rsidP="00FD0109">
            <w:pPr>
              <w:pStyle w:val="TblTxtCenter"/>
            </w:pPr>
            <w:r>
              <w:t>0.5</w:t>
            </w:r>
          </w:p>
        </w:tc>
        <w:tc>
          <w:tcPr>
            <w:tcW w:w="509" w:type="pct"/>
            <w:tcBorders>
              <w:top w:val="single" w:sz="12" w:space="0" w:color="auto"/>
              <w:left w:val="single" w:sz="6" w:space="0" w:color="auto"/>
              <w:bottom w:val="single" w:sz="12" w:space="0" w:color="auto"/>
              <w:right w:val="nil"/>
            </w:tcBorders>
            <w:vAlign w:val="center"/>
          </w:tcPr>
          <w:p w14:paraId="77B6BDDF" w14:textId="77777777" w:rsidR="000E40F4" w:rsidRPr="00716070" w:rsidRDefault="000E40F4" w:rsidP="00FD0109">
            <w:pPr>
              <w:pStyle w:val="TblTxtCenter"/>
            </w:pPr>
            <w:r>
              <w:t>1.2</w:t>
            </w:r>
          </w:p>
        </w:tc>
      </w:tr>
      <w:tr w:rsidR="000E40F4" w:rsidRPr="00A251B2" w14:paraId="2ED4C82B" w14:textId="77777777" w:rsidTr="00FD0109">
        <w:trPr>
          <w:trHeight w:val="288"/>
        </w:trPr>
        <w:tc>
          <w:tcPr>
            <w:tcW w:w="5000" w:type="pct"/>
            <w:gridSpan w:val="7"/>
            <w:tcBorders>
              <w:top w:val="single" w:sz="12" w:space="0" w:color="auto"/>
              <w:bottom w:val="single" w:sz="12" w:space="0" w:color="auto"/>
              <w:right w:val="nil"/>
            </w:tcBorders>
            <w:vAlign w:val="bottom"/>
          </w:tcPr>
          <w:p w14:paraId="469B78F9" w14:textId="77777777" w:rsidR="000E40F4" w:rsidRPr="00DD31E5" w:rsidRDefault="00BA1A86" w:rsidP="00FD464A">
            <w:pPr>
              <w:pStyle w:val="Tblnote"/>
            </w:pPr>
            <w:r>
              <w:t>Daily segment volumes used to generate CNEL provided by</w:t>
            </w:r>
            <w:r w:rsidR="000E40F4" w:rsidRPr="002E6CA0">
              <w:t xml:space="preserve"> Urban </w:t>
            </w:r>
            <w:r w:rsidR="000E40F4" w:rsidRPr="00DD31E5">
              <w:t xml:space="preserve">Crossroads 2021. </w:t>
            </w:r>
          </w:p>
          <w:p w14:paraId="557CC66B" w14:textId="77777777" w:rsidR="000E40F4" w:rsidRPr="00812923" w:rsidRDefault="00927144" w:rsidP="00FD464A">
            <w:pPr>
              <w:pStyle w:val="Tblnote"/>
              <w:rPr>
                <w:highlight w:val="yellow"/>
              </w:rPr>
            </w:pPr>
            <w:r>
              <w:t>Note</w:t>
            </w:r>
            <w:r w:rsidR="00BA1A86">
              <w:t>s</w:t>
            </w:r>
            <w:r>
              <w:t xml:space="preserve">: </w:t>
            </w:r>
            <w:r w:rsidR="000E40F4" w:rsidRPr="00DD31E5">
              <w:t xml:space="preserve">See Appendix </w:t>
            </w:r>
            <w:r w:rsidR="00F64019">
              <w:t>I</w:t>
            </w:r>
            <w:r w:rsidR="000E40F4" w:rsidRPr="00DD31E5">
              <w:t xml:space="preserve"> for</w:t>
            </w:r>
            <w:r w:rsidR="000E40F4">
              <w:t xml:space="preserve"> daily roadway segment volumes and modeling inputs. </w:t>
            </w:r>
          </w:p>
        </w:tc>
      </w:tr>
    </w:tbl>
    <w:p w14:paraId="340FF689" w14:textId="77777777" w:rsidR="00AD6FE2" w:rsidRDefault="00AD6FE2" w:rsidP="000E40F4">
      <w:pPr>
        <w:pStyle w:val="BodyText"/>
        <w:rPr>
          <w:i/>
          <w:iCs/>
        </w:rPr>
      </w:pPr>
    </w:p>
    <w:p w14:paraId="6371A23C" w14:textId="77777777" w:rsidR="00AD6FE2" w:rsidRDefault="00AD6FE2">
      <w:pPr>
        <w:rPr>
          <w:i/>
          <w:iCs/>
          <w:kern w:val="20"/>
          <w:szCs w:val="20"/>
        </w:rPr>
      </w:pPr>
      <w:r>
        <w:rPr>
          <w:i/>
          <w:iCs/>
        </w:rPr>
        <w:br w:type="page"/>
      </w:r>
    </w:p>
    <w:p w14:paraId="1969C80B" w14:textId="77777777" w:rsidR="00927144" w:rsidRPr="00816F17" w:rsidRDefault="00927144" w:rsidP="000E40F4">
      <w:pPr>
        <w:pStyle w:val="BodyText"/>
        <w:rPr>
          <w:i/>
          <w:iCs/>
        </w:rPr>
      </w:pPr>
      <w:r w:rsidRPr="00816F17">
        <w:rPr>
          <w:i/>
          <w:iCs/>
        </w:rPr>
        <w:t>This page intentionally left blank.</w:t>
      </w:r>
    </w:p>
    <w:p w14:paraId="0A2C0539" w14:textId="77777777" w:rsidR="00927144" w:rsidRDefault="00927144" w:rsidP="000E40F4">
      <w:pPr>
        <w:pStyle w:val="BodyText"/>
      </w:pPr>
    </w:p>
    <w:p w14:paraId="55D10A29" w14:textId="77777777" w:rsidR="000E40F4" w:rsidRDefault="000E40F4" w:rsidP="000E40F4">
      <w:pPr>
        <w:pStyle w:val="BodyText"/>
        <w:sectPr w:rsidR="000E40F4" w:rsidSect="00AD6FE2">
          <w:footerReference w:type="even" r:id="rId27"/>
          <w:footerReference w:type="default" r:id="rId28"/>
          <w:pgSz w:w="15840" w:h="12240" w:orient="landscape" w:code="1"/>
          <w:pgMar w:top="2376" w:right="1440" w:bottom="1440" w:left="1440" w:header="720" w:footer="720" w:gutter="0"/>
          <w:cols w:space="720"/>
          <w:noEndnote/>
          <w:docGrid w:linePitch="299"/>
        </w:sectPr>
      </w:pPr>
    </w:p>
    <w:p w14:paraId="4F7FB869" w14:textId="77777777" w:rsidR="000E40F4" w:rsidRPr="008C1030" w:rsidRDefault="000E40F4" w:rsidP="000E40F4">
      <w:pPr>
        <w:pStyle w:val="Heading6"/>
      </w:pPr>
      <w:r w:rsidRPr="008C1030">
        <w:t>Mechanical Equipment Noise</w:t>
      </w:r>
    </w:p>
    <w:p w14:paraId="71D27519" w14:textId="77777777" w:rsidR="000E40F4" w:rsidRPr="008C1030" w:rsidRDefault="000E40F4" w:rsidP="000E40F4">
      <w:pPr>
        <w:pStyle w:val="BodyText"/>
      </w:pPr>
      <w:r w:rsidRPr="008C1030">
        <w:t xml:space="preserve">Heating, ventilation, and air conditioning (HVAC) systems would be installed at the proposed buildings. </w:t>
      </w:r>
      <w:r>
        <w:t xml:space="preserve">Typical HVAC equipment generates noise levels ranging up to 72 dBA at </w:t>
      </w:r>
      <w:r w:rsidR="00927144">
        <w:t xml:space="preserve">three </w:t>
      </w:r>
      <w:r>
        <w:t xml:space="preserve">feet. </w:t>
      </w:r>
      <w:r w:rsidRPr="008C1030">
        <w:t xml:space="preserve">The nearest residential receptor property line to the proposed warehouse </w:t>
      </w:r>
      <w:r>
        <w:t xml:space="preserve">building </w:t>
      </w:r>
      <w:r w:rsidRPr="008C1030">
        <w:t xml:space="preserve">is </w:t>
      </w:r>
      <w:r>
        <w:t>approximately 550</w:t>
      </w:r>
      <w:r w:rsidRPr="008C1030">
        <w:t xml:space="preserve"> feet</w:t>
      </w:r>
      <w:r>
        <w:t xml:space="preserve"> to the northeast. </w:t>
      </w:r>
      <w:r w:rsidRPr="008C1030">
        <w:t>Noise levels from HVAC noise</w:t>
      </w:r>
      <w:r>
        <w:t xml:space="preserve"> at 550 feet</w:t>
      </w:r>
      <w:r w:rsidRPr="008C1030">
        <w:t xml:space="preserve"> </w:t>
      </w:r>
      <w:r>
        <w:t>would be 27 dBA or less, which would not exceed the nighttime standard of 45 dBA</w:t>
      </w:r>
      <w:r w:rsidR="00927144">
        <w:t xml:space="preserve"> in any of the jurisdictions</w:t>
      </w:r>
      <w:r>
        <w:t xml:space="preserve">. </w:t>
      </w:r>
      <w:r w:rsidRPr="008C1030">
        <w:t xml:space="preserve">In addition, the HVAC equipment would be new and replace the older mechanical equipment from the existing Pepsi Bottling Group building. </w:t>
      </w:r>
      <w:r>
        <w:t>HVAC n</w:t>
      </w:r>
      <w:r w:rsidRPr="008C1030">
        <w:t xml:space="preserve">oise would be less than significant. </w:t>
      </w:r>
    </w:p>
    <w:p w14:paraId="31E341EF" w14:textId="77777777" w:rsidR="000E40F4" w:rsidRPr="00B15A36" w:rsidRDefault="000E40F4" w:rsidP="000E40F4">
      <w:pPr>
        <w:pStyle w:val="Heading6"/>
      </w:pPr>
      <w:r w:rsidRPr="00B15A36">
        <w:t xml:space="preserve">Loading Docks </w:t>
      </w:r>
    </w:p>
    <w:p w14:paraId="76653F6B" w14:textId="77777777" w:rsidR="000E40F4" w:rsidRDefault="000E40F4" w:rsidP="000E40F4">
      <w:pPr>
        <w:pStyle w:val="BodyText"/>
      </w:pPr>
      <w:r w:rsidRPr="00B15A36">
        <w:t xml:space="preserve">In addition to stationary mechanical equipment </w:t>
      </w:r>
      <w:r>
        <w:t xml:space="preserve">noise </w:t>
      </w:r>
      <w:r w:rsidRPr="00B15A36">
        <w:t xml:space="preserve">sources, there would be noise sources associated with truck loading and unloading. </w:t>
      </w:r>
      <w:r>
        <w:t>R</w:t>
      </w:r>
      <w:r w:rsidRPr="00B15A36">
        <w:t>eference noise level</w:t>
      </w:r>
      <w:r>
        <w:t>s</w:t>
      </w:r>
      <w:r w:rsidRPr="00B15A36">
        <w:t xml:space="preserve"> </w:t>
      </w:r>
      <w:r>
        <w:t>from a similar</w:t>
      </w:r>
      <w:r w:rsidRPr="00B15A36">
        <w:t xml:space="preserve"> warehouse</w:t>
      </w:r>
      <w:r>
        <w:t xml:space="preserve"> project</w:t>
      </w:r>
      <w:r w:rsidRPr="00B15A36">
        <w:t xml:space="preserve"> w</w:t>
      </w:r>
      <w:r>
        <w:t>ere</w:t>
      </w:r>
      <w:r w:rsidRPr="00B15A36">
        <w:t xml:space="preserve"> used</w:t>
      </w:r>
      <w:r>
        <w:t xml:space="preserve"> to assess impacts from the project</w:t>
      </w:r>
      <w:r w:rsidRPr="00B15A36">
        <w:t xml:space="preserve">. The </w:t>
      </w:r>
      <w:r>
        <w:t>noise measurements</w:t>
      </w:r>
      <w:r w:rsidRPr="00B15A36">
        <w:t xml:space="preserve"> accounted for the major noise sources associated with one truck, such as </w:t>
      </w:r>
      <w:r>
        <w:t>use of an electric pallet for loading and unloading, truck engine idling, transport refrigeration unit idling</w:t>
      </w:r>
      <w:r w:rsidR="00927144">
        <w:t>,</w:t>
      </w:r>
      <w:r>
        <w:t xml:space="preserve"> </w:t>
      </w:r>
      <w:r w:rsidR="00927144">
        <w:t>and</w:t>
      </w:r>
      <w:r>
        <w:t xml:space="preserve"> other noise events. </w:t>
      </w:r>
      <w:r w:rsidRPr="00B15A36">
        <w:t xml:space="preserve">The project proposes one loading bay with 18 dock doors. </w:t>
      </w:r>
      <w:r w:rsidR="006F4CAF">
        <w:t>The project would not include TRU’s, and therefore, f</w:t>
      </w:r>
      <w:r>
        <w:t xml:space="preserve">or a conservative </w:t>
      </w:r>
      <w:r w:rsidRPr="00B15A36">
        <w:t>evaluat</w:t>
      </w:r>
      <w:r>
        <w:t>ion,</w:t>
      </w:r>
      <w:r w:rsidRPr="00B15A36">
        <w:t xml:space="preserve"> </w:t>
      </w:r>
      <w:r w:rsidR="006F4CAF">
        <w:t xml:space="preserve">the reference noise level with TRU’s is used and </w:t>
      </w:r>
      <w:r w:rsidRPr="00B15A36">
        <w:t xml:space="preserve">the single-truck reference level </w:t>
      </w:r>
      <w:r>
        <w:t xml:space="preserve">was </w:t>
      </w:r>
      <w:r w:rsidRPr="00B15A36">
        <w:t>adjusted</w:t>
      </w:r>
      <w:r>
        <w:t xml:space="preserve"> to account for </w:t>
      </w:r>
      <w:r w:rsidRPr="00B15A36">
        <w:t xml:space="preserve">all 18 docks loading/unloading at the same time. </w:t>
      </w:r>
    </w:p>
    <w:p w14:paraId="253EE4A8" w14:textId="19D77A20" w:rsidR="000E40F4" w:rsidRPr="00320C15" w:rsidRDefault="000E40F4" w:rsidP="000E40F4">
      <w:pPr>
        <w:pStyle w:val="BodyText"/>
      </w:pPr>
      <w:r w:rsidRPr="00B15A36">
        <w:t>The nearest noise-sensitive receptor</w:t>
      </w:r>
      <w:r>
        <w:t xml:space="preserve"> </w:t>
      </w:r>
      <w:r w:rsidR="0075426B">
        <w:t xml:space="preserve">property line </w:t>
      </w:r>
      <w:r>
        <w:t xml:space="preserve">to the loading area is approximately 660 feet to the northeast in Irwindale. </w:t>
      </w:r>
      <w:r w:rsidRPr="00B15A36">
        <w:t>To the south</w:t>
      </w:r>
      <w:r>
        <w:t>,</w:t>
      </w:r>
      <w:r w:rsidRPr="00B15A36">
        <w:t xml:space="preserve"> at approximately </w:t>
      </w:r>
      <w:r>
        <w:t>1,300</w:t>
      </w:r>
      <w:r w:rsidRPr="00B15A36">
        <w:t xml:space="preserve"> feet</w:t>
      </w:r>
      <w:r>
        <w:t>,</w:t>
      </w:r>
      <w:r w:rsidRPr="00B15A36">
        <w:t xml:space="preserve"> </w:t>
      </w:r>
      <w:r>
        <w:t xml:space="preserve">are the </w:t>
      </w:r>
      <w:r w:rsidRPr="00B15A36">
        <w:t>single-family homes along East San Bernardino Road</w:t>
      </w:r>
      <w:r>
        <w:t xml:space="preserve"> (</w:t>
      </w:r>
      <w:r w:rsidR="00927144">
        <w:t xml:space="preserve">in </w:t>
      </w:r>
      <w:r>
        <w:t>West Covina), and Manzanita Elementary School (</w:t>
      </w:r>
      <w:r w:rsidR="00927144">
        <w:t xml:space="preserve">in </w:t>
      </w:r>
      <w:r>
        <w:t xml:space="preserve">Vincent) </w:t>
      </w:r>
      <w:r w:rsidR="00927144">
        <w:t xml:space="preserve">is </w:t>
      </w:r>
      <w:r>
        <w:t>approximately 1,650 feet</w:t>
      </w:r>
      <w:r w:rsidR="00927144">
        <w:t xml:space="preserve"> away</w:t>
      </w:r>
      <w:r w:rsidRPr="00B15A36">
        <w:t xml:space="preserve">. </w:t>
      </w:r>
      <w:r>
        <w:t xml:space="preserve">As shown in </w:t>
      </w:r>
      <w:r w:rsidR="00927144" w:rsidRPr="00320C15">
        <w:t>Table</w:t>
      </w:r>
      <w:r w:rsidR="00927144">
        <w:t> </w:t>
      </w:r>
      <w:r w:rsidR="00345BC8">
        <w:t>22</w:t>
      </w:r>
      <w:r w:rsidRPr="00320C15">
        <w:t xml:space="preserve">, noise levels at these distances would attenuate to 45 dBA or less. The modeling accounts for partial acoustical shielding of at least 3 dBA provided by the proposed building itself and surrounding existing buildings. Project loading operations would not exceed the County of Los Angeles (West Covina and Vincent) and Irwindale residential exterior noise standards. Therefore, impacts would be less than significant. </w:t>
      </w:r>
    </w:p>
    <w:tbl>
      <w:tblPr>
        <w:tblW w:w="9360" w:type="dxa"/>
        <w:jc w:val="center"/>
        <w:tblBorders>
          <w:top w:val="single" w:sz="4" w:space="0" w:color="auto"/>
          <w:insideH w:val="single" w:sz="6" w:space="0" w:color="auto"/>
          <w:insideV w:val="single" w:sz="6" w:space="0" w:color="auto"/>
        </w:tblBorders>
        <w:tblCellMar>
          <w:left w:w="115" w:type="dxa"/>
          <w:right w:w="115" w:type="dxa"/>
        </w:tblCellMar>
        <w:tblLook w:val="01E0" w:firstRow="1" w:lastRow="1" w:firstColumn="1" w:lastColumn="1" w:noHBand="0" w:noVBand="0"/>
      </w:tblPr>
      <w:tblGrid>
        <w:gridCol w:w="6741"/>
        <w:gridCol w:w="1266"/>
        <w:gridCol w:w="1353"/>
      </w:tblGrid>
      <w:tr w:rsidR="000E40F4" w:rsidRPr="00596C4F" w14:paraId="6477FB9D" w14:textId="77777777" w:rsidTr="00FD464A">
        <w:trPr>
          <w:trHeight w:val="207"/>
          <w:jc w:val="center"/>
        </w:trPr>
        <w:tc>
          <w:tcPr>
            <w:tcW w:w="6660" w:type="dxa"/>
            <w:gridSpan w:val="3"/>
            <w:tcBorders>
              <w:top w:val="nil"/>
              <w:left w:val="nil"/>
              <w:bottom w:val="single" w:sz="12" w:space="0" w:color="auto"/>
            </w:tcBorders>
            <w:vAlign w:val="bottom"/>
          </w:tcPr>
          <w:p w14:paraId="78D6D360" w14:textId="365746A3" w:rsidR="000E40F4" w:rsidRPr="00596C4F" w:rsidRDefault="000E40F4" w:rsidP="00FD0109">
            <w:pPr>
              <w:pStyle w:val="TblTitles"/>
            </w:pPr>
            <w:bookmarkStart w:id="207" w:name="_Toc526260635"/>
            <w:bookmarkStart w:id="208" w:name="_Toc90882268"/>
            <w:r w:rsidRPr="00320C15">
              <w:t>Table </w:t>
            </w:r>
            <w:r w:rsidR="00345BC8">
              <w:t>22</w:t>
            </w:r>
            <w:r w:rsidRPr="00320C15">
              <w:tab/>
              <w:t>Truck Loading Dock Noise</w:t>
            </w:r>
            <w:bookmarkEnd w:id="207"/>
            <w:r w:rsidRPr="00320C15">
              <w:t>, dBA L</w:t>
            </w:r>
            <w:r w:rsidRPr="00320C15">
              <w:rPr>
                <w:vertAlign w:val="subscript"/>
              </w:rPr>
              <w:t>50</w:t>
            </w:r>
            <w:bookmarkEnd w:id="208"/>
          </w:p>
        </w:tc>
      </w:tr>
      <w:tr w:rsidR="000E40F4" w:rsidRPr="00596C4F" w14:paraId="32E56AA4" w14:textId="77777777" w:rsidTr="00AD2D1F">
        <w:trPr>
          <w:trHeight w:val="288"/>
          <w:jc w:val="center"/>
        </w:trPr>
        <w:tc>
          <w:tcPr>
            <w:tcW w:w="0" w:type="auto"/>
            <w:tcBorders>
              <w:top w:val="single" w:sz="12" w:space="0" w:color="auto"/>
              <w:bottom w:val="single" w:sz="6" w:space="0" w:color="auto"/>
              <w:right w:val="single" w:sz="4" w:space="0" w:color="auto"/>
            </w:tcBorders>
            <w:shd w:val="clear" w:color="auto" w:fill="auto"/>
            <w:vAlign w:val="center"/>
          </w:tcPr>
          <w:p w14:paraId="69FCAC0C" w14:textId="77777777" w:rsidR="000E40F4" w:rsidRPr="002E6F69" w:rsidRDefault="000E40F4" w:rsidP="00AD2D1F">
            <w:pPr>
              <w:keepNext/>
              <w:keepLines/>
              <w:rPr>
                <w:rFonts w:ascii="Arial Narrow" w:hAnsi="Arial Narrow"/>
                <w:bCs/>
                <w:kern w:val="20"/>
                <w:sz w:val="16"/>
                <w:szCs w:val="20"/>
              </w:rPr>
            </w:pPr>
            <w:r w:rsidRPr="002E6F69">
              <w:rPr>
                <w:rFonts w:ascii="Arial Narrow" w:hAnsi="Arial Narrow"/>
                <w:bCs/>
                <w:kern w:val="20"/>
                <w:sz w:val="16"/>
                <w:szCs w:val="20"/>
              </w:rPr>
              <w:t xml:space="preserve">Reference Level 1 Truck at 20 feet </w:t>
            </w:r>
          </w:p>
        </w:tc>
        <w:tc>
          <w:tcPr>
            <w:tcW w:w="2207" w:type="dxa"/>
            <w:gridSpan w:val="2"/>
            <w:tcBorders>
              <w:top w:val="single" w:sz="12" w:space="0" w:color="auto"/>
              <w:bottom w:val="single" w:sz="6" w:space="0" w:color="auto"/>
            </w:tcBorders>
            <w:vAlign w:val="center"/>
          </w:tcPr>
          <w:p w14:paraId="1D61256C" w14:textId="77777777" w:rsidR="000E40F4" w:rsidRPr="002E6F69" w:rsidRDefault="000E40F4" w:rsidP="00FD0109">
            <w:pPr>
              <w:spacing w:before="20" w:after="20"/>
              <w:jc w:val="center"/>
              <w:rPr>
                <w:rFonts w:ascii="Arial Narrow" w:hAnsi="Arial Narrow"/>
                <w:bCs/>
                <w:kern w:val="20"/>
                <w:sz w:val="18"/>
                <w:szCs w:val="20"/>
              </w:rPr>
            </w:pPr>
            <w:r w:rsidRPr="002E6F69">
              <w:rPr>
                <w:rFonts w:ascii="Arial Narrow" w:hAnsi="Arial Narrow"/>
                <w:bCs/>
                <w:kern w:val="20"/>
                <w:sz w:val="18"/>
                <w:szCs w:val="20"/>
              </w:rPr>
              <w:t>6</w:t>
            </w:r>
            <w:r>
              <w:rPr>
                <w:rFonts w:ascii="Arial Narrow" w:hAnsi="Arial Narrow"/>
                <w:bCs/>
                <w:kern w:val="20"/>
                <w:sz w:val="18"/>
                <w:szCs w:val="20"/>
              </w:rPr>
              <w:t xml:space="preserve">6 </w:t>
            </w:r>
          </w:p>
        </w:tc>
      </w:tr>
      <w:tr w:rsidR="000E40F4" w:rsidRPr="00596C4F" w14:paraId="7647EC33" w14:textId="77777777" w:rsidTr="00FD464A">
        <w:trPr>
          <w:trHeight w:val="288"/>
          <w:jc w:val="center"/>
        </w:trPr>
        <w:tc>
          <w:tcPr>
            <w:tcW w:w="0" w:type="auto"/>
            <w:tcBorders>
              <w:top w:val="single" w:sz="6" w:space="0" w:color="auto"/>
              <w:bottom w:val="single" w:sz="12" w:space="0" w:color="auto"/>
              <w:right w:val="single" w:sz="4" w:space="0" w:color="auto"/>
            </w:tcBorders>
            <w:shd w:val="clear" w:color="auto" w:fill="auto"/>
            <w:vAlign w:val="center"/>
          </w:tcPr>
          <w:p w14:paraId="2638D738" w14:textId="77777777" w:rsidR="000E40F4" w:rsidRPr="002E6F69" w:rsidRDefault="000E40F4" w:rsidP="00FD0109">
            <w:pPr>
              <w:keepNext/>
              <w:keepLines/>
              <w:jc w:val="both"/>
              <w:rPr>
                <w:rFonts w:ascii="Arial Narrow" w:hAnsi="Arial Narrow"/>
                <w:bCs/>
                <w:kern w:val="20"/>
                <w:sz w:val="18"/>
                <w:szCs w:val="20"/>
              </w:rPr>
            </w:pPr>
            <w:r w:rsidRPr="002E6F69">
              <w:rPr>
                <w:rFonts w:ascii="Arial Narrow" w:hAnsi="Arial Narrow"/>
                <w:bCs/>
                <w:kern w:val="20"/>
                <w:sz w:val="16"/>
                <w:szCs w:val="16"/>
              </w:rPr>
              <w:t xml:space="preserve">Adjusted Reference Level for 18 Trucks </w:t>
            </w:r>
            <w:r>
              <w:rPr>
                <w:rFonts w:ascii="Arial Narrow" w:hAnsi="Arial Narrow"/>
                <w:bCs/>
                <w:kern w:val="20"/>
                <w:sz w:val="16"/>
                <w:szCs w:val="16"/>
              </w:rPr>
              <w:t>at 20 feet</w:t>
            </w:r>
          </w:p>
        </w:tc>
        <w:tc>
          <w:tcPr>
            <w:tcW w:w="2207" w:type="dxa"/>
            <w:gridSpan w:val="2"/>
            <w:tcBorders>
              <w:top w:val="single" w:sz="6" w:space="0" w:color="auto"/>
              <w:bottom w:val="single" w:sz="12" w:space="0" w:color="auto"/>
            </w:tcBorders>
          </w:tcPr>
          <w:p w14:paraId="6DA53750" w14:textId="77777777" w:rsidR="000E40F4" w:rsidRPr="002E6F69" w:rsidRDefault="000E40F4" w:rsidP="00FD0109">
            <w:pPr>
              <w:spacing w:before="20" w:after="20"/>
              <w:jc w:val="center"/>
              <w:rPr>
                <w:rFonts w:ascii="Arial Narrow" w:hAnsi="Arial Narrow"/>
                <w:bCs/>
                <w:kern w:val="20"/>
                <w:sz w:val="18"/>
                <w:szCs w:val="20"/>
              </w:rPr>
            </w:pPr>
            <w:r w:rsidRPr="002E6F69">
              <w:rPr>
                <w:rFonts w:ascii="Arial Narrow" w:hAnsi="Arial Narrow"/>
                <w:bCs/>
                <w:kern w:val="20"/>
                <w:sz w:val="18"/>
                <w:szCs w:val="20"/>
              </w:rPr>
              <w:t>7</w:t>
            </w:r>
            <w:r>
              <w:rPr>
                <w:rFonts w:ascii="Arial Narrow" w:hAnsi="Arial Narrow"/>
                <w:bCs/>
                <w:kern w:val="20"/>
                <w:sz w:val="18"/>
                <w:szCs w:val="20"/>
              </w:rPr>
              <w:t>8</w:t>
            </w:r>
          </w:p>
        </w:tc>
      </w:tr>
      <w:tr w:rsidR="000E40F4" w:rsidRPr="00596C4F" w14:paraId="792777EF" w14:textId="77777777" w:rsidTr="00FD464A">
        <w:trPr>
          <w:trHeight w:val="288"/>
          <w:jc w:val="center"/>
        </w:trPr>
        <w:tc>
          <w:tcPr>
            <w:tcW w:w="0" w:type="auto"/>
            <w:tcBorders>
              <w:top w:val="single" w:sz="12" w:space="0" w:color="auto"/>
              <w:bottom w:val="single" w:sz="6" w:space="0" w:color="auto"/>
              <w:right w:val="single" w:sz="4" w:space="0" w:color="auto"/>
            </w:tcBorders>
            <w:shd w:val="clear" w:color="auto" w:fill="auto"/>
            <w:vAlign w:val="center"/>
          </w:tcPr>
          <w:p w14:paraId="403D4F59" w14:textId="77777777" w:rsidR="000E40F4" w:rsidRPr="002E6F69" w:rsidRDefault="000E40F4" w:rsidP="00FD0109">
            <w:pPr>
              <w:keepNext/>
              <w:keepLines/>
              <w:jc w:val="both"/>
              <w:rPr>
                <w:rFonts w:ascii="Arial Narrow" w:hAnsi="Arial Narrow"/>
                <w:bCs/>
                <w:kern w:val="20"/>
                <w:sz w:val="16"/>
                <w:szCs w:val="16"/>
              </w:rPr>
            </w:pPr>
            <w:r w:rsidRPr="002E6F69">
              <w:rPr>
                <w:rFonts w:ascii="Arial Narrow" w:hAnsi="Arial Narrow"/>
                <w:bCs/>
                <w:kern w:val="20"/>
                <w:sz w:val="16"/>
                <w:szCs w:val="16"/>
              </w:rPr>
              <w:t xml:space="preserve">Single Family Home </w:t>
            </w:r>
            <w:r>
              <w:rPr>
                <w:rFonts w:ascii="Arial Narrow" w:hAnsi="Arial Narrow"/>
                <w:bCs/>
                <w:kern w:val="20"/>
                <w:sz w:val="16"/>
                <w:szCs w:val="16"/>
              </w:rPr>
              <w:t>660</w:t>
            </w:r>
            <w:r w:rsidRPr="002E6F69">
              <w:rPr>
                <w:rFonts w:ascii="Arial Narrow" w:hAnsi="Arial Narrow"/>
                <w:bCs/>
                <w:kern w:val="20"/>
                <w:sz w:val="16"/>
                <w:szCs w:val="16"/>
              </w:rPr>
              <w:t xml:space="preserve"> feet</w:t>
            </w:r>
            <w:r>
              <w:rPr>
                <w:rFonts w:ascii="Arial Narrow" w:hAnsi="Arial Narrow"/>
                <w:bCs/>
                <w:kern w:val="20"/>
                <w:sz w:val="16"/>
                <w:szCs w:val="16"/>
              </w:rPr>
              <w:t xml:space="preserve"> northeast, Irwindale</w:t>
            </w:r>
          </w:p>
        </w:tc>
        <w:tc>
          <w:tcPr>
            <w:tcW w:w="2207" w:type="dxa"/>
            <w:gridSpan w:val="2"/>
            <w:tcBorders>
              <w:top w:val="single" w:sz="12" w:space="0" w:color="auto"/>
              <w:bottom w:val="single" w:sz="6" w:space="0" w:color="auto"/>
            </w:tcBorders>
          </w:tcPr>
          <w:p w14:paraId="0B19D5B0" w14:textId="77777777" w:rsidR="000E40F4" w:rsidRPr="002E6F69" w:rsidRDefault="000E40F4" w:rsidP="00FD0109">
            <w:pPr>
              <w:spacing w:before="20" w:after="20"/>
              <w:jc w:val="center"/>
              <w:rPr>
                <w:rFonts w:ascii="Arial Narrow" w:hAnsi="Arial Narrow"/>
                <w:bCs/>
                <w:kern w:val="20"/>
                <w:sz w:val="18"/>
                <w:szCs w:val="20"/>
              </w:rPr>
            </w:pPr>
            <w:r>
              <w:rPr>
                <w:rFonts w:ascii="Arial Narrow" w:hAnsi="Arial Narrow"/>
                <w:bCs/>
                <w:kern w:val="20"/>
                <w:sz w:val="18"/>
                <w:szCs w:val="20"/>
              </w:rPr>
              <w:t>45</w:t>
            </w:r>
          </w:p>
        </w:tc>
      </w:tr>
      <w:tr w:rsidR="000E40F4" w:rsidRPr="00596C4F" w14:paraId="46C595D5" w14:textId="77777777" w:rsidTr="00FD464A">
        <w:trPr>
          <w:trHeight w:val="288"/>
          <w:jc w:val="center"/>
        </w:trPr>
        <w:tc>
          <w:tcPr>
            <w:tcW w:w="0" w:type="auto"/>
            <w:tcBorders>
              <w:top w:val="single" w:sz="6" w:space="0" w:color="auto"/>
              <w:bottom w:val="single" w:sz="6" w:space="0" w:color="auto"/>
              <w:right w:val="single" w:sz="4" w:space="0" w:color="auto"/>
            </w:tcBorders>
            <w:shd w:val="clear" w:color="auto" w:fill="auto"/>
            <w:vAlign w:val="center"/>
          </w:tcPr>
          <w:p w14:paraId="7A30F219" w14:textId="77777777" w:rsidR="00EC7CF0" w:rsidRDefault="00EC7CF0" w:rsidP="00FD0109">
            <w:pPr>
              <w:keepNext/>
              <w:keepLines/>
              <w:jc w:val="both"/>
              <w:rPr>
                <w:rFonts w:ascii="Arial Narrow" w:hAnsi="Arial Narrow"/>
                <w:bCs/>
                <w:kern w:val="20"/>
                <w:sz w:val="16"/>
                <w:szCs w:val="16"/>
              </w:rPr>
            </w:pPr>
            <w:r>
              <w:rPr>
                <w:rFonts w:ascii="Arial Narrow" w:hAnsi="Arial Narrow"/>
                <w:bCs/>
                <w:kern w:val="20"/>
                <w:sz w:val="16"/>
                <w:szCs w:val="16"/>
              </w:rPr>
              <w:t>Mobile Homes 850 feet to southwest, West Covina</w:t>
            </w:r>
          </w:p>
          <w:p w14:paraId="42C4A709" w14:textId="77777777" w:rsidR="000E40F4" w:rsidRPr="002E6F69" w:rsidRDefault="000E40F4" w:rsidP="00FD0109">
            <w:pPr>
              <w:keepNext/>
              <w:keepLines/>
              <w:jc w:val="both"/>
              <w:rPr>
                <w:rFonts w:ascii="Arial Narrow" w:hAnsi="Arial Narrow"/>
                <w:bCs/>
                <w:kern w:val="20"/>
                <w:sz w:val="18"/>
                <w:szCs w:val="20"/>
              </w:rPr>
            </w:pPr>
            <w:r w:rsidRPr="002E6F69">
              <w:rPr>
                <w:rFonts w:ascii="Arial Narrow" w:hAnsi="Arial Narrow"/>
                <w:bCs/>
                <w:kern w:val="20"/>
                <w:sz w:val="16"/>
                <w:szCs w:val="16"/>
              </w:rPr>
              <w:t>Single</w:t>
            </w:r>
            <w:r>
              <w:rPr>
                <w:rFonts w:ascii="Arial Narrow" w:hAnsi="Arial Narrow"/>
                <w:bCs/>
                <w:kern w:val="20"/>
                <w:sz w:val="16"/>
                <w:szCs w:val="16"/>
              </w:rPr>
              <w:t>-</w:t>
            </w:r>
            <w:r w:rsidRPr="002E6F69">
              <w:rPr>
                <w:rFonts w:ascii="Arial Narrow" w:hAnsi="Arial Narrow"/>
                <w:bCs/>
                <w:kern w:val="20"/>
                <w:sz w:val="16"/>
                <w:szCs w:val="16"/>
              </w:rPr>
              <w:t xml:space="preserve">Family Home 1,300 feet </w:t>
            </w:r>
            <w:r>
              <w:rPr>
                <w:rFonts w:ascii="Arial Narrow" w:hAnsi="Arial Narrow"/>
                <w:bCs/>
                <w:kern w:val="20"/>
                <w:sz w:val="16"/>
                <w:szCs w:val="16"/>
              </w:rPr>
              <w:t>south, West Covina</w:t>
            </w:r>
          </w:p>
        </w:tc>
        <w:tc>
          <w:tcPr>
            <w:tcW w:w="2207" w:type="dxa"/>
            <w:gridSpan w:val="2"/>
            <w:tcBorders>
              <w:top w:val="single" w:sz="6" w:space="0" w:color="auto"/>
              <w:bottom w:val="single" w:sz="6" w:space="0" w:color="auto"/>
            </w:tcBorders>
          </w:tcPr>
          <w:p w14:paraId="0D48EB26" w14:textId="77777777" w:rsidR="00EC7CF0" w:rsidRDefault="00727052" w:rsidP="00FD0109">
            <w:pPr>
              <w:spacing w:before="20" w:after="20"/>
              <w:jc w:val="center"/>
              <w:rPr>
                <w:rFonts w:ascii="Arial Narrow" w:hAnsi="Arial Narrow"/>
                <w:bCs/>
                <w:kern w:val="20"/>
                <w:sz w:val="18"/>
                <w:szCs w:val="20"/>
              </w:rPr>
            </w:pPr>
            <w:r>
              <w:rPr>
                <w:rFonts w:ascii="Arial Narrow" w:hAnsi="Arial Narrow"/>
                <w:bCs/>
                <w:kern w:val="20"/>
                <w:sz w:val="18"/>
                <w:szCs w:val="20"/>
              </w:rPr>
              <w:t>42</w:t>
            </w:r>
          </w:p>
          <w:p w14:paraId="4171D357" w14:textId="77777777" w:rsidR="000E40F4" w:rsidRPr="002E6F69" w:rsidRDefault="000E40F4" w:rsidP="00FD0109">
            <w:pPr>
              <w:spacing w:before="20" w:after="20"/>
              <w:jc w:val="center"/>
              <w:rPr>
                <w:rFonts w:ascii="Arial Narrow" w:hAnsi="Arial Narrow"/>
                <w:bCs/>
                <w:kern w:val="20"/>
                <w:sz w:val="18"/>
                <w:szCs w:val="20"/>
              </w:rPr>
            </w:pPr>
            <w:r>
              <w:rPr>
                <w:rFonts w:ascii="Arial Narrow" w:hAnsi="Arial Narrow"/>
                <w:bCs/>
                <w:kern w:val="20"/>
                <w:sz w:val="18"/>
                <w:szCs w:val="20"/>
              </w:rPr>
              <w:t>39</w:t>
            </w:r>
          </w:p>
        </w:tc>
      </w:tr>
      <w:tr w:rsidR="000E40F4" w:rsidRPr="00596C4F" w14:paraId="75779EA5" w14:textId="77777777" w:rsidTr="00AD2D1F">
        <w:trPr>
          <w:trHeight w:val="288"/>
          <w:jc w:val="center"/>
        </w:trPr>
        <w:tc>
          <w:tcPr>
            <w:tcW w:w="0" w:type="auto"/>
            <w:tcBorders>
              <w:top w:val="single" w:sz="6" w:space="0" w:color="auto"/>
              <w:bottom w:val="single" w:sz="12" w:space="0" w:color="auto"/>
              <w:right w:val="single" w:sz="4" w:space="0" w:color="auto"/>
            </w:tcBorders>
            <w:shd w:val="clear" w:color="auto" w:fill="auto"/>
            <w:vAlign w:val="center"/>
          </w:tcPr>
          <w:p w14:paraId="2511F56E" w14:textId="77777777" w:rsidR="000E40F4" w:rsidRPr="002E6F69" w:rsidRDefault="000E40F4" w:rsidP="00FD0109">
            <w:pPr>
              <w:keepNext/>
              <w:keepLines/>
              <w:jc w:val="both"/>
              <w:rPr>
                <w:rFonts w:ascii="Arial Narrow" w:hAnsi="Arial Narrow"/>
                <w:bCs/>
                <w:kern w:val="20"/>
                <w:sz w:val="16"/>
                <w:szCs w:val="16"/>
              </w:rPr>
            </w:pPr>
            <w:r>
              <w:rPr>
                <w:rFonts w:ascii="Arial Narrow" w:hAnsi="Arial Narrow"/>
                <w:bCs/>
                <w:kern w:val="20"/>
                <w:sz w:val="16"/>
                <w:szCs w:val="16"/>
              </w:rPr>
              <w:t>Manzanita Elementary</w:t>
            </w:r>
            <w:r w:rsidRPr="002E6F69">
              <w:rPr>
                <w:rFonts w:ascii="Arial Narrow" w:hAnsi="Arial Narrow"/>
                <w:bCs/>
                <w:kern w:val="20"/>
                <w:sz w:val="16"/>
                <w:szCs w:val="16"/>
              </w:rPr>
              <w:t xml:space="preserve"> 1,</w:t>
            </w:r>
            <w:r>
              <w:rPr>
                <w:rFonts w:ascii="Arial Narrow" w:hAnsi="Arial Narrow"/>
                <w:bCs/>
                <w:kern w:val="20"/>
                <w:sz w:val="16"/>
                <w:szCs w:val="16"/>
              </w:rPr>
              <w:t>65</w:t>
            </w:r>
            <w:r w:rsidRPr="002E6F69">
              <w:rPr>
                <w:rFonts w:ascii="Arial Narrow" w:hAnsi="Arial Narrow"/>
                <w:bCs/>
                <w:kern w:val="20"/>
                <w:sz w:val="16"/>
                <w:szCs w:val="16"/>
              </w:rPr>
              <w:t>0 feet</w:t>
            </w:r>
            <w:r>
              <w:rPr>
                <w:rFonts w:ascii="Arial Narrow" w:hAnsi="Arial Narrow"/>
                <w:bCs/>
                <w:kern w:val="20"/>
                <w:sz w:val="16"/>
                <w:szCs w:val="16"/>
              </w:rPr>
              <w:t xml:space="preserve"> south, Vincent</w:t>
            </w:r>
          </w:p>
        </w:tc>
        <w:tc>
          <w:tcPr>
            <w:tcW w:w="2207" w:type="dxa"/>
            <w:gridSpan w:val="2"/>
            <w:tcBorders>
              <w:top w:val="single" w:sz="6" w:space="0" w:color="auto"/>
              <w:bottom w:val="single" w:sz="12" w:space="0" w:color="auto"/>
            </w:tcBorders>
          </w:tcPr>
          <w:p w14:paraId="3D0149C3" w14:textId="77777777" w:rsidR="000E40F4" w:rsidRPr="002E6F69" w:rsidRDefault="000E40F4" w:rsidP="00FD0109">
            <w:pPr>
              <w:spacing w:before="20" w:after="20"/>
              <w:jc w:val="center"/>
              <w:rPr>
                <w:rFonts w:ascii="Arial Narrow" w:hAnsi="Arial Narrow"/>
                <w:bCs/>
                <w:kern w:val="20"/>
                <w:sz w:val="18"/>
                <w:szCs w:val="20"/>
              </w:rPr>
            </w:pPr>
            <w:r>
              <w:rPr>
                <w:rFonts w:ascii="Arial Narrow" w:hAnsi="Arial Narrow"/>
                <w:bCs/>
                <w:kern w:val="20"/>
                <w:sz w:val="18"/>
                <w:szCs w:val="20"/>
              </w:rPr>
              <w:t>37</w:t>
            </w:r>
          </w:p>
        </w:tc>
      </w:tr>
      <w:tr w:rsidR="000E40F4" w:rsidRPr="00596C4F" w14:paraId="1872CD1D" w14:textId="77777777" w:rsidTr="00AD2D1F">
        <w:trPr>
          <w:trHeight w:val="188"/>
          <w:jc w:val="center"/>
        </w:trPr>
        <w:tc>
          <w:tcPr>
            <w:tcW w:w="0" w:type="auto"/>
            <w:vMerge w:val="restart"/>
            <w:tcBorders>
              <w:top w:val="single" w:sz="12" w:space="0" w:color="auto"/>
              <w:bottom w:val="single" w:sz="6" w:space="0" w:color="auto"/>
              <w:right w:val="single" w:sz="4" w:space="0" w:color="auto"/>
            </w:tcBorders>
            <w:shd w:val="clear" w:color="auto" w:fill="auto"/>
            <w:vAlign w:val="center"/>
          </w:tcPr>
          <w:p w14:paraId="090E13DC" w14:textId="77777777" w:rsidR="000E40F4" w:rsidRPr="002E6F69" w:rsidRDefault="000E40F4" w:rsidP="00FD0109">
            <w:pPr>
              <w:keepNext/>
              <w:keepLines/>
              <w:jc w:val="both"/>
              <w:rPr>
                <w:rFonts w:ascii="Arial Narrow" w:hAnsi="Arial Narrow"/>
                <w:bCs/>
                <w:kern w:val="20"/>
                <w:sz w:val="16"/>
                <w:szCs w:val="16"/>
              </w:rPr>
            </w:pPr>
            <w:r>
              <w:rPr>
                <w:rFonts w:ascii="Arial Narrow" w:hAnsi="Arial Narrow"/>
                <w:bCs/>
                <w:kern w:val="20"/>
                <w:sz w:val="16"/>
                <w:szCs w:val="16"/>
              </w:rPr>
              <w:t xml:space="preserve">County of Los Angeles </w:t>
            </w:r>
            <w:r w:rsidR="00927144">
              <w:rPr>
                <w:rFonts w:ascii="Arial Narrow" w:hAnsi="Arial Narrow"/>
                <w:bCs/>
                <w:kern w:val="20"/>
                <w:sz w:val="16"/>
                <w:szCs w:val="16"/>
              </w:rPr>
              <w:t xml:space="preserve">and </w:t>
            </w:r>
            <w:r>
              <w:rPr>
                <w:rFonts w:ascii="Arial Narrow" w:hAnsi="Arial Narrow"/>
                <w:bCs/>
                <w:kern w:val="20"/>
                <w:sz w:val="16"/>
                <w:szCs w:val="16"/>
              </w:rPr>
              <w:t xml:space="preserve">Irwindale </w:t>
            </w:r>
            <w:r w:rsidRPr="002E6F69">
              <w:rPr>
                <w:rFonts w:ascii="Arial Narrow" w:hAnsi="Arial Narrow"/>
                <w:bCs/>
                <w:kern w:val="20"/>
                <w:sz w:val="16"/>
                <w:szCs w:val="16"/>
              </w:rPr>
              <w:t xml:space="preserve">Residential </w:t>
            </w:r>
            <w:r>
              <w:rPr>
                <w:rFonts w:ascii="Arial Narrow" w:hAnsi="Arial Narrow"/>
                <w:bCs/>
                <w:kern w:val="20"/>
                <w:sz w:val="16"/>
                <w:szCs w:val="16"/>
              </w:rPr>
              <w:t xml:space="preserve">Exterior </w:t>
            </w:r>
            <w:r w:rsidRPr="002E6F69">
              <w:rPr>
                <w:rFonts w:ascii="Arial Narrow" w:hAnsi="Arial Narrow"/>
                <w:bCs/>
                <w:kern w:val="20"/>
                <w:sz w:val="16"/>
                <w:szCs w:val="16"/>
              </w:rPr>
              <w:t xml:space="preserve">Noise </w:t>
            </w:r>
            <w:r>
              <w:rPr>
                <w:rFonts w:ascii="Arial Narrow" w:hAnsi="Arial Narrow"/>
                <w:bCs/>
                <w:kern w:val="20"/>
                <w:sz w:val="16"/>
                <w:szCs w:val="16"/>
              </w:rPr>
              <w:t>S</w:t>
            </w:r>
            <w:r w:rsidRPr="002E6F69">
              <w:rPr>
                <w:rFonts w:ascii="Arial Narrow" w:hAnsi="Arial Narrow"/>
                <w:bCs/>
                <w:kern w:val="20"/>
                <w:sz w:val="16"/>
                <w:szCs w:val="16"/>
              </w:rPr>
              <w:t>tandards</w:t>
            </w:r>
          </w:p>
        </w:tc>
        <w:tc>
          <w:tcPr>
            <w:tcW w:w="0" w:type="auto"/>
            <w:tcBorders>
              <w:top w:val="single" w:sz="12" w:space="0" w:color="auto"/>
              <w:bottom w:val="single" w:sz="6" w:space="0" w:color="auto"/>
            </w:tcBorders>
          </w:tcPr>
          <w:p w14:paraId="7C1C9265" w14:textId="77777777" w:rsidR="000E40F4" w:rsidRPr="002E6F69" w:rsidRDefault="000E40F4" w:rsidP="00FD0109">
            <w:pPr>
              <w:spacing w:before="20" w:after="20"/>
              <w:jc w:val="center"/>
              <w:rPr>
                <w:rFonts w:ascii="Arial Narrow" w:hAnsi="Arial Narrow"/>
                <w:bCs/>
                <w:kern w:val="20"/>
                <w:sz w:val="18"/>
                <w:szCs w:val="20"/>
              </w:rPr>
            </w:pPr>
            <w:r>
              <w:rPr>
                <w:rFonts w:ascii="Arial Narrow" w:hAnsi="Arial Narrow"/>
                <w:bCs/>
                <w:kern w:val="20"/>
                <w:sz w:val="18"/>
                <w:szCs w:val="20"/>
              </w:rPr>
              <w:t>Daytime</w:t>
            </w:r>
          </w:p>
        </w:tc>
        <w:tc>
          <w:tcPr>
            <w:tcW w:w="1353" w:type="dxa"/>
            <w:tcBorders>
              <w:top w:val="single" w:sz="12" w:space="0" w:color="auto"/>
              <w:bottom w:val="single" w:sz="6" w:space="0" w:color="auto"/>
            </w:tcBorders>
          </w:tcPr>
          <w:p w14:paraId="6F2924B9" w14:textId="77777777" w:rsidR="000E40F4" w:rsidRPr="002E6F69" w:rsidRDefault="000E40F4" w:rsidP="00FD0109">
            <w:pPr>
              <w:spacing w:before="20" w:after="20"/>
              <w:jc w:val="center"/>
              <w:rPr>
                <w:rFonts w:ascii="Arial Narrow" w:hAnsi="Arial Narrow"/>
                <w:bCs/>
                <w:kern w:val="20"/>
                <w:sz w:val="18"/>
                <w:szCs w:val="20"/>
              </w:rPr>
            </w:pPr>
            <w:r>
              <w:rPr>
                <w:rFonts w:ascii="Arial Narrow" w:hAnsi="Arial Narrow"/>
                <w:bCs/>
                <w:kern w:val="20"/>
                <w:sz w:val="18"/>
                <w:szCs w:val="20"/>
              </w:rPr>
              <w:t>50</w:t>
            </w:r>
          </w:p>
        </w:tc>
      </w:tr>
      <w:tr w:rsidR="000E40F4" w:rsidRPr="00596C4F" w14:paraId="691C3325" w14:textId="77777777" w:rsidTr="00AD2D1F">
        <w:trPr>
          <w:trHeight w:val="188"/>
          <w:jc w:val="center"/>
        </w:trPr>
        <w:tc>
          <w:tcPr>
            <w:tcW w:w="0" w:type="auto"/>
            <w:vMerge/>
            <w:tcBorders>
              <w:top w:val="single" w:sz="6" w:space="0" w:color="auto"/>
              <w:bottom w:val="single" w:sz="12" w:space="0" w:color="auto"/>
              <w:right w:val="single" w:sz="4" w:space="0" w:color="auto"/>
            </w:tcBorders>
            <w:shd w:val="clear" w:color="auto" w:fill="auto"/>
            <w:vAlign w:val="center"/>
          </w:tcPr>
          <w:p w14:paraId="0733876A" w14:textId="77777777" w:rsidR="000E40F4" w:rsidRDefault="000E40F4" w:rsidP="00FD0109">
            <w:pPr>
              <w:keepNext/>
              <w:keepLines/>
              <w:jc w:val="both"/>
              <w:rPr>
                <w:rFonts w:ascii="Arial Narrow" w:hAnsi="Arial Narrow"/>
                <w:bCs/>
                <w:kern w:val="20"/>
                <w:sz w:val="16"/>
                <w:szCs w:val="16"/>
              </w:rPr>
            </w:pPr>
          </w:p>
        </w:tc>
        <w:tc>
          <w:tcPr>
            <w:tcW w:w="0" w:type="auto"/>
            <w:tcBorders>
              <w:top w:val="single" w:sz="6" w:space="0" w:color="auto"/>
              <w:bottom w:val="single" w:sz="12" w:space="0" w:color="auto"/>
            </w:tcBorders>
          </w:tcPr>
          <w:p w14:paraId="5EDE919F" w14:textId="77777777" w:rsidR="000E40F4" w:rsidRDefault="000E40F4" w:rsidP="00FD0109">
            <w:pPr>
              <w:spacing w:before="20" w:after="20"/>
              <w:jc w:val="center"/>
              <w:rPr>
                <w:rFonts w:ascii="Arial Narrow" w:hAnsi="Arial Narrow"/>
                <w:bCs/>
                <w:kern w:val="20"/>
                <w:sz w:val="18"/>
                <w:szCs w:val="20"/>
              </w:rPr>
            </w:pPr>
            <w:r>
              <w:rPr>
                <w:rFonts w:ascii="Arial Narrow" w:hAnsi="Arial Narrow"/>
                <w:bCs/>
                <w:kern w:val="20"/>
                <w:sz w:val="18"/>
                <w:szCs w:val="20"/>
              </w:rPr>
              <w:t>Nighttime</w:t>
            </w:r>
          </w:p>
        </w:tc>
        <w:tc>
          <w:tcPr>
            <w:tcW w:w="1353" w:type="dxa"/>
            <w:tcBorders>
              <w:top w:val="single" w:sz="6" w:space="0" w:color="auto"/>
              <w:bottom w:val="single" w:sz="12" w:space="0" w:color="auto"/>
            </w:tcBorders>
          </w:tcPr>
          <w:p w14:paraId="1B856FBC" w14:textId="77777777" w:rsidR="000E40F4" w:rsidRDefault="000E40F4" w:rsidP="00FD0109">
            <w:pPr>
              <w:spacing w:before="20" w:after="20"/>
              <w:jc w:val="center"/>
              <w:rPr>
                <w:rFonts w:ascii="Arial Narrow" w:hAnsi="Arial Narrow"/>
                <w:bCs/>
                <w:kern w:val="20"/>
                <w:sz w:val="18"/>
                <w:szCs w:val="20"/>
              </w:rPr>
            </w:pPr>
            <w:r>
              <w:rPr>
                <w:rFonts w:ascii="Arial Narrow" w:hAnsi="Arial Narrow"/>
                <w:bCs/>
                <w:kern w:val="20"/>
                <w:sz w:val="18"/>
                <w:szCs w:val="20"/>
              </w:rPr>
              <w:t>45</w:t>
            </w:r>
          </w:p>
        </w:tc>
      </w:tr>
      <w:tr w:rsidR="000E40F4" w:rsidRPr="00596C4F" w14:paraId="1D147AA2" w14:textId="77777777" w:rsidTr="00235F31">
        <w:trPr>
          <w:trHeight w:val="288"/>
          <w:jc w:val="center"/>
        </w:trPr>
        <w:tc>
          <w:tcPr>
            <w:tcW w:w="0" w:type="auto"/>
            <w:tcBorders>
              <w:top w:val="single" w:sz="12" w:space="0" w:color="auto"/>
              <w:bottom w:val="single" w:sz="12" w:space="0" w:color="auto"/>
              <w:right w:val="single" w:sz="4" w:space="0" w:color="auto"/>
            </w:tcBorders>
            <w:shd w:val="clear" w:color="auto" w:fill="auto"/>
            <w:vAlign w:val="center"/>
          </w:tcPr>
          <w:p w14:paraId="79E306F4" w14:textId="77777777" w:rsidR="000E40F4" w:rsidRPr="002E6F69" w:rsidRDefault="000E40F4" w:rsidP="00FD0109">
            <w:pPr>
              <w:keepNext/>
              <w:keepLines/>
              <w:jc w:val="both"/>
              <w:rPr>
                <w:rFonts w:ascii="Arial Narrow" w:hAnsi="Arial Narrow"/>
                <w:bCs/>
                <w:kern w:val="20"/>
                <w:sz w:val="18"/>
                <w:szCs w:val="20"/>
              </w:rPr>
            </w:pPr>
            <w:r>
              <w:rPr>
                <w:rFonts w:ascii="Arial Narrow" w:hAnsi="Arial Narrow"/>
                <w:bCs/>
                <w:kern w:val="20"/>
                <w:sz w:val="16"/>
                <w:szCs w:val="16"/>
              </w:rPr>
              <w:t>Exceeds standards</w:t>
            </w:r>
            <w:r w:rsidRPr="002E6F69">
              <w:rPr>
                <w:rFonts w:ascii="Arial Narrow" w:hAnsi="Arial Narrow"/>
                <w:bCs/>
                <w:kern w:val="20"/>
                <w:sz w:val="16"/>
                <w:szCs w:val="16"/>
              </w:rPr>
              <w:t>?</w:t>
            </w:r>
          </w:p>
        </w:tc>
        <w:tc>
          <w:tcPr>
            <w:tcW w:w="2207" w:type="dxa"/>
            <w:gridSpan w:val="2"/>
            <w:tcBorders>
              <w:top w:val="single" w:sz="12" w:space="0" w:color="auto"/>
              <w:bottom w:val="single" w:sz="12" w:space="0" w:color="auto"/>
            </w:tcBorders>
          </w:tcPr>
          <w:p w14:paraId="158EA9CA" w14:textId="77777777" w:rsidR="000E40F4" w:rsidRPr="002E6F69" w:rsidRDefault="000E40F4" w:rsidP="00FD0109">
            <w:pPr>
              <w:spacing w:before="20" w:after="20"/>
              <w:jc w:val="center"/>
              <w:rPr>
                <w:rFonts w:ascii="Arial Narrow" w:hAnsi="Arial Narrow"/>
                <w:bCs/>
                <w:kern w:val="20"/>
                <w:sz w:val="18"/>
                <w:szCs w:val="20"/>
              </w:rPr>
            </w:pPr>
            <w:r w:rsidRPr="002E6F69">
              <w:rPr>
                <w:rFonts w:ascii="Arial Narrow" w:hAnsi="Arial Narrow"/>
                <w:bCs/>
                <w:kern w:val="20"/>
                <w:sz w:val="18"/>
                <w:szCs w:val="20"/>
              </w:rPr>
              <w:t>No</w:t>
            </w:r>
          </w:p>
        </w:tc>
      </w:tr>
      <w:tr w:rsidR="000E40F4" w:rsidRPr="008906AC" w14:paraId="6FB33EC2" w14:textId="77777777" w:rsidTr="00235F31">
        <w:trPr>
          <w:trHeight w:val="303"/>
          <w:jc w:val="center"/>
        </w:trPr>
        <w:tc>
          <w:tcPr>
            <w:tcW w:w="6660" w:type="dxa"/>
            <w:gridSpan w:val="3"/>
            <w:tcBorders>
              <w:top w:val="single" w:sz="12" w:space="0" w:color="auto"/>
              <w:left w:val="nil"/>
              <w:bottom w:val="single" w:sz="12" w:space="0" w:color="auto"/>
            </w:tcBorders>
            <w:vAlign w:val="center"/>
          </w:tcPr>
          <w:p w14:paraId="35B160EF" w14:textId="77777777" w:rsidR="000E40F4" w:rsidRPr="00596C4F" w:rsidRDefault="000E40F4" w:rsidP="000D40EF">
            <w:pPr>
              <w:pStyle w:val="TblSourcesNotes"/>
            </w:pPr>
            <w:r>
              <w:t xml:space="preserve">Source: </w:t>
            </w:r>
            <w:r w:rsidRPr="00596C4F">
              <w:t>Reference noise levels from PlaceWorks 2019.</w:t>
            </w:r>
          </w:p>
          <w:p w14:paraId="70E0809F" w14:textId="77777777" w:rsidR="000E40F4" w:rsidRPr="00596C4F" w:rsidRDefault="000E40F4" w:rsidP="000D40EF">
            <w:pPr>
              <w:pStyle w:val="TblSourcesNotes"/>
            </w:pPr>
            <w:r w:rsidRPr="00596C4F">
              <w:t xml:space="preserve">Notes: Detailed calculation results are </w:t>
            </w:r>
            <w:r w:rsidRPr="00DD31E5">
              <w:t xml:space="preserve">in Appendix </w:t>
            </w:r>
            <w:r w:rsidR="00F64019">
              <w:t>G</w:t>
            </w:r>
            <w:r w:rsidRPr="00DD31E5">
              <w:t>.</w:t>
            </w:r>
            <w:r w:rsidR="006F55B4">
              <w:t xml:space="preserve"> </w:t>
            </w:r>
            <w:r w:rsidR="006F55B4">
              <w:br/>
            </w:r>
            <w:r>
              <w:t>Distances measured from the loading area to the receptor property line.</w:t>
            </w:r>
          </w:p>
        </w:tc>
      </w:tr>
    </w:tbl>
    <w:p w14:paraId="4A7B8100" w14:textId="77777777" w:rsidR="000E40F4" w:rsidRDefault="000E40F4" w:rsidP="000E40F4">
      <w:pPr>
        <w:pStyle w:val="BodyText"/>
      </w:pPr>
    </w:p>
    <w:p w14:paraId="7F10C5D2" w14:textId="77777777" w:rsidR="000E40F4" w:rsidRDefault="000E40F4" w:rsidP="00816F17">
      <w:pPr>
        <w:pStyle w:val="List"/>
        <w:numPr>
          <w:ilvl w:val="0"/>
          <w:numId w:val="67"/>
        </w:numPr>
      </w:pPr>
      <w:r w:rsidRPr="00AE239A">
        <w:t>Generation of excessive groundborne vibration or groundborne noise levels</w:t>
      </w:r>
      <w:r>
        <w:t>?</w:t>
      </w:r>
    </w:p>
    <w:p w14:paraId="41820DEA" w14:textId="77777777" w:rsidR="000E40F4" w:rsidRDefault="000E40F4" w:rsidP="00816F17">
      <w:pPr>
        <w:pStyle w:val="BodyText"/>
        <w:keepNext/>
        <w:rPr>
          <w:rStyle w:val="InsertText"/>
          <w:b/>
          <w:kern w:val="0"/>
        </w:rPr>
      </w:pPr>
      <w:r w:rsidRPr="00655D6B">
        <w:rPr>
          <w:rStyle w:val="BodyTextBoldChar"/>
        </w:rPr>
        <w:t xml:space="preserve">Less Than Significant Impact. </w:t>
      </w:r>
    </w:p>
    <w:p w14:paraId="355C90F7" w14:textId="77777777" w:rsidR="000E40F4" w:rsidRPr="00C16D87" w:rsidRDefault="000E40F4" w:rsidP="000E40F4">
      <w:pPr>
        <w:pStyle w:val="Heading5"/>
      </w:pPr>
      <w:r w:rsidRPr="00C16D87">
        <w:t>Operational Vibration</w:t>
      </w:r>
    </w:p>
    <w:p w14:paraId="3B322E18" w14:textId="77777777" w:rsidR="000E40F4" w:rsidRDefault="000E40F4" w:rsidP="000E40F4">
      <w:pPr>
        <w:pStyle w:val="BodyText"/>
      </w:pPr>
      <w:r w:rsidRPr="00863D36">
        <w:t>The</w:t>
      </w:r>
      <w:r>
        <w:t xml:space="preserve"> </w:t>
      </w:r>
      <w:r w:rsidRPr="00894EBA">
        <w:t>proposed project would include truck movement activity at the proposed project site. These movements would generally be low</w:t>
      </w:r>
      <w:r w:rsidR="006F55B4">
        <w:t xml:space="preserve"> </w:t>
      </w:r>
      <w:r w:rsidRPr="00894EBA">
        <w:t>speed (i.e., less than 15 miles per hour) and would occur over new, smooth surfaces. For perspective, Caltrans has studied the effects of propagation of vehicle vibration on sensitive land uses and notes that “heavy trucks, and quite frequently buses, generate the highest earth</w:t>
      </w:r>
      <w:r w:rsidR="006F55B4">
        <w:t xml:space="preserve"> </w:t>
      </w:r>
      <w:r w:rsidRPr="00894EBA">
        <w:t>born</w:t>
      </w:r>
      <w:r w:rsidR="006F55B4">
        <w:t>e</w:t>
      </w:r>
      <w:r w:rsidRPr="00894EBA">
        <w:t xml:space="preserve"> vibrations of normal traffic.” Caltrans further notes that the highest traffic-generated vibrations are along freeways and state routes. Their study finds that “vibrations measured on freeway shoulders (five meters from the centerline of the nearest lane) have never exceeded 0.08 inches per second, with the worst combinations of heavy trucks and poor roadway conditions (while such trucks were moving at freeway speeds). This level coincides with the maximum recommended safe level for ruins and ancient monuments (and historic buildings)” (Caltrans 2013). Since the project’s truck movements would be a low speed (not at freeway speeds)</w:t>
      </w:r>
      <w:r w:rsidR="006F55B4">
        <w:t xml:space="preserve"> and</w:t>
      </w:r>
      <w:r w:rsidRPr="00894EBA">
        <w:t xml:space="preserve"> would be over smooth surfaces (not under poor roadway conditions), project</w:t>
      </w:r>
      <w:r w:rsidRPr="00F55A9B">
        <w:t>-related vibration associated with</w:t>
      </w:r>
      <w:r>
        <w:t xml:space="preserve"> truck activity</w:t>
      </w:r>
      <w:r w:rsidRPr="00F55A9B">
        <w:t xml:space="preserve"> would not result in excessive groundborne vibrations; no vehicle-generated vibration impacts would occur</w:t>
      </w:r>
      <w:r>
        <w:t>. In addition, t</w:t>
      </w:r>
      <w:r w:rsidRPr="00DF3631">
        <w:t xml:space="preserve">here are no </w:t>
      </w:r>
      <w:r>
        <w:t xml:space="preserve">sources of substantial </w:t>
      </w:r>
      <w:r w:rsidRPr="00DF3631">
        <w:t>groundborne vibration associated with the project, such as rail</w:t>
      </w:r>
      <w:r w:rsidR="006F55B4">
        <w:t>ways</w:t>
      </w:r>
      <w:r>
        <w:t xml:space="preserve"> or </w:t>
      </w:r>
      <w:r w:rsidRPr="00DF3631">
        <w:t>subways. The proposed project would not create or cause any vibration impacts due to operations</w:t>
      </w:r>
      <w:r>
        <w:t>.</w:t>
      </w:r>
    </w:p>
    <w:p w14:paraId="0F1F2ACF" w14:textId="77777777" w:rsidR="000E40F4" w:rsidRDefault="000E40F4" w:rsidP="000E40F4">
      <w:pPr>
        <w:pStyle w:val="Heading5"/>
      </w:pPr>
      <w:r w:rsidRPr="00C16D87">
        <w:t>Construction Vibration</w:t>
      </w:r>
    </w:p>
    <w:p w14:paraId="39BA03BE" w14:textId="77777777" w:rsidR="000E40F4" w:rsidRPr="000624CA" w:rsidRDefault="000E40F4" w:rsidP="000E40F4">
      <w:pPr>
        <w:pStyle w:val="Heading6"/>
      </w:pPr>
      <w:r>
        <w:t>Vibration Damage</w:t>
      </w:r>
    </w:p>
    <w:p w14:paraId="302E60DF" w14:textId="77777777" w:rsidR="000E40F4" w:rsidRPr="00464E69" w:rsidRDefault="000E40F4" w:rsidP="000E40F4">
      <w:pPr>
        <w:pStyle w:val="BodyText"/>
      </w:pPr>
      <w:r w:rsidRPr="00464E69">
        <w:t xml:space="preserve">Construction operations can generate varying degrees of ground vibration, depending on the construction procedures and equipment. Operation of construction equipment generates vibrations that spread through the ground and diminish with distance from the source. The effect on buildings in the vicinity of the construction site varies depending on soil type, ground strata, and receptor-building construction. The effects from vibration can range from no perceptible effects at the lowest vibration levels, to low rumbling sounds and perceptible vibrations at moderate levels, to slight structural damage at the highest levels. Vibration from construction activities rarely reaches the levels that can damage structures. </w:t>
      </w:r>
    </w:p>
    <w:p w14:paraId="7E472479" w14:textId="11FBD0D3" w:rsidR="000E40F4" w:rsidRDefault="000E40F4" w:rsidP="000E40F4">
      <w:pPr>
        <w:pStyle w:val="BodyText"/>
      </w:pPr>
      <w:bookmarkStart w:id="209" w:name="_Hlk77179233"/>
      <w:r>
        <w:t>The nearest structures to the project site are the surrounding industrial buildings to the east and south in Irwindale. The Cit</w:t>
      </w:r>
      <w:r w:rsidR="00D06FAC">
        <w:t>ies</w:t>
      </w:r>
      <w:r>
        <w:t xml:space="preserve"> of Irwindale </w:t>
      </w:r>
      <w:r w:rsidR="00D50181">
        <w:t xml:space="preserve">and West Covina do </w:t>
      </w:r>
      <w:r>
        <w:t xml:space="preserve">not have quantified thresholds for vibration damage, and therefore FTA criteria is used to determine impact significant. For </w:t>
      </w:r>
      <w:r w:rsidRPr="00464E69">
        <w:t>reference, a vibration level of 0.3 in/sec PPV is used as the limit for engineered concrete and masonry buildings</w:t>
      </w:r>
      <w:r w:rsidR="00D50181">
        <w:t xml:space="preserve"> and a level of 0.20 in/sec PPV for nonengineered timber and masonry buildings is used to determine impact significance</w:t>
      </w:r>
      <w:r w:rsidR="0007654C">
        <w:t xml:space="preserve"> </w:t>
      </w:r>
      <w:r w:rsidRPr="00464E69">
        <w:t>(FTA 2018). To determine potential vibration</w:t>
      </w:r>
      <w:r w:rsidR="006F55B4">
        <w:t>-</w:t>
      </w:r>
      <w:r w:rsidRPr="00464E69">
        <w:t>induc</w:t>
      </w:r>
      <w:r w:rsidRPr="00AD43E7">
        <w:t>ed architectural damage, the distance from the vibration source (construction equipment) to the nearest off-site structure is measured from the edge of the construction site to the nearest building façade.</w:t>
      </w:r>
      <w:r w:rsidRPr="00464E69">
        <w:t xml:space="preserve"> </w:t>
      </w:r>
      <w:r w:rsidR="0007654C">
        <w:t>The nearest industrial buildings are directly north, east, and south of the project site</w:t>
      </w:r>
      <w:r w:rsidR="009509B2">
        <w:t>,</w:t>
      </w:r>
      <w:r w:rsidR="0007654C">
        <w:t xml:space="preserve"> and the nearest residential structure is approximately 550 feet to the northeast. </w:t>
      </w:r>
    </w:p>
    <w:p w14:paraId="0A4F3184" w14:textId="759B5971" w:rsidR="000E40F4" w:rsidRPr="00320C15" w:rsidRDefault="000E40F4" w:rsidP="000E40F4">
      <w:pPr>
        <w:pStyle w:val="BodyText"/>
      </w:pPr>
      <w:r w:rsidRPr="00320C15">
        <w:t xml:space="preserve">Table </w:t>
      </w:r>
      <w:r w:rsidR="00345BC8" w:rsidRPr="00320C15">
        <w:t>2</w:t>
      </w:r>
      <w:r w:rsidR="00345BC8">
        <w:t>3</w:t>
      </w:r>
      <w:r w:rsidR="00345BC8" w:rsidRPr="00320C15">
        <w:t xml:space="preserve"> </w:t>
      </w:r>
      <w:r w:rsidRPr="00320C15">
        <w:t xml:space="preserve">shows vibration levels for typical construction equipment at a reference distance of 25 feet and at various nearby receptors. </w:t>
      </w:r>
      <w:bookmarkStart w:id="210" w:name="_Hlk77179252"/>
      <w:bookmarkEnd w:id="209"/>
      <w:r w:rsidRPr="00320C15">
        <w:t xml:space="preserve">As shown, vibration levels would not exceed FTA criteria of 0.30 in/sec PPV for concrete and masonry structures or 0.20 in/sec PPV for nonengineered timber and masonry structures at the nearest off-site receptors. Therefore, impacts would be less than significant. </w:t>
      </w:r>
    </w:p>
    <w:tbl>
      <w:tblPr>
        <w:tblW w:w="9360" w:type="dxa"/>
        <w:jc w:val="center"/>
        <w:tblLook w:val="0000" w:firstRow="0" w:lastRow="0" w:firstColumn="0" w:lastColumn="0" w:noHBand="0" w:noVBand="0"/>
      </w:tblPr>
      <w:tblGrid>
        <w:gridCol w:w="1673"/>
        <w:gridCol w:w="1467"/>
        <w:gridCol w:w="2026"/>
        <w:gridCol w:w="2099"/>
        <w:gridCol w:w="2095"/>
      </w:tblGrid>
      <w:tr w:rsidR="000E40F4" w:rsidRPr="009C2474" w14:paraId="698E92B6" w14:textId="77777777" w:rsidTr="00FD0109">
        <w:trPr>
          <w:trHeight w:val="251"/>
          <w:tblHeader/>
          <w:jc w:val="center"/>
        </w:trPr>
        <w:tc>
          <w:tcPr>
            <w:tcW w:w="5000" w:type="pct"/>
            <w:gridSpan w:val="5"/>
            <w:tcBorders>
              <w:bottom w:val="single" w:sz="12" w:space="0" w:color="auto"/>
            </w:tcBorders>
          </w:tcPr>
          <w:p w14:paraId="1B2B5CA9" w14:textId="732FA4A1" w:rsidR="000E40F4" w:rsidRPr="009C2474" w:rsidRDefault="000E40F4" w:rsidP="00FD0109">
            <w:pPr>
              <w:pStyle w:val="TblTitles"/>
              <w:keepNext/>
            </w:pPr>
            <w:bookmarkStart w:id="211" w:name="_Toc90882269"/>
            <w:bookmarkEnd w:id="210"/>
            <w:r w:rsidRPr="00320C15">
              <w:t xml:space="preserve">Table </w:t>
            </w:r>
            <w:r w:rsidR="00345BC8" w:rsidRPr="00320C15">
              <w:t>2</w:t>
            </w:r>
            <w:r w:rsidR="00345BC8">
              <w:t>3</w:t>
            </w:r>
            <w:r w:rsidRPr="00320C15">
              <w:tab/>
              <w:t>Vibration Damage Levels for Typical Construction Equipment</w:t>
            </w:r>
            <w:bookmarkEnd w:id="211"/>
          </w:p>
        </w:tc>
      </w:tr>
      <w:tr w:rsidR="000E40F4" w:rsidRPr="009C2474" w14:paraId="4B31D822" w14:textId="77777777" w:rsidTr="00AD2D1F">
        <w:trPr>
          <w:trHeight w:val="44"/>
          <w:tblHeader/>
          <w:jc w:val="center"/>
        </w:trPr>
        <w:tc>
          <w:tcPr>
            <w:tcW w:w="894" w:type="pct"/>
            <w:vMerge w:val="restart"/>
            <w:tcBorders>
              <w:top w:val="single" w:sz="12" w:space="0" w:color="auto"/>
              <w:right w:val="single" w:sz="12" w:space="0" w:color="auto"/>
            </w:tcBorders>
            <w:shd w:val="clear" w:color="auto" w:fill="auto"/>
            <w:vAlign w:val="bottom"/>
          </w:tcPr>
          <w:p w14:paraId="1D9F4FB9" w14:textId="77777777" w:rsidR="000E40F4" w:rsidRPr="009C2474" w:rsidRDefault="000E40F4" w:rsidP="00FD0109">
            <w:pPr>
              <w:pStyle w:val="TblColumnHeads"/>
              <w:keepNext/>
            </w:pPr>
            <w:r w:rsidRPr="009C2474">
              <w:t>Equipment</w:t>
            </w:r>
          </w:p>
        </w:tc>
        <w:tc>
          <w:tcPr>
            <w:tcW w:w="4106" w:type="pct"/>
            <w:gridSpan w:val="4"/>
            <w:tcBorders>
              <w:top w:val="single" w:sz="12" w:space="0" w:color="auto"/>
              <w:left w:val="single" w:sz="12" w:space="0" w:color="auto"/>
              <w:bottom w:val="single" w:sz="4" w:space="0" w:color="auto"/>
            </w:tcBorders>
            <w:shd w:val="clear" w:color="auto" w:fill="auto"/>
            <w:vAlign w:val="bottom"/>
          </w:tcPr>
          <w:p w14:paraId="03C22C80" w14:textId="77777777" w:rsidR="000E40F4" w:rsidRPr="009C2474" w:rsidRDefault="000E40F4" w:rsidP="00FD0109">
            <w:pPr>
              <w:pStyle w:val="TblColumnHeads"/>
              <w:keepNext/>
            </w:pPr>
            <w:r w:rsidRPr="009C2474">
              <w:t xml:space="preserve">PPV (in/sec) </w:t>
            </w:r>
          </w:p>
        </w:tc>
      </w:tr>
      <w:tr w:rsidR="000E40F4" w:rsidRPr="009C2474" w14:paraId="129F297C" w14:textId="77777777" w:rsidTr="00AD2D1F">
        <w:trPr>
          <w:trHeight w:val="261"/>
          <w:tblHeader/>
          <w:jc w:val="center"/>
        </w:trPr>
        <w:tc>
          <w:tcPr>
            <w:tcW w:w="894" w:type="pct"/>
            <w:vMerge/>
            <w:tcBorders>
              <w:right w:val="single" w:sz="12" w:space="0" w:color="auto"/>
            </w:tcBorders>
            <w:shd w:val="clear" w:color="auto" w:fill="auto"/>
            <w:vAlign w:val="bottom"/>
          </w:tcPr>
          <w:p w14:paraId="523D5B94" w14:textId="77777777" w:rsidR="000E40F4" w:rsidRPr="009C2474" w:rsidRDefault="000E40F4" w:rsidP="00FD0109">
            <w:pPr>
              <w:pStyle w:val="TblColumnHeads"/>
              <w:keepNext/>
            </w:pPr>
          </w:p>
        </w:tc>
        <w:tc>
          <w:tcPr>
            <w:tcW w:w="784" w:type="pct"/>
            <w:tcBorders>
              <w:top w:val="single" w:sz="4" w:space="0" w:color="auto"/>
              <w:left w:val="single" w:sz="12" w:space="0" w:color="auto"/>
              <w:bottom w:val="single" w:sz="12" w:space="0" w:color="auto"/>
              <w:right w:val="single" w:sz="4" w:space="0" w:color="auto"/>
            </w:tcBorders>
            <w:shd w:val="clear" w:color="auto" w:fill="auto"/>
            <w:vAlign w:val="bottom"/>
          </w:tcPr>
          <w:p w14:paraId="16EF24B2" w14:textId="77777777" w:rsidR="000E40F4" w:rsidRPr="009C2474" w:rsidRDefault="000E40F4" w:rsidP="00FD0109">
            <w:pPr>
              <w:pStyle w:val="TblColumnHeads"/>
              <w:keepNext/>
            </w:pPr>
            <w:r w:rsidRPr="009C2474">
              <w:t>FTA Reference at 25 feet</w:t>
            </w:r>
          </w:p>
        </w:tc>
        <w:tc>
          <w:tcPr>
            <w:tcW w:w="1082" w:type="pct"/>
            <w:tcBorders>
              <w:top w:val="single" w:sz="4" w:space="0" w:color="auto"/>
              <w:left w:val="single" w:sz="4" w:space="0" w:color="auto"/>
              <w:bottom w:val="single" w:sz="12" w:space="0" w:color="auto"/>
            </w:tcBorders>
            <w:shd w:val="clear" w:color="auto" w:fill="auto"/>
            <w:vAlign w:val="bottom"/>
          </w:tcPr>
          <w:p w14:paraId="6F5F71AA" w14:textId="77777777" w:rsidR="000E40F4" w:rsidRPr="009C2474" w:rsidRDefault="000E40F4" w:rsidP="00FD0109">
            <w:pPr>
              <w:pStyle w:val="TblColumnHeads"/>
              <w:keepNext/>
            </w:pPr>
            <w:r w:rsidRPr="009C2474">
              <w:t>Industrial building to east at 115 Feet</w:t>
            </w:r>
          </w:p>
        </w:tc>
        <w:tc>
          <w:tcPr>
            <w:tcW w:w="1121" w:type="pct"/>
            <w:tcBorders>
              <w:top w:val="single" w:sz="4" w:space="0" w:color="auto"/>
              <w:left w:val="single" w:sz="4" w:space="0" w:color="auto"/>
              <w:bottom w:val="single" w:sz="12" w:space="0" w:color="auto"/>
            </w:tcBorders>
            <w:vAlign w:val="bottom"/>
          </w:tcPr>
          <w:p w14:paraId="3B987F05" w14:textId="77777777" w:rsidR="000E40F4" w:rsidRPr="009C2474" w:rsidRDefault="000E40F4" w:rsidP="00FD0109">
            <w:pPr>
              <w:pStyle w:val="TblColumnHeads"/>
              <w:keepNext/>
            </w:pPr>
            <w:r w:rsidRPr="009C2474">
              <w:t>Industrial building to south at 140 Feet</w:t>
            </w:r>
          </w:p>
        </w:tc>
        <w:tc>
          <w:tcPr>
            <w:tcW w:w="1119" w:type="pct"/>
            <w:tcBorders>
              <w:top w:val="single" w:sz="4" w:space="0" w:color="auto"/>
              <w:left w:val="single" w:sz="4" w:space="0" w:color="auto"/>
              <w:bottom w:val="single" w:sz="12" w:space="0" w:color="auto"/>
            </w:tcBorders>
          </w:tcPr>
          <w:p w14:paraId="644DAAD2" w14:textId="77777777" w:rsidR="000E40F4" w:rsidRPr="009C2474" w:rsidRDefault="000E40F4" w:rsidP="00FD0109">
            <w:pPr>
              <w:pStyle w:val="TblColumnHeads"/>
              <w:keepNext/>
            </w:pPr>
            <w:r>
              <w:t xml:space="preserve">Residential </w:t>
            </w:r>
            <w:r>
              <w:br/>
              <w:t>550 feet</w:t>
            </w:r>
          </w:p>
        </w:tc>
      </w:tr>
      <w:tr w:rsidR="000E40F4" w:rsidRPr="009C2474" w14:paraId="0B8E5BE6" w14:textId="77777777" w:rsidTr="00AD2D1F">
        <w:trPr>
          <w:trHeight w:val="288"/>
          <w:jc w:val="center"/>
        </w:trPr>
        <w:tc>
          <w:tcPr>
            <w:tcW w:w="894" w:type="pct"/>
            <w:tcBorders>
              <w:top w:val="single" w:sz="12" w:space="0" w:color="auto"/>
              <w:bottom w:val="single" w:sz="4" w:space="0" w:color="auto"/>
              <w:right w:val="single" w:sz="12" w:space="0" w:color="auto"/>
            </w:tcBorders>
            <w:shd w:val="clear" w:color="auto" w:fill="auto"/>
            <w:vAlign w:val="center"/>
          </w:tcPr>
          <w:p w14:paraId="7F0742CC" w14:textId="77777777" w:rsidR="000E40F4" w:rsidRPr="009C2474" w:rsidRDefault="000E40F4" w:rsidP="00FD0109">
            <w:pPr>
              <w:pStyle w:val="TblTxt"/>
              <w:keepNext/>
            </w:pPr>
            <w:r w:rsidRPr="009C2474">
              <w:t>Vibratory Roller</w:t>
            </w:r>
          </w:p>
        </w:tc>
        <w:tc>
          <w:tcPr>
            <w:tcW w:w="784" w:type="pct"/>
            <w:tcBorders>
              <w:top w:val="single" w:sz="12" w:space="0" w:color="auto"/>
              <w:left w:val="single" w:sz="12" w:space="0" w:color="auto"/>
              <w:bottom w:val="single" w:sz="4" w:space="0" w:color="auto"/>
            </w:tcBorders>
            <w:shd w:val="clear" w:color="auto" w:fill="auto"/>
            <w:vAlign w:val="center"/>
          </w:tcPr>
          <w:p w14:paraId="549A9A9F" w14:textId="77777777" w:rsidR="000E40F4" w:rsidRPr="009C2474" w:rsidRDefault="000E40F4" w:rsidP="00FD0109">
            <w:pPr>
              <w:pStyle w:val="TblTxtCenter"/>
              <w:keepNext/>
            </w:pPr>
            <w:r w:rsidRPr="009C2474">
              <w:t>0.21</w:t>
            </w:r>
          </w:p>
        </w:tc>
        <w:tc>
          <w:tcPr>
            <w:tcW w:w="1082" w:type="pct"/>
            <w:tcBorders>
              <w:top w:val="single" w:sz="12" w:space="0" w:color="auto"/>
              <w:left w:val="single" w:sz="4" w:space="0" w:color="auto"/>
              <w:bottom w:val="single" w:sz="4" w:space="0" w:color="auto"/>
            </w:tcBorders>
            <w:vAlign w:val="center"/>
          </w:tcPr>
          <w:p w14:paraId="4A2AB22F" w14:textId="77777777" w:rsidR="000E40F4" w:rsidRPr="009C2474" w:rsidRDefault="000E40F4" w:rsidP="00FD0109">
            <w:pPr>
              <w:pStyle w:val="TblTxtCenter"/>
              <w:keepNext/>
            </w:pPr>
            <w:r w:rsidRPr="009C2474">
              <w:t>0.021</w:t>
            </w:r>
          </w:p>
        </w:tc>
        <w:tc>
          <w:tcPr>
            <w:tcW w:w="1121" w:type="pct"/>
            <w:tcBorders>
              <w:top w:val="single" w:sz="12" w:space="0" w:color="auto"/>
              <w:left w:val="single" w:sz="4" w:space="0" w:color="auto"/>
              <w:bottom w:val="single" w:sz="4" w:space="0" w:color="auto"/>
            </w:tcBorders>
            <w:vAlign w:val="center"/>
          </w:tcPr>
          <w:p w14:paraId="6302888B" w14:textId="77777777" w:rsidR="000E40F4" w:rsidRPr="009C2474" w:rsidRDefault="000E40F4" w:rsidP="00FD0109">
            <w:pPr>
              <w:pStyle w:val="TblTxtCenter"/>
              <w:keepNext/>
            </w:pPr>
            <w:r w:rsidRPr="009C2474">
              <w:t>0.016</w:t>
            </w:r>
          </w:p>
        </w:tc>
        <w:tc>
          <w:tcPr>
            <w:tcW w:w="1119" w:type="pct"/>
            <w:tcBorders>
              <w:top w:val="single" w:sz="12" w:space="0" w:color="auto"/>
              <w:left w:val="single" w:sz="4" w:space="0" w:color="auto"/>
              <w:bottom w:val="single" w:sz="4" w:space="0" w:color="auto"/>
            </w:tcBorders>
          </w:tcPr>
          <w:p w14:paraId="733D23AB" w14:textId="77777777" w:rsidR="000E40F4" w:rsidRPr="009C2474" w:rsidRDefault="000E40F4" w:rsidP="00FD0109">
            <w:pPr>
              <w:pStyle w:val="TblTxtCenter"/>
              <w:keepNext/>
            </w:pPr>
            <w:r w:rsidRPr="00F262DB">
              <w:t>0.002</w:t>
            </w:r>
          </w:p>
        </w:tc>
      </w:tr>
      <w:tr w:rsidR="000E40F4" w:rsidRPr="009C2474" w14:paraId="505C28EB" w14:textId="77777777" w:rsidTr="00AD2D1F">
        <w:trPr>
          <w:trHeight w:val="288"/>
          <w:jc w:val="center"/>
        </w:trPr>
        <w:tc>
          <w:tcPr>
            <w:tcW w:w="894" w:type="pct"/>
            <w:tcBorders>
              <w:top w:val="single" w:sz="4" w:space="0" w:color="auto"/>
              <w:bottom w:val="single" w:sz="4" w:space="0" w:color="auto"/>
              <w:right w:val="single" w:sz="12" w:space="0" w:color="auto"/>
            </w:tcBorders>
            <w:shd w:val="clear" w:color="auto" w:fill="auto"/>
            <w:vAlign w:val="center"/>
          </w:tcPr>
          <w:p w14:paraId="6F6834EF" w14:textId="77777777" w:rsidR="000E40F4" w:rsidRPr="009C2474" w:rsidRDefault="000E40F4" w:rsidP="00FD0109">
            <w:pPr>
              <w:pStyle w:val="TblTxt"/>
              <w:keepNext/>
            </w:pPr>
            <w:r w:rsidRPr="009C2474">
              <w:t>Large Bulldozer</w:t>
            </w:r>
          </w:p>
        </w:tc>
        <w:tc>
          <w:tcPr>
            <w:tcW w:w="784" w:type="pct"/>
            <w:tcBorders>
              <w:top w:val="single" w:sz="4" w:space="0" w:color="auto"/>
              <w:left w:val="single" w:sz="12" w:space="0" w:color="auto"/>
              <w:bottom w:val="single" w:sz="4" w:space="0" w:color="auto"/>
            </w:tcBorders>
            <w:shd w:val="clear" w:color="auto" w:fill="auto"/>
            <w:vAlign w:val="center"/>
          </w:tcPr>
          <w:p w14:paraId="0BC39F60" w14:textId="77777777" w:rsidR="000E40F4" w:rsidRPr="009C2474" w:rsidRDefault="000E40F4" w:rsidP="00FD0109">
            <w:pPr>
              <w:pStyle w:val="TblTxtCenter"/>
              <w:keepNext/>
            </w:pPr>
            <w:r w:rsidRPr="009C2474">
              <w:t>0.089</w:t>
            </w:r>
          </w:p>
        </w:tc>
        <w:tc>
          <w:tcPr>
            <w:tcW w:w="1082" w:type="pct"/>
            <w:tcBorders>
              <w:top w:val="single" w:sz="4" w:space="0" w:color="auto"/>
              <w:left w:val="single" w:sz="4" w:space="0" w:color="auto"/>
              <w:bottom w:val="single" w:sz="4" w:space="0" w:color="auto"/>
            </w:tcBorders>
            <w:vAlign w:val="center"/>
          </w:tcPr>
          <w:p w14:paraId="6AC5E4BD" w14:textId="77777777" w:rsidR="000E40F4" w:rsidRPr="009C2474" w:rsidRDefault="000E40F4" w:rsidP="00FD0109">
            <w:pPr>
              <w:pStyle w:val="TblTxtCenter"/>
              <w:keepNext/>
            </w:pPr>
            <w:r w:rsidRPr="009C2474">
              <w:t>0.009</w:t>
            </w:r>
          </w:p>
        </w:tc>
        <w:tc>
          <w:tcPr>
            <w:tcW w:w="1121" w:type="pct"/>
            <w:tcBorders>
              <w:top w:val="single" w:sz="4" w:space="0" w:color="auto"/>
              <w:left w:val="single" w:sz="4" w:space="0" w:color="auto"/>
              <w:bottom w:val="single" w:sz="4" w:space="0" w:color="auto"/>
            </w:tcBorders>
            <w:vAlign w:val="center"/>
          </w:tcPr>
          <w:p w14:paraId="44E50FB6" w14:textId="77777777" w:rsidR="000E40F4" w:rsidRPr="009C2474" w:rsidRDefault="000E40F4" w:rsidP="00FD0109">
            <w:pPr>
              <w:pStyle w:val="TblTxtCenter"/>
              <w:keepNext/>
            </w:pPr>
            <w:r w:rsidRPr="009C2474">
              <w:t>0.007</w:t>
            </w:r>
          </w:p>
        </w:tc>
        <w:tc>
          <w:tcPr>
            <w:tcW w:w="1119" w:type="pct"/>
            <w:tcBorders>
              <w:top w:val="single" w:sz="4" w:space="0" w:color="auto"/>
              <w:left w:val="single" w:sz="4" w:space="0" w:color="auto"/>
              <w:bottom w:val="single" w:sz="4" w:space="0" w:color="auto"/>
            </w:tcBorders>
          </w:tcPr>
          <w:p w14:paraId="22988612" w14:textId="77777777" w:rsidR="000E40F4" w:rsidRPr="009C2474" w:rsidRDefault="000E40F4" w:rsidP="00FD0109">
            <w:pPr>
              <w:pStyle w:val="TblTxtCenter"/>
              <w:keepNext/>
            </w:pPr>
            <w:r w:rsidRPr="00F262DB">
              <w:t>0.001</w:t>
            </w:r>
          </w:p>
        </w:tc>
      </w:tr>
      <w:tr w:rsidR="000E40F4" w:rsidRPr="009C2474" w14:paraId="0EC5A7BC" w14:textId="77777777" w:rsidTr="00AD2D1F">
        <w:trPr>
          <w:trHeight w:val="288"/>
          <w:jc w:val="center"/>
        </w:trPr>
        <w:tc>
          <w:tcPr>
            <w:tcW w:w="894" w:type="pct"/>
            <w:tcBorders>
              <w:top w:val="single" w:sz="4" w:space="0" w:color="auto"/>
              <w:bottom w:val="single" w:sz="4" w:space="0" w:color="auto"/>
              <w:right w:val="single" w:sz="12" w:space="0" w:color="auto"/>
            </w:tcBorders>
            <w:shd w:val="clear" w:color="auto" w:fill="auto"/>
            <w:vAlign w:val="center"/>
          </w:tcPr>
          <w:p w14:paraId="7A9AAB0A" w14:textId="77777777" w:rsidR="000E40F4" w:rsidRPr="009C2474" w:rsidRDefault="000E40F4" w:rsidP="00FD0109">
            <w:pPr>
              <w:pStyle w:val="TblTxt"/>
              <w:keepNext/>
              <w:rPr>
                <w:vertAlign w:val="superscript"/>
              </w:rPr>
            </w:pPr>
            <w:r w:rsidRPr="009C2474">
              <w:t>Caisson Drilling</w:t>
            </w:r>
          </w:p>
        </w:tc>
        <w:tc>
          <w:tcPr>
            <w:tcW w:w="784" w:type="pct"/>
            <w:tcBorders>
              <w:top w:val="single" w:sz="4" w:space="0" w:color="auto"/>
              <w:left w:val="single" w:sz="12" w:space="0" w:color="auto"/>
              <w:bottom w:val="single" w:sz="4" w:space="0" w:color="auto"/>
            </w:tcBorders>
            <w:shd w:val="clear" w:color="auto" w:fill="auto"/>
            <w:vAlign w:val="center"/>
          </w:tcPr>
          <w:p w14:paraId="1AA09F83" w14:textId="77777777" w:rsidR="000E40F4" w:rsidRPr="009C2474" w:rsidRDefault="000E40F4" w:rsidP="00FD0109">
            <w:pPr>
              <w:pStyle w:val="TblTxtCenter"/>
              <w:keepNext/>
            </w:pPr>
            <w:r w:rsidRPr="009C2474">
              <w:t>0.089</w:t>
            </w:r>
          </w:p>
        </w:tc>
        <w:tc>
          <w:tcPr>
            <w:tcW w:w="1082" w:type="pct"/>
            <w:tcBorders>
              <w:top w:val="single" w:sz="4" w:space="0" w:color="auto"/>
              <w:left w:val="single" w:sz="4" w:space="0" w:color="auto"/>
              <w:bottom w:val="single" w:sz="4" w:space="0" w:color="auto"/>
            </w:tcBorders>
            <w:vAlign w:val="center"/>
          </w:tcPr>
          <w:p w14:paraId="1F142841" w14:textId="77777777" w:rsidR="000E40F4" w:rsidRPr="009C2474" w:rsidRDefault="000E40F4" w:rsidP="00FD0109">
            <w:pPr>
              <w:pStyle w:val="TblTxtCenter"/>
              <w:keepNext/>
            </w:pPr>
            <w:r w:rsidRPr="009C2474">
              <w:t>0.009</w:t>
            </w:r>
          </w:p>
        </w:tc>
        <w:tc>
          <w:tcPr>
            <w:tcW w:w="1121" w:type="pct"/>
            <w:tcBorders>
              <w:top w:val="single" w:sz="4" w:space="0" w:color="auto"/>
              <w:left w:val="single" w:sz="4" w:space="0" w:color="auto"/>
              <w:bottom w:val="single" w:sz="4" w:space="0" w:color="auto"/>
            </w:tcBorders>
            <w:vAlign w:val="center"/>
          </w:tcPr>
          <w:p w14:paraId="6358F9E9" w14:textId="77777777" w:rsidR="000E40F4" w:rsidRPr="009C2474" w:rsidRDefault="000E40F4" w:rsidP="00FD0109">
            <w:pPr>
              <w:pStyle w:val="TblTxtCenter"/>
              <w:keepNext/>
            </w:pPr>
            <w:r w:rsidRPr="009C2474">
              <w:t>0.007</w:t>
            </w:r>
          </w:p>
        </w:tc>
        <w:tc>
          <w:tcPr>
            <w:tcW w:w="1119" w:type="pct"/>
            <w:tcBorders>
              <w:top w:val="single" w:sz="4" w:space="0" w:color="auto"/>
              <w:left w:val="single" w:sz="4" w:space="0" w:color="auto"/>
              <w:bottom w:val="single" w:sz="4" w:space="0" w:color="auto"/>
            </w:tcBorders>
          </w:tcPr>
          <w:p w14:paraId="6778579A" w14:textId="77777777" w:rsidR="000E40F4" w:rsidRPr="009C2474" w:rsidRDefault="000E40F4" w:rsidP="00FD0109">
            <w:pPr>
              <w:pStyle w:val="TblTxtCenter"/>
              <w:keepNext/>
            </w:pPr>
            <w:r w:rsidRPr="00F262DB">
              <w:t>0.001</w:t>
            </w:r>
          </w:p>
        </w:tc>
      </w:tr>
      <w:tr w:rsidR="000E40F4" w:rsidRPr="009C2474" w14:paraId="6927B3AA" w14:textId="77777777" w:rsidTr="00AD2D1F">
        <w:trPr>
          <w:trHeight w:val="288"/>
          <w:jc w:val="center"/>
        </w:trPr>
        <w:tc>
          <w:tcPr>
            <w:tcW w:w="894" w:type="pct"/>
            <w:tcBorders>
              <w:top w:val="single" w:sz="4" w:space="0" w:color="auto"/>
              <w:bottom w:val="single" w:sz="4" w:space="0" w:color="auto"/>
              <w:right w:val="single" w:sz="12" w:space="0" w:color="auto"/>
            </w:tcBorders>
            <w:shd w:val="clear" w:color="auto" w:fill="auto"/>
            <w:vAlign w:val="center"/>
          </w:tcPr>
          <w:p w14:paraId="4FC08347" w14:textId="77777777" w:rsidR="000E40F4" w:rsidRPr="009C2474" w:rsidRDefault="000E40F4" w:rsidP="00FD0109">
            <w:pPr>
              <w:pStyle w:val="TblTxt"/>
              <w:keepNext/>
            </w:pPr>
            <w:r w:rsidRPr="009C2474">
              <w:t>Loaded Trucks</w:t>
            </w:r>
          </w:p>
        </w:tc>
        <w:tc>
          <w:tcPr>
            <w:tcW w:w="784" w:type="pct"/>
            <w:tcBorders>
              <w:top w:val="single" w:sz="4" w:space="0" w:color="auto"/>
              <w:left w:val="single" w:sz="12" w:space="0" w:color="auto"/>
              <w:bottom w:val="single" w:sz="4" w:space="0" w:color="auto"/>
            </w:tcBorders>
            <w:shd w:val="clear" w:color="auto" w:fill="auto"/>
            <w:vAlign w:val="center"/>
          </w:tcPr>
          <w:p w14:paraId="27792C89" w14:textId="77777777" w:rsidR="000E40F4" w:rsidRPr="009C2474" w:rsidRDefault="000E40F4" w:rsidP="00FD0109">
            <w:pPr>
              <w:pStyle w:val="TblTxtCenter"/>
              <w:keepNext/>
            </w:pPr>
            <w:r w:rsidRPr="009C2474">
              <w:t>0.076</w:t>
            </w:r>
          </w:p>
        </w:tc>
        <w:tc>
          <w:tcPr>
            <w:tcW w:w="1082" w:type="pct"/>
            <w:tcBorders>
              <w:top w:val="single" w:sz="4" w:space="0" w:color="auto"/>
              <w:left w:val="single" w:sz="4" w:space="0" w:color="auto"/>
              <w:bottom w:val="single" w:sz="4" w:space="0" w:color="auto"/>
            </w:tcBorders>
            <w:vAlign w:val="center"/>
          </w:tcPr>
          <w:p w14:paraId="6EAE5344" w14:textId="77777777" w:rsidR="000E40F4" w:rsidRPr="009C2474" w:rsidRDefault="000E40F4" w:rsidP="00FD0109">
            <w:pPr>
              <w:pStyle w:val="TblTxtCenter"/>
              <w:keepNext/>
            </w:pPr>
            <w:r w:rsidRPr="009C2474">
              <w:t>0.008</w:t>
            </w:r>
          </w:p>
        </w:tc>
        <w:tc>
          <w:tcPr>
            <w:tcW w:w="1121" w:type="pct"/>
            <w:tcBorders>
              <w:top w:val="single" w:sz="4" w:space="0" w:color="auto"/>
              <w:left w:val="single" w:sz="4" w:space="0" w:color="auto"/>
              <w:bottom w:val="single" w:sz="4" w:space="0" w:color="auto"/>
            </w:tcBorders>
            <w:vAlign w:val="center"/>
          </w:tcPr>
          <w:p w14:paraId="30BD4D31" w14:textId="77777777" w:rsidR="000E40F4" w:rsidRPr="009C2474" w:rsidRDefault="000E40F4" w:rsidP="00FD0109">
            <w:pPr>
              <w:pStyle w:val="TblTxtCenter"/>
              <w:keepNext/>
            </w:pPr>
            <w:r w:rsidRPr="009C2474">
              <w:t>0.006</w:t>
            </w:r>
          </w:p>
        </w:tc>
        <w:tc>
          <w:tcPr>
            <w:tcW w:w="1119" w:type="pct"/>
            <w:tcBorders>
              <w:top w:val="single" w:sz="4" w:space="0" w:color="auto"/>
              <w:left w:val="single" w:sz="4" w:space="0" w:color="auto"/>
              <w:bottom w:val="single" w:sz="4" w:space="0" w:color="auto"/>
            </w:tcBorders>
          </w:tcPr>
          <w:p w14:paraId="69472372" w14:textId="77777777" w:rsidR="000E40F4" w:rsidRPr="009C2474" w:rsidRDefault="000E40F4" w:rsidP="00FD0109">
            <w:pPr>
              <w:pStyle w:val="TblTxtCenter"/>
              <w:keepNext/>
            </w:pPr>
            <w:r w:rsidRPr="00F262DB">
              <w:t>0.001</w:t>
            </w:r>
          </w:p>
        </w:tc>
      </w:tr>
      <w:tr w:rsidR="000E40F4" w:rsidRPr="009C2474" w14:paraId="630E703D" w14:textId="77777777" w:rsidTr="00AD2D1F">
        <w:trPr>
          <w:trHeight w:val="288"/>
          <w:jc w:val="center"/>
        </w:trPr>
        <w:tc>
          <w:tcPr>
            <w:tcW w:w="894" w:type="pct"/>
            <w:tcBorders>
              <w:top w:val="single" w:sz="4" w:space="0" w:color="auto"/>
              <w:bottom w:val="single" w:sz="4" w:space="0" w:color="auto"/>
              <w:right w:val="single" w:sz="12" w:space="0" w:color="auto"/>
            </w:tcBorders>
            <w:shd w:val="clear" w:color="auto" w:fill="auto"/>
            <w:vAlign w:val="center"/>
          </w:tcPr>
          <w:p w14:paraId="33246623" w14:textId="77777777" w:rsidR="000E40F4" w:rsidRPr="009C2474" w:rsidRDefault="000E40F4" w:rsidP="00FD0109">
            <w:pPr>
              <w:pStyle w:val="TblTxt"/>
            </w:pPr>
            <w:r w:rsidRPr="009C2474">
              <w:t>Jackhammer</w:t>
            </w:r>
            <w:r w:rsidRPr="009C2474">
              <w:rPr>
                <w:vertAlign w:val="superscript"/>
              </w:rPr>
              <w:t>2</w:t>
            </w:r>
          </w:p>
        </w:tc>
        <w:tc>
          <w:tcPr>
            <w:tcW w:w="784" w:type="pct"/>
            <w:tcBorders>
              <w:top w:val="single" w:sz="4" w:space="0" w:color="auto"/>
              <w:left w:val="single" w:sz="12" w:space="0" w:color="auto"/>
              <w:bottom w:val="single" w:sz="4" w:space="0" w:color="auto"/>
            </w:tcBorders>
            <w:shd w:val="clear" w:color="auto" w:fill="auto"/>
            <w:vAlign w:val="center"/>
          </w:tcPr>
          <w:p w14:paraId="166F1D57" w14:textId="77777777" w:rsidR="000E40F4" w:rsidRPr="009C2474" w:rsidRDefault="000E40F4" w:rsidP="00FD0109">
            <w:pPr>
              <w:pStyle w:val="TblTxtCenter"/>
            </w:pPr>
            <w:r w:rsidRPr="009C2474">
              <w:t>0.035</w:t>
            </w:r>
          </w:p>
        </w:tc>
        <w:tc>
          <w:tcPr>
            <w:tcW w:w="1082" w:type="pct"/>
            <w:tcBorders>
              <w:top w:val="single" w:sz="4" w:space="0" w:color="auto"/>
              <w:left w:val="single" w:sz="4" w:space="0" w:color="auto"/>
              <w:bottom w:val="single" w:sz="4" w:space="0" w:color="auto"/>
            </w:tcBorders>
            <w:vAlign w:val="center"/>
          </w:tcPr>
          <w:p w14:paraId="3FC5572A" w14:textId="77777777" w:rsidR="000E40F4" w:rsidRPr="009C2474" w:rsidRDefault="000E40F4" w:rsidP="00FD0109">
            <w:pPr>
              <w:pStyle w:val="TblTxtCenter"/>
              <w:keepNext/>
            </w:pPr>
            <w:r w:rsidRPr="009C2474">
              <w:t>0.004</w:t>
            </w:r>
          </w:p>
        </w:tc>
        <w:tc>
          <w:tcPr>
            <w:tcW w:w="1121" w:type="pct"/>
            <w:tcBorders>
              <w:top w:val="single" w:sz="4" w:space="0" w:color="auto"/>
              <w:left w:val="single" w:sz="4" w:space="0" w:color="auto"/>
              <w:bottom w:val="single" w:sz="4" w:space="0" w:color="auto"/>
            </w:tcBorders>
            <w:vAlign w:val="center"/>
          </w:tcPr>
          <w:p w14:paraId="10ADC7D1" w14:textId="77777777" w:rsidR="000E40F4" w:rsidRPr="009C2474" w:rsidRDefault="000E40F4" w:rsidP="00FD0109">
            <w:pPr>
              <w:pStyle w:val="TblTxtCenter"/>
              <w:keepNext/>
            </w:pPr>
            <w:r w:rsidRPr="009C2474">
              <w:t>0.003</w:t>
            </w:r>
          </w:p>
        </w:tc>
        <w:tc>
          <w:tcPr>
            <w:tcW w:w="1119" w:type="pct"/>
            <w:tcBorders>
              <w:top w:val="single" w:sz="4" w:space="0" w:color="auto"/>
              <w:left w:val="single" w:sz="4" w:space="0" w:color="auto"/>
              <w:bottom w:val="single" w:sz="4" w:space="0" w:color="auto"/>
            </w:tcBorders>
          </w:tcPr>
          <w:p w14:paraId="75D7636E" w14:textId="77777777" w:rsidR="000E40F4" w:rsidRPr="009C2474" w:rsidRDefault="000E40F4" w:rsidP="00FD0109">
            <w:pPr>
              <w:pStyle w:val="TblTxtCenter"/>
              <w:keepNext/>
            </w:pPr>
            <w:r>
              <w:t>&lt;0.001</w:t>
            </w:r>
          </w:p>
        </w:tc>
      </w:tr>
      <w:tr w:rsidR="000E40F4" w:rsidRPr="009C2474" w14:paraId="22772153" w14:textId="77777777" w:rsidTr="00AD2D1F">
        <w:trPr>
          <w:trHeight w:val="288"/>
          <w:jc w:val="center"/>
        </w:trPr>
        <w:tc>
          <w:tcPr>
            <w:tcW w:w="894" w:type="pct"/>
            <w:tcBorders>
              <w:top w:val="single" w:sz="4" w:space="0" w:color="auto"/>
              <w:bottom w:val="single" w:sz="4" w:space="0" w:color="auto"/>
              <w:right w:val="single" w:sz="12" w:space="0" w:color="auto"/>
            </w:tcBorders>
            <w:shd w:val="clear" w:color="auto" w:fill="auto"/>
            <w:vAlign w:val="center"/>
          </w:tcPr>
          <w:p w14:paraId="3BF4C8F9" w14:textId="77777777" w:rsidR="000E40F4" w:rsidRPr="009C2474" w:rsidRDefault="000E40F4" w:rsidP="00FD0109">
            <w:pPr>
              <w:pStyle w:val="TblTxt"/>
            </w:pPr>
            <w:r w:rsidRPr="009C2474">
              <w:t>Small Bulldozer</w:t>
            </w:r>
          </w:p>
        </w:tc>
        <w:tc>
          <w:tcPr>
            <w:tcW w:w="784" w:type="pct"/>
            <w:tcBorders>
              <w:top w:val="single" w:sz="4" w:space="0" w:color="auto"/>
              <w:left w:val="single" w:sz="12" w:space="0" w:color="auto"/>
              <w:bottom w:val="single" w:sz="4" w:space="0" w:color="auto"/>
            </w:tcBorders>
            <w:shd w:val="clear" w:color="auto" w:fill="auto"/>
            <w:vAlign w:val="center"/>
          </w:tcPr>
          <w:p w14:paraId="38CED91E" w14:textId="77777777" w:rsidR="000E40F4" w:rsidRPr="009C2474" w:rsidRDefault="000E40F4" w:rsidP="00FD0109">
            <w:pPr>
              <w:pStyle w:val="TblTxtCenter"/>
            </w:pPr>
            <w:r w:rsidRPr="009C2474">
              <w:t>0.003</w:t>
            </w:r>
          </w:p>
        </w:tc>
        <w:tc>
          <w:tcPr>
            <w:tcW w:w="1082" w:type="pct"/>
            <w:tcBorders>
              <w:top w:val="single" w:sz="4" w:space="0" w:color="auto"/>
              <w:left w:val="single" w:sz="4" w:space="0" w:color="auto"/>
              <w:bottom w:val="single" w:sz="4" w:space="0" w:color="auto"/>
            </w:tcBorders>
            <w:vAlign w:val="center"/>
          </w:tcPr>
          <w:p w14:paraId="726C1383" w14:textId="77777777" w:rsidR="000E40F4" w:rsidRPr="009C2474" w:rsidRDefault="000E40F4" w:rsidP="00FD0109">
            <w:pPr>
              <w:pStyle w:val="TblTxtCenter"/>
              <w:keepNext/>
            </w:pPr>
            <w:r w:rsidRPr="009C2474">
              <w:t>0.000</w:t>
            </w:r>
          </w:p>
        </w:tc>
        <w:tc>
          <w:tcPr>
            <w:tcW w:w="1121" w:type="pct"/>
            <w:tcBorders>
              <w:top w:val="single" w:sz="4" w:space="0" w:color="auto"/>
              <w:left w:val="single" w:sz="4" w:space="0" w:color="auto"/>
              <w:bottom w:val="single" w:sz="4" w:space="0" w:color="auto"/>
            </w:tcBorders>
            <w:vAlign w:val="center"/>
          </w:tcPr>
          <w:p w14:paraId="37356A99" w14:textId="77777777" w:rsidR="000E40F4" w:rsidRPr="009C2474" w:rsidRDefault="000E40F4" w:rsidP="00FD0109">
            <w:pPr>
              <w:pStyle w:val="TblTxtCenter"/>
              <w:keepNext/>
            </w:pPr>
            <w:r w:rsidRPr="009C2474">
              <w:t>0.000</w:t>
            </w:r>
          </w:p>
        </w:tc>
        <w:tc>
          <w:tcPr>
            <w:tcW w:w="1119" w:type="pct"/>
            <w:tcBorders>
              <w:top w:val="single" w:sz="4" w:space="0" w:color="auto"/>
              <w:left w:val="single" w:sz="4" w:space="0" w:color="auto"/>
              <w:bottom w:val="single" w:sz="4" w:space="0" w:color="auto"/>
            </w:tcBorders>
          </w:tcPr>
          <w:p w14:paraId="1747398A" w14:textId="77777777" w:rsidR="000E40F4" w:rsidRPr="009C2474" w:rsidRDefault="000E40F4" w:rsidP="00FD0109">
            <w:pPr>
              <w:pStyle w:val="TblTxtCenter"/>
              <w:keepNext/>
            </w:pPr>
            <w:r>
              <w:t>&lt;0.001</w:t>
            </w:r>
          </w:p>
        </w:tc>
      </w:tr>
      <w:tr w:rsidR="000E40F4" w:rsidRPr="00A251B2" w14:paraId="22FED5D3" w14:textId="77777777" w:rsidTr="00FD0109">
        <w:trPr>
          <w:trHeight w:val="40"/>
          <w:jc w:val="center"/>
        </w:trPr>
        <w:tc>
          <w:tcPr>
            <w:tcW w:w="3881" w:type="pct"/>
            <w:gridSpan w:val="4"/>
            <w:tcBorders>
              <w:top w:val="single" w:sz="12" w:space="0" w:color="auto"/>
              <w:bottom w:val="single" w:sz="12" w:space="0" w:color="auto"/>
            </w:tcBorders>
            <w:vAlign w:val="center"/>
          </w:tcPr>
          <w:p w14:paraId="4F463DD9" w14:textId="77777777" w:rsidR="000E40F4" w:rsidRDefault="000E40F4" w:rsidP="00FD0109">
            <w:pPr>
              <w:pStyle w:val="Tblsource"/>
            </w:pPr>
            <w:r w:rsidRPr="009C2474">
              <w:t xml:space="preserve">Source: FTA 2018. </w:t>
            </w:r>
          </w:p>
          <w:p w14:paraId="54BF9FB9" w14:textId="77777777" w:rsidR="000E40F4" w:rsidRPr="009C2474" w:rsidRDefault="006F55B4" w:rsidP="00FD0109">
            <w:pPr>
              <w:pStyle w:val="Tblsource"/>
            </w:pPr>
            <w:r>
              <w:t xml:space="preserve">Note: </w:t>
            </w:r>
            <w:r w:rsidR="000E40F4">
              <w:t xml:space="preserve">Distances measured from the edge of construction site to structure façade. </w:t>
            </w:r>
          </w:p>
        </w:tc>
        <w:tc>
          <w:tcPr>
            <w:tcW w:w="1119" w:type="pct"/>
            <w:tcBorders>
              <w:top w:val="single" w:sz="12" w:space="0" w:color="auto"/>
              <w:bottom w:val="single" w:sz="12" w:space="0" w:color="auto"/>
            </w:tcBorders>
          </w:tcPr>
          <w:p w14:paraId="565F59A4" w14:textId="77777777" w:rsidR="000E40F4" w:rsidRPr="009C2474" w:rsidRDefault="000E40F4" w:rsidP="00FD0109">
            <w:pPr>
              <w:pStyle w:val="Tblsource"/>
            </w:pPr>
          </w:p>
        </w:tc>
      </w:tr>
    </w:tbl>
    <w:p w14:paraId="255DD30D" w14:textId="77777777" w:rsidR="000E40F4" w:rsidRDefault="000E40F4" w:rsidP="000E40F4">
      <w:pPr>
        <w:pStyle w:val="BodyText"/>
        <w:tabs>
          <w:tab w:val="left" w:pos="1182"/>
        </w:tabs>
      </w:pPr>
      <w:r>
        <w:tab/>
      </w:r>
    </w:p>
    <w:p w14:paraId="1B765392" w14:textId="77777777" w:rsidR="000E40F4" w:rsidRPr="00027537" w:rsidRDefault="000E40F4" w:rsidP="000E40F4">
      <w:pPr>
        <w:pStyle w:val="Heading6"/>
      </w:pPr>
      <w:r w:rsidRPr="00027537">
        <w:t>Vibration Annoyance</w:t>
      </w:r>
    </w:p>
    <w:p w14:paraId="2570C435" w14:textId="7E716AD1" w:rsidR="000E40F4" w:rsidRPr="00320C15" w:rsidRDefault="003A7698" w:rsidP="000E40F4">
      <w:pPr>
        <w:pStyle w:val="BodyText"/>
      </w:pPr>
      <w:r w:rsidRPr="00027537">
        <w:t xml:space="preserve">The receptors that are subject to the County Code are those in the unincorporated area of Vincent </w:t>
      </w:r>
      <w:r w:rsidR="009509B2" w:rsidRPr="00027537">
        <w:t>that,</w:t>
      </w:r>
      <w:r w:rsidRPr="00027537">
        <w:t xml:space="preserve"> as stated above in </w:t>
      </w:r>
      <w:r w:rsidRPr="00027537">
        <w:rPr>
          <w:i/>
          <w:iCs/>
        </w:rPr>
        <w:t>Environmental Setting</w:t>
      </w:r>
      <w:r w:rsidRPr="00027537">
        <w:t xml:space="preserve">, include Manzanita Elementary and single-family homes to the east. </w:t>
      </w:r>
      <w:r w:rsidR="000E40F4" w:rsidRPr="00027537">
        <w:t>The County of Los Angeles has a vibration annoyance standard of 80 VdB.</w:t>
      </w:r>
      <w:r w:rsidR="000E40F4" w:rsidRPr="00320C15">
        <w:t xml:space="preserve"> </w:t>
      </w:r>
      <w:r w:rsidR="004B3E05" w:rsidRPr="00AD43E7">
        <w:t>The center of the construction site is the appropriate location from which to measure to the nearest sensitive receptor because equipment would move across the construction site throughout the day.</w:t>
      </w:r>
      <w:r w:rsidR="004B3E05" w:rsidRPr="00320C15">
        <w:t xml:space="preserve"> </w:t>
      </w:r>
      <w:r w:rsidR="000E40F4" w:rsidRPr="00320C15">
        <w:t xml:space="preserve">Table </w:t>
      </w:r>
      <w:r w:rsidR="00345BC8" w:rsidRPr="00320C15">
        <w:t>2</w:t>
      </w:r>
      <w:r w:rsidR="00345BC8">
        <w:t>4</w:t>
      </w:r>
      <w:r w:rsidR="00345BC8" w:rsidRPr="00320C15">
        <w:t xml:space="preserve"> </w:t>
      </w:r>
      <w:r w:rsidR="000E40F4" w:rsidRPr="00320C15">
        <w:t>shows vibration levels for typical construction equipment at a reference distance of 25 feet and at various receptors. As shown, the nearest sensitive receptors are hundreds of feet away</w:t>
      </w:r>
      <w:r w:rsidR="00402582">
        <w:t>,</w:t>
      </w:r>
      <w:r w:rsidR="000E40F4" w:rsidRPr="00320C15">
        <w:t xml:space="preserve"> and vibration levels would attenuate well below 80 VdB. Therefore, impacts would be less than significant at all nearby sensitive receptors.</w:t>
      </w:r>
    </w:p>
    <w:tbl>
      <w:tblPr>
        <w:tblW w:w="9360" w:type="dxa"/>
        <w:jc w:val="center"/>
        <w:tblLook w:val="0000" w:firstRow="0" w:lastRow="0" w:firstColumn="0" w:lastColumn="0" w:noHBand="0" w:noVBand="0"/>
      </w:tblPr>
      <w:tblGrid>
        <w:gridCol w:w="1673"/>
        <w:gridCol w:w="1747"/>
        <w:gridCol w:w="2160"/>
        <w:gridCol w:w="3780"/>
      </w:tblGrid>
      <w:tr w:rsidR="000E40F4" w:rsidRPr="009C2474" w14:paraId="692C36D4" w14:textId="77777777" w:rsidTr="00FD0109">
        <w:trPr>
          <w:trHeight w:val="251"/>
          <w:tblHeader/>
          <w:jc w:val="center"/>
        </w:trPr>
        <w:tc>
          <w:tcPr>
            <w:tcW w:w="5000" w:type="pct"/>
            <w:gridSpan w:val="4"/>
            <w:tcBorders>
              <w:bottom w:val="single" w:sz="12" w:space="0" w:color="auto"/>
            </w:tcBorders>
          </w:tcPr>
          <w:p w14:paraId="7223F99F" w14:textId="4445B11D" w:rsidR="000E40F4" w:rsidRPr="009C2474" w:rsidRDefault="000E40F4" w:rsidP="00FD0109">
            <w:pPr>
              <w:pStyle w:val="TblTitles"/>
              <w:keepNext/>
            </w:pPr>
            <w:bookmarkStart w:id="212" w:name="_Toc90882270"/>
            <w:r w:rsidRPr="00320C15">
              <w:t xml:space="preserve">Table </w:t>
            </w:r>
            <w:r w:rsidR="00345BC8" w:rsidRPr="00320C15">
              <w:t>2</w:t>
            </w:r>
            <w:r w:rsidR="00345BC8">
              <w:t>4</w:t>
            </w:r>
            <w:r w:rsidRPr="00320C15">
              <w:tab/>
              <w:t>Vibration Annoyance Levels for Typical Construction Equipment</w:t>
            </w:r>
            <w:bookmarkEnd w:id="212"/>
          </w:p>
        </w:tc>
      </w:tr>
      <w:tr w:rsidR="004B3E05" w:rsidRPr="009C2474" w14:paraId="04C33940" w14:textId="77777777" w:rsidTr="00F43DAE">
        <w:trPr>
          <w:trHeight w:val="44"/>
          <w:tblHeader/>
          <w:jc w:val="center"/>
        </w:trPr>
        <w:tc>
          <w:tcPr>
            <w:tcW w:w="894" w:type="pct"/>
            <w:vMerge w:val="restart"/>
            <w:tcBorders>
              <w:top w:val="single" w:sz="12" w:space="0" w:color="auto"/>
              <w:right w:val="single" w:sz="12" w:space="0" w:color="auto"/>
            </w:tcBorders>
            <w:shd w:val="clear" w:color="auto" w:fill="auto"/>
            <w:vAlign w:val="bottom"/>
          </w:tcPr>
          <w:p w14:paraId="60405CC6" w14:textId="77777777" w:rsidR="004B3E05" w:rsidRPr="009C2474" w:rsidRDefault="004B3E05" w:rsidP="00FD0109">
            <w:pPr>
              <w:pStyle w:val="TblColumnHeads"/>
              <w:keepNext/>
            </w:pPr>
            <w:r w:rsidRPr="009C2474">
              <w:t>Equipment</w:t>
            </w:r>
          </w:p>
        </w:tc>
        <w:tc>
          <w:tcPr>
            <w:tcW w:w="4106" w:type="pct"/>
            <w:gridSpan w:val="3"/>
            <w:tcBorders>
              <w:top w:val="single" w:sz="12" w:space="0" w:color="auto"/>
              <w:left w:val="single" w:sz="12" w:space="0" w:color="auto"/>
              <w:bottom w:val="single" w:sz="4" w:space="0" w:color="auto"/>
            </w:tcBorders>
            <w:shd w:val="clear" w:color="auto" w:fill="auto"/>
            <w:vAlign w:val="bottom"/>
          </w:tcPr>
          <w:p w14:paraId="2033F824" w14:textId="77777777" w:rsidR="004B3E05" w:rsidRPr="009C2474" w:rsidRDefault="004B3E05" w:rsidP="00FD0109">
            <w:pPr>
              <w:pStyle w:val="TblColumnHeads"/>
              <w:keepNext/>
            </w:pPr>
            <w:r>
              <w:t>VdB</w:t>
            </w:r>
            <w:r w:rsidRPr="009C2474">
              <w:t xml:space="preserve"> </w:t>
            </w:r>
          </w:p>
        </w:tc>
      </w:tr>
      <w:tr w:rsidR="004B3E05" w:rsidRPr="009C2474" w14:paraId="7A92819C" w14:textId="77777777" w:rsidTr="00305F41">
        <w:trPr>
          <w:trHeight w:val="261"/>
          <w:tblHeader/>
          <w:jc w:val="center"/>
        </w:trPr>
        <w:tc>
          <w:tcPr>
            <w:tcW w:w="894" w:type="pct"/>
            <w:vMerge/>
            <w:tcBorders>
              <w:right w:val="single" w:sz="12" w:space="0" w:color="auto"/>
            </w:tcBorders>
            <w:shd w:val="clear" w:color="auto" w:fill="auto"/>
            <w:vAlign w:val="bottom"/>
          </w:tcPr>
          <w:p w14:paraId="5077FA41" w14:textId="77777777" w:rsidR="004B3E05" w:rsidRPr="009C2474" w:rsidRDefault="004B3E05" w:rsidP="00FD0109">
            <w:pPr>
              <w:pStyle w:val="TblColumnHeads"/>
              <w:keepNext/>
            </w:pPr>
          </w:p>
        </w:tc>
        <w:tc>
          <w:tcPr>
            <w:tcW w:w="933" w:type="pct"/>
            <w:tcBorders>
              <w:top w:val="single" w:sz="4" w:space="0" w:color="auto"/>
              <w:left w:val="single" w:sz="12" w:space="0" w:color="auto"/>
              <w:bottom w:val="single" w:sz="12" w:space="0" w:color="auto"/>
              <w:right w:val="single" w:sz="4" w:space="0" w:color="auto"/>
            </w:tcBorders>
            <w:shd w:val="clear" w:color="auto" w:fill="auto"/>
            <w:vAlign w:val="bottom"/>
          </w:tcPr>
          <w:p w14:paraId="25C87DAF" w14:textId="77777777" w:rsidR="004B3E05" w:rsidRPr="009C2474" w:rsidRDefault="004B3E05" w:rsidP="00FD0109">
            <w:pPr>
              <w:pStyle w:val="TblColumnHeads"/>
              <w:keepNext/>
            </w:pPr>
            <w:r w:rsidRPr="009C2474">
              <w:t>FTA Reference at 25 feet</w:t>
            </w:r>
          </w:p>
        </w:tc>
        <w:tc>
          <w:tcPr>
            <w:tcW w:w="1154" w:type="pct"/>
            <w:tcBorders>
              <w:top w:val="single" w:sz="4" w:space="0" w:color="auto"/>
              <w:left w:val="single" w:sz="4" w:space="0" w:color="auto"/>
              <w:bottom w:val="single" w:sz="12" w:space="0" w:color="auto"/>
            </w:tcBorders>
            <w:vAlign w:val="bottom"/>
          </w:tcPr>
          <w:p w14:paraId="178A75E6" w14:textId="77777777" w:rsidR="004B3E05" w:rsidRPr="009C2474" w:rsidRDefault="004B3E05" w:rsidP="00FD0109">
            <w:pPr>
              <w:pStyle w:val="TblColumnHeads"/>
              <w:keepNext/>
            </w:pPr>
            <w:r>
              <w:t xml:space="preserve">Residential Uses to the East </w:t>
            </w:r>
            <w:r>
              <w:br/>
              <w:t>1,550 feet</w:t>
            </w:r>
          </w:p>
        </w:tc>
        <w:tc>
          <w:tcPr>
            <w:tcW w:w="2019" w:type="pct"/>
            <w:tcBorders>
              <w:top w:val="single" w:sz="4" w:space="0" w:color="auto"/>
              <w:left w:val="single" w:sz="4" w:space="0" w:color="auto"/>
              <w:bottom w:val="single" w:sz="12" w:space="0" w:color="auto"/>
            </w:tcBorders>
            <w:vAlign w:val="bottom"/>
          </w:tcPr>
          <w:p w14:paraId="35D9AB6F" w14:textId="77777777" w:rsidR="004B3E05" w:rsidRDefault="004B3E05" w:rsidP="00305F41">
            <w:pPr>
              <w:pStyle w:val="TblColumnHeads"/>
              <w:keepNext/>
            </w:pPr>
            <w:r>
              <w:t>Manzanita Elementary School to South at 1,450 feet</w:t>
            </w:r>
          </w:p>
        </w:tc>
      </w:tr>
      <w:tr w:rsidR="004B3E05" w:rsidRPr="009C2474" w14:paraId="34A9BAFF" w14:textId="77777777" w:rsidTr="00305F41">
        <w:trPr>
          <w:trHeight w:val="288"/>
          <w:jc w:val="center"/>
        </w:trPr>
        <w:tc>
          <w:tcPr>
            <w:tcW w:w="894" w:type="pct"/>
            <w:tcBorders>
              <w:top w:val="single" w:sz="12" w:space="0" w:color="auto"/>
              <w:bottom w:val="single" w:sz="4" w:space="0" w:color="auto"/>
              <w:right w:val="single" w:sz="12" w:space="0" w:color="auto"/>
            </w:tcBorders>
            <w:shd w:val="clear" w:color="auto" w:fill="auto"/>
            <w:vAlign w:val="center"/>
          </w:tcPr>
          <w:p w14:paraId="61833807" w14:textId="77777777" w:rsidR="004B3E05" w:rsidRPr="009C2474" w:rsidRDefault="004B3E05" w:rsidP="00FD0109">
            <w:pPr>
              <w:pStyle w:val="TblTxt"/>
              <w:keepNext/>
            </w:pPr>
            <w:r w:rsidRPr="009C2474">
              <w:t>Vibratory Roller</w:t>
            </w:r>
          </w:p>
        </w:tc>
        <w:tc>
          <w:tcPr>
            <w:tcW w:w="933" w:type="pct"/>
            <w:tcBorders>
              <w:top w:val="single" w:sz="12" w:space="0" w:color="auto"/>
              <w:left w:val="single" w:sz="12" w:space="0" w:color="auto"/>
              <w:bottom w:val="single" w:sz="4" w:space="0" w:color="auto"/>
            </w:tcBorders>
            <w:shd w:val="clear" w:color="auto" w:fill="auto"/>
            <w:vAlign w:val="center"/>
          </w:tcPr>
          <w:p w14:paraId="02095637" w14:textId="77777777" w:rsidR="004B3E05" w:rsidRPr="009C2474" w:rsidRDefault="004B3E05" w:rsidP="00FD0109">
            <w:pPr>
              <w:pStyle w:val="TblTxtCenter"/>
              <w:keepNext/>
            </w:pPr>
            <w:r w:rsidRPr="00F35922">
              <w:t>94</w:t>
            </w:r>
          </w:p>
        </w:tc>
        <w:tc>
          <w:tcPr>
            <w:tcW w:w="1154" w:type="pct"/>
            <w:tcBorders>
              <w:top w:val="single" w:sz="12" w:space="0" w:color="auto"/>
              <w:left w:val="single" w:sz="4" w:space="0" w:color="auto"/>
              <w:bottom w:val="single" w:sz="4" w:space="0" w:color="auto"/>
            </w:tcBorders>
            <w:vAlign w:val="center"/>
          </w:tcPr>
          <w:p w14:paraId="3B3D1E26" w14:textId="77777777" w:rsidR="004B3E05" w:rsidRPr="009C2474" w:rsidRDefault="004B3E05" w:rsidP="00FD0109">
            <w:pPr>
              <w:pStyle w:val="TblTxtCenter"/>
              <w:keepNext/>
            </w:pPr>
            <w:r w:rsidRPr="00566996">
              <w:t>40</w:t>
            </w:r>
          </w:p>
        </w:tc>
        <w:tc>
          <w:tcPr>
            <w:tcW w:w="2019" w:type="pct"/>
            <w:tcBorders>
              <w:top w:val="single" w:sz="12" w:space="0" w:color="auto"/>
              <w:left w:val="single" w:sz="4" w:space="0" w:color="auto"/>
              <w:bottom w:val="single" w:sz="4" w:space="0" w:color="auto"/>
            </w:tcBorders>
            <w:vAlign w:val="center"/>
          </w:tcPr>
          <w:p w14:paraId="32BA6B0E" w14:textId="77777777" w:rsidR="004B3E05" w:rsidRPr="00DD26D6" w:rsidRDefault="004B3E05" w:rsidP="00FD0109">
            <w:pPr>
              <w:pStyle w:val="TblTxtCenter"/>
              <w:keepNext/>
            </w:pPr>
            <w:r w:rsidRPr="00566996">
              <w:t>41</w:t>
            </w:r>
          </w:p>
        </w:tc>
      </w:tr>
      <w:tr w:rsidR="004B3E05" w:rsidRPr="009C2474" w14:paraId="14E0A9CF" w14:textId="77777777" w:rsidTr="00305F41">
        <w:trPr>
          <w:trHeight w:val="288"/>
          <w:jc w:val="center"/>
        </w:trPr>
        <w:tc>
          <w:tcPr>
            <w:tcW w:w="894" w:type="pct"/>
            <w:tcBorders>
              <w:top w:val="single" w:sz="4" w:space="0" w:color="auto"/>
              <w:bottom w:val="single" w:sz="4" w:space="0" w:color="auto"/>
              <w:right w:val="single" w:sz="12" w:space="0" w:color="auto"/>
            </w:tcBorders>
            <w:shd w:val="clear" w:color="auto" w:fill="auto"/>
            <w:vAlign w:val="center"/>
          </w:tcPr>
          <w:p w14:paraId="6E77AA57" w14:textId="77777777" w:rsidR="004B3E05" w:rsidRPr="009C2474" w:rsidRDefault="004B3E05" w:rsidP="00FD0109">
            <w:pPr>
              <w:pStyle w:val="TblTxt"/>
              <w:keepNext/>
            </w:pPr>
            <w:r w:rsidRPr="009C2474">
              <w:t>Large Bulldozer</w:t>
            </w:r>
          </w:p>
        </w:tc>
        <w:tc>
          <w:tcPr>
            <w:tcW w:w="933" w:type="pct"/>
            <w:tcBorders>
              <w:top w:val="single" w:sz="4" w:space="0" w:color="auto"/>
              <w:left w:val="single" w:sz="12" w:space="0" w:color="auto"/>
              <w:bottom w:val="single" w:sz="4" w:space="0" w:color="auto"/>
            </w:tcBorders>
            <w:shd w:val="clear" w:color="auto" w:fill="auto"/>
            <w:vAlign w:val="center"/>
          </w:tcPr>
          <w:p w14:paraId="7FCEC669" w14:textId="77777777" w:rsidR="004B3E05" w:rsidRPr="009C2474" w:rsidRDefault="004B3E05" w:rsidP="00FD0109">
            <w:pPr>
              <w:pStyle w:val="TblTxtCenter"/>
              <w:keepNext/>
            </w:pPr>
            <w:r w:rsidRPr="00F35922">
              <w:t>87</w:t>
            </w:r>
          </w:p>
        </w:tc>
        <w:tc>
          <w:tcPr>
            <w:tcW w:w="1154" w:type="pct"/>
            <w:tcBorders>
              <w:top w:val="single" w:sz="4" w:space="0" w:color="auto"/>
              <w:left w:val="single" w:sz="4" w:space="0" w:color="auto"/>
              <w:bottom w:val="single" w:sz="4" w:space="0" w:color="auto"/>
            </w:tcBorders>
            <w:vAlign w:val="center"/>
          </w:tcPr>
          <w:p w14:paraId="3A9E9F42" w14:textId="77777777" w:rsidR="004B3E05" w:rsidRPr="009C2474" w:rsidRDefault="004B3E05" w:rsidP="00FD0109">
            <w:pPr>
              <w:pStyle w:val="TblTxtCenter"/>
              <w:keepNext/>
            </w:pPr>
            <w:r w:rsidRPr="00566996">
              <w:t>33</w:t>
            </w:r>
          </w:p>
        </w:tc>
        <w:tc>
          <w:tcPr>
            <w:tcW w:w="2019" w:type="pct"/>
            <w:tcBorders>
              <w:top w:val="single" w:sz="4" w:space="0" w:color="auto"/>
              <w:left w:val="single" w:sz="4" w:space="0" w:color="auto"/>
              <w:bottom w:val="single" w:sz="4" w:space="0" w:color="auto"/>
            </w:tcBorders>
            <w:vAlign w:val="center"/>
          </w:tcPr>
          <w:p w14:paraId="72507D37" w14:textId="77777777" w:rsidR="004B3E05" w:rsidRPr="00DD26D6" w:rsidRDefault="004B3E05" w:rsidP="00FD0109">
            <w:pPr>
              <w:pStyle w:val="TblTxtCenter"/>
              <w:keepNext/>
            </w:pPr>
            <w:r w:rsidRPr="00566996">
              <w:t>34</w:t>
            </w:r>
          </w:p>
        </w:tc>
      </w:tr>
      <w:tr w:rsidR="004B3E05" w:rsidRPr="009C2474" w14:paraId="304C13FB" w14:textId="77777777" w:rsidTr="00305F41">
        <w:trPr>
          <w:trHeight w:val="288"/>
          <w:jc w:val="center"/>
        </w:trPr>
        <w:tc>
          <w:tcPr>
            <w:tcW w:w="894" w:type="pct"/>
            <w:tcBorders>
              <w:top w:val="single" w:sz="4" w:space="0" w:color="auto"/>
              <w:bottom w:val="single" w:sz="4" w:space="0" w:color="auto"/>
              <w:right w:val="single" w:sz="12" w:space="0" w:color="auto"/>
            </w:tcBorders>
            <w:shd w:val="clear" w:color="auto" w:fill="auto"/>
            <w:vAlign w:val="center"/>
          </w:tcPr>
          <w:p w14:paraId="09DF2360" w14:textId="77777777" w:rsidR="004B3E05" w:rsidRPr="009C2474" w:rsidRDefault="004B3E05" w:rsidP="00FD0109">
            <w:pPr>
              <w:pStyle w:val="TblTxt"/>
              <w:keepNext/>
              <w:rPr>
                <w:vertAlign w:val="superscript"/>
              </w:rPr>
            </w:pPr>
            <w:r w:rsidRPr="009C2474">
              <w:t>Caisson Drilling</w:t>
            </w:r>
          </w:p>
        </w:tc>
        <w:tc>
          <w:tcPr>
            <w:tcW w:w="933" w:type="pct"/>
            <w:tcBorders>
              <w:top w:val="single" w:sz="4" w:space="0" w:color="auto"/>
              <w:left w:val="single" w:sz="12" w:space="0" w:color="auto"/>
              <w:bottom w:val="single" w:sz="4" w:space="0" w:color="auto"/>
            </w:tcBorders>
            <w:shd w:val="clear" w:color="auto" w:fill="auto"/>
            <w:vAlign w:val="center"/>
          </w:tcPr>
          <w:p w14:paraId="505CBDB1" w14:textId="77777777" w:rsidR="004B3E05" w:rsidRPr="009C2474" w:rsidRDefault="004B3E05" w:rsidP="00FD0109">
            <w:pPr>
              <w:pStyle w:val="TblTxtCenter"/>
              <w:keepNext/>
            </w:pPr>
            <w:r w:rsidRPr="00F35922">
              <w:t>87</w:t>
            </w:r>
          </w:p>
        </w:tc>
        <w:tc>
          <w:tcPr>
            <w:tcW w:w="1154" w:type="pct"/>
            <w:tcBorders>
              <w:top w:val="single" w:sz="4" w:space="0" w:color="auto"/>
              <w:left w:val="single" w:sz="4" w:space="0" w:color="auto"/>
              <w:bottom w:val="single" w:sz="4" w:space="0" w:color="auto"/>
            </w:tcBorders>
            <w:vAlign w:val="center"/>
          </w:tcPr>
          <w:p w14:paraId="10E60266" w14:textId="77777777" w:rsidR="004B3E05" w:rsidRPr="009C2474" w:rsidRDefault="004B3E05" w:rsidP="00FD0109">
            <w:pPr>
              <w:pStyle w:val="TblTxtCenter"/>
              <w:keepNext/>
            </w:pPr>
            <w:r w:rsidRPr="00566996">
              <w:t>33</w:t>
            </w:r>
          </w:p>
        </w:tc>
        <w:tc>
          <w:tcPr>
            <w:tcW w:w="2019" w:type="pct"/>
            <w:tcBorders>
              <w:top w:val="single" w:sz="4" w:space="0" w:color="auto"/>
              <w:left w:val="single" w:sz="4" w:space="0" w:color="auto"/>
              <w:bottom w:val="single" w:sz="4" w:space="0" w:color="auto"/>
            </w:tcBorders>
            <w:vAlign w:val="center"/>
          </w:tcPr>
          <w:p w14:paraId="62F6C763" w14:textId="77777777" w:rsidR="004B3E05" w:rsidRPr="00DD26D6" w:rsidRDefault="004B3E05" w:rsidP="00FD0109">
            <w:pPr>
              <w:pStyle w:val="TblTxtCenter"/>
              <w:keepNext/>
            </w:pPr>
            <w:r w:rsidRPr="00566996">
              <w:t>34</w:t>
            </w:r>
          </w:p>
        </w:tc>
      </w:tr>
      <w:tr w:rsidR="004B3E05" w:rsidRPr="009C2474" w14:paraId="1A64A82C" w14:textId="77777777" w:rsidTr="00305F41">
        <w:trPr>
          <w:trHeight w:val="288"/>
          <w:jc w:val="center"/>
        </w:trPr>
        <w:tc>
          <w:tcPr>
            <w:tcW w:w="894" w:type="pct"/>
            <w:tcBorders>
              <w:top w:val="single" w:sz="4" w:space="0" w:color="auto"/>
              <w:bottom w:val="single" w:sz="4" w:space="0" w:color="auto"/>
              <w:right w:val="single" w:sz="12" w:space="0" w:color="auto"/>
            </w:tcBorders>
            <w:shd w:val="clear" w:color="auto" w:fill="auto"/>
            <w:vAlign w:val="center"/>
          </w:tcPr>
          <w:p w14:paraId="71A7570D" w14:textId="77777777" w:rsidR="004B3E05" w:rsidRPr="009C2474" w:rsidRDefault="004B3E05" w:rsidP="00FD0109">
            <w:pPr>
              <w:pStyle w:val="TblTxt"/>
              <w:keepNext/>
            </w:pPr>
            <w:r w:rsidRPr="009C2474">
              <w:t>Loaded Trucks</w:t>
            </w:r>
          </w:p>
        </w:tc>
        <w:tc>
          <w:tcPr>
            <w:tcW w:w="933" w:type="pct"/>
            <w:tcBorders>
              <w:top w:val="single" w:sz="4" w:space="0" w:color="auto"/>
              <w:left w:val="single" w:sz="12" w:space="0" w:color="auto"/>
              <w:bottom w:val="single" w:sz="4" w:space="0" w:color="auto"/>
            </w:tcBorders>
            <w:shd w:val="clear" w:color="auto" w:fill="auto"/>
            <w:vAlign w:val="center"/>
          </w:tcPr>
          <w:p w14:paraId="3BC389E1" w14:textId="77777777" w:rsidR="004B3E05" w:rsidRPr="009C2474" w:rsidRDefault="004B3E05" w:rsidP="00FD0109">
            <w:pPr>
              <w:pStyle w:val="TblTxtCenter"/>
              <w:keepNext/>
            </w:pPr>
            <w:r w:rsidRPr="00F35922">
              <w:t>86</w:t>
            </w:r>
          </w:p>
        </w:tc>
        <w:tc>
          <w:tcPr>
            <w:tcW w:w="1154" w:type="pct"/>
            <w:tcBorders>
              <w:top w:val="single" w:sz="4" w:space="0" w:color="auto"/>
              <w:left w:val="single" w:sz="4" w:space="0" w:color="auto"/>
              <w:bottom w:val="single" w:sz="4" w:space="0" w:color="auto"/>
            </w:tcBorders>
            <w:vAlign w:val="center"/>
          </w:tcPr>
          <w:p w14:paraId="578D55D4" w14:textId="77777777" w:rsidR="004B3E05" w:rsidRPr="009C2474" w:rsidRDefault="004B3E05" w:rsidP="00FD0109">
            <w:pPr>
              <w:pStyle w:val="TblTxtCenter"/>
              <w:keepNext/>
            </w:pPr>
            <w:r w:rsidRPr="00566996">
              <w:t>32</w:t>
            </w:r>
          </w:p>
        </w:tc>
        <w:tc>
          <w:tcPr>
            <w:tcW w:w="2019" w:type="pct"/>
            <w:tcBorders>
              <w:top w:val="single" w:sz="4" w:space="0" w:color="auto"/>
              <w:left w:val="single" w:sz="4" w:space="0" w:color="auto"/>
              <w:bottom w:val="single" w:sz="4" w:space="0" w:color="auto"/>
            </w:tcBorders>
            <w:vAlign w:val="center"/>
          </w:tcPr>
          <w:p w14:paraId="64227EBB" w14:textId="77777777" w:rsidR="004B3E05" w:rsidRPr="00DD26D6" w:rsidRDefault="004B3E05" w:rsidP="00FD0109">
            <w:pPr>
              <w:pStyle w:val="TblTxtCenter"/>
              <w:keepNext/>
            </w:pPr>
            <w:r w:rsidRPr="00566996">
              <w:t>33</w:t>
            </w:r>
          </w:p>
        </w:tc>
      </w:tr>
      <w:tr w:rsidR="004B3E05" w:rsidRPr="009C2474" w14:paraId="35A33251" w14:textId="77777777" w:rsidTr="00305F41">
        <w:trPr>
          <w:trHeight w:val="288"/>
          <w:jc w:val="center"/>
        </w:trPr>
        <w:tc>
          <w:tcPr>
            <w:tcW w:w="894" w:type="pct"/>
            <w:tcBorders>
              <w:top w:val="single" w:sz="4" w:space="0" w:color="auto"/>
              <w:bottom w:val="single" w:sz="4" w:space="0" w:color="auto"/>
              <w:right w:val="single" w:sz="12" w:space="0" w:color="auto"/>
            </w:tcBorders>
            <w:shd w:val="clear" w:color="auto" w:fill="auto"/>
            <w:vAlign w:val="center"/>
          </w:tcPr>
          <w:p w14:paraId="22946A77" w14:textId="77777777" w:rsidR="004B3E05" w:rsidRPr="009C2474" w:rsidRDefault="004B3E05" w:rsidP="00FD0109">
            <w:pPr>
              <w:pStyle w:val="TblTxt"/>
            </w:pPr>
            <w:r w:rsidRPr="009C2474">
              <w:t>Jackhammer</w:t>
            </w:r>
            <w:r w:rsidRPr="009C2474">
              <w:rPr>
                <w:vertAlign w:val="superscript"/>
              </w:rPr>
              <w:t>2</w:t>
            </w:r>
          </w:p>
        </w:tc>
        <w:tc>
          <w:tcPr>
            <w:tcW w:w="933" w:type="pct"/>
            <w:tcBorders>
              <w:top w:val="single" w:sz="4" w:space="0" w:color="auto"/>
              <w:left w:val="single" w:sz="12" w:space="0" w:color="auto"/>
              <w:bottom w:val="single" w:sz="4" w:space="0" w:color="auto"/>
            </w:tcBorders>
            <w:shd w:val="clear" w:color="auto" w:fill="auto"/>
            <w:vAlign w:val="center"/>
          </w:tcPr>
          <w:p w14:paraId="32C51FD6" w14:textId="77777777" w:rsidR="004B3E05" w:rsidRPr="009C2474" w:rsidRDefault="004B3E05" w:rsidP="00FD0109">
            <w:pPr>
              <w:pStyle w:val="TblTxtCenter"/>
            </w:pPr>
            <w:r w:rsidRPr="00F35922">
              <w:t>79</w:t>
            </w:r>
          </w:p>
        </w:tc>
        <w:tc>
          <w:tcPr>
            <w:tcW w:w="1154" w:type="pct"/>
            <w:tcBorders>
              <w:top w:val="single" w:sz="4" w:space="0" w:color="auto"/>
              <w:left w:val="single" w:sz="4" w:space="0" w:color="auto"/>
              <w:bottom w:val="single" w:sz="4" w:space="0" w:color="auto"/>
            </w:tcBorders>
            <w:vAlign w:val="center"/>
          </w:tcPr>
          <w:p w14:paraId="4F632EF5" w14:textId="77777777" w:rsidR="004B3E05" w:rsidRPr="009C2474" w:rsidRDefault="004B3E05" w:rsidP="00FD0109">
            <w:pPr>
              <w:pStyle w:val="TblTxtCenter"/>
              <w:keepNext/>
            </w:pPr>
            <w:r w:rsidRPr="00566996">
              <w:t>25</w:t>
            </w:r>
          </w:p>
        </w:tc>
        <w:tc>
          <w:tcPr>
            <w:tcW w:w="2019" w:type="pct"/>
            <w:tcBorders>
              <w:top w:val="single" w:sz="4" w:space="0" w:color="auto"/>
              <w:left w:val="single" w:sz="4" w:space="0" w:color="auto"/>
              <w:bottom w:val="single" w:sz="4" w:space="0" w:color="auto"/>
            </w:tcBorders>
            <w:vAlign w:val="center"/>
          </w:tcPr>
          <w:p w14:paraId="2B0D3B28" w14:textId="77777777" w:rsidR="004B3E05" w:rsidRPr="00DD26D6" w:rsidRDefault="004B3E05" w:rsidP="00FD0109">
            <w:pPr>
              <w:pStyle w:val="TblTxtCenter"/>
              <w:keepNext/>
            </w:pPr>
            <w:r w:rsidRPr="00566996">
              <w:t>26</w:t>
            </w:r>
          </w:p>
        </w:tc>
      </w:tr>
      <w:tr w:rsidR="004B3E05" w:rsidRPr="009C2474" w14:paraId="17415B3F" w14:textId="77777777" w:rsidTr="00305F41">
        <w:trPr>
          <w:trHeight w:val="288"/>
          <w:jc w:val="center"/>
        </w:trPr>
        <w:tc>
          <w:tcPr>
            <w:tcW w:w="894" w:type="pct"/>
            <w:tcBorders>
              <w:top w:val="single" w:sz="4" w:space="0" w:color="auto"/>
              <w:bottom w:val="single" w:sz="4" w:space="0" w:color="auto"/>
              <w:right w:val="single" w:sz="12" w:space="0" w:color="auto"/>
            </w:tcBorders>
            <w:shd w:val="clear" w:color="auto" w:fill="auto"/>
            <w:vAlign w:val="center"/>
          </w:tcPr>
          <w:p w14:paraId="50CE1D86" w14:textId="77777777" w:rsidR="004B3E05" w:rsidRPr="009C2474" w:rsidRDefault="004B3E05" w:rsidP="00FD0109">
            <w:pPr>
              <w:pStyle w:val="TblTxt"/>
            </w:pPr>
            <w:r w:rsidRPr="009C2474">
              <w:t>Small Bulldozer</w:t>
            </w:r>
          </w:p>
        </w:tc>
        <w:tc>
          <w:tcPr>
            <w:tcW w:w="933" w:type="pct"/>
            <w:tcBorders>
              <w:top w:val="single" w:sz="4" w:space="0" w:color="auto"/>
              <w:left w:val="single" w:sz="12" w:space="0" w:color="auto"/>
              <w:bottom w:val="single" w:sz="4" w:space="0" w:color="auto"/>
            </w:tcBorders>
            <w:shd w:val="clear" w:color="auto" w:fill="auto"/>
            <w:vAlign w:val="center"/>
          </w:tcPr>
          <w:p w14:paraId="0E4F7E31" w14:textId="77777777" w:rsidR="004B3E05" w:rsidRPr="009C2474" w:rsidRDefault="004B3E05" w:rsidP="00FD0109">
            <w:pPr>
              <w:pStyle w:val="TblTxtCenter"/>
            </w:pPr>
            <w:r w:rsidRPr="00F35922">
              <w:t>58</w:t>
            </w:r>
          </w:p>
        </w:tc>
        <w:tc>
          <w:tcPr>
            <w:tcW w:w="1154" w:type="pct"/>
            <w:tcBorders>
              <w:top w:val="single" w:sz="4" w:space="0" w:color="auto"/>
              <w:left w:val="single" w:sz="4" w:space="0" w:color="auto"/>
              <w:bottom w:val="single" w:sz="4" w:space="0" w:color="auto"/>
            </w:tcBorders>
            <w:vAlign w:val="center"/>
          </w:tcPr>
          <w:p w14:paraId="1AA8CF7B" w14:textId="77777777" w:rsidR="004B3E05" w:rsidRPr="009C2474" w:rsidRDefault="004B3E05" w:rsidP="00FD0109">
            <w:pPr>
              <w:pStyle w:val="TblTxtCenter"/>
              <w:keepNext/>
            </w:pPr>
            <w:r w:rsidRPr="00566996">
              <w:t>4</w:t>
            </w:r>
          </w:p>
        </w:tc>
        <w:tc>
          <w:tcPr>
            <w:tcW w:w="2019" w:type="pct"/>
            <w:tcBorders>
              <w:top w:val="single" w:sz="4" w:space="0" w:color="auto"/>
              <w:left w:val="single" w:sz="4" w:space="0" w:color="auto"/>
              <w:bottom w:val="single" w:sz="4" w:space="0" w:color="auto"/>
            </w:tcBorders>
            <w:vAlign w:val="center"/>
          </w:tcPr>
          <w:p w14:paraId="592C6591" w14:textId="77777777" w:rsidR="004B3E05" w:rsidRPr="00DD26D6" w:rsidRDefault="004B3E05" w:rsidP="00FD0109">
            <w:pPr>
              <w:pStyle w:val="TblTxtCenter"/>
              <w:keepNext/>
            </w:pPr>
            <w:r w:rsidRPr="00566996">
              <w:t>5</w:t>
            </w:r>
          </w:p>
        </w:tc>
      </w:tr>
      <w:tr w:rsidR="000E40F4" w:rsidRPr="00A251B2" w14:paraId="25A689CF" w14:textId="77777777" w:rsidTr="00FD0109">
        <w:trPr>
          <w:trHeight w:val="40"/>
          <w:jc w:val="center"/>
        </w:trPr>
        <w:tc>
          <w:tcPr>
            <w:tcW w:w="5000" w:type="pct"/>
            <w:gridSpan w:val="4"/>
            <w:tcBorders>
              <w:top w:val="single" w:sz="12" w:space="0" w:color="auto"/>
              <w:bottom w:val="single" w:sz="12" w:space="0" w:color="auto"/>
            </w:tcBorders>
            <w:vAlign w:val="center"/>
          </w:tcPr>
          <w:p w14:paraId="4156451F" w14:textId="77777777" w:rsidR="000E40F4" w:rsidRPr="009C2474" w:rsidRDefault="000E40F4" w:rsidP="00FD0109">
            <w:pPr>
              <w:pStyle w:val="Tblsource"/>
            </w:pPr>
            <w:r w:rsidRPr="009C2474">
              <w:t xml:space="preserve">Source: FTA 2018. </w:t>
            </w:r>
          </w:p>
        </w:tc>
      </w:tr>
    </w:tbl>
    <w:p w14:paraId="010191FC" w14:textId="77777777" w:rsidR="000E40F4" w:rsidRPr="00014F8A" w:rsidRDefault="000E40F4" w:rsidP="000E40F4">
      <w:pPr>
        <w:pStyle w:val="BodyText"/>
      </w:pPr>
    </w:p>
    <w:p w14:paraId="344A2479" w14:textId="77777777" w:rsidR="000E40F4" w:rsidRDefault="000E40F4" w:rsidP="000E40F4">
      <w:pPr>
        <w:pStyle w:val="List"/>
      </w:pPr>
      <w:r w:rsidRPr="00AE239A">
        <w:t>For a project located within the vicinity of a private airstrip or an airport land use plan or, where such a plan has not been adopted, within two miles of a public airport or public use airport, would the project expose people residing or working in the project area to excessive noise levels</w:t>
      </w:r>
      <w:r>
        <w:t>?</w:t>
      </w:r>
    </w:p>
    <w:p w14:paraId="1B660B14" w14:textId="77777777" w:rsidR="00AE398A" w:rsidRPr="00AE398A" w:rsidRDefault="000E40F4" w:rsidP="000E40F4">
      <w:pPr>
        <w:pStyle w:val="BodyText"/>
      </w:pPr>
      <w:r w:rsidRPr="00623FD0">
        <w:rPr>
          <w:rStyle w:val="BodyTextBoldChar"/>
        </w:rPr>
        <w:t xml:space="preserve">No Impact. </w:t>
      </w:r>
      <w:r w:rsidRPr="00623FD0">
        <w:t xml:space="preserve">The nearest airport to the project site is </w:t>
      </w:r>
      <w:r>
        <w:t xml:space="preserve">the </w:t>
      </w:r>
      <w:r w:rsidRPr="00623FD0">
        <w:t xml:space="preserve">San Gabriel Valley Airport, approximately 5.2 miles west. The </w:t>
      </w:r>
      <w:r w:rsidR="00402582" w:rsidRPr="00623FD0">
        <w:t>p</w:t>
      </w:r>
      <w:r w:rsidRPr="00623FD0">
        <w:t>roject would not expose people working in the project area to excessive aircraft noise levels. No impact would occur</w:t>
      </w:r>
      <w:r w:rsidR="00752559" w:rsidRPr="00BB507A">
        <w:rPr>
          <w:color w:val="4F81BD" w:themeColor="accent1"/>
        </w:rPr>
        <w:t>.</w:t>
      </w:r>
    </w:p>
    <w:p w14:paraId="34C3CA6E" w14:textId="77777777" w:rsidR="00D10CF6" w:rsidRDefault="00D10CF6" w:rsidP="00D10CF6">
      <w:pPr>
        <w:pStyle w:val="Heading2"/>
      </w:pPr>
      <w:bookmarkStart w:id="213" w:name="_Toc90882166"/>
      <w:r>
        <w:t>POPULATION AND HOUSING</w:t>
      </w:r>
      <w:bookmarkEnd w:id="213"/>
    </w:p>
    <w:p w14:paraId="5639BD15" w14:textId="77777777" w:rsidR="001C52AB" w:rsidRDefault="001C52AB" w:rsidP="001C52AB">
      <w:pPr>
        <w:pStyle w:val="BodyText"/>
      </w:pPr>
      <w:r>
        <w:t>Would the project:</w:t>
      </w:r>
    </w:p>
    <w:p w14:paraId="0017AC08" w14:textId="77777777" w:rsidR="00D10CF6" w:rsidRDefault="000030F9" w:rsidP="000030F9">
      <w:pPr>
        <w:pStyle w:val="List"/>
        <w:numPr>
          <w:ilvl w:val="0"/>
          <w:numId w:val="11"/>
        </w:numPr>
      </w:pPr>
      <w:r w:rsidRPr="000030F9">
        <w:t>Induce substantial unplanned population growth in an area, either directly (for example, by proposing new homes and businesses) or indirectly (for example, through extension of roads or other infrastructure</w:t>
      </w:r>
      <w:r w:rsidR="00D10CF6">
        <w:t>)?</w:t>
      </w:r>
    </w:p>
    <w:p w14:paraId="272F5F29" w14:textId="77777777" w:rsidR="00950281" w:rsidRPr="00617ACC" w:rsidRDefault="00950281" w:rsidP="00950281">
      <w:pPr>
        <w:pStyle w:val="BodyText"/>
      </w:pPr>
      <w:r w:rsidRPr="00617ACC">
        <w:rPr>
          <w:rStyle w:val="BodyTextBoldChar"/>
        </w:rPr>
        <w:t>No Impact.</w:t>
      </w:r>
      <w:r w:rsidRPr="00617ACC">
        <w:t xml:space="preserve"> No residential development is proposed; therefore, the </w:t>
      </w:r>
      <w:r>
        <w:t>proposed p</w:t>
      </w:r>
      <w:r w:rsidRPr="00617ACC">
        <w:t xml:space="preserve">roject would not directly induce population growth in the area. The proposed warehouse and </w:t>
      </w:r>
      <w:r>
        <w:t>manufacturing</w:t>
      </w:r>
      <w:r w:rsidRPr="00617ACC">
        <w:t xml:space="preserve"> facility would be developed to serve the warehousing and </w:t>
      </w:r>
      <w:r>
        <w:t>manufacturing</w:t>
      </w:r>
      <w:r w:rsidRPr="00617ACC">
        <w:t xml:space="preserve"> needs of the region. </w:t>
      </w:r>
    </w:p>
    <w:p w14:paraId="5F6280D6" w14:textId="77777777" w:rsidR="00950281" w:rsidRPr="00617ACC" w:rsidRDefault="00950281" w:rsidP="00950281">
      <w:pPr>
        <w:pStyle w:val="BodyText"/>
      </w:pPr>
      <w:r w:rsidRPr="00617ACC">
        <w:t xml:space="preserve">Additionally, as discussed in Section 3.19, </w:t>
      </w:r>
      <w:r w:rsidRPr="00617ACC">
        <w:rPr>
          <w:i/>
        </w:rPr>
        <w:t>Utilities and Service Systems</w:t>
      </w:r>
      <w:r w:rsidRPr="00617ACC">
        <w:t>, adequate infrastructure and utilities are available to serve the project site</w:t>
      </w:r>
      <w:r w:rsidR="0027287E">
        <w:t>,</w:t>
      </w:r>
      <w:r w:rsidRPr="00617ACC">
        <w:t xml:space="preserve"> and the </w:t>
      </w:r>
      <w:r>
        <w:t>proposed p</w:t>
      </w:r>
      <w:r w:rsidRPr="00617ACC">
        <w:t xml:space="preserve">roject would not require new infrastructure or extension of existing infrastructure that </w:t>
      </w:r>
      <w:r w:rsidR="0027287E">
        <w:t>could</w:t>
      </w:r>
      <w:r w:rsidR="0027287E" w:rsidRPr="00617ACC">
        <w:t xml:space="preserve"> </w:t>
      </w:r>
      <w:r w:rsidRPr="00617ACC">
        <w:t>indirectly induce population growth nearby. The new utility lines on</w:t>
      </w:r>
      <w:r w:rsidR="0027287E">
        <w:t>-</w:t>
      </w:r>
      <w:r w:rsidRPr="00617ACC">
        <w:t>site would not extend into undeveloped areas nor result in unplanned growth. The project site is also provided with adequate road access</w:t>
      </w:r>
      <w:r w:rsidR="0027287E">
        <w:t>,</w:t>
      </w:r>
      <w:r w:rsidRPr="00617ACC">
        <w:t xml:space="preserve"> and project development would not require extension of roadways. </w:t>
      </w:r>
    </w:p>
    <w:p w14:paraId="60F56A28" w14:textId="77BF80F4" w:rsidR="00950281" w:rsidRPr="00617ACC" w:rsidRDefault="00950281" w:rsidP="00950281">
      <w:pPr>
        <w:pStyle w:val="BodyText"/>
      </w:pPr>
      <w:r w:rsidRPr="00617ACC">
        <w:t>Regarding employment, under a conservative scenario</w:t>
      </w:r>
      <w:r w:rsidRPr="00E87E28">
        <w:t xml:space="preserve"> and based on employee figures from a</w:t>
      </w:r>
      <w:r w:rsidR="0027287E" w:rsidRPr="0027287E">
        <w:t xml:space="preserve"> </w:t>
      </w:r>
      <w:r w:rsidR="0027287E" w:rsidRPr="00E87E28">
        <w:t>report</w:t>
      </w:r>
      <w:r w:rsidRPr="00E87E28">
        <w:t xml:space="preserve"> </w:t>
      </w:r>
      <w:r w:rsidR="0027287E" w:rsidRPr="00E87E28">
        <w:t>commissioned</w:t>
      </w:r>
      <w:r w:rsidR="0027287E">
        <w:t xml:space="preserve"> by</w:t>
      </w:r>
      <w:r w:rsidR="0027287E" w:rsidRPr="00E87E28">
        <w:t xml:space="preserve"> </w:t>
      </w:r>
      <w:r w:rsidRPr="00E87E28">
        <w:t>NAIOP Research Foundation (RPA</w:t>
      </w:r>
      <w:r w:rsidR="005846CB">
        <w:t xml:space="preserve"> </w:t>
      </w:r>
      <w:r w:rsidRPr="00E87E28">
        <w:t>2010)</w:t>
      </w:r>
      <w:r w:rsidRPr="00617ACC">
        <w:t xml:space="preserve">, the </w:t>
      </w:r>
      <w:r>
        <w:t>proposed p</w:t>
      </w:r>
      <w:r w:rsidRPr="00617ACC">
        <w:t xml:space="preserve">roject is anticipated to add approximately </w:t>
      </w:r>
      <w:r>
        <w:t xml:space="preserve">72 </w:t>
      </w:r>
      <w:r w:rsidRPr="00617ACC">
        <w:t xml:space="preserve">jobs to the </w:t>
      </w:r>
      <w:r w:rsidR="00D06FAC">
        <w:t>C</w:t>
      </w:r>
      <w:r w:rsidRPr="00617ACC">
        <w:t>ity’s workforce based on a ratio of one employee per 1,800 square feet of floor area. However, the number of employees will ultimately depend on the tenant(s) that operate out of the building. Project construction would also generate some temporary employment. According to the Demographic and Growth Forecast Appendix of SCAG’s 20</w:t>
      </w:r>
      <w:r w:rsidR="00A64748">
        <w:t>20</w:t>
      </w:r>
      <w:r w:rsidRPr="00617ACC">
        <w:t>-204</w:t>
      </w:r>
      <w:r w:rsidR="00A64748">
        <w:t>5</w:t>
      </w:r>
      <w:r w:rsidRPr="00617ACC">
        <w:t xml:space="preserve"> RTP/SCS, </w:t>
      </w:r>
      <w:r>
        <w:t>Irwindale</w:t>
      </w:r>
      <w:r w:rsidRPr="00617ACC">
        <w:t xml:space="preserve"> is projected to add approximately </w:t>
      </w:r>
      <w:r w:rsidR="00A64748">
        <w:t>1</w:t>
      </w:r>
      <w:r w:rsidRPr="00617ACC">
        <w:t>,400 new jobs through the year 204</w:t>
      </w:r>
      <w:r w:rsidR="00A64748">
        <w:t>5</w:t>
      </w:r>
      <w:r w:rsidRPr="00617ACC">
        <w:t xml:space="preserve"> (SCAG 20</w:t>
      </w:r>
      <w:r w:rsidR="00A64748">
        <w:t>20</w:t>
      </w:r>
      <w:r w:rsidR="00444E3C">
        <w:t>b</w:t>
      </w:r>
      <w:r w:rsidRPr="00617ACC">
        <w:t xml:space="preserve">). According to the California Employment Development Department, the </w:t>
      </w:r>
      <w:r w:rsidR="00D06FAC">
        <w:t>C</w:t>
      </w:r>
      <w:r w:rsidRPr="00617ACC">
        <w:t xml:space="preserve">ity’s current unemployment rate is </w:t>
      </w:r>
      <w:r w:rsidR="00A64748">
        <w:t>13.</w:t>
      </w:r>
      <w:r w:rsidR="007002B8">
        <w:t>1</w:t>
      </w:r>
      <w:r w:rsidRPr="00617ACC">
        <w:t xml:space="preserve"> percent</w:t>
      </w:r>
      <w:r w:rsidR="00A64748">
        <w:t xml:space="preserve"> </w:t>
      </w:r>
      <w:r w:rsidRPr="00617ACC">
        <w:t>(EDD 20</w:t>
      </w:r>
      <w:r w:rsidR="00A64748">
        <w:t>21</w:t>
      </w:r>
      <w:r w:rsidRPr="00617ACC">
        <w:t xml:space="preserve">). The number of new jobs that would be created by the </w:t>
      </w:r>
      <w:r w:rsidR="00A64748">
        <w:t>proposed p</w:t>
      </w:r>
      <w:r w:rsidRPr="00617ACC">
        <w:t xml:space="preserve">roject is within the employment generation estimated by SCAG for the </w:t>
      </w:r>
      <w:r w:rsidR="00680B41">
        <w:t>C</w:t>
      </w:r>
      <w:r w:rsidRPr="00617ACC">
        <w:t xml:space="preserve">ity. Also, the </w:t>
      </w:r>
      <w:r w:rsidR="00A64748">
        <w:t>proposed p</w:t>
      </w:r>
      <w:r w:rsidRPr="00617ACC">
        <w:t xml:space="preserve">roject’s operation- and construction-related employment generation is expected to be absorbed from the local and regional labor force and would not attract new workers into the </w:t>
      </w:r>
      <w:r w:rsidR="00680B41">
        <w:t>C</w:t>
      </w:r>
      <w:r w:rsidR="00150000" w:rsidRPr="00617ACC">
        <w:t>ity</w:t>
      </w:r>
      <w:r w:rsidRPr="00617ACC">
        <w:t xml:space="preserve"> or region.</w:t>
      </w:r>
    </w:p>
    <w:p w14:paraId="41F66742" w14:textId="77777777" w:rsidR="00950281" w:rsidRDefault="00950281" w:rsidP="00D10CF6">
      <w:pPr>
        <w:pStyle w:val="BodyText"/>
      </w:pPr>
      <w:r w:rsidRPr="00617ACC">
        <w:t>Therefore, no impact to population and housing would occur.</w:t>
      </w:r>
    </w:p>
    <w:p w14:paraId="24E429F1" w14:textId="77777777" w:rsidR="00D10CF6" w:rsidRDefault="000030F9" w:rsidP="000030F9">
      <w:pPr>
        <w:pStyle w:val="List"/>
      </w:pPr>
      <w:r w:rsidRPr="000030F9">
        <w:t>Displace substantial numbers of existing people or housing, necessitating the construction of replacement housing elsewhere</w:t>
      </w:r>
      <w:r w:rsidR="00D10CF6">
        <w:t>?</w:t>
      </w:r>
    </w:p>
    <w:p w14:paraId="6029C9A8" w14:textId="53D84AC9" w:rsidR="00950281" w:rsidRDefault="00950281" w:rsidP="00D10CF6">
      <w:pPr>
        <w:pStyle w:val="BodyText"/>
      </w:pPr>
      <w:r w:rsidRPr="00617ACC">
        <w:rPr>
          <w:rStyle w:val="BodyTextBoldChar"/>
        </w:rPr>
        <w:t xml:space="preserve">No Impact. </w:t>
      </w:r>
      <w:r w:rsidRPr="00617ACC">
        <w:t xml:space="preserve">No housing exists </w:t>
      </w:r>
      <w:r w:rsidR="00680B41">
        <w:t>or is p</w:t>
      </w:r>
      <w:r w:rsidR="0059007C">
        <w:t>roposed</w:t>
      </w:r>
      <w:r w:rsidR="00680B41">
        <w:t xml:space="preserve"> to be developed </w:t>
      </w:r>
      <w:r w:rsidRPr="00617ACC">
        <w:t>on the project site</w:t>
      </w:r>
      <w:r>
        <w:t xml:space="preserve"> </w:t>
      </w:r>
      <w:r w:rsidRPr="00617ACC">
        <w:t xml:space="preserve">(see Figure 3, </w:t>
      </w:r>
      <w:r w:rsidRPr="00617ACC">
        <w:rPr>
          <w:i/>
          <w:iCs/>
        </w:rPr>
        <w:t>Aerial Photograph</w:t>
      </w:r>
      <w:r w:rsidRPr="00617ACC">
        <w:t xml:space="preserve">). Therefore, </w:t>
      </w:r>
      <w:r>
        <w:t>p</w:t>
      </w:r>
      <w:r w:rsidRPr="00617ACC">
        <w:t xml:space="preserve">roject development would not displace housing or people. No impact would </w:t>
      </w:r>
      <w:r w:rsidR="00150000" w:rsidRPr="00617ACC">
        <w:t>occur</w:t>
      </w:r>
      <w:r w:rsidRPr="00617ACC">
        <w:t>.</w:t>
      </w:r>
    </w:p>
    <w:p w14:paraId="3E2A1A55" w14:textId="77777777" w:rsidR="00D10CF6" w:rsidRDefault="00D10CF6" w:rsidP="00D10CF6">
      <w:pPr>
        <w:pStyle w:val="Heading2"/>
      </w:pPr>
      <w:bookmarkStart w:id="214" w:name="_Toc90882167"/>
      <w:r>
        <w:t>PUBLIC SERVICES</w:t>
      </w:r>
      <w:bookmarkEnd w:id="214"/>
    </w:p>
    <w:p w14:paraId="704102B9" w14:textId="77777777" w:rsidR="00C86C00" w:rsidRPr="00C86C00" w:rsidRDefault="00C86C00" w:rsidP="00FA1515">
      <w:pPr>
        <w:pStyle w:val="BodyText"/>
        <w:rPr>
          <w:highlight w:val="yellow"/>
        </w:rPr>
      </w:pPr>
      <w:r w:rsidRPr="00617ACC">
        <w:t xml:space="preserve">The analysis in this section is based partly on the </w:t>
      </w:r>
      <w:r>
        <w:t>service provider questionnaire responses</w:t>
      </w:r>
      <w:r w:rsidRPr="00617ACC">
        <w:t xml:space="preserve">, which </w:t>
      </w:r>
      <w:r w:rsidR="003345F6">
        <w:t>are</w:t>
      </w:r>
      <w:r w:rsidRPr="00617ACC">
        <w:t xml:space="preserve"> included as Appendix </w:t>
      </w:r>
      <w:r w:rsidR="003A20AD">
        <w:t>H</w:t>
      </w:r>
      <w:r w:rsidRPr="00617ACC">
        <w:t xml:space="preserve"> to this Initial Study</w:t>
      </w:r>
      <w:r w:rsidR="00FA1515">
        <w:t>.</w:t>
      </w:r>
    </w:p>
    <w:p w14:paraId="091256DE" w14:textId="77777777" w:rsidR="00D10CF6" w:rsidRDefault="00D10CF6" w:rsidP="00D10CF6">
      <w:pPr>
        <w:pStyle w:val="BodyText"/>
      </w:pPr>
      <w:r>
        <w:t>Would the project result in substantial adverse physical impacts associated with the provision of new or physically altered governmental facilities, need for new or physically altered governmental facilities, the construction of which could cause significant environmental impacts, in order to maintain acceptable service ratios, response times or other performance objectives for any of the public services:</w:t>
      </w:r>
    </w:p>
    <w:p w14:paraId="1F9B263E" w14:textId="77777777" w:rsidR="00D10CF6" w:rsidRDefault="00D10CF6" w:rsidP="00D10CF6">
      <w:pPr>
        <w:pStyle w:val="List"/>
        <w:numPr>
          <w:ilvl w:val="0"/>
          <w:numId w:val="12"/>
        </w:numPr>
      </w:pPr>
      <w:r>
        <w:t>Fire protection?</w:t>
      </w:r>
    </w:p>
    <w:p w14:paraId="1E16D6B7" w14:textId="08C2FB0B" w:rsidR="00876FA6" w:rsidRPr="003D51F1" w:rsidRDefault="00876FA6" w:rsidP="008754D0">
      <w:pPr>
        <w:pStyle w:val="BodyText"/>
      </w:pPr>
      <w:r w:rsidRPr="003D51F1">
        <w:rPr>
          <w:rStyle w:val="BodyTextBoldChar"/>
        </w:rPr>
        <w:t>Less Than Significant Impact.</w:t>
      </w:r>
      <w:r w:rsidRPr="003D51F1">
        <w:t xml:space="preserve"> </w:t>
      </w:r>
      <w:r w:rsidR="008754D0" w:rsidRPr="003D51F1">
        <w:t>LACFD</w:t>
      </w:r>
      <w:r w:rsidRPr="003D51F1">
        <w:t xml:space="preserve"> provides fire protection and emergency services to the entire </w:t>
      </w:r>
      <w:r w:rsidR="00D06FAC">
        <w:t>C</w:t>
      </w:r>
      <w:r w:rsidRPr="003D51F1">
        <w:t>ity, including the project site</w:t>
      </w:r>
      <w:r w:rsidR="0027287E">
        <w:t xml:space="preserve"> from two</w:t>
      </w:r>
      <w:r w:rsidR="008754D0" w:rsidRPr="003D51F1">
        <w:t xml:space="preserve"> fire stations: Irwindale Station 48 (15546 Arrow Highway in Irwindale) and Baldwin Park Station 29 (14334 Los Angeles Street in Baldwin Park)</w:t>
      </w:r>
      <w:r w:rsidRPr="003D51F1">
        <w:t xml:space="preserve">. The nearest and first response station is Station </w:t>
      </w:r>
      <w:r w:rsidR="008754D0" w:rsidRPr="003D51F1">
        <w:t>48</w:t>
      </w:r>
      <w:r w:rsidR="0027287E">
        <w:t>, which is</w:t>
      </w:r>
      <w:r w:rsidRPr="003D51F1">
        <w:t xml:space="preserve"> </w:t>
      </w:r>
      <w:r w:rsidR="0027287E">
        <w:t>about</w:t>
      </w:r>
      <w:r w:rsidRPr="003D51F1">
        <w:t xml:space="preserve"> </w:t>
      </w:r>
      <w:r w:rsidR="008754D0" w:rsidRPr="003D51F1">
        <w:t>0.9 mile</w:t>
      </w:r>
      <w:r w:rsidR="00680B41">
        <w:t>s</w:t>
      </w:r>
      <w:r w:rsidRPr="003D51F1">
        <w:t xml:space="preserve"> to the north. </w:t>
      </w:r>
    </w:p>
    <w:p w14:paraId="6D37FB2D" w14:textId="2989E049" w:rsidR="00876FA6" w:rsidRPr="003D51F1" w:rsidRDefault="00876FA6" w:rsidP="00876FA6">
      <w:pPr>
        <w:pStyle w:val="BodyText"/>
      </w:pPr>
      <w:r w:rsidRPr="003D51F1">
        <w:t xml:space="preserve">Project implementation would result in a slight increase in calls for fire protection and emergency medical service. However, considering the existing firefighting resources available in and near the </w:t>
      </w:r>
      <w:r w:rsidR="00D06FAC">
        <w:t>C</w:t>
      </w:r>
      <w:r w:rsidR="00150000" w:rsidRPr="003D51F1">
        <w:t>ity</w:t>
      </w:r>
      <w:r w:rsidRPr="003D51F1">
        <w:t xml:space="preserve">, project impacts on fire protection and emergency services (including response times) are not expected. </w:t>
      </w:r>
      <w:r w:rsidR="0027287E">
        <w:t>I</w:t>
      </w:r>
      <w:r w:rsidRPr="003D51F1">
        <w:t>n the event of an emergency at the project site that require</w:t>
      </w:r>
      <w:r w:rsidR="00680B41">
        <w:t>s</w:t>
      </w:r>
      <w:r w:rsidRPr="003D51F1">
        <w:t xml:space="preserve"> more resources than Station </w:t>
      </w:r>
      <w:r w:rsidR="003D51F1" w:rsidRPr="003D51F1">
        <w:t>48</w:t>
      </w:r>
      <w:r w:rsidRPr="003D51F1">
        <w:t xml:space="preserve"> could provide, </w:t>
      </w:r>
      <w:r w:rsidR="003D51F1" w:rsidRPr="003D51F1">
        <w:t>LACFD</w:t>
      </w:r>
      <w:r w:rsidRPr="003D51F1">
        <w:t xml:space="preserve"> would direct resources to the site from other stations </w:t>
      </w:r>
      <w:r w:rsidR="003D51F1" w:rsidRPr="003D51F1">
        <w:t>in nearby cities</w:t>
      </w:r>
      <w:r w:rsidRPr="003D51F1">
        <w:t>.</w:t>
      </w:r>
    </w:p>
    <w:p w14:paraId="17ABDF3E" w14:textId="77777777" w:rsidR="00EC294C" w:rsidRPr="003D51F1" w:rsidRDefault="00876FA6" w:rsidP="00E7714D">
      <w:pPr>
        <w:pStyle w:val="BodyText"/>
      </w:pPr>
      <w:r w:rsidRPr="003D51F1">
        <w:t xml:space="preserve">Implementation of the </w:t>
      </w:r>
      <w:r w:rsidR="003D51F1" w:rsidRPr="003D51F1">
        <w:t>proposed p</w:t>
      </w:r>
      <w:r w:rsidRPr="003D51F1">
        <w:t xml:space="preserve">roject is not anticipated to increase </w:t>
      </w:r>
      <w:r w:rsidR="003D51F1" w:rsidRPr="003D51F1">
        <w:t>LACFD</w:t>
      </w:r>
      <w:r w:rsidRPr="003D51F1">
        <w:t xml:space="preserve">’s response times to either the project site or the surrounding vicinity. </w:t>
      </w:r>
      <w:r w:rsidR="00433E27" w:rsidRPr="003D51F1">
        <w:t xml:space="preserve">The </w:t>
      </w:r>
      <w:r w:rsidRPr="003D51F1">
        <w:t xml:space="preserve">project site is a </w:t>
      </w:r>
      <w:r w:rsidR="003D51F1" w:rsidRPr="003D51F1">
        <w:t>developed</w:t>
      </w:r>
      <w:r w:rsidRPr="003D51F1">
        <w:t xml:space="preserve"> site </w:t>
      </w:r>
      <w:r w:rsidR="00E7714D">
        <w:t xml:space="preserve">that was </w:t>
      </w:r>
      <w:r w:rsidRPr="003D51F1">
        <w:t xml:space="preserve">already served by </w:t>
      </w:r>
      <w:r w:rsidR="003D51F1" w:rsidRPr="003D51F1">
        <w:t>LACFD</w:t>
      </w:r>
      <w:r w:rsidR="00433E27">
        <w:t>,</w:t>
      </w:r>
      <w:r w:rsidR="00433E27" w:rsidRPr="003D51F1">
        <w:t xml:space="preserve"> </w:t>
      </w:r>
      <w:r w:rsidR="00433E27">
        <w:t>so</w:t>
      </w:r>
      <w:r w:rsidRPr="003D51F1">
        <w:t xml:space="preserve"> the </w:t>
      </w:r>
      <w:r w:rsidR="003D51F1" w:rsidRPr="003D51F1">
        <w:t>proposed p</w:t>
      </w:r>
      <w:r w:rsidRPr="003D51F1">
        <w:t xml:space="preserve">roject would not </w:t>
      </w:r>
      <w:r w:rsidR="00433E27" w:rsidRPr="003D51F1">
        <w:t>expan</w:t>
      </w:r>
      <w:r w:rsidR="00433E27">
        <w:t>d</w:t>
      </w:r>
      <w:r w:rsidR="00433E27" w:rsidRPr="003D51F1">
        <w:t xml:space="preserve"> </w:t>
      </w:r>
      <w:r w:rsidR="00433E27">
        <w:t>LACFD’s</w:t>
      </w:r>
      <w:r w:rsidRPr="003D51F1">
        <w:t xml:space="preserve"> service area</w:t>
      </w:r>
      <w:r w:rsidR="00E7714D">
        <w:t xml:space="preserve">. </w:t>
      </w:r>
    </w:p>
    <w:p w14:paraId="37A00499" w14:textId="77777777" w:rsidR="00876FA6" w:rsidRPr="003D51F1" w:rsidRDefault="00876FA6" w:rsidP="00876FA6">
      <w:pPr>
        <w:pStyle w:val="BodyText"/>
        <w:rPr>
          <w:bCs/>
        </w:rPr>
      </w:pPr>
      <w:r w:rsidRPr="003D51F1">
        <w:t xml:space="preserve">The City involves </w:t>
      </w:r>
      <w:r w:rsidR="003D51F1" w:rsidRPr="003D51F1">
        <w:t>LACFD</w:t>
      </w:r>
      <w:r w:rsidRPr="003D51F1">
        <w:t xml:space="preserve"> in the development review process to ensure that the necessary fire prevention and emergency response features are incorporated into development projects. For example, f</w:t>
      </w:r>
      <w:r w:rsidRPr="003D51F1">
        <w:rPr>
          <w:bCs/>
        </w:rPr>
        <w:t>ire hydrants would be installed at key locations on</w:t>
      </w:r>
      <w:r w:rsidR="00433E27">
        <w:rPr>
          <w:bCs/>
        </w:rPr>
        <w:t>-</w:t>
      </w:r>
      <w:r w:rsidRPr="003D51F1">
        <w:rPr>
          <w:bCs/>
        </w:rPr>
        <w:t>site to meet hose-pull requirements and provide adequate fire access. The proposed building would include a monitored fire sprinkler system</w:t>
      </w:r>
      <w:r w:rsidR="00433E27">
        <w:rPr>
          <w:bCs/>
        </w:rPr>
        <w:t>, and</w:t>
      </w:r>
      <w:r w:rsidRPr="003D51F1">
        <w:rPr>
          <w:bCs/>
        </w:rPr>
        <w:t xml:space="preserve"> </w:t>
      </w:r>
      <w:bookmarkStart w:id="215" w:name="_Hlk70860850"/>
      <w:r w:rsidRPr="003D51F1">
        <w:rPr>
          <w:bCs/>
        </w:rPr>
        <w:t xml:space="preserve">Knox </w:t>
      </w:r>
      <w:r w:rsidR="00CA080C" w:rsidRPr="003D51F1">
        <w:rPr>
          <w:bCs/>
        </w:rPr>
        <w:t>b</w:t>
      </w:r>
      <w:r w:rsidRPr="003D51F1">
        <w:rPr>
          <w:bCs/>
        </w:rPr>
        <w:t xml:space="preserve">oxes </w:t>
      </w:r>
      <w:bookmarkEnd w:id="215"/>
      <w:r w:rsidRPr="003D51F1">
        <w:rPr>
          <w:bCs/>
        </w:rPr>
        <w:t>would be placed where necessary (i.e., automated security rolling gates) to provide access for emergency personnel. The security gates would be installed and operated in accordance with</w:t>
      </w:r>
      <w:r w:rsidR="00433E27" w:rsidRPr="00433E27">
        <w:rPr>
          <w:bCs/>
        </w:rPr>
        <w:t xml:space="preserve"> </w:t>
      </w:r>
      <w:r w:rsidR="00433E27" w:rsidRPr="003D51F1">
        <w:rPr>
          <w:bCs/>
        </w:rPr>
        <w:t>standards</w:t>
      </w:r>
      <w:r w:rsidRPr="003D51F1">
        <w:rPr>
          <w:bCs/>
        </w:rPr>
        <w:t xml:space="preserve"> </w:t>
      </w:r>
      <w:r w:rsidR="00433E27">
        <w:rPr>
          <w:bCs/>
        </w:rPr>
        <w:t xml:space="preserve">of </w:t>
      </w:r>
      <w:r w:rsidRPr="003D51F1">
        <w:rPr>
          <w:bCs/>
        </w:rPr>
        <w:t>the Underwriters Laboratories (UL 325) and American Society for Testing Materials International (ASTM F220).</w:t>
      </w:r>
      <w:r w:rsidRPr="003D51F1">
        <w:rPr>
          <w:rStyle w:val="FootnoteReference"/>
          <w:bCs/>
        </w:rPr>
        <w:footnoteReference w:id="30"/>
      </w:r>
      <w:r w:rsidRPr="003D51F1">
        <w:rPr>
          <w:bCs/>
        </w:rPr>
        <w:t xml:space="preserve"> The final method of gate control would be subject to review and approval by </w:t>
      </w:r>
      <w:r w:rsidR="003D51F1" w:rsidRPr="003D51F1">
        <w:rPr>
          <w:bCs/>
        </w:rPr>
        <w:t>LACFD</w:t>
      </w:r>
      <w:r w:rsidRPr="003D51F1">
        <w:rPr>
          <w:bCs/>
        </w:rPr>
        <w:t xml:space="preserve"> during the City’s and </w:t>
      </w:r>
      <w:r w:rsidR="003D51F1" w:rsidRPr="003D51F1">
        <w:rPr>
          <w:bCs/>
        </w:rPr>
        <w:t>LACFD</w:t>
      </w:r>
      <w:r w:rsidRPr="003D51F1">
        <w:rPr>
          <w:bCs/>
        </w:rPr>
        <w:t xml:space="preserve">’s development review process. </w:t>
      </w:r>
    </w:p>
    <w:p w14:paraId="10DD2878" w14:textId="77777777" w:rsidR="00876FA6" w:rsidRPr="003D51F1" w:rsidRDefault="00433E27" w:rsidP="00876FA6">
      <w:pPr>
        <w:pStyle w:val="BodyText"/>
      </w:pPr>
      <w:r w:rsidRPr="003D51F1">
        <w:rPr>
          <w:bCs/>
        </w:rPr>
        <w:t xml:space="preserve">Emergency </w:t>
      </w:r>
      <w:r w:rsidR="00876FA6" w:rsidRPr="003D51F1">
        <w:rPr>
          <w:bCs/>
        </w:rPr>
        <w:t xml:space="preserve">access to the project site would be via three driveways (one off </w:t>
      </w:r>
      <w:r w:rsidR="003D51F1" w:rsidRPr="003D51F1">
        <w:rPr>
          <w:bCs/>
        </w:rPr>
        <w:t xml:space="preserve">Azusa Canyon Road and two off </w:t>
      </w:r>
      <w:r w:rsidR="00150000">
        <w:rPr>
          <w:bCs/>
        </w:rPr>
        <w:t>L</w:t>
      </w:r>
      <w:r w:rsidR="003D51F1" w:rsidRPr="003D51F1">
        <w:rPr>
          <w:bCs/>
        </w:rPr>
        <w:t>os Angeles Street</w:t>
      </w:r>
      <w:r w:rsidR="00876FA6" w:rsidRPr="003D51F1">
        <w:rPr>
          <w:bCs/>
        </w:rPr>
        <w:t>)</w:t>
      </w:r>
      <w:r>
        <w:rPr>
          <w:bCs/>
        </w:rPr>
        <w:t xml:space="preserve"> that</w:t>
      </w:r>
      <w:r w:rsidR="00876FA6" w:rsidRPr="003D51F1">
        <w:rPr>
          <w:bCs/>
        </w:rPr>
        <w:t xml:space="preserve"> connect to internal drive aisles and the </w:t>
      </w:r>
      <w:r w:rsidR="003D51F1" w:rsidRPr="003D51F1">
        <w:rPr>
          <w:bCs/>
        </w:rPr>
        <w:t>truck</w:t>
      </w:r>
      <w:r w:rsidR="00876FA6" w:rsidRPr="003D51F1">
        <w:rPr>
          <w:bCs/>
        </w:rPr>
        <w:t xml:space="preserve"> yard. The internal drive aisles would serve as fire access lanes and become part of the on</w:t>
      </w:r>
      <w:r>
        <w:rPr>
          <w:bCs/>
        </w:rPr>
        <w:t>-</w:t>
      </w:r>
      <w:r w:rsidR="00876FA6" w:rsidRPr="003D51F1">
        <w:rPr>
          <w:bCs/>
        </w:rPr>
        <w:t xml:space="preserve">site fire access path of travel. </w:t>
      </w:r>
      <w:r w:rsidR="00876FA6" w:rsidRPr="003D51F1">
        <w:t xml:space="preserve">All site and building improvements proposed as a part of the </w:t>
      </w:r>
      <w:r w:rsidR="003D51F1" w:rsidRPr="003D51F1">
        <w:t>proposed p</w:t>
      </w:r>
      <w:r w:rsidR="00876FA6" w:rsidRPr="003D51F1">
        <w:t xml:space="preserve">roject would be subject to review and approval by the City and </w:t>
      </w:r>
      <w:r w:rsidR="003D51F1" w:rsidRPr="003D51F1">
        <w:t>LACFD</w:t>
      </w:r>
      <w:r w:rsidR="00876FA6" w:rsidRPr="003D51F1">
        <w:t xml:space="preserve"> prior to building permit and certificate of occupancy issuance. </w:t>
      </w:r>
    </w:p>
    <w:p w14:paraId="0F6630A1" w14:textId="77777777" w:rsidR="00876FA6" w:rsidRPr="003D51F1" w:rsidRDefault="00433E27" w:rsidP="00876FA6">
      <w:pPr>
        <w:pStyle w:val="BodyText"/>
      </w:pPr>
      <w:r w:rsidRPr="003D51F1">
        <w:t>F</w:t>
      </w:r>
      <w:r>
        <w:t>inally</w:t>
      </w:r>
      <w:r w:rsidR="00876FA6" w:rsidRPr="003D51F1">
        <w:t xml:space="preserve">, </w:t>
      </w:r>
      <w:r w:rsidR="003D51F1" w:rsidRPr="003D51F1">
        <w:t>p</w:t>
      </w:r>
      <w:r w:rsidR="00876FA6" w:rsidRPr="003D51F1">
        <w:t xml:space="preserve">roject development is required to comply with the most current adopted fire codes, building codes, and nationally recognized fire and life safety standards of the City and </w:t>
      </w:r>
      <w:r w:rsidR="003D51F1" w:rsidRPr="003D51F1">
        <w:t>LACFD</w:t>
      </w:r>
      <w:r w:rsidR="00876FA6" w:rsidRPr="003D51F1">
        <w:t xml:space="preserve">, which impose design standards and requirements to minimize and mitigate fire and emergency response risk. Compliance with these codes and standards is ensured through the City’s and </w:t>
      </w:r>
      <w:r w:rsidR="003D51F1" w:rsidRPr="003D51F1">
        <w:t>LACFD</w:t>
      </w:r>
      <w:r w:rsidR="00876FA6" w:rsidRPr="003D51F1">
        <w:t xml:space="preserve">’s development review and building permit process. </w:t>
      </w:r>
    </w:p>
    <w:p w14:paraId="5E644A55" w14:textId="38E31F33" w:rsidR="00876FA6" w:rsidRPr="003D51F1" w:rsidRDefault="00876FA6" w:rsidP="00D10CF6">
      <w:pPr>
        <w:pStyle w:val="BodyText"/>
      </w:pPr>
      <w:r w:rsidRPr="003D51F1">
        <w:t xml:space="preserve">Based on the preceding, the </w:t>
      </w:r>
      <w:r w:rsidR="003D51F1" w:rsidRPr="003D51F1">
        <w:t>proposed p</w:t>
      </w:r>
      <w:r w:rsidRPr="003D51F1">
        <w:t xml:space="preserve">roject </w:t>
      </w:r>
      <w:r w:rsidR="00680B41">
        <w:t xml:space="preserve">is not expected to </w:t>
      </w:r>
      <w:r w:rsidRPr="003D51F1">
        <w:t xml:space="preserve"> adversely affect the </w:t>
      </w:r>
      <w:r w:rsidR="003D51F1" w:rsidRPr="003D51F1">
        <w:t>LACFD</w:t>
      </w:r>
      <w:r w:rsidRPr="003D51F1">
        <w:t xml:space="preserve">’s ability to provide adequate service and </w:t>
      </w:r>
      <w:r w:rsidR="00680B41">
        <w:t>or</w:t>
      </w:r>
      <w:r w:rsidRPr="003D51F1">
        <w:t xml:space="preserve"> require new or expanded fire facilities that could result in adverse environmental impacts. Therefore, impacts would be less than </w:t>
      </w:r>
      <w:r w:rsidR="003D51F1" w:rsidRPr="003D51F1">
        <w:t>significant</w:t>
      </w:r>
      <w:r w:rsidRPr="003D51F1">
        <w:t>.</w:t>
      </w:r>
    </w:p>
    <w:p w14:paraId="48848169" w14:textId="77777777" w:rsidR="00D10CF6" w:rsidRPr="00071B56" w:rsidRDefault="00D10CF6" w:rsidP="00D10CF6">
      <w:pPr>
        <w:pStyle w:val="List"/>
        <w:numPr>
          <w:ilvl w:val="0"/>
          <w:numId w:val="6"/>
        </w:numPr>
      </w:pPr>
      <w:r w:rsidRPr="00071B56">
        <w:t>Police protection?</w:t>
      </w:r>
    </w:p>
    <w:p w14:paraId="1E656D84" w14:textId="64F2337D" w:rsidR="00B215C1" w:rsidRDefault="00876FA6" w:rsidP="00B215C1">
      <w:pPr>
        <w:pStyle w:val="BodyText"/>
      </w:pPr>
      <w:r w:rsidRPr="00E7714D">
        <w:rPr>
          <w:rStyle w:val="BodyTextBoldChar"/>
        </w:rPr>
        <w:t>Less Than Significant Impact.</w:t>
      </w:r>
      <w:r w:rsidRPr="00E7714D">
        <w:t xml:space="preserve"> The </w:t>
      </w:r>
      <w:r w:rsidR="003D51F1" w:rsidRPr="00E7714D">
        <w:t>Irwindale</w:t>
      </w:r>
      <w:r w:rsidRPr="00E7714D">
        <w:t xml:space="preserve"> </w:t>
      </w:r>
      <w:r w:rsidR="003D51F1" w:rsidRPr="00E7714D">
        <w:t xml:space="preserve">Police </w:t>
      </w:r>
      <w:r w:rsidRPr="00E7714D">
        <w:t>Department (</w:t>
      </w:r>
      <w:r w:rsidR="003D51F1" w:rsidRPr="00E7714D">
        <w:t>PD</w:t>
      </w:r>
      <w:r w:rsidRPr="00E7714D">
        <w:t xml:space="preserve">) provides police protection services to the entire </w:t>
      </w:r>
      <w:r w:rsidR="00D06FAC">
        <w:t>C</w:t>
      </w:r>
      <w:r w:rsidRPr="00E7714D">
        <w:t>ity (including the project site)</w:t>
      </w:r>
      <w:r w:rsidR="00433E27">
        <w:t xml:space="preserve"> and</w:t>
      </w:r>
      <w:r w:rsidRPr="00E7714D">
        <w:t xml:space="preserve"> operates out of its station at </w:t>
      </w:r>
      <w:r w:rsidR="003D51F1" w:rsidRPr="00E7714D">
        <w:t>5050 North Irwindale Avenue</w:t>
      </w:r>
      <w:r w:rsidRPr="00E7714D">
        <w:t xml:space="preserve">, approximately </w:t>
      </w:r>
      <w:r w:rsidR="00E7714D" w:rsidRPr="00E7714D">
        <w:t>0.75</w:t>
      </w:r>
      <w:r w:rsidRPr="00E7714D">
        <w:t xml:space="preserve"> mile</w:t>
      </w:r>
      <w:r w:rsidR="00EC294C">
        <w:t>s</w:t>
      </w:r>
      <w:r w:rsidRPr="00E7714D">
        <w:t xml:space="preserve"> </w:t>
      </w:r>
      <w:r w:rsidR="00E7714D" w:rsidRPr="00E7714D">
        <w:t>northeast</w:t>
      </w:r>
      <w:r w:rsidRPr="00E7714D">
        <w:t xml:space="preserve"> of the project si</w:t>
      </w:r>
      <w:r w:rsidRPr="00A37F65">
        <w:t xml:space="preserve">te. </w:t>
      </w:r>
    </w:p>
    <w:p w14:paraId="7388BFF0" w14:textId="7D1218AA" w:rsidR="0049481D" w:rsidRDefault="00347195" w:rsidP="00E13ADA">
      <w:pPr>
        <w:pStyle w:val="BodyText"/>
      </w:pPr>
      <w:r w:rsidRPr="00E7714D">
        <w:t xml:space="preserve">Project implementation </w:t>
      </w:r>
      <w:r w:rsidR="0005418C">
        <w:t>c</w:t>
      </w:r>
      <w:r w:rsidRPr="00E7714D">
        <w:t>ould result in a</w:t>
      </w:r>
      <w:r>
        <w:t xml:space="preserve">n </w:t>
      </w:r>
      <w:r w:rsidRPr="00E7714D">
        <w:t>increase in calls for police protection service</w:t>
      </w:r>
      <w:r>
        <w:t xml:space="preserve"> when compared to the former operations at the Pepsi Bottling Plant</w:t>
      </w:r>
      <w:r w:rsidR="0005418C">
        <w:t xml:space="preserve"> since it is anticipated that goods handled and stored on site might be of higher monetary value when compared to the Pepsi Bottling Plant</w:t>
      </w:r>
      <w:r w:rsidR="00D77A23">
        <w:t xml:space="preserve">. </w:t>
      </w:r>
      <w:r w:rsidR="0005418C">
        <w:t>Due to the speculative nature of the proposed tenants</w:t>
      </w:r>
      <w:r w:rsidR="00E13ADA">
        <w:t>,</w:t>
      </w:r>
      <w:r w:rsidR="0005418C">
        <w:t xml:space="preserve"> police service demands cannot be anticipated</w:t>
      </w:r>
      <w:r w:rsidR="00FE59B8">
        <w:t>,</w:t>
      </w:r>
      <w:r w:rsidR="0005418C">
        <w:t xml:space="preserve"> </w:t>
      </w:r>
      <w:r w:rsidR="00E13ADA">
        <w:t>especially</w:t>
      </w:r>
      <w:r w:rsidR="0005418C">
        <w:t xml:space="preserve"> when considering </w:t>
      </w:r>
      <w:r w:rsidR="00E13ADA">
        <w:t xml:space="preserve">other planned projects in the area </w:t>
      </w:r>
      <w:r w:rsidR="0005418C">
        <w:t>(Fraijo 2021)</w:t>
      </w:r>
      <w:r w:rsidR="0049481D">
        <w:t>.</w:t>
      </w:r>
      <w:r w:rsidR="00C05E6B">
        <w:t xml:space="preserve"> </w:t>
      </w:r>
      <w:r w:rsidR="0049481D">
        <w:t>However,</w:t>
      </w:r>
      <w:r w:rsidR="00C05E6B">
        <w:t xml:space="preserve"> </w:t>
      </w:r>
      <w:r w:rsidR="0049481D">
        <w:t>t</w:t>
      </w:r>
      <w:r w:rsidR="00E13ADA" w:rsidRPr="00E13ADA">
        <w:t>he City expands police protection services consistent with community needs and provides an adequate level of service based on demand. The proposed project would be required to pay development impact fees of $759 per worker that would allow the police department to add additional staff to provide services to accommodate this growth (Willdan 2018)</w:t>
      </w:r>
      <w:r w:rsidR="00D77A23">
        <w:t xml:space="preserve">. </w:t>
      </w:r>
      <w:r w:rsidR="00E13ADA" w:rsidRPr="00E13ADA">
        <w:t>These fees are used to fund the direct impact o</w:t>
      </w:r>
      <w:r w:rsidR="00FE59B8">
        <w:t>f</w:t>
      </w:r>
      <w:r w:rsidR="00E13ADA" w:rsidRPr="00E13ADA">
        <w:t xml:space="preserve"> increased demand for police facilities and equipment.</w:t>
      </w:r>
      <w:r w:rsidR="00E13ADA">
        <w:t xml:space="preserve"> </w:t>
      </w:r>
      <w:r w:rsidR="00C05E6B">
        <w:t xml:space="preserve">Additionally, if a new or physically altered PD station is required, </w:t>
      </w:r>
      <w:r w:rsidR="00BD3AD5">
        <w:t>the proposed</w:t>
      </w:r>
      <w:r w:rsidR="00C05E6B" w:rsidRPr="00C05E6B">
        <w:t xml:space="preserve"> development</w:t>
      </w:r>
      <w:r w:rsidR="00C05E6B">
        <w:t xml:space="preserve"> </w:t>
      </w:r>
      <w:r w:rsidR="00C05E6B" w:rsidRPr="00C05E6B">
        <w:t>must comply with CEQA</w:t>
      </w:r>
      <w:r w:rsidR="00BD3AD5">
        <w:t>. CEQA</w:t>
      </w:r>
      <w:r w:rsidR="00C05E6B" w:rsidRPr="00C05E6B">
        <w:t xml:space="preserve"> requires that significant environmental impacts </w:t>
      </w:r>
      <w:r w:rsidR="00C05E6B">
        <w:t xml:space="preserve">are considered and </w:t>
      </w:r>
      <w:r w:rsidR="00C05E6B" w:rsidRPr="00C05E6B">
        <w:t>all feasible mitigation measures to substantially reduce significant impacts</w:t>
      </w:r>
      <w:r w:rsidR="00C05E6B">
        <w:t xml:space="preserve"> are adopted </w:t>
      </w:r>
      <w:r w:rsidR="00C05E6B" w:rsidRPr="00C05E6B">
        <w:t xml:space="preserve">in the event a project causes significant or potentially significant effects on the environment. </w:t>
      </w:r>
    </w:p>
    <w:p w14:paraId="74113485" w14:textId="6A0CADCB" w:rsidR="0049481D" w:rsidRPr="00E7714D" w:rsidRDefault="0049481D" w:rsidP="00876FA6">
      <w:pPr>
        <w:pStyle w:val="BodyText"/>
      </w:pPr>
      <w:r>
        <w:t>Furthermore, p</w:t>
      </w:r>
      <w:r w:rsidR="00433E27" w:rsidRPr="00E10913">
        <w:t xml:space="preserve">roposed </w:t>
      </w:r>
      <w:r w:rsidR="00876FA6" w:rsidRPr="00E10913">
        <w:t xml:space="preserve">physical </w:t>
      </w:r>
      <w:r w:rsidR="00E7714D" w:rsidRPr="00E10913">
        <w:t>p</w:t>
      </w:r>
      <w:r w:rsidR="00876FA6" w:rsidRPr="00E10913">
        <w:t xml:space="preserve">roject features and improvements would help minimize impacts on police services. For example, the project site would be enclosed with a combination of walls, security gates, fences, and buildings. </w:t>
      </w:r>
      <w:r w:rsidR="00433E27" w:rsidRPr="00E10913">
        <w:t>It</w:t>
      </w:r>
      <w:r w:rsidR="00876FA6" w:rsidRPr="00E10913">
        <w:t xml:space="preserve"> would also include a monitored alarm system. Installation of</w:t>
      </w:r>
      <w:r w:rsidR="00876FA6" w:rsidRPr="00E7714D">
        <w:t xml:space="preserve"> these features would enhance the security and safety of the site during and after business hours. The</w:t>
      </w:r>
      <w:r w:rsidR="00433E27">
        <w:t xml:space="preserve">y </w:t>
      </w:r>
      <w:r w:rsidR="00876FA6" w:rsidRPr="00E7714D">
        <w:t>would help prevent loitering or trespassing on the site and help prevent the need for calls for police services.</w:t>
      </w:r>
      <w:r>
        <w:t xml:space="preserve"> T</w:t>
      </w:r>
      <w:r w:rsidR="00876FA6" w:rsidRPr="00E10913">
        <w:t xml:space="preserve">he City </w:t>
      </w:r>
      <w:r>
        <w:t xml:space="preserve">also </w:t>
      </w:r>
      <w:r w:rsidR="00876FA6" w:rsidRPr="00E10913">
        <w:t xml:space="preserve">involves </w:t>
      </w:r>
      <w:r w:rsidR="00E7714D" w:rsidRPr="00E10913">
        <w:t>the PD</w:t>
      </w:r>
      <w:r w:rsidR="00876FA6" w:rsidRPr="00E10913">
        <w:t xml:space="preserve"> in the development review process in order to ensure that the necessary police protection features are incorporated into development projects. All site and building improvements proposed under the </w:t>
      </w:r>
      <w:r w:rsidR="00E7714D" w:rsidRPr="00E10913">
        <w:t>proposed p</w:t>
      </w:r>
      <w:r w:rsidR="00876FA6" w:rsidRPr="00E10913">
        <w:t xml:space="preserve">roject would be subject to review and approval by </w:t>
      </w:r>
      <w:r w:rsidR="00E7714D" w:rsidRPr="00E10913">
        <w:t>the Irwindale PD</w:t>
      </w:r>
      <w:r w:rsidR="00876FA6" w:rsidRPr="00E10913">
        <w:t>.</w:t>
      </w:r>
      <w:r w:rsidR="00BD3AD5">
        <w:t xml:space="preserve"> </w:t>
      </w:r>
      <w:r>
        <w:t>Finally</w:t>
      </w:r>
      <w:r w:rsidRPr="00E7714D">
        <w:t>, in the event of an emergency at the project site that require</w:t>
      </w:r>
      <w:r>
        <w:t>s</w:t>
      </w:r>
      <w:r w:rsidRPr="00E7714D">
        <w:t xml:space="preserve"> more resources than the Irwindale PD could provide, the PD would request assistance from other nearby police departments. </w:t>
      </w:r>
    </w:p>
    <w:p w14:paraId="5C0D287E" w14:textId="77777777" w:rsidR="00876FA6" w:rsidRPr="00E7714D" w:rsidRDefault="00876FA6" w:rsidP="00D10CF6">
      <w:pPr>
        <w:pStyle w:val="BodyText"/>
      </w:pPr>
      <w:r w:rsidRPr="00E7714D">
        <w:t xml:space="preserve">Based on the preceding, the </w:t>
      </w:r>
      <w:r w:rsidR="00E7714D" w:rsidRPr="00E7714D">
        <w:t>proposed p</w:t>
      </w:r>
      <w:r w:rsidRPr="00E7714D">
        <w:t xml:space="preserve">roject would not adversely affect </w:t>
      </w:r>
      <w:r w:rsidR="00E7714D" w:rsidRPr="00E7714D">
        <w:t>Irwindale PD’s</w:t>
      </w:r>
      <w:r w:rsidRPr="00E7714D">
        <w:t xml:space="preserve"> ability to provide adequate service and would not require new or expanded police facilities that could result in adverse environmental impacts. Impacts would be less than </w:t>
      </w:r>
      <w:r w:rsidR="00E7714D" w:rsidRPr="00E7714D">
        <w:t>significant</w:t>
      </w:r>
      <w:r w:rsidRPr="00E7714D">
        <w:t>.</w:t>
      </w:r>
    </w:p>
    <w:p w14:paraId="7FD76421" w14:textId="77777777" w:rsidR="00D10CF6" w:rsidRDefault="00D10CF6" w:rsidP="00D10CF6">
      <w:pPr>
        <w:pStyle w:val="List"/>
        <w:numPr>
          <w:ilvl w:val="0"/>
          <w:numId w:val="6"/>
        </w:numPr>
      </w:pPr>
      <w:r>
        <w:t>Schools?</w:t>
      </w:r>
    </w:p>
    <w:p w14:paraId="05293795" w14:textId="77777777" w:rsidR="00876FA6" w:rsidRDefault="00876FA6" w:rsidP="00876FA6">
      <w:pPr>
        <w:pStyle w:val="BodyText"/>
      </w:pPr>
      <w:r w:rsidRPr="00617ACC">
        <w:rPr>
          <w:rStyle w:val="BodyTextBoldChar"/>
        </w:rPr>
        <w:t>No Impact.</w:t>
      </w:r>
      <w:r w:rsidRPr="00617ACC">
        <w:t xml:space="preserve"> The increase in student generation and the need for new or the expansion of existing school facilities is tied to population growth. No residential development is proposed under the </w:t>
      </w:r>
      <w:r>
        <w:t>proposed p</w:t>
      </w:r>
      <w:r w:rsidRPr="00617ACC">
        <w:t xml:space="preserve">roject, and project development is not expected to generate an increase in the student population in the area. </w:t>
      </w:r>
    </w:p>
    <w:p w14:paraId="194610B2" w14:textId="76ED9DA4" w:rsidR="00876FA6" w:rsidRDefault="00876FA6" w:rsidP="00876FA6">
      <w:pPr>
        <w:pStyle w:val="BodyText"/>
      </w:pPr>
      <w:r>
        <w:t>Additionally</w:t>
      </w:r>
      <w:r w:rsidRPr="00962F6C">
        <w:t xml:space="preserve">, the need for additional school services and facilities is addressed by compliance with school impact assessment fees per Senate Bill 50, also known as Proposition 1A. SB 50—codified in California Government Code Section 65995—enacted in 1988 to address how schools are financed and how development projects may be assessed for associated school impacts. </w:t>
      </w:r>
      <w:r>
        <w:t>The</w:t>
      </w:r>
      <w:r w:rsidRPr="00962F6C">
        <w:t xml:space="preserve"> project applicant would be required to pay school impact fees to reduce any impacts to the school system, in accordance with SB 50. These fees are collected by school districts at the time of issuance of building permits. </w:t>
      </w:r>
      <w:r w:rsidR="001F3BFD">
        <w:t xml:space="preserve">However, the project is not expected to impact school services. </w:t>
      </w:r>
    </w:p>
    <w:p w14:paraId="2FFB2DAB" w14:textId="77777777" w:rsidR="00876FA6" w:rsidRDefault="00876FA6" w:rsidP="00D10CF6">
      <w:pPr>
        <w:pStyle w:val="BodyText"/>
      </w:pPr>
      <w:r w:rsidRPr="00617ACC">
        <w:t>Therefore, no impacts to schools would occur.</w:t>
      </w:r>
    </w:p>
    <w:p w14:paraId="5213CB04" w14:textId="77777777" w:rsidR="00D10CF6" w:rsidRDefault="00D10CF6" w:rsidP="00D10CF6">
      <w:pPr>
        <w:pStyle w:val="List"/>
        <w:numPr>
          <w:ilvl w:val="0"/>
          <w:numId w:val="6"/>
        </w:numPr>
      </w:pPr>
      <w:r>
        <w:t>Parks?</w:t>
      </w:r>
    </w:p>
    <w:p w14:paraId="5C6046BF" w14:textId="77777777" w:rsidR="00876FA6" w:rsidRDefault="00876FA6" w:rsidP="00D10CF6">
      <w:pPr>
        <w:pStyle w:val="BodyText"/>
      </w:pPr>
      <w:r w:rsidRPr="00617ACC">
        <w:rPr>
          <w:rStyle w:val="BodyTextBoldChar"/>
        </w:rPr>
        <w:t>No Impact.</w:t>
      </w:r>
      <w:r w:rsidRPr="00617ACC">
        <w:t xml:space="preserve"> See response to Section 3.16.a. As substantiated in this section, no impacts would </w:t>
      </w:r>
      <w:r w:rsidR="00071B56" w:rsidRPr="00617ACC">
        <w:t>occur</w:t>
      </w:r>
      <w:r w:rsidRPr="00617ACC">
        <w:t>.</w:t>
      </w:r>
    </w:p>
    <w:p w14:paraId="7486F59C" w14:textId="77777777" w:rsidR="00D10CF6" w:rsidRDefault="00D10CF6" w:rsidP="00D10CF6">
      <w:pPr>
        <w:pStyle w:val="List"/>
        <w:numPr>
          <w:ilvl w:val="0"/>
          <w:numId w:val="6"/>
        </w:numPr>
      </w:pPr>
      <w:r>
        <w:t>Other public facilities?</w:t>
      </w:r>
    </w:p>
    <w:p w14:paraId="788954E9" w14:textId="77777777" w:rsidR="00876FA6" w:rsidRDefault="00876FA6" w:rsidP="00D10CF6">
      <w:pPr>
        <w:pStyle w:val="BodyText"/>
      </w:pPr>
      <w:r w:rsidRPr="00617ACC">
        <w:rPr>
          <w:rStyle w:val="BodyTextBoldChar"/>
        </w:rPr>
        <w:t>No Impact.</w:t>
      </w:r>
      <w:r w:rsidRPr="00617ACC">
        <w:t xml:space="preserve"> The need for new or the expan</w:t>
      </w:r>
      <w:r w:rsidR="00B56D8D">
        <w:t>ded</w:t>
      </w:r>
      <w:r w:rsidRPr="00617ACC">
        <w:t xml:space="preserve"> library services and facilities is tied to population growth. No residential development is proposed under the </w:t>
      </w:r>
      <w:r>
        <w:t>proposed p</w:t>
      </w:r>
      <w:r w:rsidRPr="00617ACC">
        <w:t xml:space="preserve">roject, and </w:t>
      </w:r>
      <w:r>
        <w:t>p</w:t>
      </w:r>
      <w:r w:rsidRPr="00617ACC">
        <w:t>roject development is not expected to generate a need for new or additional library services or facilities. Therefore, no impact to libraries would occur.</w:t>
      </w:r>
    </w:p>
    <w:p w14:paraId="478B5692" w14:textId="77777777" w:rsidR="00D10CF6" w:rsidRDefault="00D10CF6" w:rsidP="00D10CF6">
      <w:pPr>
        <w:pStyle w:val="Heading2"/>
      </w:pPr>
      <w:bookmarkStart w:id="216" w:name="_Toc90882168"/>
      <w:r>
        <w:t>RECREATION</w:t>
      </w:r>
      <w:bookmarkEnd w:id="216"/>
    </w:p>
    <w:p w14:paraId="4784F67B" w14:textId="77777777" w:rsidR="00D10CF6" w:rsidRDefault="00D10CF6" w:rsidP="00D10CF6">
      <w:pPr>
        <w:pStyle w:val="List"/>
        <w:numPr>
          <w:ilvl w:val="0"/>
          <w:numId w:val="13"/>
        </w:numPr>
      </w:pPr>
      <w:r>
        <w:t>Would the project increase the use of existing neighborhood and regional parks or other recreational facilities, such that substantial physical deterioration of the facility would occur or be accelerated?</w:t>
      </w:r>
    </w:p>
    <w:p w14:paraId="52F0A58C" w14:textId="751CA532" w:rsidR="00D10CF6" w:rsidRPr="00CF1AEE" w:rsidRDefault="00D10CF6" w:rsidP="00D10CF6">
      <w:pPr>
        <w:pStyle w:val="BodyText"/>
      </w:pPr>
      <w:r w:rsidRPr="00CF1AEE">
        <w:rPr>
          <w:rStyle w:val="BodyTextBoldChar"/>
        </w:rPr>
        <w:t xml:space="preserve">No Impact. </w:t>
      </w:r>
      <w:r w:rsidR="0001781B" w:rsidRPr="00CF1AEE">
        <w:rPr>
          <w:rStyle w:val="InsertText"/>
          <w:color w:val="auto"/>
        </w:rPr>
        <w:t>The proposed project would not increase the use of existing neighborhood or regional parks</w:t>
      </w:r>
      <w:r w:rsidR="00B56D8D">
        <w:rPr>
          <w:rStyle w:val="InsertText"/>
          <w:color w:val="auto"/>
        </w:rPr>
        <w:t>,</w:t>
      </w:r>
      <w:r w:rsidR="00CF1AEE" w:rsidRPr="00CF1AEE">
        <w:rPr>
          <w:rStyle w:val="InsertText"/>
          <w:color w:val="auto"/>
        </w:rPr>
        <w:t xml:space="preserve"> </w:t>
      </w:r>
      <w:r w:rsidR="00B56D8D">
        <w:rPr>
          <w:rStyle w:val="InsertText"/>
          <w:color w:val="auto"/>
        </w:rPr>
        <w:t>because</w:t>
      </w:r>
      <w:r w:rsidR="00B56D8D" w:rsidRPr="00CF1AEE">
        <w:rPr>
          <w:rStyle w:val="InsertText"/>
          <w:color w:val="auto"/>
        </w:rPr>
        <w:t xml:space="preserve"> </w:t>
      </w:r>
      <w:r w:rsidR="00CF1AEE" w:rsidRPr="00CF1AEE">
        <w:rPr>
          <w:rStyle w:val="InsertText"/>
          <w:color w:val="auto"/>
        </w:rPr>
        <w:t xml:space="preserve">demands for parks are generated by an increase in population or housing in the park’s service areas. </w:t>
      </w:r>
      <w:r w:rsidR="00B56D8D">
        <w:rPr>
          <w:rStyle w:val="InsertText"/>
          <w:color w:val="auto"/>
        </w:rPr>
        <w:t>Though</w:t>
      </w:r>
      <w:r w:rsidR="00B56D8D" w:rsidRPr="00CF1AEE">
        <w:rPr>
          <w:rStyle w:val="InsertText"/>
          <w:color w:val="auto"/>
        </w:rPr>
        <w:t xml:space="preserve"> </w:t>
      </w:r>
      <w:r w:rsidR="00CF1AEE" w:rsidRPr="00CF1AEE">
        <w:rPr>
          <w:rStyle w:val="InsertText"/>
          <w:color w:val="auto"/>
        </w:rPr>
        <w:t xml:space="preserve">daytime workforce populations could contribute to park usage, </w:t>
      </w:r>
      <w:r w:rsidR="00B56D8D" w:rsidRPr="00CF1AEE">
        <w:rPr>
          <w:rStyle w:val="InsertText"/>
          <w:color w:val="auto"/>
        </w:rPr>
        <w:t>th</w:t>
      </w:r>
      <w:r w:rsidR="00B56D8D">
        <w:rPr>
          <w:rStyle w:val="InsertText"/>
          <w:color w:val="auto"/>
        </w:rPr>
        <w:t>e</w:t>
      </w:r>
      <w:r w:rsidR="00B56D8D" w:rsidRPr="00CF1AEE">
        <w:rPr>
          <w:rStyle w:val="InsertText"/>
          <w:color w:val="auto"/>
        </w:rPr>
        <w:t xml:space="preserve"> </w:t>
      </w:r>
      <w:r w:rsidR="00CF1AEE" w:rsidRPr="00CF1AEE">
        <w:rPr>
          <w:rStyle w:val="InsertText"/>
          <w:color w:val="auto"/>
        </w:rPr>
        <w:t>increase would be minimal. The project would not increase residential population and would not significantly increase the use of parks</w:t>
      </w:r>
      <w:r w:rsidR="001F3BFD">
        <w:rPr>
          <w:rStyle w:val="InsertText"/>
          <w:color w:val="auto"/>
        </w:rPr>
        <w:t xml:space="preserve"> </w:t>
      </w:r>
      <w:r w:rsidR="001F3BFD" w:rsidRPr="001F3BFD">
        <w:rPr>
          <w:rStyle w:val="InsertText"/>
          <w:color w:val="auto"/>
        </w:rPr>
        <w:t>or other recreational facilities, such that substantial physical deterioration of the facility would occur or be accelerated</w:t>
      </w:r>
      <w:r w:rsidR="00CF1AEE" w:rsidRPr="00CF1AEE">
        <w:rPr>
          <w:rStyle w:val="InsertText"/>
          <w:color w:val="auto"/>
        </w:rPr>
        <w:t>. No impact would occur.</w:t>
      </w:r>
    </w:p>
    <w:p w14:paraId="750BD608" w14:textId="77777777" w:rsidR="00D10CF6" w:rsidRDefault="00D10CF6" w:rsidP="00D10CF6">
      <w:pPr>
        <w:pStyle w:val="List"/>
        <w:numPr>
          <w:ilvl w:val="0"/>
          <w:numId w:val="6"/>
        </w:numPr>
      </w:pPr>
      <w:r>
        <w:t>Does the project include recreational facilities or require the construction or expansion of recreational facilities, which might have an adverse physical effect on the environment?</w:t>
      </w:r>
    </w:p>
    <w:p w14:paraId="621ED981" w14:textId="568225FE" w:rsidR="00D10CF6" w:rsidRDefault="00D10CF6" w:rsidP="00D10CF6">
      <w:pPr>
        <w:pStyle w:val="BodyText"/>
      </w:pPr>
      <w:r w:rsidRPr="00655D6B">
        <w:rPr>
          <w:rStyle w:val="BodyTextBoldChar"/>
        </w:rPr>
        <w:t xml:space="preserve">No Impact. </w:t>
      </w:r>
      <w:r w:rsidR="00CF1AEE" w:rsidRPr="0069601B">
        <w:t xml:space="preserve">The project </w:t>
      </w:r>
      <w:r w:rsidR="001F3BFD">
        <w:t xml:space="preserve">as planned does not include recreational facilities, nor require the </w:t>
      </w:r>
      <w:r w:rsidR="001F3BFD" w:rsidRPr="001F3BFD">
        <w:t>construction or expansion of recreational facilities</w:t>
      </w:r>
      <w:r w:rsidR="00CF1AEE" w:rsidRPr="0069601B">
        <w:t xml:space="preserve">. </w:t>
      </w:r>
      <w:r w:rsidR="001F3BFD">
        <w:t>Therefore, n</w:t>
      </w:r>
      <w:r w:rsidR="00CF1AEE" w:rsidRPr="0069601B">
        <w:t>o impact would occur.</w:t>
      </w:r>
    </w:p>
    <w:p w14:paraId="548B1995" w14:textId="77777777" w:rsidR="00D10CF6" w:rsidRDefault="00D10CF6" w:rsidP="00D10CF6">
      <w:pPr>
        <w:pStyle w:val="Heading2"/>
      </w:pPr>
      <w:bookmarkStart w:id="217" w:name="_Toc90882169"/>
      <w:r>
        <w:t>TRANSPORTATION</w:t>
      </w:r>
      <w:bookmarkEnd w:id="217"/>
    </w:p>
    <w:p w14:paraId="77613C4C" w14:textId="77777777" w:rsidR="00DE7512" w:rsidRPr="009515DC" w:rsidRDefault="00DE7512" w:rsidP="00DE7512">
      <w:pPr>
        <w:pStyle w:val="BodyText"/>
      </w:pPr>
      <w:r w:rsidRPr="00617ACC">
        <w:t xml:space="preserve">The analysis in this section is based partly on the following technical study, which is included as Appendix </w:t>
      </w:r>
      <w:r w:rsidR="003A20AD">
        <w:t>I</w:t>
      </w:r>
      <w:r w:rsidRPr="00617ACC">
        <w:t xml:space="preserve"> to </w:t>
      </w:r>
      <w:r w:rsidRPr="009515DC">
        <w:t>this Initial Study:</w:t>
      </w:r>
    </w:p>
    <w:p w14:paraId="68532146" w14:textId="77777777" w:rsidR="00DE7512" w:rsidRPr="009515DC" w:rsidRDefault="009A1D6A" w:rsidP="009A1D6A">
      <w:pPr>
        <w:pStyle w:val="Bullet1last"/>
        <w:rPr>
          <w:i/>
          <w:iCs/>
        </w:rPr>
      </w:pPr>
      <w:r w:rsidRPr="009515DC">
        <w:rPr>
          <w:i/>
          <w:iCs/>
        </w:rPr>
        <w:t xml:space="preserve">Azusa Canyon Road Warehouse Transportation Analysis, </w:t>
      </w:r>
      <w:r w:rsidRPr="009515DC">
        <w:t>Urban Crossroads,</w:t>
      </w:r>
      <w:r w:rsidR="00DE7512" w:rsidRPr="009515DC">
        <w:t xml:space="preserve"> </w:t>
      </w:r>
      <w:r w:rsidRPr="009515DC">
        <w:t>July</w:t>
      </w:r>
      <w:r w:rsidR="00DE7512" w:rsidRPr="009515DC">
        <w:t xml:space="preserve"> 24, 20</w:t>
      </w:r>
      <w:r w:rsidRPr="009515DC">
        <w:t>21</w:t>
      </w:r>
      <w:r w:rsidR="00DE7512" w:rsidRPr="009515DC">
        <w:t>.</w:t>
      </w:r>
    </w:p>
    <w:p w14:paraId="58306966" w14:textId="77777777" w:rsidR="001C52AB" w:rsidRDefault="001C52AB" w:rsidP="001C52AB">
      <w:pPr>
        <w:pStyle w:val="BodyText"/>
      </w:pPr>
      <w:r>
        <w:t>Would the project:</w:t>
      </w:r>
    </w:p>
    <w:p w14:paraId="54484844" w14:textId="77777777" w:rsidR="00E341D9" w:rsidRDefault="00E341D9" w:rsidP="009D6ECC">
      <w:pPr>
        <w:pStyle w:val="List"/>
        <w:numPr>
          <w:ilvl w:val="0"/>
          <w:numId w:val="44"/>
        </w:numPr>
      </w:pPr>
      <w:r w:rsidRPr="00571920">
        <w:t>Conflict with a program, plan, ordinance or policy addressing the circulation system, including transit, roadway, bicycle and pedestrian facilities</w:t>
      </w:r>
      <w:r w:rsidRPr="003E5494">
        <w:t>?</w:t>
      </w:r>
    </w:p>
    <w:p w14:paraId="74094D37" w14:textId="77777777" w:rsidR="00355D43" w:rsidRPr="006E1C07" w:rsidRDefault="00355D43" w:rsidP="00355D43">
      <w:pPr>
        <w:pStyle w:val="BodyText"/>
        <w:rPr>
          <w:rStyle w:val="BodyTextBoldChar"/>
        </w:rPr>
      </w:pPr>
      <w:r w:rsidRPr="00E878B8">
        <w:rPr>
          <w:rStyle w:val="BodyTextBoldChar"/>
        </w:rPr>
        <w:t>Less Than Significant Impact</w:t>
      </w:r>
      <w:r w:rsidR="00E878B8" w:rsidRPr="00E878B8">
        <w:rPr>
          <w:rStyle w:val="BodyTextBoldChar"/>
        </w:rPr>
        <w:t xml:space="preserve"> with Mitigation Incorporated</w:t>
      </w:r>
      <w:r w:rsidRPr="00E878B8">
        <w:rPr>
          <w:rStyle w:val="BodyTextBoldChar"/>
        </w:rPr>
        <w:t xml:space="preserve">. </w:t>
      </w:r>
      <w:r w:rsidRPr="00E878B8">
        <w:t xml:space="preserve">Following is a discussion of the </w:t>
      </w:r>
      <w:r w:rsidR="0036565B" w:rsidRPr="00E878B8">
        <w:t>p</w:t>
      </w:r>
      <w:r w:rsidRPr="00E878B8">
        <w:t xml:space="preserve">roposed </w:t>
      </w:r>
      <w:r w:rsidR="0036565B" w:rsidRPr="006E1C07">
        <w:t>p</w:t>
      </w:r>
      <w:r w:rsidRPr="006E1C07">
        <w:t>roject’s potential impacts on program</w:t>
      </w:r>
      <w:r w:rsidR="00B56D8D">
        <w:t>s</w:t>
      </w:r>
      <w:r w:rsidRPr="006E1C07">
        <w:t>, plan</w:t>
      </w:r>
      <w:r w:rsidR="00B56D8D">
        <w:t>s</w:t>
      </w:r>
      <w:r w:rsidRPr="006E1C07">
        <w:t>, ordinance</w:t>
      </w:r>
      <w:r w:rsidR="00B56D8D">
        <w:t>s</w:t>
      </w:r>
      <w:r w:rsidRPr="006E1C07">
        <w:t xml:space="preserve">, or </w:t>
      </w:r>
      <w:r w:rsidR="00B56D8D" w:rsidRPr="006E1C07">
        <w:t>polic</w:t>
      </w:r>
      <w:r w:rsidR="00B56D8D">
        <w:t>ies</w:t>
      </w:r>
      <w:r w:rsidR="00B56D8D" w:rsidRPr="006E1C07">
        <w:t xml:space="preserve"> </w:t>
      </w:r>
      <w:r w:rsidRPr="006E1C07">
        <w:t>addressing the circulation system.</w:t>
      </w:r>
      <w:r w:rsidRPr="006E1C07">
        <w:rPr>
          <w:rStyle w:val="BodyTextBoldChar"/>
        </w:rPr>
        <w:t xml:space="preserve"> </w:t>
      </w:r>
    </w:p>
    <w:p w14:paraId="23E42221" w14:textId="77777777" w:rsidR="00355D43" w:rsidRPr="006E1C07" w:rsidRDefault="00355D43" w:rsidP="00355D43">
      <w:pPr>
        <w:pStyle w:val="Heading5"/>
        <w:rPr>
          <w:rStyle w:val="BodyTextBoldChar"/>
          <w:rFonts w:ascii="Arial Narrow" w:hAnsi="Arial Narrow"/>
          <w:b/>
          <w:sz w:val="24"/>
        </w:rPr>
      </w:pPr>
      <w:r w:rsidRPr="006E1C07">
        <w:rPr>
          <w:rStyle w:val="BodyTextBoldChar"/>
          <w:rFonts w:ascii="Arial Narrow" w:hAnsi="Arial Narrow"/>
          <w:b/>
          <w:sz w:val="24"/>
        </w:rPr>
        <w:t>Impact to Roadway Facilities</w:t>
      </w:r>
    </w:p>
    <w:p w14:paraId="01FE1C3E" w14:textId="77777777" w:rsidR="006E1C07" w:rsidRPr="006E1C07" w:rsidRDefault="006E1C07" w:rsidP="006E1C07">
      <w:pPr>
        <w:pStyle w:val="BodyText"/>
      </w:pPr>
      <w:r w:rsidRPr="006E1C07">
        <w:t>The proposed project is anticipated to generate 262 two</w:t>
      </w:r>
      <w:r w:rsidR="00B56D8D">
        <w:t>-</w:t>
      </w:r>
      <w:r w:rsidRPr="006E1C07">
        <w:t>way trips per day on a typical weekday, with 29 AM peak hour trips and 35 PM peak hour trips</w:t>
      </w:r>
      <w:r w:rsidR="00B56D8D">
        <w:t>—</w:t>
      </w:r>
      <w:r w:rsidRPr="006E1C07">
        <w:t xml:space="preserve">a mixture of passenger car and truck trips. </w:t>
      </w:r>
      <w:r w:rsidR="0067258A">
        <w:t>The former Pepsi bottling plant was</w:t>
      </w:r>
      <w:r w:rsidRPr="006E1C07">
        <w:t xml:space="preserve"> estimated </w:t>
      </w:r>
      <w:r w:rsidR="0067258A">
        <w:t xml:space="preserve">to generate </w:t>
      </w:r>
      <w:r w:rsidRPr="006E1C07">
        <w:t>110 trip</w:t>
      </w:r>
      <w:r w:rsidR="00B56D8D">
        <w:t>-</w:t>
      </w:r>
      <w:r w:rsidRPr="006E1C07">
        <w:t>ends per day</w:t>
      </w:r>
      <w:r w:rsidR="00B56D8D">
        <w:t>,</w:t>
      </w:r>
      <w:r w:rsidRPr="006E1C07">
        <w:t xml:space="preserve"> with 10 AM peak hour trips and 11 PM peak hour trips</w:t>
      </w:r>
      <w:r w:rsidR="00B56D8D">
        <w:t xml:space="preserve"> and a</w:t>
      </w:r>
      <w:r w:rsidRPr="006E1C07">
        <w:t xml:space="preserve"> mixture of passenger car and truck trips. </w:t>
      </w:r>
      <w:r w:rsidR="0067258A">
        <w:t xml:space="preserve">The net increase due to the proposed project is 152 two-way trips per day on a typical weekday, with 19 AM peak hour trips and 24 PM peak hour trips. </w:t>
      </w:r>
    </w:p>
    <w:p w14:paraId="4D7F08EA" w14:textId="5AD40C23" w:rsidR="001C6C77" w:rsidRDefault="003E05F4" w:rsidP="003B3408">
      <w:pPr>
        <w:pStyle w:val="BodyText"/>
      </w:pPr>
      <w:r w:rsidRPr="005974CF">
        <w:t>The City’s</w:t>
      </w:r>
      <w:r w:rsidR="00B56D8D">
        <w:t xml:space="preserve"> General Plan</w:t>
      </w:r>
      <w:r w:rsidRPr="005974CF">
        <w:t xml:space="preserve"> Infrastructure Element </w:t>
      </w:r>
      <w:r w:rsidR="001C6C77">
        <w:t xml:space="preserve">Policy 3 </w:t>
      </w:r>
      <w:r w:rsidR="005974CF" w:rsidRPr="005974CF">
        <w:t>promotes the continued development and enhancement of existing streets and intersection</w:t>
      </w:r>
      <w:r w:rsidR="00E9367F">
        <w:t>s</w:t>
      </w:r>
      <w:r w:rsidR="005974CF" w:rsidRPr="005974CF">
        <w:t xml:space="preserve"> in the </w:t>
      </w:r>
      <w:r w:rsidR="00C868E9">
        <w:t>C</w:t>
      </w:r>
      <w:r w:rsidR="005974CF" w:rsidRPr="005974CF">
        <w:t>ity</w:t>
      </w:r>
      <w:r w:rsidR="001C6C77">
        <w:t xml:space="preserve">. Policy 4 </w:t>
      </w:r>
      <w:r w:rsidR="005974CF" w:rsidRPr="005974CF">
        <w:t>strives to ensure that all new development</w:t>
      </w:r>
      <w:r w:rsidR="00B56D8D">
        <w:t>s</w:t>
      </w:r>
      <w:r w:rsidR="005974CF" w:rsidRPr="005974CF">
        <w:t xml:space="preserve"> implement </w:t>
      </w:r>
      <w:r w:rsidR="00B56D8D">
        <w:t>a</w:t>
      </w:r>
      <w:r w:rsidR="00B56D8D" w:rsidRPr="005974CF">
        <w:t xml:space="preserve"> </w:t>
      </w:r>
      <w:r w:rsidR="005974CF" w:rsidRPr="005974CF">
        <w:t>fair</w:t>
      </w:r>
      <w:r w:rsidR="00B56D8D">
        <w:t xml:space="preserve"> </w:t>
      </w:r>
      <w:r w:rsidR="005974CF" w:rsidRPr="005974CF">
        <w:t xml:space="preserve">share of infrastructure improvements to offset potential adverse impacts associated with additional traffic. </w:t>
      </w:r>
      <w:r w:rsidR="003B3408">
        <w:t>The goal of these policies is to improve safe and efficient circulation in the City.</w:t>
      </w:r>
    </w:p>
    <w:p w14:paraId="592880CF" w14:textId="08E2F400" w:rsidR="00B05CB8" w:rsidRPr="0027495E" w:rsidRDefault="007717E3" w:rsidP="007717E3">
      <w:pPr>
        <w:pStyle w:val="BodyText"/>
      </w:pPr>
      <w:r>
        <w:t>A transportation analysis was performed to evaluate the potential deficiencies to traffic and circulation associated with the development of the proposed project and to recommend improvements to meet the City’s applicable thresholds. The study follow</w:t>
      </w:r>
      <w:r w:rsidR="007E1483">
        <w:t>ed</w:t>
      </w:r>
      <w:r>
        <w:t xml:space="preserve"> the City of Irwindale</w:t>
      </w:r>
      <w:r w:rsidR="00B56D8D">
        <w:t>’s</w:t>
      </w:r>
      <w:r>
        <w:t xml:space="preserve"> </w:t>
      </w:r>
      <w:r w:rsidR="00B56D8D">
        <w:t>“</w:t>
      </w:r>
      <w:r>
        <w:t>Policy Guidelines for Traffic Impact Reports.</w:t>
      </w:r>
      <w:r w:rsidR="00B56D8D">
        <w:t>”</w:t>
      </w:r>
      <w:r>
        <w:t xml:space="preserve"> </w:t>
      </w:r>
      <w:r w:rsidR="005974CF">
        <w:t xml:space="preserve">The transportation analysis report </w:t>
      </w:r>
      <w:r w:rsidR="00B56D8D">
        <w:t xml:space="preserve">found that </w:t>
      </w:r>
      <w:r w:rsidR="005974CF">
        <w:t xml:space="preserve">improvements </w:t>
      </w:r>
      <w:r w:rsidR="00B56D8D">
        <w:t xml:space="preserve">were </w:t>
      </w:r>
      <w:r w:rsidR="005974CF">
        <w:t xml:space="preserve">needed </w:t>
      </w:r>
      <w:r>
        <w:t>at two intersections</w:t>
      </w:r>
      <w:r w:rsidR="00B56D8D">
        <w:t>—</w:t>
      </w:r>
      <w:r>
        <w:t>Azusa Canyon Road/Los Angeles Street and Azusa Canyon Road/Arrow Highway</w:t>
      </w:r>
      <w:r w:rsidR="00B56D8D">
        <w:t>—</w:t>
      </w:r>
      <w:r w:rsidR="005974CF">
        <w:t>to provide an acceptable level of service at these locations.</w:t>
      </w:r>
      <w:r>
        <w:t xml:space="preserve"> The recommendations include contributions on a fair</w:t>
      </w:r>
      <w:r w:rsidR="00B56D8D">
        <w:t>-</w:t>
      </w:r>
      <w:r>
        <w:t>share basis to address existing deficient operations</w:t>
      </w:r>
      <w:r w:rsidR="007E1483">
        <w:t xml:space="preserve"> (see Appendix </w:t>
      </w:r>
      <w:r w:rsidR="003A20AD">
        <w:t>I</w:t>
      </w:r>
      <w:r w:rsidR="007E1483">
        <w:t>)</w:t>
      </w:r>
      <w:r>
        <w:t xml:space="preserve">. </w:t>
      </w:r>
      <w:r w:rsidR="00BC3CD0">
        <w:t xml:space="preserve">The proposed signal control, lane stripping modification, through lanes, and right turn </w:t>
      </w:r>
      <w:r w:rsidR="00BC3CD0" w:rsidRPr="00BC3CD0">
        <w:t xml:space="preserve">overlap signal </w:t>
      </w:r>
      <w:r w:rsidR="001C6C77" w:rsidRPr="001C6C77">
        <w:t>would be consistent with Polic</w:t>
      </w:r>
      <w:r w:rsidR="00BC3CD0">
        <w:t>ies 3 and</w:t>
      </w:r>
      <w:r w:rsidR="001C6C77" w:rsidRPr="001C6C77">
        <w:t xml:space="preserve"> </w:t>
      </w:r>
      <w:r w:rsidR="00BC3CD0">
        <w:t>4</w:t>
      </w:r>
      <w:r w:rsidR="001C6C77" w:rsidRPr="001C6C77">
        <w:t xml:space="preserve"> of the </w:t>
      </w:r>
      <w:r w:rsidR="00BC3CD0">
        <w:t>Infrastructure</w:t>
      </w:r>
      <w:r w:rsidR="001C6C77" w:rsidRPr="001C6C77">
        <w:t xml:space="preserve"> Element. </w:t>
      </w:r>
      <w:r w:rsidR="00B05CB8" w:rsidRPr="0027495E">
        <w:t xml:space="preserve">Additionally, mitigation </w:t>
      </w:r>
      <w:r w:rsidR="00B05CB8">
        <w:t>m</w:t>
      </w:r>
      <w:r w:rsidR="00B05CB8" w:rsidRPr="0027495E">
        <w:t>easure T-1 is recommended to address any potentially significant safety impact</w:t>
      </w:r>
      <w:r w:rsidR="00B05CB8" w:rsidRPr="00347195">
        <w:t xml:space="preserve">s to motorists and pedestrians in line with the City’s Infrastructure Element policies to improve safe and efficient circulation in the City. </w:t>
      </w:r>
      <w:r w:rsidR="00B05CB8">
        <w:t xml:space="preserve">Therefore, the proposed project would not </w:t>
      </w:r>
      <w:r w:rsidR="00B05CB8" w:rsidRPr="007E1483">
        <w:t xml:space="preserve">conflict with </w:t>
      </w:r>
      <w:r w:rsidR="00B05CB8">
        <w:t>the General Plan goals and policies</w:t>
      </w:r>
      <w:r w:rsidR="00B05CB8" w:rsidRPr="007E1483">
        <w:t xml:space="preserve"> </w:t>
      </w:r>
      <w:r w:rsidR="00B05CB8" w:rsidRPr="00F52A58">
        <w:t xml:space="preserve">addressing traffic and circulation. </w:t>
      </w:r>
    </w:p>
    <w:p w14:paraId="4244D253" w14:textId="77777777" w:rsidR="00355D43" w:rsidRPr="003008FA" w:rsidRDefault="00355D43" w:rsidP="005974CF">
      <w:pPr>
        <w:pStyle w:val="BodyText"/>
        <w:rPr>
          <w:rStyle w:val="BodyTextBoldChar"/>
          <w:rFonts w:ascii="Arial Narrow" w:hAnsi="Arial Narrow"/>
          <w:b w:val="0"/>
          <w:sz w:val="24"/>
        </w:rPr>
      </w:pPr>
      <w:r w:rsidRPr="003008FA">
        <w:rPr>
          <w:rStyle w:val="BodyTextBoldChar"/>
          <w:rFonts w:ascii="Arial Narrow" w:hAnsi="Arial Narrow"/>
          <w:sz w:val="24"/>
        </w:rPr>
        <w:t>Impact to Alternate Modes of Transportation Facilities</w:t>
      </w:r>
    </w:p>
    <w:p w14:paraId="654595C7" w14:textId="77777777" w:rsidR="003008FA" w:rsidRDefault="003008FA" w:rsidP="00355D43">
      <w:pPr>
        <w:pStyle w:val="Heading6"/>
      </w:pPr>
      <w:r>
        <w:t>Pedestrian</w:t>
      </w:r>
      <w:r w:rsidRPr="00617ACC">
        <w:t xml:space="preserve"> Facilities </w:t>
      </w:r>
    </w:p>
    <w:p w14:paraId="398FE9D5" w14:textId="77777777" w:rsidR="00355D43" w:rsidRDefault="00906305" w:rsidP="00355D43">
      <w:pPr>
        <w:pStyle w:val="BodyText"/>
        <w:rPr>
          <w:highlight w:val="yellow"/>
        </w:rPr>
      </w:pPr>
      <w:r w:rsidRPr="00977768">
        <w:t xml:space="preserve">The proposed project would include an accessible path of travel between the building, ADA parking spaces, and the curb at the intersection of Los Angeles Street and Azusa Canyon </w:t>
      </w:r>
      <w:r w:rsidR="00977768" w:rsidRPr="00977768">
        <w:t>Road</w:t>
      </w:r>
      <w:r w:rsidR="00B56D8D">
        <w:t>;</w:t>
      </w:r>
      <w:r w:rsidR="00977768" w:rsidRPr="00977768">
        <w:t xml:space="preserve"> </w:t>
      </w:r>
      <w:r w:rsidR="00B56D8D">
        <w:t>it</w:t>
      </w:r>
      <w:r w:rsidR="00B56D8D" w:rsidRPr="00977768">
        <w:t xml:space="preserve"> </w:t>
      </w:r>
      <w:r w:rsidRPr="00977768">
        <w:t xml:space="preserve">would </w:t>
      </w:r>
      <w:r w:rsidR="00B56D8D">
        <w:t xml:space="preserve">also </w:t>
      </w:r>
      <w:r w:rsidRPr="00977768">
        <w:t xml:space="preserve">update intersection features on the northeast corner of </w:t>
      </w:r>
      <w:r w:rsidR="00977768">
        <w:t>the intersection</w:t>
      </w:r>
      <w:r w:rsidRPr="00977768">
        <w:t xml:space="preserve">. </w:t>
      </w:r>
      <w:r w:rsidR="00B56D8D" w:rsidRPr="00977768">
        <w:t xml:space="preserve">The </w:t>
      </w:r>
      <w:r w:rsidR="00793AF8" w:rsidRPr="00977768">
        <w:t xml:space="preserve">existing public sidewalk abutting the project site along </w:t>
      </w:r>
      <w:r w:rsidR="00977768" w:rsidRPr="00977768">
        <w:t>Azusa Canyon</w:t>
      </w:r>
      <w:r w:rsidR="00793AF8" w:rsidRPr="00977768">
        <w:t xml:space="preserve"> </w:t>
      </w:r>
      <w:r w:rsidR="00977768" w:rsidRPr="00977768">
        <w:t>R</w:t>
      </w:r>
      <w:r w:rsidR="00793AF8" w:rsidRPr="00977768">
        <w:t xml:space="preserve">oad would be demolished and replaced with a new sidewalk and driveway. </w:t>
      </w:r>
      <w:r w:rsidRPr="00977768">
        <w:t>The</w:t>
      </w:r>
      <w:r w:rsidR="00793AF8" w:rsidRPr="00977768">
        <w:t xml:space="preserve"> sidewalk would be temporarily closed to pedestrians. </w:t>
      </w:r>
      <w:r w:rsidR="00355D43" w:rsidRPr="00977768">
        <w:t xml:space="preserve">However, upon completion of the </w:t>
      </w:r>
      <w:r w:rsidR="00793AF8" w:rsidRPr="00977768">
        <w:t xml:space="preserve">sidewalk and </w:t>
      </w:r>
      <w:r w:rsidR="00355D43" w:rsidRPr="00977768">
        <w:t xml:space="preserve">driveway, pedestrian access along the public sidewalk would be </w:t>
      </w:r>
      <w:r w:rsidR="00355D43" w:rsidRPr="00E10913">
        <w:t xml:space="preserve">restored. Also, it is anticipated that upon completion, the driveway would be used by construction personnel. Project construction would involve construction equipment and trucks crossing the sidewalk along the </w:t>
      </w:r>
      <w:r w:rsidR="00793AF8" w:rsidRPr="00E10913">
        <w:t>east</w:t>
      </w:r>
      <w:r w:rsidR="00355D43" w:rsidRPr="00E10913">
        <w:t xml:space="preserve"> side of </w:t>
      </w:r>
      <w:r w:rsidR="00793AF8" w:rsidRPr="00E10913">
        <w:t>Azusa Canyon Road</w:t>
      </w:r>
      <w:r w:rsidR="00355D43" w:rsidRPr="00E10913">
        <w:t xml:space="preserve">. The project construction contractor would use standard safety measures—such as fencing and flag persons—to ensure that crossings </w:t>
      </w:r>
      <w:r w:rsidR="00793AF8" w:rsidRPr="00E10913">
        <w:t>would</w:t>
      </w:r>
      <w:r w:rsidR="00355D43" w:rsidRPr="00E10913">
        <w:t xml:space="preserve"> not pose a substantial hazard to pedestrians on that sidewalk. </w:t>
      </w:r>
    </w:p>
    <w:p w14:paraId="610A517D" w14:textId="4E766FFC" w:rsidR="009D457C" w:rsidRPr="009D457C" w:rsidRDefault="009D457C" w:rsidP="00355D43">
      <w:pPr>
        <w:pStyle w:val="BodyText"/>
      </w:pPr>
      <w:r>
        <w:t>T</w:t>
      </w:r>
      <w:r w:rsidRPr="009D457C">
        <w:t xml:space="preserve">he City of Irwindale prepared an Active Transportation Plan (ATP) in January 2021 to develop pedestrian and bicycle infrastructure and programs in Irwindale. The </w:t>
      </w:r>
      <w:r w:rsidR="0067258A">
        <w:t xml:space="preserve">adopted </w:t>
      </w:r>
      <w:r w:rsidRPr="009D457C">
        <w:t xml:space="preserve">ATP includes design guidelines for pedestrian and bicycle facilities that ensure that development of the bicycle and pedestrian network would </w:t>
      </w:r>
      <w:r w:rsidR="00B56D8D" w:rsidRPr="009D457C">
        <w:t>u</w:t>
      </w:r>
      <w:r w:rsidR="00B56D8D">
        <w:t>s</w:t>
      </w:r>
      <w:r w:rsidR="00B56D8D" w:rsidRPr="009D457C">
        <w:t xml:space="preserve">e </w:t>
      </w:r>
      <w:r w:rsidRPr="009D457C">
        <w:t xml:space="preserve">national best practices and reflect the </w:t>
      </w:r>
      <w:r w:rsidR="00431617">
        <w:t>C</w:t>
      </w:r>
      <w:r w:rsidRPr="009D457C">
        <w:t xml:space="preserve">ity’s unique history and character. </w:t>
      </w:r>
      <w:r>
        <w:t>The ATP propose</w:t>
      </w:r>
      <w:r w:rsidR="00B56D8D">
        <w:t>s</w:t>
      </w:r>
      <w:r>
        <w:t xml:space="preserve"> pedestrian improvements </w:t>
      </w:r>
      <w:r w:rsidR="00B56D8D">
        <w:t xml:space="preserve">that </w:t>
      </w:r>
      <w:r>
        <w:t xml:space="preserve">include a new </w:t>
      </w:r>
      <w:r w:rsidR="000E0EF1">
        <w:t>Class I Shared-Use Path</w:t>
      </w:r>
      <w:r w:rsidR="000E0EF1">
        <w:rPr>
          <w:rStyle w:val="FootnoteReference"/>
        </w:rPr>
        <w:footnoteReference w:id="31"/>
      </w:r>
      <w:r w:rsidR="000E0EF1">
        <w:t xml:space="preserve"> </w:t>
      </w:r>
      <w:r>
        <w:t>adjacent to the Big Dalton Wash</w:t>
      </w:r>
      <w:r w:rsidR="000E0EF1">
        <w:t xml:space="preserve"> (Irwindale 2021)</w:t>
      </w:r>
      <w:r>
        <w:t xml:space="preserve">. </w:t>
      </w:r>
      <w:r w:rsidRPr="009D457C">
        <w:t xml:space="preserve">The implementation of the proposed project would not interfere with these proposed </w:t>
      </w:r>
      <w:r>
        <w:t xml:space="preserve">improvements. </w:t>
      </w:r>
    </w:p>
    <w:p w14:paraId="63E522B1" w14:textId="4BA0DB5A" w:rsidR="00906305" w:rsidRPr="00DC660A" w:rsidRDefault="00536DBD" w:rsidP="00DC660A">
      <w:pPr>
        <w:pStyle w:val="BodyText"/>
        <w:rPr>
          <w:color w:val="4F81BD" w:themeColor="accent1"/>
        </w:rPr>
      </w:pPr>
      <w:r>
        <w:t>I</w:t>
      </w:r>
      <w:r w:rsidRPr="00343898">
        <w:t xml:space="preserve">n </w:t>
      </w:r>
      <w:r w:rsidR="00906305" w:rsidRPr="00343898">
        <w:t xml:space="preserve">conjunction with traffic signal implementation, </w:t>
      </w:r>
      <w:r w:rsidR="00977768" w:rsidRPr="00343898">
        <w:t xml:space="preserve">Mitigation Measure T-1 </w:t>
      </w:r>
      <w:r w:rsidR="003C202D">
        <w:t xml:space="preserve">is </w:t>
      </w:r>
      <w:r w:rsidR="00977768" w:rsidRPr="00343898">
        <w:t xml:space="preserve">recommended to address any potentially significant </w:t>
      </w:r>
      <w:r w:rsidR="00DC660A" w:rsidRPr="00343898">
        <w:t xml:space="preserve">safety </w:t>
      </w:r>
      <w:r w:rsidR="00977768" w:rsidRPr="00343898">
        <w:t>impacts to motorists and pedestrians</w:t>
      </w:r>
      <w:r w:rsidR="00B05CB8">
        <w:t xml:space="preserve">. </w:t>
      </w:r>
      <w:r w:rsidR="00977768" w:rsidRPr="00343898">
        <w:t xml:space="preserve">Implementation of </w:t>
      </w:r>
      <w:r w:rsidRPr="00343898">
        <w:t>th</w:t>
      </w:r>
      <w:r>
        <w:t>is</w:t>
      </w:r>
      <w:r w:rsidRPr="00343898">
        <w:t xml:space="preserve"> </w:t>
      </w:r>
      <w:r w:rsidR="00977768" w:rsidRPr="00343898">
        <w:t xml:space="preserve">mitigation measure would reduce impacts to less than significant. </w:t>
      </w:r>
    </w:p>
    <w:p w14:paraId="6870CAEC" w14:textId="77777777" w:rsidR="003008FA" w:rsidRDefault="003008FA" w:rsidP="00355D43">
      <w:pPr>
        <w:pStyle w:val="Heading6"/>
      </w:pPr>
      <w:r>
        <w:t xml:space="preserve">Bicycle </w:t>
      </w:r>
      <w:r w:rsidRPr="00617ACC">
        <w:t xml:space="preserve">Facilities </w:t>
      </w:r>
    </w:p>
    <w:p w14:paraId="4A25ABC8" w14:textId="77777777" w:rsidR="00355D43" w:rsidRPr="009D457C" w:rsidRDefault="003008FA" w:rsidP="00355D43">
      <w:pPr>
        <w:pStyle w:val="BodyText"/>
      </w:pPr>
      <w:r>
        <w:t>T</w:t>
      </w:r>
      <w:r w:rsidR="00355D43" w:rsidRPr="003008FA">
        <w:t xml:space="preserve">here is no bicycle lane or facility on the </w:t>
      </w:r>
      <w:r w:rsidR="00793AF8" w:rsidRPr="003008FA">
        <w:t>east</w:t>
      </w:r>
      <w:r w:rsidR="00355D43" w:rsidRPr="003008FA">
        <w:t xml:space="preserve"> side of </w:t>
      </w:r>
      <w:r w:rsidR="00793AF8" w:rsidRPr="003008FA">
        <w:t>Azusa Canyon Road or the north side of Los Angeles Street</w:t>
      </w:r>
      <w:r w:rsidR="00536DBD">
        <w:t xml:space="preserve"> or</w:t>
      </w:r>
      <w:r w:rsidR="00355D43" w:rsidRPr="003008FA">
        <w:t xml:space="preserve"> within proximity of the project site. However, the project applicant would provide bicycle racks</w:t>
      </w:r>
      <w:r w:rsidR="00793AF8" w:rsidRPr="003008FA">
        <w:t xml:space="preserve"> and</w:t>
      </w:r>
      <w:r w:rsidR="00355D43" w:rsidRPr="003008FA">
        <w:t xml:space="preserve"> </w:t>
      </w:r>
      <w:r w:rsidR="00793AF8" w:rsidRPr="003008FA">
        <w:t xml:space="preserve">long-term bicycle enclosures or lockers </w:t>
      </w:r>
      <w:r w:rsidR="00355D43" w:rsidRPr="003008FA">
        <w:t>on</w:t>
      </w:r>
      <w:r w:rsidR="00536DBD">
        <w:t>-</w:t>
      </w:r>
      <w:r w:rsidR="00355D43" w:rsidRPr="003008FA">
        <w:t xml:space="preserve">site in accordance with the provisions of CALGreen; the racks would be placed in a designated area near the </w:t>
      </w:r>
      <w:r w:rsidRPr="003008FA">
        <w:t xml:space="preserve">parking area east of the gate to the truck </w:t>
      </w:r>
      <w:r w:rsidRPr="009D457C">
        <w:t>yard</w:t>
      </w:r>
      <w:r w:rsidR="00355D43" w:rsidRPr="009D457C">
        <w:t>. Additionally, Section 21100(h) of the California Vehicle Code allows bicyclists to ride on sidewalks</w:t>
      </w:r>
      <w:r w:rsidR="00536DBD">
        <w:t>, and they</w:t>
      </w:r>
      <w:r w:rsidR="00355D43" w:rsidRPr="009D457C">
        <w:t xml:space="preserve"> are also allowed </w:t>
      </w:r>
      <w:r w:rsidR="00793AF8" w:rsidRPr="009D457C">
        <w:t xml:space="preserve">to </w:t>
      </w:r>
      <w:r w:rsidR="00355D43" w:rsidRPr="009D457C">
        <w:t xml:space="preserve">ride on roads. </w:t>
      </w:r>
    </w:p>
    <w:p w14:paraId="223BEEA6" w14:textId="77777777" w:rsidR="00931DBC" w:rsidRPr="009D457C" w:rsidRDefault="009D457C" w:rsidP="00355D43">
      <w:pPr>
        <w:pStyle w:val="BodyText"/>
      </w:pPr>
      <w:r>
        <w:t xml:space="preserve">The ATP includes a proposed </w:t>
      </w:r>
      <w:r w:rsidRPr="009D457C">
        <w:t xml:space="preserve">bikeway network </w:t>
      </w:r>
      <w:r>
        <w:t xml:space="preserve">that includes a </w:t>
      </w:r>
      <w:r w:rsidRPr="009D457C">
        <w:t>Class IV Separated Bikeway</w:t>
      </w:r>
      <w:r w:rsidR="00511380">
        <w:rPr>
          <w:rStyle w:val="FootnoteReference"/>
        </w:rPr>
        <w:footnoteReference w:id="32"/>
      </w:r>
      <w:r>
        <w:t xml:space="preserve"> running along Azusa Canyon Road</w:t>
      </w:r>
      <w:r w:rsidR="000E0EF1">
        <w:t xml:space="preserve"> and a </w:t>
      </w:r>
      <w:r>
        <w:t xml:space="preserve">Class I Shared-Use Path adjacent to the Big Dalton Wash (Irwindale 2021). </w:t>
      </w:r>
      <w:r w:rsidRPr="009D457C">
        <w:t>The implementation of the proposed project would not interfere with any of these proposed facilities</w:t>
      </w:r>
      <w:r w:rsidR="00536DBD">
        <w:t>,</w:t>
      </w:r>
      <w:r>
        <w:t xml:space="preserve"> and impacts would be less than significant</w:t>
      </w:r>
      <w:r w:rsidRPr="009D457C">
        <w:t xml:space="preserve">. </w:t>
      </w:r>
    </w:p>
    <w:p w14:paraId="703F2BB8" w14:textId="77777777" w:rsidR="003008FA" w:rsidRPr="00617ACC" w:rsidRDefault="003008FA" w:rsidP="003008FA">
      <w:pPr>
        <w:pStyle w:val="Heading6"/>
      </w:pPr>
      <w:r w:rsidRPr="00617ACC">
        <w:t xml:space="preserve">Transit Facilities </w:t>
      </w:r>
    </w:p>
    <w:p w14:paraId="427D34BE" w14:textId="77777777" w:rsidR="00CC12EF" w:rsidRPr="00517702" w:rsidRDefault="00CC12EF" w:rsidP="00CC12EF">
      <w:pPr>
        <w:pStyle w:val="BodyText"/>
      </w:pPr>
      <w:r w:rsidRPr="00517702">
        <w:t>As an alternative to automobile travel, the Foothill Transit Agency (FTA) and Los Angeles County Metropolitan Transportation Authority (Metro) provide public bus service in Irwindale. The following routes operate in the vicinity of the project site:</w:t>
      </w:r>
    </w:p>
    <w:p w14:paraId="585D4373" w14:textId="77777777" w:rsidR="00CC12EF" w:rsidRDefault="00CC12EF" w:rsidP="00CC12EF">
      <w:pPr>
        <w:pStyle w:val="Bullet1last"/>
      </w:pPr>
      <w:r w:rsidRPr="00517702">
        <w:rPr>
          <w:b/>
          <w:bCs/>
        </w:rPr>
        <w:t>FTA Route 492</w:t>
      </w:r>
      <w:r w:rsidRPr="00517702">
        <w:t xml:space="preserve"> extends from the El Monte Station to the Montclair Plaza. Route 492 travels on Arrow Highway in the vicinity of the </w:t>
      </w:r>
      <w:r w:rsidRPr="00CC12EF">
        <w:t>project site. During the weekday AM and PM commute periods, Route 492 provides headways of approximately 30 minutes (2 buses per hour) in both directions.</w:t>
      </w:r>
    </w:p>
    <w:p w14:paraId="0CF1783C" w14:textId="77777777" w:rsidR="00E4230C" w:rsidRPr="00517702" w:rsidRDefault="00E4230C" w:rsidP="00CC12EF">
      <w:pPr>
        <w:pStyle w:val="Bullet1last"/>
      </w:pPr>
      <w:r>
        <w:rPr>
          <w:b/>
          <w:bCs/>
        </w:rPr>
        <w:t xml:space="preserve">FTA Route 185 </w:t>
      </w:r>
      <w:r>
        <w:t>extends from the intersection of Colima Road and Manor Gate Road to the intersection of Azusa Avenue and 9</w:t>
      </w:r>
      <w:r w:rsidRPr="00DD7ED4">
        <w:t>th</w:t>
      </w:r>
      <w:r>
        <w:t xml:space="preserve"> </w:t>
      </w:r>
      <w:r w:rsidR="00536DBD">
        <w:t>Street</w:t>
      </w:r>
      <w:r>
        <w:t xml:space="preserve">. </w:t>
      </w:r>
      <w:r w:rsidR="00E54534" w:rsidRPr="00517702">
        <w:t xml:space="preserve">Route </w:t>
      </w:r>
      <w:r w:rsidR="00E54534">
        <w:t>185</w:t>
      </w:r>
      <w:r w:rsidR="00E54534" w:rsidRPr="00517702">
        <w:t xml:space="preserve"> travels on </w:t>
      </w:r>
      <w:r w:rsidR="00E54534">
        <w:t>North Irwindale Avenue</w:t>
      </w:r>
      <w:r w:rsidR="00E54534" w:rsidRPr="00517702">
        <w:t xml:space="preserve"> in the vicinity of the </w:t>
      </w:r>
      <w:r w:rsidR="00E54534" w:rsidRPr="00CC12EF">
        <w:t>project site.</w:t>
      </w:r>
      <w:r w:rsidR="00E54534">
        <w:t xml:space="preserve"> </w:t>
      </w:r>
      <w:r w:rsidR="00E54534" w:rsidRPr="00CC12EF">
        <w:t xml:space="preserve">During the weekday AM and PM commute periods, Route </w:t>
      </w:r>
      <w:r w:rsidR="00E54534">
        <w:t>185</w:t>
      </w:r>
      <w:r w:rsidR="00E54534" w:rsidRPr="00CC12EF">
        <w:t xml:space="preserve"> provides headways of approximately 30 minutes in both directions.</w:t>
      </w:r>
    </w:p>
    <w:p w14:paraId="269E4707" w14:textId="77777777" w:rsidR="00CC12EF" w:rsidRPr="00CD2DF4" w:rsidRDefault="00CC12EF" w:rsidP="00CC12EF">
      <w:pPr>
        <w:pStyle w:val="Bullet1last"/>
      </w:pPr>
      <w:r w:rsidRPr="00CC12EF">
        <w:rPr>
          <w:b/>
          <w:bCs/>
        </w:rPr>
        <w:t>LA Metro Route 190/194</w:t>
      </w:r>
      <w:r w:rsidRPr="00CC12EF">
        <w:t xml:space="preserve"> extends from the El Monte Station to the Temple and Pomona intersection. Route 190/194 </w:t>
      </w:r>
      <w:r w:rsidRPr="00CD2DF4">
        <w:t>travels on San Bernardino Road in the vicinity of the project site. During the weekday AM commute period, Route 190/194 provides headways of approximately 20 minutes (3 buses per hour) in both directions. During the weekday PM commute period, Route 120 provides headways of approximately 45 minutes (1.3 buses per hour) in both directions.</w:t>
      </w:r>
    </w:p>
    <w:p w14:paraId="211797FC" w14:textId="77777777" w:rsidR="003008FA" w:rsidRPr="00CD2DF4" w:rsidRDefault="003008FA" w:rsidP="003008FA">
      <w:pPr>
        <w:pStyle w:val="BodyText"/>
      </w:pPr>
      <w:r w:rsidRPr="00CD2DF4">
        <w:t xml:space="preserve">The closest </w:t>
      </w:r>
      <w:r w:rsidR="00CC12EF" w:rsidRPr="00CD2DF4">
        <w:t>FTA</w:t>
      </w:r>
      <w:r w:rsidRPr="00CD2DF4">
        <w:t xml:space="preserve"> bus stop to the project site</w:t>
      </w:r>
      <w:r w:rsidR="00CD2DF4" w:rsidRPr="00CD2DF4">
        <w:t xml:space="preserve"> is at the San Bernardino Road and Orange Avenue intersection, approximately 0.17 mile south of the site.</w:t>
      </w:r>
      <w:r w:rsidRPr="00CD2DF4">
        <w:t xml:space="preserve"> The closest Metro bus stop to the project site </w:t>
      </w:r>
      <w:r w:rsidR="00CD2DF4" w:rsidRPr="00CD2DF4">
        <w:t>is</w:t>
      </w:r>
      <w:r w:rsidRPr="00CD2DF4">
        <w:t xml:space="preserve"> at the </w:t>
      </w:r>
      <w:r w:rsidR="00E4230C" w:rsidRPr="00CD2DF4">
        <w:t xml:space="preserve">San Bernardino Road and Azusa Canyon Road intersection, </w:t>
      </w:r>
      <w:r w:rsidRPr="00CD2DF4">
        <w:t>approximately 0.</w:t>
      </w:r>
      <w:r w:rsidR="00E4230C" w:rsidRPr="00CD2DF4">
        <w:t>17</w:t>
      </w:r>
      <w:r w:rsidRPr="00CD2DF4">
        <w:t xml:space="preserve"> mile south of the site</w:t>
      </w:r>
      <w:r w:rsidR="00CD2DF4" w:rsidRPr="00CD2DF4">
        <w:t>.</w:t>
      </w:r>
    </w:p>
    <w:p w14:paraId="212E5A1E" w14:textId="77777777" w:rsidR="003008FA" w:rsidRPr="00851ABE" w:rsidRDefault="003008FA" w:rsidP="003008FA">
      <w:pPr>
        <w:pStyle w:val="BodyText"/>
      </w:pPr>
      <w:r w:rsidRPr="00851ABE">
        <w:t xml:space="preserve">The </w:t>
      </w:r>
      <w:r w:rsidR="009024D6" w:rsidRPr="00851ABE">
        <w:t>proposed p</w:t>
      </w:r>
      <w:r w:rsidRPr="00851ABE">
        <w:t xml:space="preserve">roject has been designed to provide convenient access to public transit offered by </w:t>
      </w:r>
      <w:r w:rsidR="009024D6" w:rsidRPr="00851ABE">
        <w:t>FTA</w:t>
      </w:r>
      <w:r w:rsidRPr="00851ABE">
        <w:t xml:space="preserve"> and Metro. For example, future workers and visitors of the project site would be within walking distance of </w:t>
      </w:r>
      <w:r w:rsidR="009024D6" w:rsidRPr="00851ABE">
        <w:t xml:space="preserve">the </w:t>
      </w:r>
      <w:r w:rsidRPr="00851ABE">
        <w:t xml:space="preserve">aforementioned bus stops as well as others in the project vicinity. Safe access to the bus stops from and to the project site would be available via the new public sidewalk proposed along </w:t>
      </w:r>
      <w:r w:rsidR="009024D6" w:rsidRPr="00851ABE">
        <w:t>Azusa Canyon Road</w:t>
      </w:r>
      <w:r w:rsidRPr="00851ABE">
        <w:t xml:space="preserve"> as well as the existing sidewalks beyond these roadways.</w:t>
      </w:r>
    </w:p>
    <w:p w14:paraId="0A43F3E3" w14:textId="77777777" w:rsidR="003008FA" w:rsidRPr="00851ABE" w:rsidRDefault="00536DBD" w:rsidP="00355D43">
      <w:pPr>
        <w:pStyle w:val="BodyText"/>
      </w:pPr>
      <w:r w:rsidRPr="00851ABE">
        <w:t xml:space="preserve">The </w:t>
      </w:r>
      <w:r w:rsidR="003008FA" w:rsidRPr="00851ABE">
        <w:t xml:space="preserve">number of person trips that would be generated by the </w:t>
      </w:r>
      <w:r w:rsidR="009024D6" w:rsidRPr="00851ABE">
        <w:t>proposed p</w:t>
      </w:r>
      <w:r w:rsidR="003008FA" w:rsidRPr="00851ABE">
        <w:t>roject was calculated according to the LA County Congestion Management Program guidelines</w:t>
      </w:r>
      <w:r>
        <w:t>, which</w:t>
      </w:r>
      <w:r w:rsidR="003008FA" w:rsidRPr="00851ABE">
        <w:t xml:space="preserve"> recommend estimating the number of person trips by multiplying the project’s peak hour </w:t>
      </w:r>
      <w:r>
        <w:t>vehicle trip</w:t>
      </w:r>
      <w:r w:rsidRPr="00851ABE">
        <w:t xml:space="preserve"> </w:t>
      </w:r>
      <w:r w:rsidR="003008FA" w:rsidRPr="00851ABE">
        <w:t>estimate by 1.4.</w:t>
      </w:r>
      <w:r w:rsidR="00FD6C2A" w:rsidRPr="00851ABE">
        <w:rPr>
          <w:rStyle w:val="FootnoteReference"/>
        </w:rPr>
        <w:footnoteReference w:id="33"/>
      </w:r>
      <w:r w:rsidR="003008FA" w:rsidRPr="00851ABE">
        <w:t xml:space="preserve"> Th</w:t>
      </w:r>
      <w:r w:rsidR="00FD6C2A" w:rsidRPr="00851ABE">
        <w:t>e proposed project</w:t>
      </w:r>
      <w:r>
        <w:t>’</w:t>
      </w:r>
      <w:r w:rsidR="00FD6C2A" w:rsidRPr="00851ABE">
        <w:t>s peak hour estimate is 34 trips</w:t>
      </w:r>
      <w:r>
        <w:t>,</w:t>
      </w:r>
      <w:r w:rsidR="003008FA" w:rsidRPr="00851ABE">
        <w:t xml:space="preserve"> </w:t>
      </w:r>
      <w:r>
        <w:t>and</w:t>
      </w:r>
      <w:r w:rsidRPr="00851ABE">
        <w:t xml:space="preserve"> </w:t>
      </w:r>
      <w:r w:rsidR="00FD6C2A" w:rsidRPr="00851ABE">
        <w:t xml:space="preserve">the Pepsi Bottling Group </w:t>
      </w:r>
      <w:r w:rsidR="007F1464">
        <w:t>bottling plant</w:t>
      </w:r>
      <w:r w:rsidR="00FD6C2A" w:rsidRPr="00851ABE">
        <w:t xml:space="preserve"> generated </w:t>
      </w:r>
      <w:r w:rsidR="00851ABE" w:rsidRPr="00851ABE">
        <w:t>13 trips</w:t>
      </w:r>
      <w:r w:rsidR="00FD6C2A" w:rsidRPr="00851ABE">
        <w:t xml:space="preserve"> during peak hour traffic.</w:t>
      </w:r>
      <w:r w:rsidR="00851ABE" w:rsidRPr="00851ABE">
        <w:rPr>
          <w:rStyle w:val="FootnoteReference"/>
        </w:rPr>
        <w:footnoteReference w:id="34"/>
      </w:r>
      <w:r w:rsidR="00FD6C2A" w:rsidRPr="00851ABE">
        <w:t xml:space="preserve"> Therefore, the net increase is 2</w:t>
      </w:r>
      <w:r w:rsidR="00851ABE" w:rsidRPr="00851ABE">
        <w:t>1</w:t>
      </w:r>
      <w:r w:rsidR="00BC556C">
        <w:t xml:space="preserve"> vehicle</w:t>
      </w:r>
      <w:r w:rsidR="00FD6C2A" w:rsidRPr="00851ABE">
        <w:t xml:space="preserve"> trips</w:t>
      </w:r>
      <w:r w:rsidR="00BC556C">
        <w:t>,</w:t>
      </w:r>
      <w:r w:rsidR="00FD6C2A" w:rsidRPr="00851ABE">
        <w:t xml:space="preserve"> which </w:t>
      </w:r>
      <w:r w:rsidR="003008FA" w:rsidRPr="00851ABE">
        <w:t>would equa</w:t>
      </w:r>
      <w:r w:rsidR="00BC556C">
        <w:t>l</w:t>
      </w:r>
      <w:r w:rsidR="003008FA" w:rsidRPr="00851ABE">
        <w:t xml:space="preserve"> </w:t>
      </w:r>
      <w:r w:rsidR="00851ABE" w:rsidRPr="00851ABE">
        <w:t>29</w:t>
      </w:r>
      <w:r w:rsidR="003008FA" w:rsidRPr="00851ABE">
        <w:t xml:space="preserve"> person trips (</w:t>
      </w:r>
      <w:r w:rsidR="00FD6C2A" w:rsidRPr="00851ABE">
        <w:t>2</w:t>
      </w:r>
      <w:r w:rsidR="00851ABE" w:rsidRPr="00851ABE">
        <w:t>1</w:t>
      </w:r>
      <w:r w:rsidR="003008FA" w:rsidRPr="00851ABE">
        <w:t xml:space="preserve"> x 1.4)</w:t>
      </w:r>
      <w:r w:rsidR="00FD6C2A" w:rsidRPr="00851ABE">
        <w:t>.</w:t>
      </w:r>
      <w:r w:rsidR="003008FA" w:rsidRPr="00851ABE">
        <w:t xml:space="preserve"> The number of transit trips generated would be 3.5 percent of the total person trips, </w:t>
      </w:r>
      <w:r w:rsidR="00BC556C">
        <w:t xml:space="preserve">so </w:t>
      </w:r>
      <w:r w:rsidR="003008FA" w:rsidRPr="00851ABE">
        <w:t xml:space="preserve">the </w:t>
      </w:r>
      <w:r w:rsidR="009024D6" w:rsidRPr="00851ABE">
        <w:t>proposed p</w:t>
      </w:r>
      <w:r w:rsidR="003008FA" w:rsidRPr="00851ABE">
        <w:t xml:space="preserve">roject would generate approximately </w:t>
      </w:r>
      <w:r w:rsidR="00851ABE" w:rsidRPr="00851ABE">
        <w:t xml:space="preserve">1 </w:t>
      </w:r>
      <w:r w:rsidR="003008FA" w:rsidRPr="00851ABE">
        <w:t>transit trip (</w:t>
      </w:r>
      <w:r w:rsidR="00851ABE" w:rsidRPr="00851ABE">
        <w:t>29</w:t>
      </w:r>
      <w:r w:rsidR="003008FA" w:rsidRPr="00851ABE">
        <w:t xml:space="preserve"> x 0.035) during the AM peak hour. </w:t>
      </w:r>
      <w:r w:rsidR="00BC556C">
        <w:t>Because</w:t>
      </w:r>
      <w:r w:rsidR="00BC556C" w:rsidRPr="00851ABE">
        <w:t xml:space="preserve"> </w:t>
      </w:r>
      <w:r w:rsidR="003008FA" w:rsidRPr="00851ABE">
        <w:t xml:space="preserve">the number of transit trips generated by the </w:t>
      </w:r>
      <w:r w:rsidR="009024D6" w:rsidRPr="00851ABE">
        <w:t>proposed p</w:t>
      </w:r>
      <w:r w:rsidR="003008FA" w:rsidRPr="00851ABE">
        <w:t xml:space="preserve">roject would be minimal, it is anticipated that the existing transit service in the project area would be able to accommodate the project-generated transit trips. The existing public transit system would not be impacted by the </w:t>
      </w:r>
      <w:r w:rsidR="009024D6" w:rsidRPr="00851ABE">
        <w:t>proposed p</w:t>
      </w:r>
      <w:r w:rsidR="003008FA" w:rsidRPr="00851ABE">
        <w:t xml:space="preserve">roject. </w:t>
      </w:r>
    </w:p>
    <w:p w14:paraId="6BF00DC6" w14:textId="77777777" w:rsidR="00355D43" w:rsidRPr="003C202D" w:rsidRDefault="00355D43" w:rsidP="00D10CF6">
      <w:pPr>
        <w:pStyle w:val="BodyText"/>
      </w:pPr>
      <w:bookmarkStart w:id="218" w:name="_Hlk78042501"/>
      <w:r w:rsidRPr="00F32052">
        <w:t xml:space="preserve">The </w:t>
      </w:r>
      <w:r w:rsidR="003008FA" w:rsidRPr="00F32052">
        <w:t>p</w:t>
      </w:r>
      <w:r w:rsidRPr="00F32052">
        <w:t xml:space="preserve">roposed </w:t>
      </w:r>
      <w:r w:rsidR="003008FA" w:rsidRPr="00F32052">
        <w:t>p</w:t>
      </w:r>
      <w:r w:rsidRPr="00F32052">
        <w:t>roject would not result in a conflict with a program, plan, ordinance</w:t>
      </w:r>
      <w:r w:rsidR="00BC556C" w:rsidRPr="00F32052">
        <w:t>,</w:t>
      </w:r>
      <w:r w:rsidRPr="00F32052">
        <w:t xml:space="preserve"> or policy addressing the alternate mode of transportation facilities</w:t>
      </w:r>
      <w:r w:rsidR="003C202D" w:rsidRPr="00F32052">
        <w:t xml:space="preserve"> with the implementation of mitigation measure T-1.</w:t>
      </w:r>
    </w:p>
    <w:bookmarkEnd w:id="218"/>
    <w:p w14:paraId="734D5B9D" w14:textId="77777777" w:rsidR="00343898" w:rsidRPr="00343898" w:rsidRDefault="00343898" w:rsidP="00343898">
      <w:pPr>
        <w:pStyle w:val="Heading5"/>
      </w:pPr>
      <w:r w:rsidRPr="00343898">
        <w:t>Mitigation Measures</w:t>
      </w:r>
    </w:p>
    <w:p w14:paraId="79C08B72" w14:textId="77777777" w:rsidR="00343898" w:rsidRPr="00343898" w:rsidRDefault="00343898" w:rsidP="00343898">
      <w:pPr>
        <w:pStyle w:val="MitigationText"/>
      </w:pPr>
      <w:r w:rsidRPr="00343898">
        <w:t>T-1</w:t>
      </w:r>
      <w:r w:rsidRPr="00343898">
        <w:tab/>
      </w:r>
      <w:r w:rsidR="00EA56DB">
        <w:t xml:space="preserve">Prior to the issuance of </w:t>
      </w:r>
      <w:r w:rsidR="002A0EB7" w:rsidRPr="002A0EB7">
        <w:t>occupancy permits</w:t>
      </w:r>
      <w:r w:rsidR="00EA56DB">
        <w:t>, t</w:t>
      </w:r>
      <w:r w:rsidRPr="00343898">
        <w:t>he pro</w:t>
      </w:r>
      <w:r w:rsidR="00EA56DB">
        <w:t xml:space="preserve">ject </w:t>
      </w:r>
      <w:r w:rsidR="00BC556C">
        <w:t>a</w:t>
      </w:r>
      <w:r w:rsidR="00EA56DB">
        <w:t>pplicant</w:t>
      </w:r>
      <w:r w:rsidRPr="00343898">
        <w:t xml:space="preserve"> </w:t>
      </w:r>
      <w:r w:rsidR="00DD7ED4">
        <w:t>shall</w:t>
      </w:r>
      <w:r w:rsidR="00DD7ED4" w:rsidRPr="00343898">
        <w:t xml:space="preserve"> </w:t>
      </w:r>
      <w:r w:rsidRPr="00343898">
        <w:t xml:space="preserve">provide the following </w:t>
      </w:r>
      <w:r w:rsidR="00EA56DB">
        <w:t xml:space="preserve">improvements </w:t>
      </w:r>
      <w:r w:rsidRPr="00343898">
        <w:t>at the intersection of Azusa Canyon Road and Los Angeles Street:</w:t>
      </w:r>
    </w:p>
    <w:p w14:paraId="6AB28687" w14:textId="77777777" w:rsidR="00343898" w:rsidRPr="00343898" w:rsidRDefault="00343898" w:rsidP="00343898">
      <w:pPr>
        <w:pStyle w:val="Bullet1last"/>
        <w:tabs>
          <w:tab w:val="left" w:pos="1710"/>
        </w:tabs>
        <w:ind w:left="1440" w:firstLine="0"/>
      </w:pPr>
      <w:r w:rsidRPr="00343898">
        <w:t>A new crosswalk on the east leg of the intersection.</w:t>
      </w:r>
    </w:p>
    <w:p w14:paraId="5DDFDB75" w14:textId="77777777" w:rsidR="00343898" w:rsidRPr="00343898" w:rsidRDefault="00343898" w:rsidP="00343898">
      <w:pPr>
        <w:pStyle w:val="Bullet1last"/>
        <w:tabs>
          <w:tab w:val="left" w:pos="1710"/>
        </w:tabs>
        <w:ind w:left="1440" w:firstLine="0"/>
      </w:pPr>
      <w:r w:rsidRPr="00343898">
        <w:t>A new crosswalk on the west leg of the intersection.</w:t>
      </w:r>
    </w:p>
    <w:p w14:paraId="6FF2FF5A" w14:textId="77777777" w:rsidR="00343898" w:rsidRPr="00343898" w:rsidRDefault="00343898" w:rsidP="00343898">
      <w:pPr>
        <w:pStyle w:val="Bullet1last"/>
        <w:tabs>
          <w:tab w:val="left" w:pos="1710"/>
        </w:tabs>
        <w:ind w:left="1710" w:hanging="270"/>
      </w:pPr>
      <w:r w:rsidRPr="00343898">
        <w:t>Restrict on</w:t>
      </w:r>
      <w:r w:rsidRPr="00343898">
        <w:rPr>
          <w:rFonts w:ascii="Cambria Math" w:hAnsi="Cambria Math" w:cs="Cambria Math"/>
        </w:rPr>
        <w:t>‐</w:t>
      </w:r>
      <w:r w:rsidRPr="00343898">
        <w:t>street parking on the south side of Los Angeles Street, east of Azusa Canyon Road, within 150 feet of the intersection.</w:t>
      </w:r>
    </w:p>
    <w:p w14:paraId="583B1675" w14:textId="77777777" w:rsidR="00343898" w:rsidRPr="00343898" w:rsidRDefault="00343898" w:rsidP="00343898">
      <w:pPr>
        <w:pStyle w:val="Bullet1last"/>
        <w:tabs>
          <w:tab w:val="left" w:pos="1710"/>
        </w:tabs>
        <w:ind w:left="1710" w:hanging="270"/>
      </w:pPr>
      <w:r w:rsidRPr="00343898">
        <w:t>Restrict on</w:t>
      </w:r>
      <w:r w:rsidR="00BC556C">
        <w:t>-</w:t>
      </w:r>
      <w:r w:rsidRPr="00343898">
        <w:t>street parking on the east side of Azusa Canyon Road, north of Los Angeles Street, within 150 feet of the intersection.</w:t>
      </w:r>
    </w:p>
    <w:p w14:paraId="6DD95C98" w14:textId="77777777" w:rsidR="00343898" w:rsidRPr="00343898" w:rsidRDefault="00343898" w:rsidP="00343898">
      <w:pPr>
        <w:pStyle w:val="Bullet1last"/>
        <w:tabs>
          <w:tab w:val="left" w:pos="1710"/>
        </w:tabs>
        <w:ind w:left="1710" w:hanging="270"/>
      </w:pPr>
      <w:r w:rsidRPr="00343898">
        <w:t xml:space="preserve">Review sight distance and other safety considerations prior to finalization of the proposed driveways. </w:t>
      </w:r>
    </w:p>
    <w:p w14:paraId="46C2281B" w14:textId="77777777" w:rsidR="00D10CF6" w:rsidRDefault="00571920" w:rsidP="009D6ECC">
      <w:pPr>
        <w:pStyle w:val="List"/>
        <w:numPr>
          <w:ilvl w:val="0"/>
          <w:numId w:val="45"/>
        </w:numPr>
      </w:pPr>
      <w:r w:rsidRPr="00571920">
        <w:t>Conflict or be inconsistent with CEQA Guidelines § 15064.3, subdivision (b</w:t>
      </w:r>
      <w:r>
        <w:t>)</w:t>
      </w:r>
      <w:r w:rsidR="00D10CF6" w:rsidRPr="003E5494">
        <w:t>?</w:t>
      </w:r>
    </w:p>
    <w:p w14:paraId="21897B70" w14:textId="77777777" w:rsidR="00DE7512" w:rsidRPr="00B43583" w:rsidRDefault="009515DC" w:rsidP="00DE7512">
      <w:pPr>
        <w:pStyle w:val="BodyText"/>
      </w:pPr>
      <w:r>
        <w:rPr>
          <w:rStyle w:val="BodyTextBoldChar"/>
        </w:rPr>
        <w:t xml:space="preserve">Less </w:t>
      </w:r>
      <w:r w:rsidR="00BC556C">
        <w:rPr>
          <w:rStyle w:val="BodyTextBoldChar"/>
        </w:rPr>
        <w:t>T</w:t>
      </w:r>
      <w:r w:rsidR="00BC556C" w:rsidRPr="00B43583">
        <w:rPr>
          <w:rStyle w:val="BodyTextBoldChar"/>
        </w:rPr>
        <w:t xml:space="preserve">han </w:t>
      </w:r>
      <w:r w:rsidR="00D10CF6" w:rsidRPr="00B43583">
        <w:rPr>
          <w:rStyle w:val="BodyTextBoldChar"/>
        </w:rPr>
        <w:t xml:space="preserve">Significant Impact. </w:t>
      </w:r>
      <w:r w:rsidR="00BC556C" w:rsidRPr="00B43583">
        <w:t xml:space="preserve">With </w:t>
      </w:r>
      <w:r w:rsidR="00DE7512" w:rsidRPr="00B43583">
        <w:t>adoption of Senate Bill 375, the state signaled its commitment to encourage land use and transportation planning decisions and investments that reduce vehicle miles traveled (VMT) and contribute to the reduction of GHG, as required by the California Global Warming Solutions Act of 2006 (Assembly Bill</w:t>
      </w:r>
      <w:r w:rsidR="00BC556C">
        <w:t xml:space="preserve"> 32</w:t>
      </w:r>
      <w:r w:rsidR="00DE7512" w:rsidRPr="00B43583">
        <w:t xml:space="preserve"> [AB 32]). Additionally, AB 1358 (Complete Streets Act) requires local governments to plan for a balanced, multimodal transportation network that meets the needs of all users.</w:t>
      </w:r>
    </w:p>
    <w:p w14:paraId="3251332F" w14:textId="77777777" w:rsidR="00DE7512" w:rsidRPr="00B43583" w:rsidRDefault="00DE7512" w:rsidP="00DE7512">
      <w:pPr>
        <w:pStyle w:val="BodyText"/>
      </w:pPr>
      <w:r w:rsidRPr="00B43583">
        <w:t>On September 27, 2013, SB 743 started a process that fundamentally change</w:t>
      </w:r>
      <w:r w:rsidR="00BC556C">
        <w:t>d</w:t>
      </w:r>
      <w:r w:rsidRPr="00B43583">
        <w:t xml:space="preserve"> transportation impact analysis as part of CEQA compliance. </w:t>
      </w:r>
      <w:r w:rsidR="00BC556C" w:rsidRPr="00B43583">
        <w:t xml:space="preserve">Changes </w:t>
      </w:r>
      <w:r w:rsidRPr="00B43583">
        <w:t>include the elimination of auto delay, level of service (LOS), and similar measures of vehicular capacity or traffic congestion as a basis for determining significant impacts in many parts of California (if not statewide). As part of the updated CEQA Guidelines, the new criteria “shall promote the reduction of greenhouse gas emissions, the development of multimodal transportation networks, and a diversity of land uses” (</w:t>
      </w:r>
      <w:r w:rsidR="00BC556C">
        <w:t>PRC</w:t>
      </w:r>
      <w:r w:rsidRPr="00B43583">
        <w:t xml:space="preserve"> Section 21099(b)(1)). On January 20, 2016, </w:t>
      </w:r>
      <w:r w:rsidR="00BC556C">
        <w:t>the Governor’s Office of Planning and Research</w:t>
      </w:r>
      <w:r w:rsidR="00BC556C" w:rsidRPr="00B43583">
        <w:t xml:space="preserve"> </w:t>
      </w:r>
      <w:r w:rsidR="00BC556C">
        <w:t xml:space="preserve">(OPR) </w:t>
      </w:r>
      <w:r w:rsidRPr="00B43583">
        <w:t xml:space="preserve">released revisions to </w:t>
      </w:r>
      <w:r w:rsidR="00BC556C">
        <w:t>the</w:t>
      </w:r>
      <w:r w:rsidRPr="00B43583">
        <w:t xml:space="preserve"> CEQA guidelines for the implementation of SB</w:t>
      </w:r>
      <w:r w:rsidR="00BC556C">
        <w:t xml:space="preserve"> </w:t>
      </w:r>
      <w:r w:rsidRPr="00B43583">
        <w:t>743. Final review and rulemaking for the new guidelines were completed in December 28, 2018</w:t>
      </w:r>
      <w:r w:rsidR="00BC556C">
        <w:t>,</w:t>
      </w:r>
      <w:r w:rsidRPr="00B43583">
        <w:t xml:space="preserve"> when the Natural Resource</w:t>
      </w:r>
      <w:r w:rsidR="00BC556C">
        <w:t>s</w:t>
      </w:r>
      <w:r w:rsidRPr="00B43583">
        <w:t xml:space="preserve"> Agency certified and adopted the CEQA Guidelines update package, including guidelines implementing Senate Bill 743. OPR </w:t>
      </w:r>
      <w:r w:rsidR="00BC556C" w:rsidRPr="00B43583">
        <w:t>allow</w:t>
      </w:r>
      <w:r w:rsidR="00BC556C">
        <w:t>ed</w:t>
      </w:r>
      <w:r w:rsidR="00BC556C" w:rsidRPr="00B43583">
        <w:t xml:space="preserve"> </w:t>
      </w:r>
      <w:r w:rsidRPr="00B43583">
        <w:t>agencies an opt-in period to adopt the guidelines</w:t>
      </w:r>
      <w:r w:rsidR="00BC556C">
        <w:t>, but</w:t>
      </w:r>
      <w:r w:rsidR="00BC556C" w:rsidRPr="00B43583">
        <w:t xml:space="preserve"> </w:t>
      </w:r>
      <w:r w:rsidRPr="00B43583">
        <w:t xml:space="preserve">they </w:t>
      </w:r>
      <w:r w:rsidR="00BC556C" w:rsidRPr="00B43583">
        <w:t>bec</w:t>
      </w:r>
      <w:r w:rsidR="00BC556C">
        <w:t>a</w:t>
      </w:r>
      <w:r w:rsidR="00BC556C" w:rsidRPr="00B43583">
        <w:t xml:space="preserve">me </w:t>
      </w:r>
      <w:r w:rsidRPr="00B43583">
        <w:t>mandatory on July 1, 2020.</w:t>
      </w:r>
    </w:p>
    <w:p w14:paraId="70254E17" w14:textId="77777777" w:rsidR="00DE7512" w:rsidRPr="00B43583" w:rsidRDefault="00DE7512" w:rsidP="00D10CF6">
      <w:pPr>
        <w:pStyle w:val="BodyText"/>
      </w:pPr>
      <w:r w:rsidRPr="00B43583">
        <w:t xml:space="preserve">VMT corresponds to number of vehicles multiplied by the distance traveled in a given period over a geographical area. In other words, VMT = daily trips x average trip length. </w:t>
      </w:r>
    </w:p>
    <w:p w14:paraId="6231B526" w14:textId="2C45BA13" w:rsidR="00B61E7C" w:rsidRDefault="006B62C1" w:rsidP="00826C5C">
      <w:pPr>
        <w:pStyle w:val="BodyText"/>
        <w:spacing w:after="240"/>
      </w:pPr>
      <w:r w:rsidRPr="00B43583">
        <w:t xml:space="preserve">Under SB 743, a </w:t>
      </w:r>
      <w:r w:rsidR="00DA1F1B">
        <w:t>c</w:t>
      </w:r>
      <w:r w:rsidRPr="00B43583">
        <w:t xml:space="preserve">ity can decide to screen out certain projects from needing a complete VMT analysis. OPR has advised that certain projects could be cleared from further analysis based on size, type, location, and/or proximity to a major transit stop or high-quality transit. </w:t>
      </w:r>
      <w:r w:rsidR="00DA1F1B" w:rsidRPr="00DA1F1B">
        <w:t>The City of Irwindale adopted its VMT thresholds on November 11</w:t>
      </w:r>
      <w:r w:rsidR="00DA1F1B" w:rsidRPr="00E10913">
        <w:rPr>
          <w:vertAlign w:val="superscript"/>
        </w:rPr>
        <w:t>th</w:t>
      </w:r>
      <w:r w:rsidR="00DA1F1B" w:rsidRPr="00DA1F1B">
        <w:t>, 2020.</w:t>
      </w:r>
      <w:r w:rsidR="00DA1F1B">
        <w:t xml:space="preserve"> </w:t>
      </w:r>
      <w:r w:rsidR="00B61E7C" w:rsidRPr="00B61E7C">
        <w:t xml:space="preserve">Since the City of Irwindale’s VMT thresholds do not include screening criteria, </w:t>
      </w:r>
      <w:r w:rsidR="00B61E7C">
        <w:t>t</w:t>
      </w:r>
      <w:r w:rsidR="00B43583" w:rsidRPr="00B43583">
        <w:t>he County of Los Angeles</w:t>
      </w:r>
      <w:r w:rsidR="00B61E7C">
        <w:t>’</w:t>
      </w:r>
      <w:r w:rsidR="00B43583" w:rsidRPr="00B43583">
        <w:t xml:space="preserve"> Guidelines </w:t>
      </w:r>
      <w:r w:rsidR="00B61E7C">
        <w:t xml:space="preserve">were used. The County </w:t>
      </w:r>
      <w:r w:rsidR="00B43583" w:rsidRPr="00B43583">
        <w:t>require</w:t>
      </w:r>
      <w:r w:rsidR="00B61E7C">
        <w:t>s</w:t>
      </w:r>
      <w:r w:rsidR="00B43583" w:rsidRPr="00B43583">
        <w:t xml:space="preserve"> VMT analysis for development projects that are estimated to generate a net increase of 110 or more daily vehicle trips.</w:t>
      </w:r>
      <w:r w:rsidR="00B61E7C" w:rsidRPr="00B61E7C">
        <w:t xml:space="preserve"> </w:t>
      </w:r>
      <w:r w:rsidR="00B61E7C">
        <w:t xml:space="preserve">The </w:t>
      </w:r>
      <w:r w:rsidR="00B61E7C" w:rsidRPr="00B61E7C">
        <w:t xml:space="preserve">State’s Technical Advisory </w:t>
      </w:r>
      <w:r w:rsidR="00B61E7C">
        <w:t>include the same requirement</w:t>
      </w:r>
      <w:r w:rsidR="00B61E7C" w:rsidRPr="00B61E7C">
        <w:t xml:space="preserve">. Daily vehicle trips are specifically related to on-road passenger vehicles (cars and light trucks). Heavy trucks are not included in a VMT traffic impact analysis. </w:t>
      </w:r>
    </w:p>
    <w:p w14:paraId="27FF691E" w14:textId="4F278428" w:rsidR="00B43583" w:rsidRDefault="00B43583" w:rsidP="00B43583">
      <w:pPr>
        <w:pStyle w:val="BodyText"/>
        <w:spacing w:after="240"/>
      </w:pPr>
      <w:r w:rsidRPr="00B43583">
        <w:t xml:space="preserve">The passenger car trip generation for the proposed project is 197 daily trips, but the estimated trip generation </w:t>
      </w:r>
      <w:r w:rsidR="00114C61">
        <w:t xml:space="preserve">for the Pepsi bottling plant </w:t>
      </w:r>
      <w:r w:rsidRPr="00B43583">
        <w:t xml:space="preserve">is 88 daily trips Therefore, the net </w:t>
      </w:r>
      <w:r w:rsidR="00114C61">
        <w:t xml:space="preserve">increase in the </w:t>
      </w:r>
      <w:r w:rsidRPr="00B43583">
        <w:t>proposed project</w:t>
      </w:r>
      <w:r w:rsidR="00114C61">
        <w:t>’s</w:t>
      </w:r>
      <w:r w:rsidRPr="00B43583">
        <w:t xml:space="preserve"> passenger car trip generation is 109 vehicles per day, </w:t>
      </w:r>
      <w:r w:rsidR="000573F8">
        <w:t>just under the threshold of</w:t>
      </w:r>
      <w:r w:rsidRPr="00B43583">
        <w:t xml:space="preserve"> 110 vehicles per day</w:t>
      </w:r>
      <w:r w:rsidR="00114C61">
        <w:t xml:space="preserve"> (see Table </w:t>
      </w:r>
      <w:r w:rsidR="00345BC8">
        <w:t>25</w:t>
      </w:r>
      <w:r w:rsidR="00114C61">
        <w:t>)</w:t>
      </w:r>
      <w:r w:rsidR="00826C5C">
        <w:t>. The</w:t>
      </w:r>
      <w:r w:rsidR="00DA1F1B">
        <w:t>refore,</w:t>
      </w:r>
      <w:r w:rsidR="00826C5C">
        <w:t xml:space="preserve"> proposed project </w:t>
      </w:r>
      <w:r w:rsidRPr="00B43583">
        <w:t xml:space="preserve">would </w:t>
      </w:r>
      <w:r w:rsidR="00826C5C">
        <w:t xml:space="preserve">not </w:t>
      </w:r>
      <w:r w:rsidRPr="00B43583">
        <w:t xml:space="preserve">require further VMT analysis </w:t>
      </w:r>
      <w:r w:rsidR="00826C5C">
        <w:t>and</w:t>
      </w:r>
      <w:r w:rsidRPr="00B43583">
        <w:t xml:space="preserve"> </w:t>
      </w:r>
      <w:r w:rsidR="00826C5C" w:rsidRPr="00B43583">
        <w:t>would have</w:t>
      </w:r>
      <w:r w:rsidRPr="00B43583">
        <w:t xml:space="preserve"> a less than significant impact.</w:t>
      </w:r>
    </w:p>
    <w:tbl>
      <w:tblPr>
        <w:tblW w:w="9360" w:type="dxa"/>
        <w:jc w:val="center"/>
        <w:tblBorders>
          <w:bottom w:val="single" w:sz="12" w:space="0" w:color="auto"/>
        </w:tblBorders>
        <w:tblLook w:val="0000" w:firstRow="0" w:lastRow="0" w:firstColumn="0" w:lastColumn="0" w:noHBand="0" w:noVBand="0"/>
      </w:tblPr>
      <w:tblGrid>
        <w:gridCol w:w="1259"/>
        <w:gridCol w:w="1174"/>
        <w:gridCol w:w="1170"/>
        <w:gridCol w:w="811"/>
        <w:gridCol w:w="987"/>
        <w:gridCol w:w="988"/>
        <w:gridCol w:w="1350"/>
        <w:gridCol w:w="1621"/>
      </w:tblGrid>
      <w:tr w:rsidR="00583C4B" w:rsidRPr="009C2474" w14:paraId="517DB9E0" w14:textId="77777777" w:rsidTr="00583C4B">
        <w:trPr>
          <w:trHeight w:val="251"/>
          <w:tblHeader/>
          <w:jc w:val="center"/>
        </w:trPr>
        <w:tc>
          <w:tcPr>
            <w:tcW w:w="5000" w:type="pct"/>
            <w:gridSpan w:val="8"/>
            <w:tcBorders>
              <w:bottom w:val="single" w:sz="12" w:space="0" w:color="auto"/>
            </w:tcBorders>
          </w:tcPr>
          <w:p w14:paraId="0C707679" w14:textId="59FD6613" w:rsidR="00583C4B" w:rsidRPr="009C2474" w:rsidRDefault="00583C4B" w:rsidP="00FD0109">
            <w:pPr>
              <w:pStyle w:val="TblTitles"/>
              <w:keepNext/>
            </w:pPr>
            <w:bookmarkStart w:id="219" w:name="_Toc90882271"/>
            <w:r w:rsidRPr="00320C15">
              <w:t xml:space="preserve">Table </w:t>
            </w:r>
            <w:r w:rsidR="00345BC8" w:rsidRPr="00320C15">
              <w:t>2</w:t>
            </w:r>
            <w:r w:rsidR="00345BC8">
              <w:t>5</w:t>
            </w:r>
            <w:r w:rsidRPr="00320C15">
              <w:tab/>
            </w:r>
            <w:r>
              <w:t>Former and Proposed Trip Generation Summary</w:t>
            </w:r>
            <w:bookmarkEnd w:id="219"/>
            <w:r>
              <w:t xml:space="preserve"> </w:t>
            </w:r>
          </w:p>
        </w:tc>
      </w:tr>
      <w:tr w:rsidR="00B30965" w:rsidRPr="009C2474" w14:paraId="154D10B9" w14:textId="77777777" w:rsidTr="003C35DD">
        <w:tblPrEx>
          <w:tblBorders>
            <w:bottom w:val="none" w:sz="0" w:space="0" w:color="auto"/>
          </w:tblBorders>
        </w:tblPrEx>
        <w:trPr>
          <w:trHeight w:val="252"/>
          <w:tblHeader/>
          <w:jc w:val="center"/>
        </w:trPr>
        <w:tc>
          <w:tcPr>
            <w:tcW w:w="673" w:type="pct"/>
            <w:vMerge w:val="restart"/>
            <w:tcBorders>
              <w:right w:val="single" w:sz="12" w:space="0" w:color="auto"/>
            </w:tcBorders>
            <w:shd w:val="clear" w:color="auto" w:fill="auto"/>
            <w:vAlign w:val="bottom"/>
          </w:tcPr>
          <w:p w14:paraId="5F50AFDF" w14:textId="77777777" w:rsidR="00B30965" w:rsidRPr="003C35DD" w:rsidRDefault="00B30965" w:rsidP="003C35DD">
            <w:pPr>
              <w:pStyle w:val="TblColumnHeads"/>
            </w:pPr>
            <w:r w:rsidRPr="003C35DD">
              <w:t>Land Use</w:t>
            </w:r>
          </w:p>
        </w:tc>
        <w:tc>
          <w:tcPr>
            <w:tcW w:w="1685" w:type="pct"/>
            <w:gridSpan w:val="3"/>
            <w:tcBorders>
              <w:left w:val="single" w:sz="12" w:space="0" w:color="auto"/>
              <w:bottom w:val="single" w:sz="4" w:space="0" w:color="auto"/>
              <w:right w:val="single" w:sz="12" w:space="0" w:color="auto"/>
            </w:tcBorders>
            <w:shd w:val="clear" w:color="auto" w:fill="auto"/>
            <w:vAlign w:val="bottom"/>
          </w:tcPr>
          <w:p w14:paraId="3577F4A0" w14:textId="77777777" w:rsidR="00B30965" w:rsidRPr="003C35DD" w:rsidRDefault="00B30965" w:rsidP="003C35DD">
            <w:pPr>
              <w:pStyle w:val="TblColumnHeads"/>
            </w:pPr>
            <w:r w:rsidRPr="003C35DD">
              <w:t>AM Peak Hour</w:t>
            </w:r>
          </w:p>
        </w:tc>
        <w:tc>
          <w:tcPr>
            <w:tcW w:w="1776" w:type="pct"/>
            <w:gridSpan w:val="3"/>
            <w:tcBorders>
              <w:left w:val="single" w:sz="12" w:space="0" w:color="auto"/>
              <w:bottom w:val="single" w:sz="4" w:space="0" w:color="auto"/>
              <w:right w:val="single" w:sz="12" w:space="0" w:color="auto"/>
            </w:tcBorders>
          </w:tcPr>
          <w:p w14:paraId="55F06634" w14:textId="77777777" w:rsidR="00B30965" w:rsidRPr="003C35DD" w:rsidRDefault="00B30965" w:rsidP="003C35DD">
            <w:pPr>
              <w:pStyle w:val="TblColumnHeads"/>
            </w:pPr>
            <w:r w:rsidRPr="003C35DD">
              <w:t>PM Peak Hour</w:t>
            </w:r>
          </w:p>
        </w:tc>
        <w:tc>
          <w:tcPr>
            <w:tcW w:w="866" w:type="pct"/>
            <w:vMerge w:val="restart"/>
            <w:tcBorders>
              <w:left w:val="single" w:sz="12" w:space="0" w:color="auto"/>
            </w:tcBorders>
            <w:vAlign w:val="bottom"/>
          </w:tcPr>
          <w:p w14:paraId="028DCF0E" w14:textId="77777777" w:rsidR="00B30965" w:rsidRDefault="00B30965" w:rsidP="003C35DD">
            <w:pPr>
              <w:pStyle w:val="TblColumnHeads"/>
            </w:pPr>
            <w:r w:rsidRPr="003C35DD">
              <w:t>Daily</w:t>
            </w:r>
          </w:p>
        </w:tc>
      </w:tr>
      <w:tr w:rsidR="00B30965" w:rsidRPr="009C2474" w14:paraId="1B0EE641" w14:textId="77777777" w:rsidTr="003C35DD">
        <w:tblPrEx>
          <w:tblBorders>
            <w:bottom w:val="none" w:sz="0" w:space="0" w:color="auto"/>
          </w:tblBorders>
        </w:tblPrEx>
        <w:trPr>
          <w:trHeight w:val="252"/>
          <w:tblHeader/>
          <w:jc w:val="center"/>
        </w:trPr>
        <w:tc>
          <w:tcPr>
            <w:tcW w:w="673" w:type="pct"/>
            <w:vMerge/>
            <w:tcBorders>
              <w:right w:val="single" w:sz="12" w:space="0" w:color="auto"/>
            </w:tcBorders>
            <w:shd w:val="clear" w:color="auto" w:fill="auto"/>
            <w:vAlign w:val="bottom"/>
          </w:tcPr>
          <w:p w14:paraId="48874B5F" w14:textId="77777777" w:rsidR="00B30965" w:rsidRPr="003C35DD" w:rsidRDefault="00B30965" w:rsidP="003C35DD">
            <w:pPr>
              <w:pStyle w:val="TblColumnHeads"/>
            </w:pPr>
          </w:p>
        </w:tc>
        <w:tc>
          <w:tcPr>
            <w:tcW w:w="627" w:type="pct"/>
            <w:tcBorders>
              <w:top w:val="single" w:sz="4" w:space="0" w:color="auto"/>
              <w:left w:val="single" w:sz="12" w:space="0" w:color="auto"/>
              <w:right w:val="single" w:sz="4" w:space="0" w:color="auto"/>
            </w:tcBorders>
            <w:shd w:val="clear" w:color="auto" w:fill="auto"/>
            <w:vAlign w:val="bottom"/>
          </w:tcPr>
          <w:p w14:paraId="096354E8" w14:textId="77777777" w:rsidR="00B30965" w:rsidRPr="003C35DD" w:rsidRDefault="00B30965" w:rsidP="003C35DD">
            <w:pPr>
              <w:pStyle w:val="TblColumnHeads"/>
            </w:pPr>
            <w:r w:rsidRPr="003C35DD">
              <w:t>In</w:t>
            </w:r>
          </w:p>
        </w:tc>
        <w:tc>
          <w:tcPr>
            <w:tcW w:w="625" w:type="pct"/>
            <w:tcBorders>
              <w:top w:val="single" w:sz="4" w:space="0" w:color="auto"/>
              <w:left w:val="single" w:sz="4" w:space="0" w:color="auto"/>
            </w:tcBorders>
            <w:vAlign w:val="bottom"/>
          </w:tcPr>
          <w:p w14:paraId="42BCF025" w14:textId="77777777" w:rsidR="00B30965" w:rsidRPr="003C35DD" w:rsidRDefault="00B30965" w:rsidP="003C35DD">
            <w:pPr>
              <w:pStyle w:val="TblColumnHeads"/>
            </w:pPr>
            <w:r w:rsidRPr="003C35DD">
              <w:t>Out</w:t>
            </w:r>
          </w:p>
        </w:tc>
        <w:tc>
          <w:tcPr>
            <w:tcW w:w="433" w:type="pct"/>
            <w:tcBorders>
              <w:top w:val="single" w:sz="4" w:space="0" w:color="auto"/>
              <w:left w:val="single" w:sz="4" w:space="0" w:color="auto"/>
              <w:right w:val="single" w:sz="12" w:space="0" w:color="auto"/>
            </w:tcBorders>
            <w:vAlign w:val="center"/>
          </w:tcPr>
          <w:p w14:paraId="65558731" w14:textId="77777777" w:rsidR="00B30965" w:rsidRPr="003C35DD" w:rsidRDefault="00B30965" w:rsidP="003C35DD">
            <w:pPr>
              <w:pStyle w:val="TblColumnHeads"/>
            </w:pPr>
            <w:r w:rsidRPr="003C35DD">
              <w:t>Total</w:t>
            </w:r>
          </w:p>
        </w:tc>
        <w:tc>
          <w:tcPr>
            <w:tcW w:w="527" w:type="pct"/>
            <w:tcBorders>
              <w:top w:val="single" w:sz="4" w:space="0" w:color="auto"/>
              <w:left w:val="single" w:sz="12" w:space="0" w:color="auto"/>
            </w:tcBorders>
          </w:tcPr>
          <w:p w14:paraId="1D305525" w14:textId="77777777" w:rsidR="00B30965" w:rsidRPr="003C35DD" w:rsidRDefault="00B30965" w:rsidP="003C35DD">
            <w:pPr>
              <w:pStyle w:val="TblColumnHeads"/>
            </w:pPr>
            <w:r w:rsidRPr="003C35DD">
              <w:t>In</w:t>
            </w:r>
          </w:p>
        </w:tc>
        <w:tc>
          <w:tcPr>
            <w:tcW w:w="528" w:type="pct"/>
            <w:tcBorders>
              <w:top w:val="single" w:sz="4" w:space="0" w:color="auto"/>
              <w:left w:val="single" w:sz="4" w:space="0" w:color="auto"/>
            </w:tcBorders>
          </w:tcPr>
          <w:p w14:paraId="623F26F5" w14:textId="77777777" w:rsidR="00B30965" w:rsidRPr="003C35DD" w:rsidRDefault="00B30965" w:rsidP="003C35DD">
            <w:pPr>
              <w:pStyle w:val="TblColumnHeads"/>
            </w:pPr>
            <w:r w:rsidRPr="003C35DD">
              <w:t>Out</w:t>
            </w:r>
          </w:p>
        </w:tc>
        <w:tc>
          <w:tcPr>
            <w:tcW w:w="721" w:type="pct"/>
            <w:tcBorders>
              <w:top w:val="single" w:sz="4" w:space="0" w:color="auto"/>
              <w:left w:val="single" w:sz="4" w:space="0" w:color="auto"/>
              <w:right w:val="single" w:sz="12" w:space="0" w:color="auto"/>
            </w:tcBorders>
          </w:tcPr>
          <w:p w14:paraId="2BC67FE3" w14:textId="77777777" w:rsidR="00B30965" w:rsidRPr="003C35DD" w:rsidRDefault="00B30965" w:rsidP="003C35DD">
            <w:pPr>
              <w:pStyle w:val="TblColumnHeads"/>
            </w:pPr>
            <w:r w:rsidRPr="003C35DD">
              <w:t>Total</w:t>
            </w:r>
          </w:p>
        </w:tc>
        <w:tc>
          <w:tcPr>
            <w:tcW w:w="866" w:type="pct"/>
            <w:vMerge/>
            <w:tcBorders>
              <w:left w:val="single" w:sz="12" w:space="0" w:color="auto"/>
            </w:tcBorders>
          </w:tcPr>
          <w:p w14:paraId="7924FD1B" w14:textId="77777777" w:rsidR="00B30965" w:rsidRDefault="00B30965" w:rsidP="00B30965">
            <w:pPr>
              <w:pStyle w:val="TblColumnHeads"/>
              <w:keepNext/>
              <w:jc w:val="left"/>
            </w:pPr>
          </w:p>
        </w:tc>
      </w:tr>
      <w:tr w:rsidR="00583C4B" w:rsidRPr="009C2474" w14:paraId="1F896683" w14:textId="77777777" w:rsidTr="00F43DAE">
        <w:tblPrEx>
          <w:tblBorders>
            <w:bottom w:val="none" w:sz="0" w:space="0" w:color="auto"/>
          </w:tblBorders>
        </w:tblPrEx>
        <w:trPr>
          <w:trHeight w:val="288"/>
          <w:jc w:val="center"/>
        </w:trPr>
        <w:tc>
          <w:tcPr>
            <w:tcW w:w="5000" w:type="pct"/>
            <w:gridSpan w:val="8"/>
            <w:tcBorders>
              <w:top w:val="single" w:sz="12" w:space="0" w:color="auto"/>
              <w:bottom w:val="single" w:sz="4" w:space="0" w:color="auto"/>
            </w:tcBorders>
            <w:shd w:val="clear" w:color="auto" w:fill="D9D9D9" w:themeFill="background1" w:themeFillShade="D9"/>
            <w:vAlign w:val="center"/>
          </w:tcPr>
          <w:p w14:paraId="25A3FF64" w14:textId="77777777" w:rsidR="00583C4B" w:rsidRPr="00583C4B" w:rsidRDefault="00583C4B" w:rsidP="00583C4B">
            <w:pPr>
              <w:pStyle w:val="TblTxtCenter"/>
              <w:keepNext/>
              <w:jc w:val="left"/>
              <w:rPr>
                <w:b/>
                <w:bCs/>
              </w:rPr>
            </w:pPr>
            <w:r w:rsidRPr="00583C4B">
              <w:rPr>
                <w:b/>
                <w:bCs/>
              </w:rPr>
              <w:t>Former Pepsi Bottling Plant</w:t>
            </w:r>
          </w:p>
        </w:tc>
      </w:tr>
      <w:tr w:rsidR="00583C4B" w:rsidRPr="009C2474" w14:paraId="7ECB747E" w14:textId="77777777" w:rsidTr="00F43DAE">
        <w:tblPrEx>
          <w:tblBorders>
            <w:bottom w:val="none" w:sz="0" w:space="0" w:color="auto"/>
          </w:tblBorders>
        </w:tblPrEx>
        <w:trPr>
          <w:trHeight w:val="288"/>
          <w:jc w:val="center"/>
        </w:trPr>
        <w:tc>
          <w:tcPr>
            <w:tcW w:w="673" w:type="pct"/>
            <w:tcBorders>
              <w:top w:val="single" w:sz="4" w:space="0" w:color="auto"/>
              <w:bottom w:val="single" w:sz="4" w:space="0" w:color="auto"/>
              <w:right w:val="single" w:sz="12" w:space="0" w:color="auto"/>
            </w:tcBorders>
            <w:shd w:val="clear" w:color="auto" w:fill="auto"/>
            <w:vAlign w:val="center"/>
          </w:tcPr>
          <w:p w14:paraId="752E787E" w14:textId="77777777" w:rsidR="00583C4B" w:rsidRDefault="00583C4B" w:rsidP="00FD0109">
            <w:pPr>
              <w:pStyle w:val="TblTxt"/>
              <w:keepNext/>
            </w:pPr>
            <w:r>
              <w:t>Warehousing</w:t>
            </w:r>
          </w:p>
        </w:tc>
        <w:tc>
          <w:tcPr>
            <w:tcW w:w="627" w:type="pct"/>
            <w:tcBorders>
              <w:top w:val="single" w:sz="4" w:space="0" w:color="auto"/>
              <w:left w:val="single" w:sz="12" w:space="0" w:color="auto"/>
              <w:bottom w:val="single" w:sz="4" w:space="0" w:color="auto"/>
            </w:tcBorders>
            <w:shd w:val="clear" w:color="auto" w:fill="auto"/>
            <w:vAlign w:val="center"/>
          </w:tcPr>
          <w:p w14:paraId="12D16FDD" w14:textId="77777777" w:rsidR="00583C4B" w:rsidRPr="009C2474" w:rsidRDefault="00583C4B" w:rsidP="00FD0109">
            <w:pPr>
              <w:pStyle w:val="TblTxtCenter"/>
              <w:keepNext/>
            </w:pPr>
            <w:r>
              <w:t>7</w:t>
            </w:r>
          </w:p>
        </w:tc>
        <w:tc>
          <w:tcPr>
            <w:tcW w:w="625" w:type="pct"/>
            <w:tcBorders>
              <w:top w:val="single" w:sz="4" w:space="0" w:color="auto"/>
              <w:left w:val="single" w:sz="4" w:space="0" w:color="auto"/>
              <w:bottom w:val="single" w:sz="4" w:space="0" w:color="auto"/>
            </w:tcBorders>
            <w:vAlign w:val="center"/>
          </w:tcPr>
          <w:p w14:paraId="07BD2EF4" w14:textId="77777777" w:rsidR="00583C4B" w:rsidRPr="009C2474" w:rsidRDefault="00583C4B" w:rsidP="00FD0109">
            <w:pPr>
              <w:pStyle w:val="TblTxtCenter"/>
              <w:keepNext/>
            </w:pPr>
            <w:r>
              <w:t>2</w:t>
            </w:r>
          </w:p>
        </w:tc>
        <w:tc>
          <w:tcPr>
            <w:tcW w:w="433" w:type="pct"/>
            <w:tcBorders>
              <w:top w:val="single" w:sz="4" w:space="0" w:color="auto"/>
              <w:left w:val="single" w:sz="4" w:space="0" w:color="auto"/>
              <w:bottom w:val="single" w:sz="4" w:space="0" w:color="auto"/>
              <w:right w:val="single" w:sz="12" w:space="0" w:color="auto"/>
            </w:tcBorders>
            <w:vAlign w:val="center"/>
          </w:tcPr>
          <w:p w14:paraId="7FBF0CEB" w14:textId="77777777" w:rsidR="00583C4B" w:rsidRPr="00DD26D6" w:rsidRDefault="00583C4B" w:rsidP="00FD0109">
            <w:pPr>
              <w:pStyle w:val="TblTxtCenter"/>
              <w:keepNext/>
            </w:pPr>
            <w:r>
              <w:t>9</w:t>
            </w:r>
          </w:p>
        </w:tc>
        <w:tc>
          <w:tcPr>
            <w:tcW w:w="527" w:type="pct"/>
            <w:tcBorders>
              <w:top w:val="single" w:sz="4" w:space="0" w:color="auto"/>
              <w:left w:val="single" w:sz="12" w:space="0" w:color="auto"/>
              <w:bottom w:val="single" w:sz="4" w:space="0" w:color="auto"/>
            </w:tcBorders>
          </w:tcPr>
          <w:p w14:paraId="5F5FA21C" w14:textId="77777777" w:rsidR="00583C4B" w:rsidRPr="00DD26D6" w:rsidRDefault="00583C4B" w:rsidP="00FD0109">
            <w:pPr>
              <w:pStyle w:val="TblTxtCenter"/>
              <w:keepNext/>
            </w:pPr>
            <w:r>
              <w:t>3</w:t>
            </w:r>
          </w:p>
        </w:tc>
        <w:tc>
          <w:tcPr>
            <w:tcW w:w="528" w:type="pct"/>
            <w:tcBorders>
              <w:top w:val="single" w:sz="4" w:space="0" w:color="auto"/>
              <w:left w:val="single" w:sz="4" w:space="0" w:color="auto"/>
              <w:bottom w:val="single" w:sz="4" w:space="0" w:color="auto"/>
            </w:tcBorders>
          </w:tcPr>
          <w:p w14:paraId="72DAE70F" w14:textId="77777777" w:rsidR="00583C4B" w:rsidRPr="00DD26D6" w:rsidRDefault="00583C4B" w:rsidP="00FD0109">
            <w:pPr>
              <w:pStyle w:val="TblTxtCenter"/>
              <w:keepNext/>
            </w:pPr>
            <w:r>
              <w:t>7</w:t>
            </w:r>
          </w:p>
        </w:tc>
        <w:tc>
          <w:tcPr>
            <w:tcW w:w="721" w:type="pct"/>
            <w:tcBorders>
              <w:top w:val="single" w:sz="4" w:space="0" w:color="auto"/>
              <w:left w:val="single" w:sz="4" w:space="0" w:color="auto"/>
              <w:bottom w:val="single" w:sz="4" w:space="0" w:color="auto"/>
              <w:right w:val="single" w:sz="12" w:space="0" w:color="auto"/>
            </w:tcBorders>
          </w:tcPr>
          <w:p w14:paraId="52DF10F3" w14:textId="77777777" w:rsidR="00583C4B" w:rsidRPr="00DD26D6" w:rsidRDefault="00583C4B" w:rsidP="00FD0109">
            <w:pPr>
              <w:pStyle w:val="TblTxtCenter"/>
              <w:keepNext/>
            </w:pPr>
            <w:r>
              <w:t>10</w:t>
            </w:r>
          </w:p>
        </w:tc>
        <w:tc>
          <w:tcPr>
            <w:tcW w:w="866" w:type="pct"/>
            <w:tcBorders>
              <w:top w:val="single" w:sz="4" w:space="0" w:color="auto"/>
              <w:left w:val="single" w:sz="12" w:space="0" w:color="auto"/>
              <w:bottom w:val="single" w:sz="4" w:space="0" w:color="auto"/>
            </w:tcBorders>
          </w:tcPr>
          <w:p w14:paraId="529A26B3" w14:textId="77777777" w:rsidR="00583C4B" w:rsidRPr="00DD26D6" w:rsidRDefault="00583C4B" w:rsidP="00FD0109">
            <w:pPr>
              <w:pStyle w:val="TblTxtCenter"/>
              <w:keepNext/>
            </w:pPr>
            <w:r>
              <w:t>88</w:t>
            </w:r>
          </w:p>
        </w:tc>
      </w:tr>
      <w:tr w:rsidR="00583C4B" w:rsidRPr="009C2474" w14:paraId="018EC28D" w14:textId="77777777" w:rsidTr="00F43DAE">
        <w:tblPrEx>
          <w:tblBorders>
            <w:bottom w:val="none" w:sz="0" w:space="0" w:color="auto"/>
          </w:tblBorders>
        </w:tblPrEx>
        <w:trPr>
          <w:trHeight w:val="288"/>
          <w:jc w:val="center"/>
        </w:trPr>
        <w:tc>
          <w:tcPr>
            <w:tcW w:w="5000" w:type="pct"/>
            <w:gridSpan w:val="8"/>
            <w:tcBorders>
              <w:top w:val="single" w:sz="12" w:space="0" w:color="auto"/>
              <w:bottom w:val="single" w:sz="4" w:space="0" w:color="auto"/>
            </w:tcBorders>
            <w:shd w:val="clear" w:color="auto" w:fill="D9D9D9" w:themeFill="background1" w:themeFillShade="D9"/>
            <w:vAlign w:val="center"/>
          </w:tcPr>
          <w:p w14:paraId="5E411350" w14:textId="77777777" w:rsidR="00583C4B" w:rsidRPr="00583C4B" w:rsidRDefault="00583C4B" w:rsidP="00583C4B">
            <w:pPr>
              <w:pStyle w:val="TblTxtCenter"/>
              <w:keepNext/>
              <w:jc w:val="left"/>
              <w:rPr>
                <w:b/>
                <w:bCs/>
              </w:rPr>
            </w:pPr>
            <w:r>
              <w:rPr>
                <w:b/>
                <w:bCs/>
              </w:rPr>
              <w:t>Proposed Project</w:t>
            </w:r>
          </w:p>
        </w:tc>
      </w:tr>
      <w:tr w:rsidR="00583C4B" w:rsidRPr="009C2474" w14:paraId="75619393" w14:textId="77777777" w:rsidTr="00F43DAE">
        <w:tblPrEx>
          <w:tblBorders>
            <w:bottom w:val="none" w:sz="0" w:space="0" w:color="auto"/>
          </w:tblBorders>
        </w:tblPrEx>
        <w:trPr>
          <w:trHeight w:val="288"/>
          <w:jc w:val="center"/>
        </w:trPr>
        <w:tc>
          <w:tcPr>
            <w:tcW w:w="673" w:type="pct"/>
            <w:tcBorders>
              <w:top w:val="single" w:sz="4" w:space="0" w:color="auto"/>
              <w:bottom w:val="single" w:sz="4" w:space="0" w:color="auto"/>
              <w:right w:val="single" w:sz="12" w:space="0" w:color="auto"/>
            </w:tcBorders>
            <w:shd w:val="clear" w:color="auto" w:fill="auto"/>
            <w:vAlign w:val="center"/>
          </w:tcPr>
          <w:p w14:paraId="5CCA5092" w14:textId="77777777" w:rsidR="00B30965" w:rsidRPr="009C2474" w:rsidRDefault="00583C4B" w:rsidP="00FD0109">
            <w:pPr>
              <w:pStyle w:val="TblTxt"/>
              <w:keepNext/>
              <w:rPr>
                <w:vertAlign w:val="superscript"/>
              </w:rPr>
            </w:pPr>
            <w:r>
              <w:t>Warehousing</w:t>
            </w:r>
          </w:p>
        </w:tc>
        <w:tc>
          <w:tcPr>
            <w:tcW w:w="627" w:type="pct"/>
            <w:tcBorders>
              <w:top w:val="single" w:sz="4" w:space="0" w:color="auto"/>
              <w:left w:val="single" w:sz="12" w:space="0" w:color="auto"/>
              <w:bottom w:val="single" w:sz="4" w:space="0" w:color="auto"/>
            </w:tcBorders>
            <w:shd w:val="clear" w:color="auto" w:fill="auto"/>
            <w:vAlign w:val="center"/>
          </w:tcPr>
          <w:p w14:paraId="5881D777" w14:textId="77777777" w:rsidR="00B30965" w:rsidRPr="009C2474" w:rsidRDefault="00583C4B" w:rsidP="00FD0109">
            <w:pPr>
              <w:pStyle w:val="TblTxtCenter"/>
              <w:keepNext/>
            </w:pPr>
            <w:r>
              <w:t>12</w:t>
            </w:r>
          </w:p>
        </w:tc>
        <w:tc>
          <w:tcPr>
            <w:tcW w:w="625" w:type="pct"/>
            <w:tcBorders>
              <w:top w:val="single" w:sz="4" w:space="0" w:color="auto"/>
              <w:left w:val="single" w:sz="4" w:space="0" w:color="auto"/>
              <w:bottom w:val="single" w:sz="4" w:space="0" w:color="auto"/>
            </w:tcBorders>
            <w:vAlign w:val="center"/>
          </w:tcPr>
          <w:p w14:paraId="0833E127" w14:textId="77777777" w:rsidR="00B30965" w:rsidRPr="009C2474" w:rsidRDefault="00583C4B" w:rsidP="00FD0109">
            <w:pPr>
              <w:pStyle w:val="TblTxtCenter"/>
              <w:keepNext/>
            </w:pPr>
            <w:r>
              <w:t>4</w:t>
            </w:r>
          </w:p>
        </w:tc>
        <w:tc>
          <w:tcPr>
            <w:tcW w:w="433" w:type="pct"/>
            <w:tcBorders>
              <w:top w:val="single" w:sz="4" w:space="0" w:color="auto"/>
              <w:left w:val="single" w:sz="4" w:space="0" w:color="auto"/>
              <w:bottom w:val="single" w:sz="4" w:space="0" w:color="auto"/>
              <w:right w:val="single" w:sz="12" w:space="0" w:color="auto"/>
            </w:tcBorders>
            <w:vAlign w:val="center"/>
          </w:tcPr>
          <w:p w14:paraId="49513E61" w14:textId="77777777" w:rsidR="00B30965" w:rsidRPr="00DD26D6" w:rsidRDefault="00583C4B" w:rsidP="00FD0109">
            <w:pPr>
              <w:pStyle w:val="TblTxtCenter"/>
              <w:keepNext/>
            </w:pPr>
            <w:r>
              <w:t>16</w:t>
            </w:r>
          </w:p>
        </w:tc>
        <w:tc>
          <w:tcPr>
            <w:tcW w:w="527" w:type="pct"/>
            <w:tcBorders>
              <w:top w:val="single" w:sz="4" w:space="0" w:color="auto"/>
              <w:left w:val="single" w:sz="12" w:space="0" w:color="auto"/>
              <w:bottom w:val="single" w:sz="4" w:space="0" w:color="auto"/>
            </w:tcBorders>
          </w:tcPr>
          <w:p w14:paraId="4CD2E555" w14:textId="77777777" w:rsidR="00B30965" w:rsidRPr="00DD26D6" w:rsidRDefault="00583C4B" w:rsidP="00FD0109">
            <w:pPr>
              <w:pStyle w:val="TblTxtCenter"/>
              <w:keepNext/>
            </w:pPr>
            <w:r>
              <w:t>5</w:t>
            </w:r>
          </w:p>
        </w:tc>
        <w:tc>
          <w:tcPr>
            <w:tcW w:w="528" w:type="pct"/>
            <w:tcBorders>
              <w:top w:val="single" w:sz="4" w:space="0" w:color="auto"/>
              <w:left w:val="single" w:sz="4" w:space="0" w:color="auto"/>
              <w:bottom w:val="single" w:sz="4" w:space="0" w:color="auto"/>
            </w:tcBorders>
          </w:tcPr>
          <w:p w14:paraId="51B4BC67" w14:textId="77777777" w:rsidR="00B30965" w:rsidRPr="00DD26D6" w:rsidRDefault="00583C4B" w:rsidP="00FD0109">
            <w:pPr>
              <w:pStyle w:val="TblTxtCenter"/>
              <w:keepNext/>
            </w:pPr>
            <w:r>
              <w:t>13</w:t>
            </w:r>
          </w:p>
        </w:tc>
        <w:tc>
          <w:tcPr>
            <w:tcW w:w="721" w:type="pct"/>
            <w:tcBorders>
              <w:top w:val="single" w:sz="4" w:space="0" w:color="auto"/>
              <w:left w:val="single" w:sz="4" w:space="0" w:color="auto"/>
              <w:bottom w:val="single" w:sz="4" w:space="0" w:color="auto"/>
              <w:right w:val="single" w:sz="12" w:space="0" w:color="auto"/>
            </w:tcBorders>
          </w:tcPr>
          <w:p w14:paraId="1DACA30C" w14:textId="77777777" w:rsidR="00B30965" w:rsidRPr="00DD26D6" w:rsidRDefault="00583C4B" w:rsidP="00FD0109">
            <w:pPr>
              <w:pStyle w:val="TblTxtCenter"/>
              <w:keepNext/>
            </w:pPr>
            <w:r>
              <w:t>18</w:t>
            </w:r>
          </w:p>
        </w:tc>
        <w:tc>
          <w:tcPr>
            <w:tcW w:w="866" w:type="pct"/>
            <w:tcBorders>
              <w:top w:val="single" w:sz="4" w:space="0" w:color="auto"/>
              <w:left w:val="single" w:sz="12" w:space="0" w:color="auto"/>
              <w:bottom w:val="single" w:sz="4" w:space="0" w:color="auto"/>
            </w:tcBorders>
          </w:tcPr>
          <w:p w14:paraId="02F7BEDB" w14:textId="77777777" w:rsidR="00B30965" w:rsidRPr="00DD26D6" w:rsidRDefault="00583C4B" w:rsidP="00FD0109">
            <w:pPr>
              <w:pStyle w:val="TblTxtCenter"/>
              <w:keepNext/>
            </w:pPr>
            <w:r>
              <w:t>156</w:t>
            </w:r>
          </w:p>
        </w:tc>
      </w:tr>
      <w:tr w:rsidR="00583C4B" w:rsidRPr="009C2474" w14:paraId="712CAA95" w14:textId="77777777" w:rsidTr="00F43DAE">
        <w:tblPrEx>
          <w:tblBorders>
            <w:bottom w:val="none" w:sz="0" w:space="0" w:color="auto"/>
          </w:tblBorders>
        </w:tblPrEx>
        <w:trPr>
          <w:trHeight w:val="288"/>
          <w:jc w:val="center"/>
        </w:trPr>
        <w:tc>
          <w:tcPr>
            <w:tcW w:w="673" w:type="pct"/>
            <w:tcBorders>
              <w:top w:val="single" w:sz="4" w:space="0" w:color="auto"/>
              <w:bottom w:val="single" w:sz="4" w:space="0" w:color="auto"/>
              <w:right w:val="single" w:sz="12" w:space="0" w:color="auto"/>
            </w:tcBorders>
            <w:shd w:val="clear" w:color="auto" w:fill="auto"/>
            <w:vAlign w:val="center"/>
          </w:tcPr>
          <w:p w14:paraId="3B675B34" w14:textId="77777777" w:rsidR="00B30965" w:rsidRPr="009C2474" w:rsidRDefault="00583C4B" w:rsidP="00FD0109">
            <w:pPr>
              <w:pStyle w:val="TblTxt"/>
            </w:pPr>
            <w:r>
              <w:t>Manufacturing</w:t>
            </w:r>
          </w:p>
        </w:tc>
        <w:tc>
          <w:tcPr>
            <w:tcW w:w="627" w:type="pct"/>
            <w:tcBorders>
              <w:top w:val="single" w:sz="4" w:space="0" w:color="auto"/>
              <w:left w:val="single" w:sz="12" w:space="0" w:color="auto"/>
              <w:bottom w:val="single" w:sz="4" w:space="0" w:color="auto"/>
            </w:tcBorders>
            <w:shd w:val="clear" w:color="auto" w:fill="auto"/>
            <w:vAlign w:val="center"/>
          </w:tcPr>
          <w:p w14:paraId="07229A8F" w14:textId="77777777" w:rsidR="00B30965" w:rsidRPr="009C2474" w:rsidRDefault="00583C4B" w:rsidP="00FD0109">
            <w:pPr>
              <w:pStyle w:val="TblTxtCenter"/>
            </w:pPr>
            <w:r>
              <w:t>5</w:t>
            </w:r>
          </w:p>
        </w:tc>
        <w:tc>
          <w:tcPr>
            <w:tcW w:w="625" w:type="pct"/>
            <w:tcBorders>
              <w:top w:val="single" w:sz="4" w:space="0" w:color="auto"/>
              <w:left w:val="single" w:sz="4" w:space="0" w:color="auto"/>
              <w:bottom w:val="single" w:sz="4" w:space="0" w:color="auto"/>
            </w:tcBorders>
            <w:vAlign w:val="center"/>
          </w:tcPr>
          <w:p w14:paraId="55900A0F" w14:textId="77777777" w:rsidR="00B30965" w:rsidRPr="009C2474" w:rsidRDefault="00583C4B" w:rsidP="00FD0109">
            <w:pPr>
              <w:pStyle w:val="TblTxtCenter"/>
              <w:keepNext/>
            </w:pPr>
            <w:r>
              <w:t>1</w:t>
            </w:r>
          </w:p>
        </w:tc>
        <w:tc>
          <w:tcPr>
            <w:tcW w:w="433" w:type="pct"/>
            <w:tcBorders>
              <w:top w:val="single" w:sz="4" w:space="0" w:color="auto"/>
              <w:left w:val="single" w:sz="4" w:space="0" w:color="auto"/>
              <w:bottom w:val="single" w:sz="4" w:space="0" w:color="auto"/>
              <w:right w:val="single" w:sz="12" w:space="0" w:color="auto"/>
            </w:tcBorders>
            <w:vAlign w:val="center"/>
          </w:tcPr>
          <w:p w14:paraId="11DEBE70" w14:textId="77777777" w:rsidR="00B30965" w:rsidRPr="00DD26D6" w:rsidRDefault="00583C4B" w:rsidP="00FD0109">
            <w:pPr>
              <w:pStyle w:val="TblTxtCenter"/>
              <w:keepNext/>
            </w:pPr>
            <w:r>
              <w:t>6</w:t>
            </w:r>
          </w:p>
        </w:tc>
        <w:tc>
          <w:tcPr>
            <w:tcW w:w="527" w:type="pct"/>
            <w:tcBorders>
              <w:top w:val="single" w:sz="4" w:space="0" w:color="auto"/>
              <w:left w:val="single" w:sz="12" w:space="0" w:color="auto"/>
              <w:bottom w:val="single" w:sz="4" w:space="0" w:color="auto"/>
            </w:tcBorders>
          </w:tcPr>
          <w:p w14:paraId="293C9220" w14:textId="77777777" w:rsidR="00B30965" w:rsidRPr="00DD26D6" w:rsidRDefault="00583C4B" w:rsidP="00FD0109">
            <w:pPr>
              <w:pStyle w:val="TblTxtCenter"/>
              <w:keepNext/>
            </w:pPr>
            <w:r>
              <w:t>2</w:t>
            </w:r>
          </w:p>
        </w:tc>
        <w:tc>
          <w:tcPr>
            <w:tcW w:w="528" w:type="pct"/>
            <w:tcBorders>
              <w:top w:val="single" w:sz="4" w:space="0" w:color="auto"/>
              <w:left w:val="single" w:sz="4" w:space="0" w:color="auto"/>
              <w:bottom w:val="single" w:sz="4" w:space="0" w:color="auto"/>
            </w:tcBorders>
          </w:tcPr>
          <w:p w14:paraId="13BE9B63" w14:textId="77777777" w:rsidR="00B30965" w:rsidRPr="00DD26D6" w:rsidRDefault="00583C4B" w:rsidP="00FD0109">
            <w:pPr>
              <w:pStyle w:val="TblTxtCenter"/>
              <w:keepNext/>
            </w:pPr>
            <w:r>
              <w:t>5</w:t>
            </w:r>
          </w:p>
        </w:tc>
        <w:tc>
          <w:tcPr>
            <w:tcW w:w="721" w:type="pct"/>
            <w:tcBorders>
              <w:top w:val="single" w:sz="4" w:space="0" w:color="auto"/>
              <w:left w:val="single" w:sz="4" w:space="0" w:color="auto"/>
              <w:bottom w:val="single" w:sz="4" w:space="0" w:color="auto"/>
              <w:right w:val="single" w:sz="12" w:space="0" w:color="auto"/>
            </w:tcBorders>
          </w:tcPr>
          <w:p w14:paraId="125BDC91" w14:textId="77777777" w:rsidR="00B30965" w:rsidRPr="00DD26D6" w:rsidRDefault="00583C4B" w:rsidP="00FD0109">
            <w:pPr>
              <w:pStyle w:val="TblTxtCenter"/>
              <w:keepNext/>
            </w:pPr>
            <w:r>
              <w:t>7</w:t>
            </w:r>
          </w:p>
        </w:tc>
        <w:tc>
          <w:tcPr>
            <w:tcW w:w="866" w:type="pct"/>
            <w:tcBorders>
              <w:top w:val="single" w:sz="4" w:space="0" w:color="auto"/>
              <w:left w:val="single" w:sz="12" w:space="0" w:color="auto"/>
              <w:bottom w:val="single" w:sz="4" w:space="0" w:color="auto"/>
            </w:tcBorders>
          </w:tcPr>
          <w:p w14:paraId="6929519C" w14:textId="77777777" w:rsidR="00B30965" w:rsidRPr="00DD26D6" w:rsidRDefault="00583C4B" w:rsidP="00FD0109">
            <w:pPr>
              <w:pStyle w:val="TblTxtCenter"/>
              <w:keepNext/>
            </w:pPr>
            <w:r>
              <w:t>41</w:t>
            </w:r>
          </w:p>
        </w:tc>
      </w:tr>
      <w:tr w:rsidR="00583C4B" w:rsidRPr="00A251B2" w14:paraId="5C93BF52" w14:textId="77777777" w:rsidTr="00F43DAE">
        <w:tblPrEx>
          <w:jc w:val="left"/>
          <w:tblBorders>
            <w:bottom w:val="none" w:sz="0" w:space="0" w:color="auto"/>
            <w:insideH w:val="single" w:sz="2" w:space="0" w:color="7F7F7F" w:themeColor="text1" w:themeTint="80"/>
          </w:tblBorders>
          <w:tblCellMar>
            <w:left w:w="58" w:type="dxa"/>
            <w:right w:w="58" w:type="dxa"/>
          </w:tblCellMar>
          <w:tblLook w:val="01E0" w:firstRow="1" w:lastRow="1" w:firstColumn="1" w:lastColumn="1" w:noHBand="0" w:noVBand="0"/>
        </w:tblPrEx>
        <w:trPr>
          <w:trHeight w:val="288"/>
        </w:trPr>
        <w:tc>
          <w:tcPr>
            <w:tcW w:w="5000" w:type="pct"/>
            <w:gridSpan w:val="8"/>
            <w:tcBorders>
              <w:top w:val="single" w:sz="12" w:space="0" w:color="auto"/>
              <w:bottom w:val="single" w:sz="12" w:space="0" w:color="auto"/>
              <w:right w:val="nil"/>
            </w:tcBorders>
            <w:vAlign w:val="center"/>
          </w:tcPr>
          <w:p w14:paraId="5998F8F5" w14:textId="77777777" w:rsidR="00583C4B" w:rsidRPr="00583C4B" w:rsidRDefault="00583C4B" w:rsidP="00F43DAE">
            <w:pPr>
              <w:pStyle w:val="Tblsource"/>
            </w:pPr>
            <w:r w:rsidRPr="002E6CA0">
              <w:t xml:space="preserve">Source: Urban Crossroads, 2021. </w:t>
            </w:r>
          </w:p>
        </w:tc>
      </w:tr>
    </w:tbl>
    <w:p w14:paraId="2B1F9158" w14:textId="77777777" w:rsidR="00114C61" w:rsidRPr="00B43583" w:rsidRDefault="00114C61" w:rsidP="00B43583">
      <w:pPr>
        <w:pStyle w:val="BodyText"/>
        <w:spacing w:after="240"/>
      </w:pPr>
    </w:p>
    <w:p w14:paraId="7517ADAA" w14:textId="77777777" w:rsidR="00D10CF6" w:rsidRDefault="00571920" w:rsidP="009D6ECC">
      <w:pPr>
        <w:pStyle w:val="List"/>
        <w:numPr>
          <w:ilvl w:val="0"/>
          <w:numId w:val="46"/>
        </w:numPr>
      </w:pPr>
      <w:r w:rsidRPr="00571920">
        <w:t>Substantially increase hazards due to a geometric design feature (e.g., sharp curves or dangerous intersections) or incompatible uses (e.g., farm equipment</w:t>
      </w:r>
      <w:r>
        <w:t>)</w:t>
      </w:r>
      <w:r w:rsidR="00D10CF6">
        <w:t>?</w:t>
      </w:r>
    </w:p>
    <w:p w14:paraId="286E44A7" w14:textId="6BED638E" w:rsidR="00F35792" w:rsidRPr="00EA01D8" w:rsidRDefault="000118BF" w:rsidP="00501024">
      <w:pPr>
        <w:pStyle w:val="BodyText"/>
      </w:pPr>
      <w:r>
        <w:rPr>
          <w:rStyle w:val="BodyTextBoldChar"/>
        </w:rPr>
        <w:t>L</w:t>
      </w:r>
      <w:r w:rsidR="00E9367F">
        <w:rPr>
          <w:rStyle w:val="BodyTextBoldChar"/>
        </w:rPr>
        <w:t>e</w:t>
      </w:r>
      <w:r>
        <w:rPr>
          <w:rStyle w:val="BodyTextBoldChar"/>
        </w:rPr>
        <w:t>ss than Signi</w:t>
      </w:r>
      <w:r w:rsidR="00E9367F">
        <w:rPr>
          <w:rStyle w:val="BodyTextBoldChar"/>
        </w:rPr>
        <w:t>ficant</w:t>
      </w:r>
      <w:r w:rsidRPr="00EA01D8">
        <w:rPr>
          <w:rStyle w:val="BodyTextBoldChar"/>
        </w:rPr>
        <w:t xml:space="preserve"> </w:t>
      </w:r>
      <w:r w:rsidR="00355D43" w:rsidRPr="00EA01D8">
        <w:rPr>
          <w:rStyle w:val="BodyTextBoldChar"/>
        </w:rPr>
        <w:t>Impact.</w:t>
      </w:r>
      <w:r w:rsidR="00355D43" w:rsidRPr="00EA01D8">
        <w:t xml:space="preserve"> The </w:t>
      </w:r>
      <w:r w:rsidR="00EA01D8" w:rsidRPr="00EA01D8">
        <w:t>proposed p</w:t>
      </w:r>
      <w:r w:rsidR="00355D43" w:rsidRPr="00EA01D8">
        <w:t xml:space="preserve">roject would introduce </w:t>
      </w:r>
      <w:r w:rsidR="00A0300D" w:rsidRPr="00EA01D8">
        <w:t>several</w:t>
      </w:r>
      <w:r w:rsidR="00355D43" w:rsidRPr="00EA01D8">
        <w:t xml:space="preserve"> new on</w:t>
      </w:r>
      <w:r w:rsidR="000573F8">
        <w:t>-</w:t>
      </w:r>
      <w:r w:rsidR="00355D43" w:rsidRPr="00EA01D8">
        <w:t xml:space="preserve">site vehicular access and circulation improvements. As shown in Figure </w:t>
      </w:r>
      <w:r w:rsidR="000573F8">
        <w:t>5</w:t>
      </w:r>
      <w:r w:rsidR="00355D43" w:rsidRPr="00EA01D8">
        <w:t xml:space="preserve">, </w:t>
      </w:r>
      <w:r w:rsidR="00355D43" w:rsidRPr="00EA01D8">
        <w:rPr>
          <w:rStyle w:val="BodyTextItalicChar"/>
        </w:rPr>
        <w:t>Conceptual Site Plan</w:t>
      </w:r>
      <w:r w:rsidR="00355D43" w:rsidRPr="00EA01D8">
        <w:t xml:space="preserve">, vehicular access for the project site would be provided via three </w:t>
      </w:r>
      <w:r w:rsidR="00EA01D8" w:rsidRPr="00EA01D8">
        <w:t>entry</w:t>
      </w:r>
      <w:r w:rsidR="00355D43" w:rsidRPr="00EA01D8">
        <w:t xml:space="preserve">ways: one off </w:t>
      </w:r>
      <w:r w:rsidR="00EA01D8" w:rsidRPr="00EA01D8">
        <w:t>Azusa Canyon Road</w:t>
      </w:r>
      <w:r w:rsidR="00355D43" w:rsidRPr="00EA01D8">
        <w:t xml:space="preserve"> </w:t>
      </w:r>
      <w:r w:rsidR="00EA01D8" w:rsidRPr="00EA01D8">
        <w:t>and two off Los Angeles Street</w:t>
      </w:r>
      <w:r w:rsidR="00355D43" w:rsidRPr="00EA01D8">
        <w:t xml:space="preserve">. The </w:t>
      </w:r>
      <w:r w:rsidR="00EA01D8" w:rsidRPr="00EA01D8">
        <w:t xml:space="preserve">Azusa Canyon Road and </w:t>
      </w:r>
      <w:r w:rsidR="00DD7ED4">
        <w:t>western</w:t>
      </w:r>
      <w:r w:rsidR="00DD7ED4" w:rsidRPr="00EA01D8">
        <w:t xml:space="preserve"> </w:t>
      </w:r>
      <w:r w:rsidR="00EA01D8" w:rsidRPr="00EA01D8">
        <w:t>Los Angeles Street entryways</w:t>
      </w:r>
      <w:r w:rsidR="00355D43" w:rsidRPr="00EA01D8">
        <w:t xml:space="preserve"> would provide access for employee/visitor vehicles and lead directly into the on</w:t>
      </w:r>
      <w:r w:rsidR="000573F8">
        <w:t>-</w:t>
      </w:r>
      <w:r w:rsidR="00355D43" w:rsidRPr="00EA01D8">
        <w:t xml:space="preserve">site parking areas for these users. Both </w:t>
      </w:r>
      <w:r w:rsidR="00EA01D8" w:rsidRPr="00EA01D8">
        <w:t>entryway</w:t>
      </w:r>
      <w:r w:rsidR="00355D43" w:rsidRPr="00EA01D8">
        <w:t xml:space="preserve">s would connect to an internal drive aisle, which would lead to </w:t>
      </w:r>
      <w:r w:rsidR="00EA01D8" w:rsidRPr="00EA01D8">
        <w:t xml:space="preserve">an </w:t>
      </w:r>
      <w:r w:rsidR="00355D43" w:rsidRPr="00EA01D8">
        <w:t>automated rolling security gate</w:t>
      </w:r>
      <w:r w:rsidR="00A0300D">
        <w:t xml:space="preserve"> in the northern portion of the site</w:t>
      </w:r>
      <w:r w:rsidR="00355D43" w:rsidRPr="00EA01D8">
        <w:t xml:space="preserve">—the gate would restrict access into the truck yard to employees only. </w:t>
      </w:r>
      <w:r w:rsidR="00355D43" w:rsidRPr="00E10913">
        <w:t xml:space="preserve">Trailer trucks </w:t>
      </w:r>
      <w:r w:rsidR="00A0300D" w:rsidRPr="00E10913">
        <w:t xml:space="preserve">would only be allowed to use the </w:t>
      </w:r>
      <w:r w:rsidR="00DD7ED4" w:rsidRPr="00E10913">
        <w:t xml:space="preserve">eastern </w:t>
      </w:r>
      <w:r w:rsidR="00A0300D" w:rsidRPr="00E10913">
        <w:t>driveway off</w:t>
      </w:r>
      <w:r w:rsidR="00EA01D8" w:rsidRPr="00E10913">
        <w:t xml:space="preserve"> Los Angeles Street </w:t>
      </w:r>
      <w:r w:rsidR="00355D43" w:rsidRPr="00E10913">
        <w:t>to access the project site.</w:t>
      </w:r>
      <w:r w:rsidR="00355D43" w:rsidRPr="00EA01D8">
        <w:t xml:space="preserve"> </w:t>
      </w:r>
      <w:r w:rsidR="00F35792" w:rsidRPr="00F35792">
        <w:t>The driveway off Azusa Canyon Road would be restricted to right</w:t>
      </w:r>
      <w:r w:rsidR="000573F8">
        <w:t>-</w:t>
      </w:r>
      <w:r w:rsidR="00F35792" w:rsidRPr="00F35792">
        <w:t>out/left</w:t>
      </w:r>
      <w:r w:rsidR="000573F8">
        <w:t>-</w:t>
      </w:r>
      <w:r w:rsidR="00F35792" w:rsidRPr="00F35792">
        <w:t>in only access</w:t>
      </w:r>
      <w:r w:rsidR="000573F8">
        <w:t>,</w:t>
      </w:r>
      <w:r w:rsidR="00F35792" w:rsidRPr="00F35792">
        <w:t xml:space="preserve"> </w:t>
      </w:r>
      <w:r w:rsidR="000573F8">
        <w:t>and</w:t>
      </w:r>
      <w:r w:rsidR="000573F8" w:rsidRPr="00F35792">
        <w:t xml:space="preserve"> </w:t>
      </w:r>
      <w:r w:rsidR="00F35792" w:rsidRPr="00F35792">
        <w:t>the driveways on Los Angeles Street would be constructed with full access.</w:t>
      </w:r>
    </w:p>
    <w:p w14:paraId="294C71BE" w14:textId="77777777" w:rsidR="00355D43" w:rsidRDefault="00355D43" w:rsidP="00355D43">
      <w:pPr>
        <w:pStyle w:val="BodyText"/>
      </w:pPr>
      <w:r w:rsidRPr="00EA01D8">
        <w:t xml:space="preserve">The City and </w:t>
      </w:r>
      <w:r w:rsidR="00EA01D8" w:rsidRPr="00EA01D8">
        <w:t>LACFD</w:t>
      </w:r>
      <w:r w:rsidRPr="00EA01D8">
        <w:t xml:space="preserve"> have adopted design standards that preclude the construction of any unsafe roadway, circulation, or access design features. Design and construction of the proposed access and circulation improvements would be required to adhere to the City’s engineering standards and </w:t>
      </w:r>
      <w:r w:rsidR="00EA01D8" w:rsidRPr="00EA01D8">
        <w:t>LACFD</w:t>
      </w:r>
      <w:r w:rsidRPr="00EA01D8">
        <w:t xml:space="preserve">’s design standards, which are imposed on development projects during the City’s development review and building plan check process. For example, at intersections and project driveways, a substantially clear line of sight must be maintained between the driver of a vehicle waiting at the crossroad and the driver of an approaching vehicle. Sight distance is the continuous length of roadway visible to the driver. Based on a review of the proposed site plan (see Figure </w:t>
      </w:r>
      <w:r w:rsidR="000573F8">
        <w:t>5</w:t>
      </w:r>
      <w:r w:rsidR="00AC6999">
        <w:t xml:space="preserve">, </w:t>
      </w:r>
      <w:r w:rsidR="00AC6999" w:rsidRPr="00EA01D8">
        <w:rPr>
          <w:rStyle w:val="BodyTextItalicChar"/>
        </w:rPr>
        <w:t>Conceptual Site Plan</w:t>
      </w:r>
      <w:r w:rsidRPr="00EA01D8">
        <w:t xml:space="preserve">) and Google Earth maps, there are no restrictions blocking views from </w:t>
      </w:r>
      <w:r w:rsidR="00EA01D8" w:rsidRPr="00EA01D8">
        <w:t xml:space="preserve">the </w:t>
      </w:r>
      <w:r w:rsidRPr="00EA01D8">
        <w:t xml:space="preserve">proposed location of the </w:t>
      </w:r>
      <w:r w:rsidR="00EA01D8" w:rsidRPr="006B62C1">
        <w:t>Azusa Canyon Road</w:t>
      </w:r>
      <w:r w:rsidRPr="006B62C1">
        <w:t xml:space="preserve"> </w:t>
      </w:r>
      <w:r w:rsidR="00EA01D8" w:rsidRPr="006B62C1">
        <w:t>entryway</w:t>
      </w:r>
      <w:r w:rsidRPr="006B62C1">
        <w:t xml:space="preserve"> and north- and southbound traffic on th</w:t>
      </w:r>
      <w:r w:rsidR="00EA01D8" w:rsidRPr="006B62C1">
        <w:t>is</w:t>
      </w:r>
      <w:r w:rsidRPr="006B62C1">
        <w:t xml:space="preserve"> roadway, and sufficient sight distance would be provided. </w:t>
      </w:r>
      <w:r w:rsidR="00EA01D8" w:rsidRPr="006B62C1">
        <w:t xml:space="preserve">There are also no restrictions blocking views from the proposed entryways on Los Angeles Street and </w:t>
      </w:r>
      <w:r w:rsidR="006B62C1" w:rsidRPr="006B62C1">
        <w:t>east</w:t>
      </w:r>
      <w:r w:rsidR="00EA01D8" w:rsidRPr="006B62C1">
        <w:t xml:space="preserve">- and </w:t>
      </w:r>
      <w:r w:rsidR="006B62C1" w:rsidRPr="006B62C1">
        <w:t>west</w:t>
      </w:r>
      <w:r w:rsidR="00EA01D8" w:rsidRPr="006B62C1">
        <w:t>bound traffic on this roadway</w:t>
      </w:r>
      <w:r w:rsidR="006B62C1" w:rsidRPr="006B62C1">
        <w:t>.</w:t>
      </w:r>
      <w:r w:rsidR="00EA01D8" w:rsidRPr="006B62C1">
        <w:t xml:space="preserve"> </w:t>
      </w:r>
      <w:r w:rsidRPr="006B62C1">
        <w:t>Compliance with the established design standards would ensure that hazards due to design features would not occur and that the placement of the vehicular access and circulation improvements would not create a conflict for motorists, pedestrians, or bicyclists traveling within or around the project site.</w:t>
      </w:r>
    </w:p>
    <w:p w14:paraId="74B44CE7" w14:textId="77777777" w:rsidR="00355D43" w:rsidRPr="006B62C1" w:rsidRDefault="00355D43" w:rsidP="00355D43">
      <w:pPr>
        <w:pStyle w:val="BodyText"/>
      </w:pPr>
      <w:r w:rsidRPr="006B62C1">
        <w:t xml:space="preserve">Furthermore, the </w:t>
      </w:r>
      <w:r w:rsidR="006B62C1" w:rsidRPr="006B62C1">
        <w:t>proposed p</w:t>
      </w:r>
      <w:r w:rsidRPr="006B62C1">
        <w:t xml:space="preserve">roject would provide a network of low-speed internal drive aisles that would be safe and walkable for pedestrians while maintaining an efficient circulation system for trucks and vehicles. The </w:t>
      </w:r>
      <w:r w:rsidR="006B62C1" w:rsidRPr="006B62C1">
        <w:t>proposed p</w:t>
      </w:r>
      <w:r w:rsidRPr="006B62C1">
        <w:t xml:space="preserve">roject would not include incompatible uses such as farm equipment on area roadways. </w:t>
      </w:r>
    </w:p>
    <w:p w14:paraId="43F733AD" w14:textId="4A02D0DF" w:rsidR="00355D43" w:rsidRDefault="00355D43" w:rsidP="00D10CF6">
      <w:pPr>
        <w:pStyle w:val="BodyText"/>
      </w:pPr>
      <w:r w:rsidRPr="006B62C1">
        <w:t>Therefore, impact</w:t>
      </w:r>
      <w:r w:rsidR="00E9367F">
        <w:t>s</w:t>
      </w:r>
      <w:r w:rsidRPr="006B62C1">
        <w:t xml:space="preserve"> resulting from hazards due to design features or incompatible uses </w:t>
      </w:r>
      <w:r w:rsidR="00E9367F">
        <w:t>are expected to be less than significant</w:t>
      </w:r>
      <w:r w:rsidRPr="006B62C1">
        <w:t>.</w:t>
      </w:r>
    </w:p>
    <w:p w14:paraId="7D865421" w14:textId="77777777" w:rsidR="00D10CF6" w:rsidRDefault="00571920" w:rsidP="009D6ECC">
      <w:pPr>
        <w:pStyle w:val="List"/>
        <w:numPr>
          <w:ilvl w:val="0"/>
          <w:numId w:val="47"/>
        </w:numPr>
      </w:pPr>
      <w:r w:rsidRPr="00571920">
        <w:t>Result in inadequate emergency access</w:t>
      </w:r>
      <w:r w:rsidR="00D10CF6">
        <w:t>?</w:t>
      </w:r>
    </w:p>
    <w:p w14:paraId="25565F7D" w14:textId="2E25EDD1" w:rsidR="006F132E" w:rsidRPr="001364CF" w:rsidRDefault="00574983" w:rsidP="006F132E">
      <w:pPr>
        <w:pStyle w:val="BodyText"/>
      </w:pPr>
      <w:r>
        <w:rPr>
          <w:rStyle w:val="BodyTextBoldChar"/>
        </w:rPr>
        <w:t xml:space="preserve">Less Than Significant </w:t>
      </w:r>
      <w:r w:rsidR="006F132E" w:rsidRPr="001364CF">
        <w:rPr>
          <w:rStyle w:val="BodyTextBoldChar"/>
        </w:rPr>
        <w:t xml:space="preserve">Impact. </w:t>
      </w:r>
      <w:r w:rsidR="006F132E" w:rsidRPr="001364CF">
        <w:t xml:space="preserve">As outlined </w:t>
      </w:r>
      <w:r w:rsidR="00B47074">
        <w:t xml:space="preserve">in </w:t>
      </w:r>
      <w:r w:rsidR="00B47074" w:rsidRPr="00B47074">
        <w:t>Section 3.</w:t>
      </w:r>
      <w:r w:rsidR="00B47074">
        <w:t>17</w:t>
      </w:r>
      <w:r w:rsidR="00B47074" w:rsidRPr="00B47074">
        <w:t>.</w:t>
      </w:r>
      <w:r w:rsidR="00B47074">
        <w:t xml:space="preserve">c </w:t>
      </w:r>
      <w:r w:rsidR="006F132E" w:rsidRPr="001364CF">
        <w:t xml:space="preserve">, the </w:t>
      </w:r>
      <w:r w:rsidR="001364CF" w:rsidRPr="001364CF">
        <w:t>p</w:t>
      </w:r>
      <w:r w:rsidR="006F132E" w:rsidRPr="001364CF">
        <w:t xml:space="preserve">roposed </w:t>
      </w:r>
      <w:r w:rsidR="001364CF" w:rsidRPr="001364CF">
        <w:t>p</w:t>
      </w:r>
      <w:r w:rsidR="006F132E" w:rsidRPr="001364CF">
        <w:t xml:space="preserve">roject would introduce </w:t>
      </w:r>
      <w:r w:rsidR="00A0300D" w:rsidRPr="001364CF">
        <w:t>several</w:t>
      </w:r>
      <w:r w:rsidR="006F132E" w:rsidRPr="001364CF">
        <w:t xml:space="preserve"> new </w:t>
      </w:r>
      <w:r w:rsidR="000573F8">
        <w:t xml:space="preserve">improvements to </w:t>
      </w:r>
      <w:r w:rsidR="006F132E" w:rsidRPr="001364CF">
        <w:t>on</w:t>
      </w:r>
      <w:r w:rsidR="000573F8">
        <w:t>-</w:t>
      </w:r>
      <w:r w:rsidR="006F132E" w:rsidRPr="001364CF">
        <w:t xml:space="preserve">site vehicular access and circulation. To address emergency and fire access needs, the improvements would be designed in accordance with all applicable LACFD design standards for emergency access. For example, internal drive aisles would be designed to meet the minimum </w:t>
      </w:r>
      <w:r w:rsidR="001364CF" w:rsidRPr="001364CF">
        <w:t>28-</w:t>
      </w:r>
      <w:r w:rsidR="000573F8" w:rsidRPr="001364CF">
        <w:t>f</w:t>
      </w:r>
      <w:r w:rsidR="000573F8">
        <w:t>oo</w:t>
      </w:r>
      <w:r w:rsidR="000573F8" w:rsidRPr="001364CF">
        <w:t xml:space="preserve">t </w:t>
      </w:r>
      <w:r w:rsidR="006F132E" w:rsidRPr="001364CF">
        <w:t>width requirements of LACFD to allow the passing of emergency vehicles.</w:t>
      </w:r>
    </w:p>
    <w:p w14:paraId="7D9A0EA8" w14:textId="77777777" w:rsidR="006F132E" w:rsidRPr="001364CF" w:rsidRDefault="000573F8" w:rsidP="006F132E">
      <w:pPr>
        <w:pStyle w:val="BodyText"/>
      </w:pPr>
      <w:r w:rsidRPr="001364CF">
        <w:t xml:space="preserve">The </w:t>
      </w:r>
      <w:r w:rsidR="001364CF" w:rsidRPr="001364CF">
        <w:t>p</w:t>
      </w:r>
      <w:r w:rsidR="006F132E" w:rsidRPr="001364CF">
        <w:t xml:space="preserve">roposed </w:t>
      </w:r>
      <w:r w:rsidR="001364CF" w:rsidRPr="001364CF">
        <w:t>p</w:t>
      </w:r>
      <w:r w:rsidR="006F132E" w:rsidRPr="001364CF">
        <w:t xml:space="preserve">roject would be required to incorporate all applicable design and safety requirements in the most current adopted fire codes, building codes, and nationally recognized fire and life safety standards of </w:t>
      </w:r>
      <w:r w:rsidR="001364CF" w:rsidRPr="001364CF">
        <w:t>Irwindale</w:t>
      </w:r>
      <w:r w:rsidR="006F132E" w:rsidRPr="001364CF">
        <w:t xml:space="preserve"> and LACFD, such as those in Chapter </w:t>
      </w:r>
      <w:r w:rsidR="001364CF" w:rsidRPr="001364CF">
        <w:t>15.12,</w:t>
      </w:r>
      <w:r w:rsidR="001364CF" w:rsidRPr="00354C3D">
        <w:t xml:space="preserve"> </w:t>
      </w:r>
      <w:r w:rsidR="001364CF" w:rsidRPr="00B47074">
        <w:t>Fire Code,</w:t>
      </w:r>
      <w:r w:rsidR="006F132E" w:rsidRPr="00354C3D">
        <w:t xml:space="preserve"> </w:t>
      </w:r>
      <w:r w:rsidR="006F132E" w:rsidRPr="001364CF">
        <w:t xml:space="preserve">of the </w:t>
      </w:r>
      <w:r w:rsidR="001364CF" w:rsidRPr="001364CF">
        <w:t>Irwindale</w:t>
      </w:r>
      <w:r w:rsidR="006F132E" w:rsidRPr="001364CF">
        <w:t xml:space="preserve"> Municipal Code. Compliance with these standards is ensured through the City’s and LACFD’s development review and building plan check process.</w:t>
      </w:r>
    </w:p>
    <w:p w14:paraId="1A31317A" w14:textId="77777777" w:rsidR="006F132E" w:rsidRDefault="00CA080C" w:rsidP="006F132E">
      <w:pPr>
        <w:pStyle w:val="BodyText"/>
      </w:pPr>
      <w:r w:rsidRPr="001364CF">
        <w:t xml:space="preserve">During </w:t>
      </w:r>
      <w:r w:rsidR="006F132E" w:rsidRPr="001364CF">
        <w:t>the development review and building plan check process</w:t>
      </w:r>
      <w:r w:rsidR="004160EC">
        <w:t>es</w:t>
      </w:r>
      <w:r w:rsidR="006F132E" w:rsidRPr="001364CF">
        <w:t xml:space="preserve">, the City would coordinate with LACFD and the </w:t>
      </w:r>
      <w:r w:rsidR="001364CF" w:rsidRPr="001364CF">
        <w:t>Irwindale PD</w:t>
      </w:r>
      <w:r w:rsidR="006F132E" w:rsidRPr="001364CF">
        <w:t xml:space="preserve"> to ensure that the necessary fire prevention and emergency response features are incorporated into the </w:t>
      </w:r>
      <w:r w:rsidR="001364CF" w:rsidRPr="001364CF">
        <w:t>p</w:t>
      </w:r>
      <w:r w:rsidR="006F132E" w:rsidRPr="001364CF">
        <w:t xml:space="preserve">roposed </w:t>
      </w:r>
      <w:r w:rsidR="001364CF" w:rsidRPr="001364CF">
        <w:t>p</w:t>
      </w:r>
      <w:r w:rsidR="006F132E" w:rsidRPr="001364CF">
        <w:t xml:space="preserve">roject and that adequate circulation and access (e.g., adequate turning radii for fire trucks) are provided in the traffic and circulation components of the </w:t>
      </w:r>
      <w:r w:rsidR="001364CF" w:rsidRPr="001364CF">
        <w:t>p</w:t>
      </w:r>
      <w:r w:rsidR="006F132E" w:rsidRPr="001364CF">
        <w:t xml:space="preserve">roposed </w:t>
      </w:r>
      <w:r w:rsidR="001364CF" w:rsidRPr="001364CF">
        <w:t>p</w:t>
      </w:r>
      <w:r w:rsidR="006F132E" w:rsidRPr="001364CF">
        <w:t xml:space="preserve">roject. Knox boxes would also be required </w:t>
      </w:r>
      <w:r>
        <w:t>at</w:t>
      </w:r>
      <w:r w:rsidR="006F132E" w:rsidRPr="001364CF">
        <w:t xml:space="preserve"> pedestrian and vehicular gated entries to provide access for emergency personnel. All site and building improvements proposed under the project would be subject to review and approval by the City, LACFD, and </w:t>
      </w:r>
      <w:r w:rsidR="001364CF" w:rsidRPr="001364CF">
        <w:t>Irwindale PD</w:t>
      </w:r>
      <w:r w:rsidR="006F132E" w:rsidRPr="001364CF">
        <w:t>.</w:t>
      </w:r>
    </w:p>
    <w:p w14:paraId="6C43E544" w14:textId="77777777" w:rsidR="006F132E" w:rsidRPr="001364CF" w:rsidRDefault="006F132E" w:rsidP="006F132E">
      <w:pPr>
        <w:pStyle w:val="BodyText"/>
      </w:pPr>
      <w:r w:rsidRPr="001364CF">
        <w:t xml:space="preserve">Finally, implementation of the </w:t>
      </w:r>
      <w:r w:rsidR="001364CF" w:rsidRPr="001364CF">
        <w:t>p</w:t>
      </w:r>
      <w:r w:rsidRPr="001364CF">
        <w:t xml:space="preserve">roposed </w:t>
      </w:r>
      <w:r w:rsidR="001364CF" w:rsidRPr="001364CF">
        <w:t>p</w:t>
      </w:r>
      <w:r w:rsidRPr="001364CF">
        <w:t xml:space="preserve">roject would not require major road closures or otherwise impact the functionality of </w:t>
      </w:r>
      <w:r w:rsidR="001364CF" w:rsidRPr="001364CF">
        <w:t>Azusa Canyon Road or Los Angeles Street</w:t>
      </w:r>
      <w:r w:rsidRPr="001364CF">
        <w:t xml:space="preserve"> as public safety access routes. </w:t>
      </w:r>
      <w:r w:rsidR="00CA080C" w:rsidRPr="001364CF">
        <w:t xml:space="preserve">Some </w:t>
      </w:r>
      <w:r w:rsidRPr="001364CF">
        <w:t xml:space="preserve">minor improvements would be required within the </w:t>
      </w:r>
      <w:r w:rsidR="001364CF" w:rsidRPr="001364CF">
        <w:t>Azusa Canyon Road</w:t>
      </w:r>
      <w:r w:rsidRPr="001364CF">
        <w:t xml:space="preserve"> </w:t>
      </w:r>
      <w:r w:rsidR="001364CF" w:rsidRPr="001364CF">
        <w:t xml:space="preserve">and Los Angeles Street </w:t>
      </w:r>
      <w:r w:rsidRPr="001364CF">
        <w:t>right</w:t>
      </w:r>
      <w:r w:rsidR="00CA080C">
        <w:t>s</w:t>
      </w:r>
      <w:r w:rsidRPr="001364CF">
        <w:t>-of-way</w:t>
      </w:r>
      <w:r w:rsidR="00CA080C">
        <w:t xml:space="preserve"> that could</w:t>
      </w:r>
      <w:r w:rsidRPr="001364CF">
        <w:t xml:space="preserve"> require temporary closure of a small portion of the </w:t>
      </w:r>
      <w:r w:rsidR="001364CF" w:rsidRPr="001364CF">
        <w:t>eastern</w:t>
      </w:r>
      <w:r w:rsidR="00CA080C">
        <w:t>most</w:t>
      </w:r>
      <w:r w:rsidR="001364CF" w:rsidRPr="001364CF">
        <w:t xml:space="preserve"> and northern</w:t>
      </w:r>
      <w:r w:rsidRPr="001364CF">
        <w:t xml:space="preserve">most </w:t>
      </w:r>
      <w:r w:rsidR="00A0300D" w:rsidRPr="001364CF">
        <w:t>lanes,</w:t>
      </w:r>
      <w:r w:rsidRPr="001364CF">
        <w:t xml:space="preserve"> </w:t>
      </w:r>
      <w:r w:rsidR="001364CF" w:rsidRPr="001364CF">
        <w:t>respectively</w:t>
      </w:r>
      <w:r w:rsidRPr="001364CF">
        <w:t xml:space="preserve">. For example, some construction would occur within the public right-of-way of </w:t>
      </w:r>
      <w:r w:rsidR="001364CF" w:rsidRPr="001364CF">
        <w:t>Azusa Canyon Road</w:t>
      </w:r>
      <w:r w:rsidRPr="001364CF">
        <w:t xml:space="preserve"> to make the necessary potable water and wastewater infrastructure connections and to accommodate the new access driveway. Any minor road closure would be temporary and would only be necessary during the construction activities associated with these improvements. All proposed road closures would also be subject to review and approval by the City. Upon completion of the improvements in </w:t>
      </w:r>
      <w:r w:rsidR="001364CF" w:rsidRPr="001364CF">
        <w:t>the Azusa Canyon Road and Los Angeles Street</w:t>
      </w:r>
      <w:r w:rsidRPr="001364CF">
        <w:t xml:space="preserve"> </w:t>
      </w:r>
      <w:r w:rsidR="001364CF" w:rsidRPr="001364CF">
        <w:t>rights-of-way</w:t>
      </w:r>
      <w:r w:rsidRPr="001364CF">
        <w:t>, all road conditions would be restored to normal.</w:t>
      </w:r>
    </w:p>
    <w:p w14:paraId="03BF5AA4" w14:textId="44BFACCE" w:rsidR="006F132E" w:rsidRPr="001364CF" w:rsidRDefault="006F132E" w:rsidP="00D10CF6">
      <w:pPr>
        <w:pStyle w:val="BodyText"/>
      </w:pPr>
      <w:r w:rsidRPr="001364CF">
        <w:t>Based on the preceding</w:t>
      </w:r>
      <w:r w:rsidR="00CA080C">
        <w:t xml:space="preserve"> factors</w:t>
      </w:r>
      <w:r w:rsidRPr="001364CF">
        <w:t xml:space="preserve">, </w:t>
      </w:r>
      <w:r w:rsidR="00574983">
        <w:t>a less than significant</w:t>
      </w:r>
      <w:r w:rsidR="00574983" w:rsidRPr="001364CF">
        <w:t xml:space="preserve"> </w:t>
      </w:r>
      <w:r w:rsidRPr="001364CF">
        <w:t>impact to emergency access would occur.</w:t>
      </w:r>
    </w:p>
    <w:p w14:paraId="5F04FFA5" w14:textId="77777777" w:rsidR="002C77E7" w:rsidRPr="00F42E11" w:rsidRDefault="00255801" w:rsidP="002C77E7">
      <w:pPr>
        <w:pStyle w:val="Heading2"/>
        <w:rPr>
          <w:rStyle w:val="InsertText"/>
          <w:rFonts w:ascii="Arial Narrow" w:hAnsi="Arial Narrow"/>
          <w:color w:val="auto"/>
          <w:sz w:val="32"/>
        </w:rPr>
      </w:pPr>
      <w:bookmarkStart w:id="220" w:name="_Toc90882170"/>
      <w:r w:rsidRPr="00F42E11">
        <w:rPr>
          <w:rStyle w:val="InsertText"/>
          <w:rFonts w:ascii="Arial Narrow" w:hAnsi="Arial Narrow"/>
          <w:color w:val="auto"/>
          <w:sz w:val="32"/>
        </w:rPr>
        <w:t>TRIBAL CULTURAL RESOURCES</w:t>
      </w:r>
      <w:bookmarkEnd w:id="220"/>
    </w:p>
    <w:p w14:paraId="5DD05460" w14:textId="77777777" w:rsidR="002C77E7" w:rsidRPr="00A40C87" w:rsidRDefault="002C77E7" w:rsidP="009D6ECC">
      <w:pPr>
        <w:pStyle w:val="List"/>
        <w:numPr>
          <w:ilvl w:val="0"/>
          <w:numId w:val="40"/>
        </w:numPr>
      </w:pPr>
      <w:r w:rsidRPr="00A40C87">
        <w:t>Would the project cause a substantial adverse change in the significance of a tribal cultural resource, defined in Public Resources Code section 21074 as either a site, feature, place, cultural landscape that is geographically defined in terms of the size and scope of the landscape, sacred place, or object with cultural value to a California Native American tribe, and that is:</w:t>
      </w:r>
    </w:p>
    <w:p w14:paraId="1C41D53F" w14:textId="77777777" w:rsidR="002C77E7" w:rsidRDefault="002C77E7" w:rsidP="009D6ECC">
      <w:pPr>
        <w:pStyle w:val="List"/>
        <w:numPr>
          <w:ilvl w:val="1"/>
          <w:numId w:val="40"/>
        </w:numPr>
      </w:pPr>
      <w:r w:rsidRPr="00A40C87">
        <w:t>Listed or eligible for listing in the California Register of Historical Resources, or in a local register of historical resources as defined in Public Resources Code section 5020.1(k), or</w:t>
      </w:r>
    </w:p>
    <w:p w14:paraId="249E9AB8" w14:textId="77777777" w:rsidR="009B1D1D" w:rsidRPr="006E2972" w:rsidRDefault="002C77E7" w:rsidP="009B1D1D">
      <w:pPr>
        <w:pStyle w:val="BodyText"/>
        <w:ind w:left="360"/>
      </w:pPr>
      <w:r w:rsidRPr="006E2972">
        <w:rPr>
          <w:rStyle w:val="BodyTextBoldChar"/>
        </w:rPr>
        <w:t xml:space="preserve">No Impact. </w:t>
      </w:r>
      <w:r w:rsidR="006E2972" w:rsidRPr="006E2972">
        <w:t xml:space="preserve">As shown in Figure 3, </w:t>
      </w:r>
      <w:r w:rsidR="006E2972" w:rsidRPr="00B47074">
        <w:rPr>
          <w:i/>
          <w:iCs/>
        </w:rPr>
        <w:t>Aerial Photograph</w:t>
      </w:r>
      <w:r w:rsidR="006E2972" w:rsidRPr="006E2972">
        <w:t xml:space="preserve">, the site is presently developed with the Pepsi Bottling Group </w:t>
      </w:r>
      <w:r w:rsidR="007F1464">
        <w:t>building</w:t>
      </w:r>
      <w:r w:rsidR="006E2972" w:rsidRPr="006E2972">
        <w:t>, a large metal shed north of the building, and a loading dock and large truck yard on the eastern portion of the site. The project site appears to have been used as an orchard from at least 1928 until around 1952 when the site was vacant. The current main building was constructed in 1956</w:t>
      </w:r>
      <w:r w:rsidR="009B1D1D" w:rsidRPr="006E2972">
        <w:t xml:space="preserve">. </w:t>
      </w:r>
    </w:p>
    <w:p w14:paraId="73A24D99" w14:textId="77777777" w:rsidR="009B1D1D" w:rsidRPr="006E2972" w:rsidRDefault="009B1D1D" w:rsidP="009B1D1D">
      <w:pPr>
        <w:pStyle w:val="BodyText"/>
        <w:ind w:left="360"/>
      </w:pPr>
      <w:r w:rsidRPr="006E2972">
        <w:t xml:space="preserve">The project site is not identified on any state or local historic registers or sources, </w:t>
      </w:r>
      <w:r w:rsidR="006E2972" w:rsidRPr="006E2972">
        <w:t>including the National Register of Historic Places, the California Register of Historic Resources, the California Built Environment Resources Directory, the California Historical Landmarks, and the California Points of Historical Interest</w:t>
      </w:r>
      <w:r w:rsidRPr="006E2972">
        <w:t xml:space="preserve">. </w:t>
      </w:r>
      <w:r w:rsidR="00CA080C">
        <w:t>A</w:t>
      </w:r>
      <w:r w:rsidRPr="006E2972">
        <w:t xml:space="preserve">s a part of the cultural </w:t>
      </w:r>
      <w:r w:rsidR="006E2972" w:rsidRPr="006E2972">
        <w:t>resources</w:t>
      </w:r>
      <w:r w:rsidRPr="006E2972">
        <w:t xml:space="preserve"> assessment for the project site, </w:t>
      </w:r>
      <w:r w:rsidR="006E2972" w:rsidRPr="006E2972">
        <w:t xml:space="preserve">Cogstone conducted an archaeological and historic records search of the </w:t>
      </w:r>
      <w:r w:rsidR="008B1995" w:rsidRPr="001B1EED">
        <w:t>California Historic Resources Inventory System</w:t>
      </w:r>
      <w:r w:rsidR="008B1995" w:rsidRPr="006E2972" w:rsidDel="008B1995">
        <w:t xml:space="preserve"> </w:t>
      </w:r>
      <w:r w:rsidR="008B1995">
        <w:t>on</w:t>
      </w:r>
      <w:r w:rsidR="006E2972" w:rsidRPr="006E2972">
        <w:t xml:space="preserve"> April 9, 2021 (Appendix </w:t>
      </w:r>
      <w:r w:rsidR="003A20AD">
        <w:t>C</w:t>
      </w:r>
      <w:r w:rsidR="006E2972" w:rsidRPr="006E2972">
        <w:t>)</w:t>
      </w:r>
      <w:r w:rsidRPr="006E2972">
        <w:t>. The search was conducted for the project site and a one-half</w:t>
      </w:r>
      <w:r w:rsidR="00CA080C">
        <w:t>-</w:t>
      </w:r>
      <w:r w:rsidRPr="006E2972">
        <w:t xml:space="preserve">mile radius from the site. </w:t>
      </w:r>
      <w:r w:rsidR="006E2972" w:rsidRPr="006E2972">
        <w:t>The search indicated that five previous studies were completed within one-half mile of the proposed project area, but none within the project site</w:t>
      </w:r>
      <w:r w:rsidRPr="006E2972">
        <w:t>. Also, no previously recorded historic resources have been recorded for the project site.</w:t>
      </w:r>
    </w:p>
    <w:p w14:paraId="3487CEBC" w14:textId="77777777" w:rsidR="006E2972" w:rsidRPr="006E2972" w:rsidRDefault="009B1D1D" w:rsidP="006E2972">
      <w:pPr>
        <w:pStyle w:val="BodyText"/>
        <w:ind w:left="360"/>
      </w:pPr>
      <w:r w:rsidRPr="006E2972">
        <w:t>Therefore, no impact to historical resources would occur.</w:t>
      </w:r>
    </w:p>
    <w:p w14:paraId="5912C85B" w14:textId="77777777" w:rsidR="002C77E7" w:rsidRDefault="002C77E7" w:rsidP="00222608">
      <w:pPr>
        <w:pStyle w:val="List"/>
        <w:numPr>
          <w:ilvl w:val="1"/>
          <w:numId w:val="6"/>
        </w:numPr>
      </w:pPr>
      <w:r w:rsidRPr="00A40C87">
        <w:t>A resource determined by the lead agency, in its discretion and supported by substantial evidence, to be significant pursuant to criteria set forth in subdivision (c) of Public Resources Code section 5024.1. In applying the criteria set forth in subdivision (c) of Public Resource Code Section 5024.1, the lead agency shall consider the significance of the resource to a California Native American tribe.</w:t>
      </w:r>
    </w:p>
    <w:p w14:paraId="409D1E87" w14:textId="77777777" w:rsidR="00EB6309" w:rsidRPr="00EB6309" w:rsidRDefault="002C77E7" w:rsidP="00EB6309">
      <w:pPr>
        <w:pStyle w:val="BodyText"/>
        <w:ind w:left="360"/>
      </w:pPr>
      <w:r w:rsidRPr="00766D4F">
        <w:rPr>
          <w:rStyle w:val="BodyTextBoldChar"/>
        </w:rPr>
        <w:t xml:space="preserve">Less Than Significant Impact </w:t>
      </w:r>
      <w:r w:rsidR="00766D4F">
        <w:rPr>
          <w:rStyle w:val="BodyTextBoldChar"/>
        </w:rPr>
        <w:t>w</w:t>
      </w:r>
      <w:r w:rsidRPr="00766D4F">
        <w:rPr>
          <w:rStyle w:val="BodyTextBoldChar"/>
        </w:rPr>
        <w:t>ith Mitigation Incorporated.</w:t>
      </w:r>
      <w:r>
        <w:t xml:space="preserve"> </w:t>
      </w:r>
      <w:r w:rsidR="00EB6309" w:rsidRPr="00EB6309">
        <w:t xml:space="preserve">Conducting consultation early in the CEQA process allows tribal governments, public lead agencies, and project proponents to discuss the level of environmental review, identify and address potential adverse impacts to tribal cultural resources, and reduce the potential for delay and conflict in the environmental review process. The intent of the consultations is to provide an opportunity for interested Native American contacts to work together with the lead agency (in this case, the City of Irwindale) during the project planning process to identify and protect tribal cultural resources. </w:t>
      </w:r>
    </w:p>
    <w:p w14:paraId="66A90838" w14:textId="77777777" w:rsidR="00EB6309" w:rsidRPr="00EB6309" w:rsidRDefault="00EB6309" w:rsidP="00EB6309">
      <w:pPr>
        <w:pStyle w:val="BodyText"/>
        <w:ind w:left="360"/>
      </w:pPr>
      <w:r w:rsidRPr="00EB6309">
        <w:t xml:space="preserve">The provisions of CEQA, </w:t>
      </w:r>
      <w:r w:rsidR="00CA080C">
        <w:t>PRC</w:t>
      </w:r>
      <w:r w:rsidRPr="00EB6309">
        <w:t xml:space="preserve"> Sections 21080.3.1 et seq. (</w:t>
      </w:r>
      <w:r w:rsidR="00CA080C">
        <w:t>or</w:t>
      </w:r>
      <w:r w:rsidRPr="00EB6309">
        <w:t xml:space="preserve"> </w:t>
      </w:r>
      <w:r w:rsidR="00CA080C">
        <w:t>AB</w:t>
      </w:r>
      <w:r w:rsidRPr="00EB6309">
        <w:t xml:space="preserve"> 52), require meaningful consultation with California Native American </w:t>
      </w:r>
      <w:r w:rsidR="00CA080C" w:rsidRPr="00EB6309">
        <w:t>t</w:t>
      </w:r>
      <w:r w:rsidRPr="00EB6309">
        <w:t xml:space="preserve">ribes on potential impacts to tribal cultural resources, as defined in </w:t>
      </w:r>
      <w:r w:rsidR="00CA080C">
        <w:t>PRC</w:t>
      </w:r>
      <w:r w:rsidRPr="00EB6309">
        <w:t xml:space="preserve"> Section 21074. Tribal cultural resources are sites, features, places, cultural landscapes, sacred places, and objects with cultural value to a California Native American tribe that are either eligible or listed in the California Register of Historical Resources or local register of historical resources (OPR 2017</w:t>
      </w:r>
      <w:r w:rsidR="0059007F">
        <w:t>b</w:t>
      </w:r>
      <w:r w:rsidRPr="00EB6309">
        <w:t>).</w:t>
      </w:r>
    </w:p>
    <w:p w14:paraId="7DAD2AC0" w14:textId="77777777" w:rsidR="00EB6309" w:rsidRDefault="00EB6309" w:rsidP="00EB6309">
      <w:pPr>
        <w:pStyle w:val="BodyText"/>
        <w:ind w:left="360"/>
      </w:pPr>
      <w:r w:rsidRPr="00EB6309">
        <w:t xml:space="preserve">As part of the AB 52 process, Native American tribes must submit a written request to the relevant lead agency if it wishes to be notified of projects that require CEQA public noticing and are within its traditionally and culturally affiliated geographical area. The lead agency must provide written, formal notification to the tribes that have requested it within 14 days of determining that a project application is complete or deciding to undertake a project. The tribe must respond to the lead agency within 30 days of receipt of the notification if it wishes to engage in consultation on the project, and the lead agency must begin the consultation process within 30 days of receiving the request for consultation. Consultation concludes when either 1): the parties agree to mitigation measures to avoid a significant effect, if one exists, on a tribal cultural resource, or 2) a party, acting in good faith and after reasonable effort, concludes that mutual agreement cannot be reached. AB 52 also addresses confidentiality during tribal consultation per </w:t>
      </w:r>
      <w:r w:rsidR="00CA080C">
        <w:t>PRC</w:t>
      </w:r>
      <w:r w:rsidRPr="00EB6309">
        <w:t xml:space="preserve"> Section 21082.3(c). </w:t>
      </w:r>
    </w:p>
    <w:p w14:paraId="774E02DB" w14:textId="77777777" w:rsidR="00EA3329" w:rsidRPr="00EB6309" w:rsidRDefault="00EA3329" w:rsidP="00EB6309">
      <w:pPr>
        <w:pStyle w:val="BodyText"/>
        <w:ind w:left="360"/>
      </w:pPr>
      <w:r>
        <w:rPr>
          <w:sz w:val="23"/>
          <w:szCs w:val="23"/>
        </w:rPr>
        <w:t>Cogstone requested a</w:t>
      </w:r>
      <w:r w:rsidR="00CA080C">
        <w:rPr>
          <w:sz w:val="23"/>
          <w:szCs w:val="23"/>
        </w:rPr>
        <w:t>n</w:t>
      </w:r>
      <w:r>
        <w:rPr>
          <w:sz w:val="23"/>
          <w:szCs w:val="23"/>
        </w:rPr>
        <w:t xml:space="preserve"> SLF search from the NAHC on April 13, 2021. On April 27, 2021</w:t>
      </w:r>
      <w:r w:rsidR="00CA080C">
        <w:rPr>
          <w:sz w:val="23"/>
          <w:szCs w:val="23"/>
        </w:rPr>
        <w:t>,</w:t>
      </w:r>
      <w:r>
        <w:rPr>
          <w:sz w:val="23"/>
          <w:szCs w:val="23"/>
        </w:rPr>
        <w:t xml:space="preserve"> the NAHC responded that the project area was negative for any known sacred sites or resources. The NAHC provided a list of seven tribes affiliated with the project site and recommended that they be consulted for information on sacred sites in the vicinity of the project area. </w:t>
      </w:r>
    </w:p>
    <w:p w14:paraId="06D0762F" w14:textId="45CA59ED" w:rsidR="00EB6309" w:rsidRPr="00EB6309" w:rsidRDefault="00EB6309" w:rsidP="00EB6309">
      <w:pPr>
        <w:pStyle w:val="BodyText"/>
        <w:ind w:left="360"/>
      </w:pPr>
      <w:r w:rsidRPr="00EB6309">
        <w:t xml:space="preserve">In accordance with the provisions of AB 52, the City sent formal notifications </w:t>
      </w:r>
      <w:r w:rsidRPr="00D8644B">
        <w:t xml:space="preserve">letters on May </w:t>
      </w:r>
      <w:r w:rsidR="00D8644B" w:rsidRPr="00D8644B">
        <w:t>10</w:t>
      </w:r>
      <w:r w:rsidRPr="00D8644B">
        <w:t>, 20</w:t>
      </w:r>
      <w:r w:rsidR="00D8644B" w:rsidRPr="00D8644B">
        <w:t>21</w:t>
      </w:r>
      <w:r w:rsidRPr="00D8644B">
        <w:t>, to the following tribes: Gabrieleno Band of Mission Indians</w:t>
      </w:r>
      <w:r w:rsidR="00CA080C">
        <w:t>–</w:t>
      </w:r>
      <w:r w:rsidRPr="00D8644B">
        <w:t>Kizh Nation, Gabrieleno/Tongva San Gabriel</w:t>
      </w:r>
      <w:r w:rsidRPr="00EB6309">
        <w:t xml:space="preserve"> Band of Mission Indians, Gabrielino Tongva Indians of California Tribal Council, Gabrielino/Tongva Nation, Gabrielino-Tongva Tribe, Santa Rosa Band of Cahuilla Indians, and Soboba Band of Luiseno Indians. The 30-day noticing requirement under AB 52 was </w:t>
      </w:r>
      <w:r w:rsidRPr="00D8644B">
        <w:t xml:space="preserve">completed on June </w:t>
      </w:r>
      <w:r w:rsidR="00574983">
        <w:t>9</w:t>
      </w:r>
      <w:r w:rsidRPr="00D8644B">
        <w:t>, 20</w:t>
      </w:r>
      <w:r w:rsidR="00D8644B" w:rsidRPr="00D8644B">
        <w:t>21</w:t>
      </w:r>
      <w:r w:rsidRPr="00D8644B">
        <w:t xml:space="preserve">, 30 days from the date the </w:t>
      </w:r>
      <w:r w:rsidR="00574983">
        <w:t>City sent</w:t>
      </w:r>
      <w:r w:rsidRPr="00D8644B">
        <w:t xml:space="preserve"> the notification letter.</w:t>
      </w:r>
      <w:r w:rsidRPr="00EB6309">
        <w:t xml:space="preserve"> </w:t>
      </w:r>
    </w:p>
    <w:p w14:paraId="0652AED6" w14:textId="77777777" w:rsidR="00455918" w:rsidRDefault="007C613F" w:rsidP="00766D4F">
      <w:pPr>
        <w:pStyle w:val="BodyText"/>
        <w:ind w:left="360"/>
        <w:rPr>
          <w:highlight w:val="yellow"/>
        </w:rPr>
      </w:pPr>
      <w:bookmarkStart w:id="221" w:name="_Hlk76803796"/>
      <w:r w:rsidRPr="007C613F">
        <w:t xml:space="preserve">The City received three responses. </w:t>
      </w:r>
      <w:r w:rsidR="004210D8" w:rsidRPr="004210D8">
        <w:t xml:space="preserve">On June 17, 2021, </w:t>
      </w:r>
      <w:r w:rsidR="00482FE3">
        <w:t xml:space="preserve">the </w:t>
      </w:r>
      <w:r w:rsidR="004210D8" w:rsidRPr="004210D8">
        <w:t xml:space="preserve">Gabrielino Tongva Indians of California Tribal Council </w:t>
      </w:r>
      <w:r w:rsidR="004210D8">
        <w:t>requested</w:t>
      </w:r>
      <w:r w:rsidR="004210D8" w:rsidRPr="004210D8">
        <w:t xml:space="preserve"> that the </w:t>
      </w:r>
      <w:r w:rsidR="007263A2">
        <w:t>t</w:t>
      </w:r>
      <w:r w:rsidR="004210D8" w:rsidRPr="004210D8">
        <w:t xml:space="preserve">ribe be notified if prehistoric materials are found and would like to be notified if burial remains are found even if </w:t>
      </w:r>
      <w:r w:rsidR="004210D8">
        <w:t xml:space="preserve">the </w:t>
      </w:r>
      <w:r w:rsidR="007263A2">
        <w:t>t</w:t>
      </w:r>
      <w:r w:rsidR="004210D8">
        <w:t>ribe</w:t>
      </w:r>
      <w:r w:rsidR="004210D8" w:rsidRPr="004210D8">
        <w:t xml:space="preserve"> is not designated </w:t>
      </w:r>
      <w:r w:rsidR="004210D8">
        <w:t xml:space="preserve">as the </w:t>
      </w:r>
      <w:r w:rsidR="00EF4C28" w:rsidRPr="00EF4C28">
        <w:t>most likely descendant</w:t>
      </w:r>
      <w:r w:rsidR="004210D8" w:rsidRPr="004210D8">
        <w:t xml:space="preserve">. </w:t>
      </w:r>
      <w:r w:rsidRPr="007C613F">
        <w:t>If burial remains are found</w:t>
      </w:r>
      <w:r w:rsidR="00482FE3">
        <w:t>,</w:t>
      </w:r>
      <w:r w:rsidRPr="007C613F">
        <w:t xml:space="preserve"> the </w:t>
      </w:r>
      <w:r w:rsidR="007263A2">
        <w:t>t</w:t>
      </w:r>
      <w:r w:rsidRPr="007C613F">
        <w:t xml:space="preserve">ribe wants to engage in formal </w:t>
      </w:r>
      <w:r w:rsidRPr="00455918">
        <w:t xml:space="preserve">consultation. </w:t>
      </w:r>
      <w:bookmarkEnd w:id="221"/>
      <w:r w:rsidR="00766D4F" w:rsidRPr="00455918">
        <w:t>The tribe’s request is included here as mitigation measure T</w:t>
      </w:r>
      <w:r w:rsidR="004210D8" w:rsidRPr="00455918">
        <w:t>CR</w:t>
      </w:r>
      <w:r w:rsidR="00766D4F" w:rsidRPr="00455918">
        <w:t xml:space="preserve">-1 to ensure </w:t>
      </w:r>
      <w:r w:rsidR="004210D8" w:rsidRPr="00455918">
        <w:t xml:space="preserve">notification and </w:t>
      </w:r>
      <w:r w:rsidR="00766D4F" w:rsidRPr="00455918">
        <w:t>consultation take place as requested</w:t>
      </w:r>
      <w:r w:rsidR="00455918" w:rsidRPr="00455918">
        <w:t>. Additionally, on June 10, 2021, the Santa Rosa Band of Cahuilla Indians indicated that the tribe did not have any comments</w:t>
      </w:r>
      <w:r w:rsidR="00766D4F" w:rsidRPr="00455918">
        <w:t>.</w:t>
      </w:r>
    </w:p>
    <w:p w14:paraId="2D09FF57" w14:textId="72947AB1" w:rsidR="00EB6309" w:rsidRPr="00472058" w:rsidRDefault="00B955DD" w:rsidP="00472058">
      <w:pPr>
        <w:pStyle w:val="BodyText"/>
        <w:ind w:left="360"/>
      </w:pPr>
      <w:r w:rsidRPr="00472058">
        <w:t xml:space="preserve">On </w:t>
      </w:r>
      <w:r w:rsidR="00472058" w:rsidRPr="00472058">
        <w:t>August 20</w:t>
      </w:r>
      <w:r w:rsidRPr="00472058">
        <w:t>, 2021, t</w:t>
      </w:r>
      <w:r w:rsidR="007C613F" w:rsidRPr="00472058">
        <w:t>he Gabrieleno Band of Mission Indians</w:t>
      </w:r>
      <w:r w:rsidR="00482FE3" w:rsidRPr="00472058">
        <w:t>–</w:t>
      </w:r>
      <w:r w:rsidR="007C613F" w:rsidRPr="00472058">
        <w:t xml:space="preserve">Kizh Nation </w:t>
      </w:r>
      <w:r w:rsidR="003557D7" w:rsidRPr="00472058">
        <w:t>provided documents</w:t>
      </w:r>
      <w:r w:rsidR="003557D7" w:rsidRPr="003557D7">
        <w:t xml:space="preserve"> from historic books</w:t>
      </w:r>
      <w:r w:rsidR="003557D7">
        <w:t xml:space="preserve"> and </w:t>
      </w:r>
      <w:r w:rsidR="003557D7" w:rsidRPr="003557D7">
        <w:t xml:space="preserve">screenshots of historic maps to identify the high cultural sensitivity of the project location and to explain </w:t>
      </w:r>
      <w:r w:rsidR="003557D7">
        <w:t>their</w:t>
      </w:r>
      <w:r w:rsidR="003557D7" w:rsidRPr="003557D7">
        <w:t xml:space="preserve"> concerns with specific subsurface ground disturbance activities that have impacted tribal cultural resources in the past. </w:t>
      </w:r>
      <w:r w:rsidR="003557D7">
        <w:t>The tribe also</w:t>
      </w:r>
      <w:r w:rsidR="003557D7" w:rsidRPr="003557D7">
        <w:t xml:space="preserve"> </w:t>
      </w:r>
      <w:r w:rsidR="00472058">
        <w:t>e</w:t>
      </w:r>
      <w:r w:rsidR="003557D7" w:rsidRPr="003557D7">
        <w:t>xplained the cultural significance of the area and the high amount of pre-historic human activity that occurred there</w:t>
      </w:r>
      <w:r w:rsidR="00472058">
        <w:t xml:space="preserve"> and</w:t>
      </w:r>
      <w:r w:rsidR="00472058" w:rsidRPr="0004064E">
        <w:t xml:space="preserve"> </w:t>
      </w:r>
      <w:r w:rsidR="003557D7" w:rsidRPr="0004064E">
        <w:t>submitted mitigation measures included below</w:t>
      </w:r>
      <w:r w:rsidR="00472058" w:rsidRPr="0004064E">
        <w:t xml:space="preserve"> as Mitigation Measures MM TCR 1 through </w:t>
      </w:r>
      <w:r w:rsidR="006C50E5">
        <w:t>TCR 4</w:t>
      </w:r>
      <w:r w:rsidR="00B85BC9">
        <w:t xml:space="preserve">. </w:t>
      </w:r>
      <w:r w:rsidR="00EB6309" w:rsidRPr="00472058">
        <w:t>Therefore, the City has complied with its obligation under AB 52</w:t>
      </w:r>
      <w:r w:rsidR="00482FE3" w:rsidRPr="00472058">
        <w:t>,</w:t>
      </w:r>
      <w:r w:rsidR="00EB6309" w:rsidRPr="00472058">
        <w:t xml:space="preserve"> and the consultation process </w:t>
      </w:r>
      <w:r w:rsidR="00482FE3" w:rsidRPr="00472058">
        <w:t xml:space="preserve">is </w:t>
      </w:r>
      <w:r w:rsidR="00EB6309" w:rsidRPr="00472058">
        <w:t xml:space="preserve">deemed complete. </w:t>
      </w:r>
    </w:p>
    <w:p w14:paraId="73957DE6" w14:textId="77777777" w:rsidR="00EB6309" w:rsidRPr="00472058" w:rsidRDefault="00482FE3" w:rsidP="00472058">
      <w:pPr>
        <w:pStyle w:val="BodyText"/>
        <w:ind w:left="360"/>
      </w:pPr>
      <w:r w:rsidRPr="00472058">
        <w:t>A</w:t>
      </w:r>
      <w:r w:rsidR="00472058">
        <w:t>dditionally, a</w:t>
      </w:r>
      <w:r w:rsidRPr="00472058">
        <w:t xml:space="preserve">s </w:t>
      </w:r>
      <w:r w:rsidR="00EB6309" w:rsidRPr="00472058">
        <w:t xml:space="preserve">discussed in Section 3.5, </w:t>
      </w:r>
      <w:r w:rsidR="00EB6309" w:rsidRPr="00472058">
        <w:rPr>
          <w:rStyle w:val="BodyTextItalicChar"/>
        </w:rPr>
        <w:t>Cultural Resources</w:t>
      </w:r>
      <w:r w:rsidR="00EB6309" w:rsidRPr="00472058">
        <w:t xml:space="preserve">, deep ground excavations or disturbances would not be required to implement the proposed project. Furthermore, it is anticipated that </w:t>
      </w:r>
      <w:r w:rsidR="00BB67ED" w:rsidRPr="00472058">
        <w:t>up to</w:t>
      </w:r>
      <w:r w:rsidR="00EB6309" w:rsidRPr="00472058">
        <w:t xml:space="preserve"> </w:t>
      </w:r>
      <w:r w:rsidR="003465F6" w:rsidRPr="00472058">
        <w:t>14,</w:t>
      </w:r>
      <w:r w:rsidR="00A0300D" w:rsidRPr="00472058">
        <w:t>933</w:t>
      </w:r>
      <w:r w:rsidR="003465F6" w:rsidRPr="00472058">
        <w:t xml:space="preserve"> cubic yards of soil would be imported during the grading phase to balance the site</w:t>
      </w:r>
      <w:r w:rsidRPr="00472058">
        <w:t xml:space="preserve">; </w:t>
      </w:r>
      <w:r w:rsidR="00EB6309" w:rsidRPr="00472058">
        <w:t xml:space="preserve">no soil export would occur. The project site is heavily </w:t>
      </w:r>
      <w:r w:rsidR="003465F6" w:rsidRPr="00472058">
        <w:t xml:space="preserve">developed </w:t>
      </w:r>
      <w:r w:rsidR="00EB6309" w:rsidRPr="00472058">
        <w:t xml:space="preserve">and therefore has already been subject to similar construction and ground-disturbing activities that would occur under the </w:t>
      </w:r>
      <w:r w:rsidR="003465F6" w:rsidRPr="00472058">
        <w:t>proposed project</w:t>
      </w:r>
      <w:r w:rsidR="00EB6309" w:rsidRPr="00472058">
        <w:t xml:space="preserve">. </w:t>
      </w:r>
      <w:r w:rsidR="00472058" w:rsidRPr="00472058">
        <w:t>However, since the site is of high cultural importance to the Gabrieleno Band of Mission Indians–Kizh Nation</w:t>
      </w:r>
      <w:r w:rsidR="00472058">
        <w:t>,</w:t>
      </w:r>
      <w:r w:rsidR="00472058" w:rsidRPr="00472058">
        <w:t xml:space="preserve"> </w:t>
      </w:r>
      <w:r w:rsidR="004210D8" w:rsidRPr="00472058">
        <w:t>implementation of Mitigation Measure</w:t>
      </w:r>
      <w:r w:rsidR="00472058">
        <w:t>s</w:t>
      </w:r>
      <w:r w:rsidR="004210D8" w:rsidRPr="00472058">
        <w:t xml:space="preserve"> TRC-</w:t>
      </w:r>
      <w:r w:rsidR="00472058">
        <w:t>2</w:t>
      </w:r>
      <w:r w:rsidR="00472058" w:rsidRPr="00472058">
        <w:t xml:space="preserve"> through TRC-</w:t>
      </w:r>
      <w:r w:rsidR="00452C93">
        <w:t>4</w:t>
      </w:r>
      <w:r w:rsidR="00472058" w:rsidRPr="00472058">
        <w:t xml:space="preserve"> area required. </w:t>
      </w:r>
      <w:r w:rsidR="00472058">
        <w:t xml:space="preserve">Mitigation Measure TRC-1 is also included to comply with the request of the </w:t>
      </w:r>
      <w:r w:rsidR="00472058" w:rsidRPr="00472058">
        <w:t xml:space="preserve">Gabrielino Tongva Indians of California Tribal Council </w:t>
      </w:r>
      <w:r w:rsidR="00472058">
        <w:t xml:space="preserve">through the AB 52 consultation process. </w:t>
      </w:r>
      <w:r w:rsidR="00472058" w:rsidRPr="00472058">
        <w:t>With the implementation of the</w:t>
      </w:r>
      <w:r w:rsidR="00472058">
        <w:t>se</w:t>
      </w:r>
      <w:r w:rsidR="00472058" w:rsidRPr="00472058">
        <w:t xml:space="preserve"> mitigation measures</w:t>
      </w:r>
      <w:r w:rsidRPr="00472058">
        <w:t>,</w:t>
      </w:r>
      <w:r w:rsidR="004210D8" w:rsidRPr="00472058">
        <w:t xml:space="preserve"> </w:t>
      </w:r>
      <w:r w:rsidR="00EB6309" w:rsidRPr="00472058">
        <w:t xml:space="preserve">impacts to tribal cultural resources would </w:t>
      </w:r>
      <w:r w:rsidR="004210D8" w:rsidRPr="00472058">
        <w:t>be less than significant</w:t>
      </w:r>
      <w:r w:rsidR="00EB6309" w:rsidRPr="00472058">
        <w:t xml:space="preserve">. </w:t>
      </w:r>
    </w:p>
    <w:p w14:paraId="490BE3D4" w14:textId="77777777" w:rsidR="00766D4F" w:rsidRPr="00200463" w:rsidRDefault="00766D4F" w:rsidP="00766D4F">
      <w:pPr>
        <w:pStyle w:val="Heading5"/>
      </w:pPr>
      <w:r w:rsidRPr="00200463">
        <w:t>Mitigation Measure</w:t>
      </w:r>
    </w:p>
    <w:p w14:paraId="68301ED8" w14:textId="77777777" w:rsidR="00EB390F" w:rsidRDefault="00766D4F" w:rsidP="00EB390F">
      <w:pPr>
        <w:pStyle w:val="MitigationText"/>
      </w:pPr>
      <w:r>
        <w:t>TC</w:t>
      </w:r>
      <w:r w:rsidR="004210D8">
        <w:t>R</w:t>
      </w:r>
      <w:r w:rsidRPr="005C4C20">
        <w:t>-1</w:t>
      </w:r>
      <w:r w:rsidRPr="005C4C20">
        <w:tab/>
      </w:r>
      <w:r w:rsidR="00EB390F" w:rsidRPr="00EB390F">
        <w:t xml:space="preserve">The City of Irwindale </w:t>
      </w:r>
      <w:r w:rsidR="006C1E7D">
        <w:t>shall</w:t>
      </w:r>
      <w:r w:rsidR="006C1E7D" w:rsidRPr="00EB390F">
        <w:t xml:space="preserve"> </w:t>
      </w:r>
      <w:r w:rsidR="00EB390F" w:rsidRPr="00EB390F">
        <w:t xml:space="preserve">notify </w:t>
      </w:r>
      <w:r w:rsidR="00EB390F">
        <w:t>t</w:t>
      </w:r>
      <w:r w:rsidR="00EB390F" w:rsidRPr="00EB390F">
        <w:t xml:space="preserve">he Gabrielino Tongva Indians of California Tribal Council if prehistoric materials, including Native American burial remains, are found. Any notification by the City of Irwindale to the Tribe of the discovery of burial remains </w:t>
      </w:r>
      <w:r w:rsidR="006C1E7D">
        <w:t>shall</w:t>
      </w:r>
      <w:r w:rsidR="006C1E7D" w:rsidRPr="00EB390F">
        <w:t xml:space="preserve"> </w:t>
      </w:r>
      <w:r w:rsidR="00EB390F" w:rsidRPr="00EB390F">
        <w:t xml:space="preserve">be separate from the Native American Heritage Commission (NAHC) process and </w:t>
      </w:r>
      <w:r w:rsidR="006C1E7D">
        <w:t>shall</w:t>
      </w:r>
      <w:r w:rsidR="00FA011F">
        <w:t xml:space="preserve"> </w:t>
      </w:r>
      <w:r w:rsidR="00EB390F" w:rsidRPr="00EB390F">
        <w:t xml:space="preserve">occur regardless of whether the NAHC designates the Tribe as Most Likely </w:t>
      </w:r>
      <w:r w:rsidR="00322F95" w:rsidRPr="00CA0028">
        <w:t>Descendant</w:t>
      </w:r>
      <w:r w:rsidR="00EB390F" w:rsidRPr="00EB390F">
        <w:t>. If Native American burial remains are found</w:t>
      </w:r>
      <w:r w:rsidR="00322F95">
        <w:t>,</w:t>
      </w:r>
      <w:r w:rsidR="00EB390F" w:rsidRPr="00EB390F">
        <w:t xml:space="preserve"> the Tribe </w:t>
      </w:r>
      <w:r w:rsidR="006C1E7D">
        <w:t>shall</w:t>
      </w:r>
      <w:r w:rsidR="006C1E7D" w:rsidRPr="00EB390F">
        <w:t xml:space="preserve"> </w:t>
      </w:r>
      <w:r w:rsidR="00EB390F" w:rsidRPr="00EB390F">
        <w:t>engage the City of Irwindale in formal Native American consultation.</w:t>
      </w:r>
    </w:p>
    <w:p w14:paraId="191C34B7" w14:textId="77777777" w:rsidR="001030C2" w:rsidRDefault="0004064E" w:rsidP="001030C2">
      <w:pPr>
        <w:pStyle w:val="MitigationText"/>
      </w:pPr>
      <w:r>
        <w:t>TCR</w:t>
      </w:r>
      <w:r w:rsidRPr="005C4C20">
        <w:t>-</w:t>
      </w:r>
      <w:r>
        <w:t>2</w:t>
      </w:r>
      <w:r w:rsidRPr="005C4C20">
        <w:tab/>
      </w:r>
      <w:r w:rsidR="00C76FC8">
        <w:t>A</w:t>
      </w:r>
      <w:r w:rsidR="001030C2" w:rsidRPr="001030C2">
        <w:t xml:space="preserve"> </w:t>
      </w:r>
      <w:r w:rsidR="001030C2">
        <w:t>N</w:t>
      </w:r>
      <w:r w:rsidR="001030C2" w:rsidRPr="001030C2">
        <w:t xml:space="preserve">ative </w:t>
      </w:r>
      <w:r w:rsidR="001030C2">
        <w:t>A</w:t>
      </w:r>
      <w:r w:rsidR="001030C2" w:rsidRPr="001030C2">
        <w:t xml:space="preserve">merican </w:t>
      </w:r>
      <w:r w:rsidR="001030C2">
        <w:t>m</w:t>
      </w:r>
      <w:r w:rsidR="001030C2" w:rsidRPr="001030C2">
        <w:t xml:space="preserve">onitor </w:t>
      </w:r>
      <w:r w:rsidR="001030C2">
        <w:t>from the Gabrieleño Band of Mission Indians – Kizh Nation</w:t>
      </w:r>
      <w:r w:rsidR="00630DF9">
        <w:t xml:space="preserve"> shall be retained</w:t>
      </w:r>
      <w:r w:rsidR="001030C2">
        <w:t xml:space="preserve"> p</w:t>
      </w:r>
      <w:r w:rsidR="001030C2" w:rsidRPr="001030C2">
        <w:t xml:space="preserve">rior to </w:t>
      </w:r>
      <w:r w:rsidR="001030C2">
        <w:t>c</w:t>
      </w:r>
      <w:r w:rsidR="001030C2" w:rsidRPr="001030C2">
        <w:t xml:space="preserve">ommencement of </w:t>
      </w:r>
      <w:r w:rsidR="001030C2">
        <w:t>g</w:t>
      </w:r>
      <w:r w:rsidR="001030C2" w:rsidRPr="001030C2">
        <w:t>round-</w:t>
      </w:r>
      <w:r w:rsidR="001030C2">
        <w:t>d</w:t>
      </w:r>
      <w:r w:rsidR="001030C2" w:rsidRPr="001030C2">
        <w:t xml:space="preserve">isturbing </w:t>
      </w:r>
      <w:r w:rsidR="001030C2">
        <w:t>a</w:t>
      </w:r>
      <w:r w:rsidR="001030C2" w:rsidRPr="001030C2">
        <w:t>ctivities</w:t>
      </w:r>
      <w:r w:rsidR="001030C2">
        <w:t>:</w:t>
      </w:r>
    </w:p>
    <w:p w14:paraId="6A1F07B3" w14:textId="77777777" w:rsidR="001030C2" w:rsidRDefault="0004064E" w:rsidP="00F43DAE">
      <w:pPr>
        <w:pStyle w:val="MitigationTextBullet"/>
      </w:pPr>
      <w:r>
        <w:t>The project applicant shall retain a Native American monitor from (or approved by) the Gabrieleño Band of Mission Indians – Kizh Nation the direct lineal descendants of the project location. The monitor shall be retained prior to the commencement of any ground-disturbing activity for the subject project, at all project locations (i.e., both on-site and any off-site locations that are included in the project description and/or required in connection with the project, such as public improvement work). Ground-disturbing activity includes, but is not limited to, pavement removal, potholing, auguring, grubbing, tree removal, boring, grading, excavation, drilling, and trenching.</w:t>
      </w:r>
      <w:r w:rsidR="001030C2">
        <w:t xml:space="preserve"> </w:t>
      </w:r>
    </w:p>
    <w:p w14:paraId="43775936" w14:textId="77777777" w:rsidR="001030C2" w:rsidRDefault="0004064E" w:rsidP="00F43DAE">
      <w:pPr>
        <w:pStyle w:val="MitigationTextBullet"/>
      </w:pPr>
      <w:r>
        <w:t xml:space="preserve">A copy of the executed monitoring agreement shall be provided to the </w:t>
      </w:r>
      <w:r w:rsidR="00630DF9">
        <w:t>City of Irwindale</w:t>
      </w:r>
      <w:r>
        <w:t xml:space="preserve"> prior to the commencement of any ground-disturbing activity for the project, or the issuance of any permit necessary to commence a ground-disturbing activity.</w:t>
      </w:r>
      <w:r w:rsidR="001030C2">
        <w:t xml:space="preserve"> </w:t>
      </w:r>
    </w:p>
    <w:p w14:paraId="54A637C5" w14:textId="77777777" w:rsidR="001030C2" w:rsidRDefault="0004064E" w:rsidP="00F43DAE">
      <w:pPr>
        <w:pStyle w:val="MitigationTextBullet"/>
      </w:pPr>
      <w:r>
        <w:t>The project applicant shall provide the Tribe with a minimum of 30 days advance written notice of the commencement of any project ground-disturbing activity so that the Tribe has sufficient time to secure and schedule a monitor for the project.</w:t>
      </w:r>
    </w:p>
    <w:p w14:paraId="07B66187" w14:textId="77777777" w:rsidR="001030C2" w:rsidRDefault="0004064E" w:rsidP="00F43DAE">
      <w:pPr>
        <w:pStyle w:val="MitigationTextBullet"/>
      </w:pPr>
      <w:r>
        <w:t xml:space="preserve">The project applicant shall hold at least one pre-construction sensitivity/educational meeting prior to the commencement of any ground-disturbing activities, where a senior member of the </w:t>
      </w:r>
      <w:r w:rsidR="001030C2" w:rsidRPr="001030C2">
        <w:t>Gabrieleño Band of Mission Indians – Kizh Nation</w:t>
      </w:r>
      <w:r>
        <w:t xml:space="preserve"> </w:t>
      </w:r>
      <w:r w:rsidR="006C1E7D">
        <w:t xml:space="preserve">shall </w:t>
      </w:r>
      <w:r>
        <w:t>inform and educate the project’s construction and managerial crew and staff members (including any project subcontractors and consultants) about the tribal cultural resources mitigation measures and compliance obligations, as well as places of significance located on the project site (if any), the appearance of potential tribal cultural resources, and other informational and operational guidance to aid in the project’s compliance with the mitigation measures.</w:t>
      </w:r>
    </w:p>
    <w:p w14:paraId="7AC82D2A" w14:textId="3A370DC0" w:rsidR="001030C2" w:rsidRDefault="0004064E" w:rsidP="00F43DAE">
      <w:pPr>
        <w:pStyle w:val="MitigationTextBullet"/>
      </w:pPr>
      <w:r>
        <w:t xml:space="preserve">The </w:t>
      </w:r>
      <w:r w:rsidR="001030C2">
        <w:t>N</w:t>
      </w:r>
      <w:r w:rsidR="001030C2" w:rsidRPr="001030C2">
        <w:t xml:space="preserve">ative </w:t>
      </w:r>
      <w:r w:rsidR="001030C2">
        <w:t>A</w:t>
      </w:r>
      <w:r w:rsidR="001030C2" w:rsidRPr="001030C2">
        <w:t xml:space="preserve">merican </w:t>
      </w:r>
      <w:r w:rsidR="001030C2">
        <w:t>m</w:t>
      </w:r>
      <w:r w:rsidR="001030C2" w:rsidRPr="001030C2">
        <w:t>onitor</w:t>
      </w:r>
      <w:r>
        <w:t xml:space="preserve"> </w:t>
      </w:r>
      <w:r w:rsidR="00630DF9">
        <w:t>shall</w:t>
      </w:r>
      <w:r>
        <w:t xml:space="preserve"> complete daily monitoring logs that </w:t>
      </w:r>
      <w:r w:rsidR="006C1E7D">
        <w:t xml:space="preserve">shall </w:t>
      </w:r>
      <w:r>
        <w:t>provide descriptions of the relevant ground</w:t>
      </w:r>
      <w:r w:rsidR="001030C2">
        <w:t xml:space="preserve"> </w:t>
      </w:r>
      <w:r>
        <w:t xml:space="preserve">disturbing activities, the type of construction activities performed, locations of ground-disturbing activities, soil types, cultural-related materials, and any other facts, conditions, materials, or discoveries of significance to the Tribe. Monitor logs </w:t>
      </w:r>
      <w:r w:rsidR="00630DF9">
        <w:t>shall</w:t>
      </w:r>
      <w:r>
        <w:t xml:space="preserve"> identify and describe any discovered tribal cultural resources, including but not limited to,</w:t>
      </w:r>
      <w:r w:rsidR="00630DF9">
        <w:t xml:space="preserve"> </w:t>
      </w:r>
      <w:r w:rsidR="00FB009B">
        <w:t>N</w:t>
      </w:r>
      <w:r>
        <w:t xml:space="preserve">ative American cultural and historical artifacts, remains, places of significance, etc., as well as any discovered Native American (ancestral) human remains and burial goods. Copies of monitor logs </w:t>
      </w:r>
      <w:r w:rsidR="006C1E7D">
        <w:t xml:space="preserve">shall </w:t>
      </w:r>
      <w:r>
        <w:t>be provided to the project applicant and/or lead agency upon written request.</w:t>
      </w:r>
    </w:p>
    <w:p w14:paraId="6C799C24" w14:textId="77777777" w:rsidR="0004064E" w:rsidRDefault="0004064E" w:rsidP="00F43DAE">
      <w:pPr>
        <w:pStyle w:val="MitigationTextBullet"/>
      </w:pPr>
      <w:r>
        <w:t>Native American monitoring for the project shall conclude upon the latter of the following: (1) written</w:t>
      </w:r>
      <w:r w:rsidR="001030C2" w:rsidRPr="001030C2">
        <w:t xml:space="preserve"> </w:t>
      </w:r>
      <w:r w:rsidR="001030C2">
        <w:t>confirmation from a designated project point of contact to the Tribe that all ground-disturbing activities and all phases that may involve ground-disturbing activities on the project site and at any off-site project location are complete; or (2) written notice by the Tribe to the project applicant/lead agency that no future, planned construction activity and/or development/construction phase (known by the Tribe at that time) at the project site and at any off-site project location possesses the potential to impact tribal cultural resources.</w:t>
      </w:r>
    </w:p>
    <w:p w14:paraId="106802E6" w14:textId="77777777" w:rsidR="001030C2" w:rsidRDefault="001030C2" w:rsidP="001030C2">
      <w:pPr>
        <w:pStyle w:val="MitigationText"/>
      </w:pPr>
      <w:r>
        <w:t>TCR-</w:t>
      </w:r>
      <w:r w:rsidR="00452C93">
        <w:t>3</w:t>
      </w:r>
      <w:r>
        <w:tab/>
      </w:r>
      <w:r w:rsidRPr="001030C2">
        <w:t xml:space="preserve">Discovery of </w:t>
      </w:r>
      <w:r>
        <w:t xml:space="preserve">tribal cultural resources, human remains, and or grave goods: </w:t>
      </w:r>
    </w:p>
    <w:p w14:paraId="0143E1BD" w14:textId="77777777" w:rsidR="00452C93" w:rsidRDefault="001030C2" w:rsidP="003C35DD">
      <w:pPr>
        <w:pStyle w:val="MitigationTextBullet"/>
      </w:pPr>
      <w:r>
        <w:t xml:space="preserve">Upon the discovery of a </w:t>
      </w:r>
      <w:r w:rsidR="00452C93">
        <w:t>tribal cultural resources</w:t>
      </w:r>
      <w:r>
        <w:t>, all construction activities in the immediate vicinity of the discovery (i.e.,</w:t>
      </w:r>
      <w:r w:rsidR="00452C93">
        <w:t xml:space="preserve"> </w:t>
      </w:r>
      <w:r>
        <w:t xml:space="preserve">not less than the surrounding 50 feet) shall cease. The </w:t>
      </w:r>
      <w:r w:rsidR="00452C93" w:rsidRPr="00452C93">
        <w:t>Gabrieleño Band of Mission Indians – Kizh Nation</w:t>
      </w:r>
      <w:r>
        <w:t xml:space="preserve"> shall be immediately informed of the</w:t>
      </w:r>
      <w:r w:rsidR="00452C93">
        <w:t xml:space="preserve"> </w:t>
      </w:r>
      <w:r>
        <w:t xml:space="preserve">discovery, and </w:t>
      </w:r>
      <w:r w:rsidR="00452C93">
        <w:t>the</w:t>
      </w:r>
      <w:r>
        <w:t xml:space="preserve"> Kizh monitor </w:t>
      </w:r>
      <w:r w:rsidR="006C1E7D">
        <w:t xml:space="preserve">shall </w:t>
      </w:r>
      <w:r>
        <w:t>promptly report to the location of the</w:t>
      </w:r>
      <w:r w:rsidR="00452C93">
        <w:t xml:space="preserve"> </w:t>
      </w:r>
      <w:r>
        <w:t xml:space="preserve">discovery to evaluate the </w:t>
      </w:r>
      <w:r w:rsidR="00452C93">
        <w:t>tribal cultural resource</w:t>
      </w:r>
      <w:r>
        <w:t xml:space="preserve"> and advise the project manager regarding the matter, protocol, and</w:t>
      </w:r>
      <w:r w:rsidR="00452C93">
        <w:t xml:space="preserve"> </w:t>
      </w:r>
      <w:r>
        <w:t>any mitigating requirements. No project construction activities shall resume in the surrounding 50 feet</w:t>
      </w:r>
      <w:r w:rsidR="00452C93">
        <w:t xml:space="preserve"> </w:t>
      </w:r>
      <w:r>
        <w:t xml:space="preserve">of the discovered </w:t>
      </w:r>
      <w:r w:rsidR="00452C93">
        <w:t>tribal cultural resource</w:t>
      </w:r>
      <w:r>
        <w:t xml:space="preserve"> unless and until the Tribe has completed its assessment</w:t>
      </w:r>
      <w:r w:rsidR="00452C93">
        <w:t xml:space="preserve">, </w:t>
      </w:r>
      <w:r>
        <w:t>evaluation</w:t>
      </w:r>
      <w:r w:rsidR="00452C93">
        <w:t xml:space="preserve">, and </w:t>
      </w:r>
      <w:r>
        <w:t>recovery of</w:t>
      </w:r>
      <w:r w:rsidR="00452C93">
        <w:t xml:space="preserve"> </w:t>
      </w:r>
      <w:r>
        <w:t xml:space="preserve">the discovered </w:t>
      </w:r>
      <w:r w:rsidR="00452C93">
        <w:t>tribal cultural resource</w:t>
      </w:r>
      <w:r>
        <w:t xml:space="preserve"> and surveyed the surrounding area.</w:t>
      </w:r>
    </w:p>
    <w:p w14:paraId="2437BB45" w14:textId="77777777" w:rsidR="00452C93" w:rsidRDefault="001030C2" w:rsidP="003C35DD">
      <w:pPr>
        <w:pStyle w:val="MitigationTextBullet"/>
      </w:pPr>
      <w:r>
        <w:t xml:space="preserve">The Tribe </w:t>
      </w:r>
      <w:r w:rsidR="006C1E7D">
        <w:t xml:space="preserve">shall </w:t>
      </w:r>
      <w:r>
        <w:t xml:space="preserve">recover and retain all discovered </w:t>
      </w:r>
      <w:r w:rsidR="00452C93">
        <w:t>tribal cultural resources</w:t>
      </w:r>
      <w:r>
        <w:t xml:space="preserve"> in the form and/or manner the Tribe deems</w:t>
      </w:r>
      <w:r w:rsidR="00452C93">
        <w:t xml:space="preserve"> </w:t>
      </w:r>
      <w:r>
        <w:t>appropriate in its sole discretion, and for any purpose the Tribe deems appropriate, including but not</w:t>
      </w:r>
      <w:r w:rsidR="00452C93">
        <w:t xml:space="preserve"> </w:t>
      </w:r>
      <w:r>
        <w:t>limited to, educational, cultural and/or historic purposes.</w:t>
      </w:r>
    </w:p>
    <w:p w14:paraId="091814F9" w14:textId="77777777" w:rsidR="00452C93" w:rsidRDefault="001030C2" w:rsidP="003C35DD">
      <w:pPr>
        <w:pStyle w:val="MitigationTextBullet"/>
      </w:pPr>
      <w:r>
        <w:t>If Native American human remains and/or grave goods are discovered or recognized on the project</w:t>
      </w:r>
      <w:r w:rsidR="00452C93">
        <w:t xml:space="preserve"> </w:t>
      </w:r>
      <w:r>
        <w:t>site or at any off-site project location, then all construction activities shall immediately cease. Native</w:t>
      </w:r>
      <w:r w:rsidR="00452C93">
        <w:t xml:space="preserve"> </w:t>
      </w:r>
      <w:r>
        <w:t>American human remains are defined to include an inhumation or cremation, and in any state of</w:t>
      </w:r>
      <w:r w:rsidR="00452C93">
        <w:t xml:space="preserve"> </w:t>
      </w:r>
      <w:r>
        <w:t>decomposition or skeletal completeness (Pub. Res. Code § 5097.98 (d)(1).) Funerary objects, referred</w:t>
      </w:r>
      <w:r w:rsidR="00452C93">
        <w:t xml:space="preserve"> </w:t>
      </w:r>
      <w:r>
        <w:t>to as associated grave goods,</w:t>
      </w:r>
      <w:r w:rsidR="00452C93">
        <w:t xml:space="preserve"> </w:t>
      </w:r>
      <w:r>
        <w:t>shall be treated in the same manner and with the same dignity and</w:t>
      </w:r>
      <w:r w:rsidR="00452C93">
        <w:t xml:space="preserve"> </w:t>
      </w:r>
      <w:r>
        <w:t>respect as human remains. (Pub. Res. Code § 5097.98 (a), d)(1) and (2).)</w:t>
      </w:r>
    </w:p>
    <w:p w14:paraId="7BE93755" w14:textId="77777777" w:rsidR="00452C93" w:rsidRDefault="001030C2" w:rsidP="003C35DD">
      <w:pPr>
        <w:pStyle w:val="MitigationTextBullet"/>
      </w:pPr>
      <w:r>
        <w:t>Any discoveries of human skeletal material or human remains shall be immediately reported to the</w:t>
      </w:r>
      <w:r w:rsidR="00452C93">
        <w:t xml:space="preserve"> </w:t>
      </w:r>
      <w:r>
        <w:t>County Coroner (Health &amp; Safety Code § 7050.5(c); 14 Cal. Code Regs. § 15064.5(e)(1)(B)), and all</w:t>
      </w:r>
      <w:r w:rsidR="00452C93">
        <w:t xml:space="preserve"> </w:t>
      </w:r>
      <w:r>
        <w:t>ground-disturbing project ground-disturbing activities on site and in any other area where the</w:t>
      </w:r>
      <w:r w:rsidR="00452C93">
        <w:t xml:space="preserve"> </w:t>
      </w:r>
      <w:r>
        <w:t>presence of human remains and/or grave goods are suspected to be present, shall immediately halt</w:t>
      </w:r>
      <w:r w:rsidR="00452C93">
        <w:t xml:space="preserve"> </w:t>
      </w:r>
      <w:r>
        <w:t>and remain halted until the coroner has determined the nature of the remains. (14 Cal. Code Regs. §</w:t>
      </w:r>
      <w:r w:rsidR="00452C93">
        <w:t xml:space="preserve"> </w:t>
      </w:r>
      <w:r>
        <w:t>15064.5(e).) If the coroner recognizes the human remains to be those of a Native American or has</w:t>
      </w:r>
      <w:r w:rsidR="00452C93">
        <w:t xml:space="preserve"> </w:t>
      </w:r>
      <w:r>
        <w:t>reason to believe they are Native American, he or she shall contact, within 24 hours, the Native</w:t>
      </w:r>
      <w:r w:rsidR="00452C93">
        <w:t xml:space="preserve"> </w:t>
      </w:r>
      <w:r>
        <w:t>American Heritage Commission, and Public Resources Code Section 5097.98 shall be followed.</w:t>
      </w:r>
    </w:p>
    <w:p w14:paraId="3CFCBA24" w14:textId="77777777" w:rsidR="00452C93" w:rsidRDefault="001030C2" w:rsidP="003C35DD">
      <w:pPr>
        <w:pStyle w:val="MitigationTextBullet"/>
      </w:pPr>
      <w:r>
        <w:t>Thereafter, construction activities may resume in other parts of the project site at a minimum of 200</w:t>
      </w:r>
      <w:r w:rsidR="00452C93">
        <w:t xml:space="preserve"> </w:t>
      </w:r>
      <w:r>
        <w:t>feet away from discovered human remains and/or grave goods, if the Tribe determines in its sole</w:t>
      </w:r>
      <w:r w:rsidR="00452C93">
        <w:t xml:space="preserve"> </w:t>
      </w:r>
      <w:r>
        <w:t>discretion that resuming construction activities at that distance is acceptable and provides the project manager express consent of that determination (along with any other mitigation measures the Tribal</w:t>
      </w:r>
      <w:r w:rsidR="00452C93">
        <w:t xml:space="preserve"> </w:t>
      </w:r>
      <w:r>
        <w:t>monitor and/or archaeologist deems necessary). (14 Cal. Code Regs. § 15064.5(f).)</w:t>
      </w:r>
      <w:r w:rsidR="00452C93">
        <w:t xml:space="preserve"> </w:t>
      </w:r>
      <w:r>
        <w:t>Preservation in place (i.e., avoidance) is the preferred manner of treatment for discovered human</w:t>
      </w:r>
      <w:r w:rsidR="00452C93">
        <w:t xml:space="preserve"> </w:t>
      </w:r>
      <w:r>
        <w:t>remains and/or grave goods.</w:t>
      </w:r>
    </w:p>
    <w:p w14:paraId="467DDBDB" w14:textId="77777777" w:rsidR="00452C93" w:rsidRDefault="001030C2" w:rsidP="003C35DD">
      <w:pPr>
        <w:pStyle w:val="MitigationTextBullet"/>
      </w:pPr>
      <w:r>
        <w:t>Any historic archaeological material that is not Native American in origin shall be curated</w:t>
      </w:r>
      <w:r w:rsidR="00452C93">
        <w:t xml:space="preserve"> </w:t>
      </w:r>
      <w:r>
        <w:t>at a public, non-profit institution with a research interest in the materials, such as the Natural History</w:t>
      </w:r>
      <w:r w:rsidR="00452C93">
        <w:t xml:space="preserve"> </w:t>
      </w:r>
      <w:r>
        <w:t>Museum of Los Angeles County or the Fowler Museum, if such an institution agrees to accept the</w:t>
      </w:r>
      <w:r w:rsidR="00452C93">
        <w:t xml:space="preserve"> </w:t>
      </w:r>
      <w:r>
        <w:t>material. If no institution accepts the archaeological material, it shall be offered to a local school or</w:t>
      </w:r>
      <w:r w:rsidR="00452C93">
        <w:t xml:space="preserve"> </w:t>
      </w:r>
      <w:r>
        <w:t>historical society in the area for educational purposes.</w:t>
      </w:r>
    </w:p>
    <w:p w14:paraId="65684629" w14:textId="77777777" w:rsidR="001030C2" w:rsidRDefault="001030C2" w:rsidP="003C35DD">
      <w:pPr>
        <w:pStyle w:val="MitigationTextBullet"/>
      </w:pPr>
      <w:r>
        <w:t>Any discovery of human remains and/or grave goods discovered and/or recovered shall be kept</w:t>
      </w:r>
      <w:r w:rsidR="00452C93">
        <w:t xml:space="preserve"> </w:t>
      </w:r>
      <w:r>
        <w:t>confidential to prevent further disturbance.</w:t>
      </w:r>
    </w:p>
    <w:p w14:paraId="6C58786C" w14:textId="77777777" w:rsidR="00452C93" w:rsidRDefault="00452C93" w:rsidP="00452C93">
      <w:pPr>
        <w:pStyle w:val="MitigationText"/>
      </w:pPr>
      <w:r>
        <w:t>TCR-4</w:t>
      </w:r>
      <w:r>
        <w:tab/>
      </w:r>
      <w:r w:rsidRPr="00452C93">
        <w:rPr>
          <w:u w:val="single"/>
        </w:rPr>
        <w:t>Procedures for burials, funerary remains, and grave goods:</w:t>
      </w:r>
    </w:p>
    <w:p w14:paraId="1910A5CC" w14:textId="77777777" w:rsidR="00452C93" w:rsidRDefault="00452C93" w:rsidP="003C35DD">
      <w:pPr>
        <w:pStyle w:val="MitigationTextBullet"/>
      </w:pPr>
      <w:r>
        <w:t xml:space="preserve">As the Most Likely Descendant (“MLD”), the Koo-nas-gna Burial Policy shall be implemented for all discovered Native American human remains and/or grave goods. Tribal traditions include, but are not limited to, the preparation of the soil for burial, the burial of funerary objects and/or the deceased, and the ceremonial burning of human remains. </w:t>
      </w:r>
    </w:p>
    <w:p w14:paraId="2EB53F94" w14:textId="77777777" w:rsidR="00452C93" w:rsidRDefault="00452C93" w:rsidP="003C35DD">
      <w:pPr>
        <w:pStyle w:val="MitigationTextBullet"/>
      </w:pPr>
      <w:r>
        <w:t xml:space="preserve">If the discovery of human remains includes four or more burials, the discovery location shall be treated as a cemetery and a separate treatment plan shall be created. The prepared soil and cremation soils are to be treated in the same manner as bone fragments that remain intact. Associated grave goods are objects that, as part of the death rite or ceremony of a culture, are reasonably believed to have been placed with individual human remains either at the time of death or later, as well as other items made exclusively for burial purposes or to contain human remains. Cremations </w:t>
      </w:r>
      <w:r w:rsidR="006C1E7D">
        <w:t xml:space="preserve">shall </w:t>
      </w:r>
      <w:r>
        <w:t>either be removed in bulk or by means necessary to ensure complete recovery of all sacred materials.</w:t>
      </w:r>
    </w:p>
    <w:p w14:paraId="7A54DAA4" w14:textId="77777777" w:rsidR="00452C93" w:rsidRDefault="00452C93" w:rsidP="003C35DD">
      <w:pPr>
        <w:pStyle w:val="MitigationTextBullet"/>
      </w:pPr>
      <w:r>
        <w:t xml:space="preserve">In the case where discovered human remains cannot be fully recovered (and documented) on the same day, the remains </w:t>
      </w:r>
      <w:r w:rsidR="006C1E7D">
        <w:t xml:space="preserve">shall </w:t>
      </w:r>
      <w:r>
        <w:t xml:space="preserve">be covered with muslin cloth and a steel plate that can be moved by heavy equipment placed over the excavation opening to protect the remains. If this type of steel plate is not available, a 24-hour guard should be posted outside of working hours. The Tribe </w:t>
      </w:r>
      <w:r w:rsidR="006C1E7D">
        <w:t xml:space="preserve">shall </w:t>
      </w:r>
      <w:r>
        <w:t xml:space="preserve">make every effort to divert the project while keeping the remains in situ and protected. If the project cannot be diverted, it may be determined that burials </w:t>
      </w:r>
      <w:r w:rsidR="006C1E7D">
        <w:t xml:space="preserve">shall </w:t>
      </w:r>
      <w:r>
        <w:t>be removed.</w:t>
      </w:r>
    </w:p>
    <w:p w14:paraId="2454C987" w14:textId="77777777" w:rsidR="00452C93" w:rsidRDefault="00452C93" w:rsidP="003C35DD">
      <w:pPr>
        <w:pStyle w:val="MitigationTextBullet"/>
      </w:pPr>
      <w:r>
        <w:t>In the event preservation in place is not possible despite good faith efforts by the project applicant/developer and/or landowner, before ground-disturbing activities may resume on the project site, the landowner shall arrange a designated site location within the footprint of the project for the respectful reburial of the human remains and/or ceremonial objects. The site of</w:t>
      </w:r>
      <w:r w:rsidRPr="00452C93">
        <w:t xml:space="preserve"> </w:t>
      </w:r>
      <w:r>
        <w:t>reburial/repatriation shall be agreed upon by the Tribe and the landowner and shall be protected in perpetuity.</w:t>
      </w:r>
    </w:p>
    <w:p w14:paraId="63C414EF" w14:textId="77777777" w:rsidR="00452C93" w:rsidRDefault="00452C93" w:rsidP="003C35DD">
      <w:pPr>
        <w:pStyle w:val="MitigationTextBullet"/>
      </w:pPr>
      <w:r>
        <w:t xml:space="preserve">Each occurrence of human remains and associated grave goods </w:t>
      </w:r>
      <w:r w:rsidR="006C1E7D">
        <w:t xml:space="preserve">shall </w:t>
      </w:r>
      <w:r>
        <w:t xml:space="preserve">be stored using opaque cloth bags. All human remains, grave goods, funerary objects, sacred objects and objects of cultural patrimony </w:t>
      </w:r>
      <w:r w:rsidR="006C1E7D">
        <w:t xml:space="preserve">shall </w:t>
      </w:r>
      <w:r>
        <w:t xml:space="preserve">be removed to a secure container on site if possible. These items </w:t>
      </w:r>
      <w:r w:rsidR="006C1E7D">
        <w:t xml:space="preserve">shall </w:t>
      </w:r>
      <w:r>
        <w:t>be retained and shall be reburied within six months of recovery.</w:t>
      </w:r>
    </w:p>
    <w:p w14:paraId="74640D4E" w14:textId="77777777" w:rsidR="0004064E" w:rsidRPr="00452C93" w:rsidRDefault="00452C93" w:rsidP="003C35DD">
      <w:pPr>
        <w:pStyle w:val="MitigationTextBullet"/>
      </w:pPr>
      <w:r>
        <w:t xml:space="preserve">The Tribe </w:t>
      </w:r>
      <w:r w:rsidR="006C1E7D">
        <w:t xml:space="preserve">shall </w:t>
      </w:r>
      <w:r>
        <w:t>work closely with the project’s qualified archaeologist to ensure that the excavation is treated carefully, ethically and respectfully. If data recovery is approved by the Tribe, documentation shall be prepared and shall include (at a minimum) detailed descriptive notes and sketches. All data recovery data recovery-related forms of documentation shall be approved in advance by the Tribe. If any data recovery is performed, once complete, a final report shall be submitted to the Tribe and the NAHC. The Tribe does NOT authorize any scientific study or the utilization of any invasive and/or destructive diagnostics on human remains.</w:t>
      </w:r>
    </w:p>
    <w:p w14:paraId="3D5F6C89" w14:textId="77777777" w:rsidR="00D10CF6" w:rsidRPr="00615D1E" w:rsidRDefault="00D10CF6" w:rsidP="00D10CF6">
      <w:pPr>
        <w:pStyle w:val="Heading2"/>
      </w:pPr>
      <w:bookmarkStart w:id="222" w:name="_Toc90882171"/>
      <w:r w:rsidRPr="00615D1E">
        <w:t>UTILITIES AND SERVICE SYSTEMS</w:t>
      </w:r>
      <w:bookmarkEnd w:id="222"/>
    </w:p>
    <w:p w14:paraId="10D39FB6" w14:textId="77777777" w:rsidR="00C86C00" w:rsidRPr="00C86C00" w:rsidRDefault="00C86C00" w:rsidP="005F102B">
      <w:pPr>
        <w:pStyle w:val="BodyText"/>
        <w:rPr>
          <w:highlight w:val="yellow"/>
        </w:rPr>
      </w:pPr>
      <w:r w:rsidRPr="00617ACC">
        <w:t xml:space="preserve">The analysis in this section is based partly on the </w:t>
      </w:r>
      <w:r>
        <w:t>service provider questionnaire responses</w:t>
      </w:r>
      <w:r w:rsidRPr="00617ACC">
        <w:t xml:space="preserve">, which </w:t>
      </w:r>
      <w:r w:rsidR="003345F6">
        <w:t>are</w:t>
      </w:r>
      <w:r w:rsidRPr="00617ACC">
        <w:t xml:space="preserve"> included as Appendix </w:t>
      </w:r>
      <w:r w:rsidR="003A20AD">
        <w:t>H</w:t>
      </w:r>
      <w:r w:rsidRPr="00617ACC">
        <w:t xml:space="preserve"> to this Initial Study</w:t>
      </w:r>
      <w:r w:rsidR="005F102B">
        <w:t>.</w:t>
      </w:r>
    </w:p>
    <w:p w14:paraId="21A2B7BA" w14:textId="77777777" w:rsidR="00E34D2A" w:rsidRPr="00D77B4E" w:rsidRDefault="00E34D2A" w:rsidP="00E34D2A">
      <w:pPr>
        <w:pStyle w:val="BodyText"/>
      </w:pPr>
      <w:r w:rsidRPr="00D77B4E">
        <w:t>Would the project:</w:t>
      </w:r>
    </w:p>
    <w:p w14:paraId="7A6F0D4B" w14:textId="77777777" w:rsidR="00D10CF6" w:rsidRPr="00D77B4E" w:rsidRDefault="005B7771" w:rsidP="009D6ECC">
      <w:pPr>
        <w:pStyle w:val="List"/>
        <w:numPr>
          <w:ilvl w:val="0"/>
          <w:numId w:val="42"/>
        </w:numPr>
      </w:pPr>
      <w:r w:rsidRPr="00D77B4E">
        <w:t>Require or result in the relocation or construction of new or expanded water, wastewater treatment or storm water drainage, electric power, natural gas, or telecommunications facilities, the construction or relocation of which could cause significant environmental effects</w:t>
      </w:r>
      <w:r w:rsidR="00D10CF6" w:rsidRPr="00D77B4E">
        <w:t>?</w:t>
      </w:r>
    </w:p>
    <w:p w14:paraId="115DF554" w14:textId="702605E6" w:rsidR="00D77B4E" w:rsidRPr="00D77B4E" w:rsidRDefault="00F86479" w:rsidP="00D77B4E">
      <w:pPr>
        <w:pStyle w:val="BodyText"/>
      </w:pPr>
      <w:r w:rsidRPr="006C50E5">
        <w:rPr>
          <w:rStyle w:val="BodyTextBoldChar"/>
        </w:rPr>
        <w:t xml:space="preserve">Less Than Significant Impact. </w:t>
      </w:r>
      <w:r w:rsidR="00D77B4E" w:rsidRPr="006C50E5">
        <w:t>Following is a discussion of the proposed project’s potential impacts on water, wastewater treatment</w:t>
      </w:r>
      <w:r w:rsidR="00DA4ACF" w:rsidRPr="006C50E5">
        <w:t>,</w:t>
      </w:r>
      <w:r w:rsidR="00D77B4E" w:rsidRPr="006C50E5">
        <w:t xml:space="preserve"> stormwater drainage, electric power, natural</w:t>
      </w:r>
      <w:r w:rsidR="00D77B4E" w:rsidRPr="00D77B4E">
        <w:t xml:space="preserve"> gas facilities, </w:t>
      </w:r>
      <w:r w:rsidR="00DA4ACF">
        <w:t xml:space="preserve">and </w:t>
      </w:r>
      <w:r w:rsidR="00D77B4E" w:rsidRPr="00D77B4E">
        <w:t xml:space="preserve">telecommunications facilities. </w:t>
      </w:r>
    </w:p>
    <w:p w14:paraId="5C994D63" w14:textId="780A4595" w:rsidR="009D6DEE" w:rsidRPr="00D77B4E" w:rsidRDefault="009D6DEE" w:rsidP="009D6DEE">
      <w:pPr>
        <w:pStyle w:val="Heading5"/>
      </w:pPr>
      <w:r w:rsidRPr="00D77B4E">
        <w:t xml:space="preserve">Water </w:t>
      </w:r>
      <w:r w:rsidR="0067258A">
        <w:t>Supply</w:t>
      </w:r>
      <w:r w:rsidR="0067258A" w:rsidRPr="00D77B4E">
        <w:t xml:space="preserve"> </w:t>
      </w:r>
      <w:r w:rsidR="00C063C9">
        <w:t xml:space="preserve">and Distribution </w:t>
      </w:r>
      <w:r w:rsidRPr="00D77B4E">
        <w:t>Facilities</w:t>
      </w:r>
    </w:p>
    <w:p w14:paraId="003ABFD0" w14:textId="77777777" w:rsidR="009D6DEE" w:rsidRPr="00426866" w:rsidRDefault="009D6DEE" w:rsidP="009D6DEE">
      <w:pPr>
        <w:pStyle w:val="BodyText"/>
      </w:pPr>
      <w:r w:rsidRPr="00426866">
        <w:t xml:space="preserve">The project site is over the </w:t>
      </w:r>
      <w:r>
        <w:t xml:space="preserve">Main </w:t>
      </w:r>
      <w:r w:rsidRPr="00426866">
        <w:t>San Gabriel Groundwater Basin. The VCWD would provide potable water to the project site. The VCWD’s water service area encompasses approximately 9.4 square miles and incorporates portions of Baldwin Park, Irwindale, West Covina</w:t>
      </w:r>
      <w:r w:rsidR="00615D1E">
        <w:t>,</w:t>
      </w:r>
      <w:r w:rsidRPr="00426866">
        <w:t xml:space="preserve"> and Azusa. VCWD has the legal right to pump groundwater from the </w:t>
      </w:r>
      <w:r>
        <w:t xml:space="preserve">Main </w:t>
      </w:r>
      <w:r w:rsidRPr="00426866">
        <w:t xml:space="preserve">San Gabriel </w:t>
      </w:r>
      <w:r w:rsidR="00DA4ACF">
        <w:t xml:space="preserve">Groundwater </w:t>
      </w:r>
      <w:r w:rsidRPr="00426866">
        <w:t>Basin. In addition, VCWD may receive water from CIC</w:t>
      </w:r>
      <w:r>
        <w:t xml:space="preserve"> </w:t>
      </w:r>
      <w:r w:rsidRPr="00426866">
        <w:t>and the MWD to serve its customers. Groundwater has historically accounted for approximately 93 percent of the VCWD’s overall water supplies</w:t>
      </w:r>
      <w:r>
        <w:t xml:space="preserve">. </w:t>
      </w:r>
      <w:r w:rsidRPr="00426866">
        <w:t xml:space="preserve">Imported water from MWD has historically accounted for approximately 5 percent of overall water supplies, and CIC has accounted for 2 percent (VCWD 2017). </w:t>
      </w:r>
      <w:r>
        <w:t xml:space="preserve">However, in the past </w:t>
      </w:r>
      <w:r w:rsidR="00615D1E">
        <w:t xml:space="preserve">five </w:t>
      </w:r>
      <w:r>
        <w:t>years groundwater has supplied 100 percent of the VCWD’s supply (</w:t>
      </w:r>
      <w:r w:rsidRPr="007B34B1">
        <w:t>Mortenson</w:t>
      </w:r>
      <w:r>
        <w:t xml:space="preserve"> 2021)</w:t>
      </w:r>
    </w:p>
    <w:p w14:paraId="68DD30CD" w14:textId="77777777" w:rsidR="009D6DEE" w:rsidRPr="00233054" w:rsidRDefault="009D6DEE" w:rsidP="009D6DEE">
      <w:pPr>
        <w:pStyle w:val="BodyText"/>
      </w:pPr>
      <w:r w:rsidRPr="0093384D">
        <w:t xml:space="preserve">VCWD has a pumping right of about 5,960 </w:t>
      </w:r>
      <w:r>
        <w:t>afy</w:t>
      </w:r>
      <w:r w:rsidRPr="0093384D">
        <w:t xml:space="preserve"> and a pumper’s share of approximately 3 percent of the Operating Safe Yield as of fiscal year 2014-15. Although there is no limit </w:t>
      </w:r>
      <w:r w:rsidR="00615D1E">
        <w:t>to</w:t>
      </w:r>
      <w:r w:rsidR="00615D1E" w:rsidRPr="0093384D">
        <w:t xml:space="preserve"> </w:t>
      </w:r>
      <w:r w:rsidRPr="0093384D">
        <w:t xml:space="preserve">the quantity of water that may be extracted by parties to the Main Basin Adjudication, groundwater </w:t>
      </w:r>
      <w:r w:rsidR="00615D1E" w:rsidRPr="0093384D">
        <w:t>production</w:t>
      </w:r>
      <w:r w:rsidR="00615D1E">
        <w:t>—</w:t>
      </w:r>
      <w:r w:rsidR="00DA4ACF" w:rsidRPr="0093384D">
        <w:t>more than</w:t>
      </w:r>
      <w:r w:rsidRPr="0093384D">
        <w:t xml:space="preserve"> a party’s water right or its proportional share (pumper’s share) of the Operating Safe </w:t>
      </w:r>
      <w:r w:rsidR="00615D1E" w:rsidRPr="0093384D">
        <w:t>Yield</w:t>
      </w:r>
      <w:r w:rsidR="00615D1E">
        <w:t>—</w:t>
      </w:r>
      <w:r w:rsidRPr="0093384D">
        <w:t xml:space="preserve">requires purchase of replenishment water to recharge the basin. </w:t>
      </w:r>
      <w:r w:rsidRPr="00233054">
        <w:t>VCWD’s four active wells include Maine West, Maine East, Nixon West, and Nixon East. These wells have a combined capacity of about 7,700 gallon</w:t>
      </w:r>
      <w:r>
        <w:t>s</w:t>
      </w:r>
      <w:r w:rsidRPr="00233054">
        <w:t xml:space="preserve"> per minute (</w:t>
      </w:r>
      <w:r w:rsidR="00FA2525">
        <w:t>VCWD</w:t>
      </w:r>
      <w:r w:rsidRPr="00233054">
        <w:t xml:space="preserve"> 2017).</w:t>
      </w:r>
      <w:r>
        <w:t xml:space="preserve"> VCWD has averaged 6,796 afy (</w:t>
      </w:r>
      <w:r w:rsidRPr="009F0833">
        <w:t>4</w:t>
      </w:r>
      <w:r>
        <w:t>,</w:t>
      </w:r>
      <w:r w:rsidRPr="009F0833">
        <w:t>213</w:t>
      </w:r>
      <w:r>
        <w:t xml:space="preserve"> gallons per minute) of groundwater production in the last </w:t>
      </w:r>
      <w:r w:rsidR="00615D1E">
        <w:t xml:space="preserve">five </w:t>
      </w:r>
      <w:r>
        <w:t>years (</w:t>
      </w:r>
      <w:r w:rsidRPr="007B34B1">
        <w:t>Mortenson</w:t>
      </w:r>
      <w:r>
        <w:t xml:space="preserve"> 2021).</w:t>
      </w:r>
    </w:p>
    <w:p w14:paraId="08A6290E" w14:textId="77777777" w:rsidR="009D6DEE" w:rsidRPr="00233054" w:rsidRDefault="009D6DEE" w:rsidP="009D6DEE">
      <w:pPr>
        <w:pStyle w:val="BodyText"/>
      </w:pPr>
      <w:r w:rsidRPr="00233054">
        <w:t xml:space="preserve">VCWD is a shareholder of CIC and has purchased treated water from CIC. The flow capacity from the CIC connection is about 3.3 </w:t>
      </w:r>
      <w:r w:rsidR="00615D1E">
        <w:t>cubic feet per second (</w:t>
      </w:r>
      <w:r w:rsidRPr="00233054">
        <w:t>cf</w:t>
      </w:r>
      <w:r w:rsidR="00071B56">
        <w:t>s</w:t>
      </w:r>
      <w:r w:rsidR="00615D1E">
        <w:t>)</w:t>
      </w:r>
      <w:r w:rsidRPr="00233054">
        <w:t xml:space="preserve">. Furthermore, VCWD can receive direct deliveries of treated imported water through its MWD connection, USG-9, which has a capacity of 29 cfs (about 21,000 </w:t>
      </w:r>
      <w:r>
        <w:t>afy</w:t>
      </w:r>
      <w:r w:rsidRPr="00233054">
        <w:t xml:space="preserve"> if used continuously). VCWD typically does not use service connection USG-9 because the collective groundwater supplies along with water purchased from CIC are sufficient to meet water demands. VCWD historically purchased treated imported water from MWD when the wells were impacted by contaminants and treatment facilities were being constructed. VCWD may use the MWD</w:t>
      </w:r>
      <w:r w:rsidR="00615D1E">
        <w:t>-</w:t>
      </w:r>
      <w:r w:rsidRPr="00233054">
        <w:t>treated imported water as an emergency water supply source</w:t>
      </w:r>
      <w:r>
        <w:t xml:space="preserve"> </w:t>
      </w:r>
      <w:r w:rsidRPr="00233054">
        <w:t>(</w:t>
      </w:r>
      <w:r w:rsidR="00FA2525">
        <w:t>VCWD</w:t>
      </w:r>
      <w:r w:rsidRPr="00233054">
        <w:t xml:space="preserve"> 2017).</w:t>
      </w:r>
    </w:p>
    <w:p w14:paraId="6981B442" w14:textId="77777777" w:rsidR="009D6DEE" w:rsidRPr="007B34B1" w:rsidRDefault="005F102B" w:rsidP="009D6DEE">
      <w:pPr>
        <w:pStyle w:val="BodyText"/>
      </w:pPr>
      <w:r>
        <w:t>Projected w</w:t>
      </w:r>
      <w:r w:rsidR="009D6DEE" w:rsidRPr="00394404">
        <w:t xml:space="preserve">ater demand for the proposed project </w:t>
      </w:r>
      <w:r w:rsidR="00DA4ACF" w:rsidRPr="00394404">
        <w:t>is</w:t>
      </w:r>
      <w:r w:rsidR="009D6DEE" w:rsidRPr="00394404">
        <w:t xml:space="preserve"> </w:t>
      </w:r>
      <w:r w:rsidR="009D6DEE">
        <w:t>estimated based on a water consumption rate of 0.27 afy per acre used by VCWD to project water demands for land zoned industrial (Song 2021). The lot size for the proposed project site is 5.89 acres</w:t>
      </w:r>
      <w:r w:rsidR="00615D1E">
        <w:t>,</w:t>
      </w:r>
      <w:r w:rsidR="009D6DEE">
        <w:t xml:space="preserve"> therefore the projected water demand is approximately 1.59 afy</w:t>
      </w:r>
      <w:r w:rsidR="00B10A22">
        <w:t xml:space="preserve"> </w:t>
      </w:r>
      <w:r w:rsidR="00B10A22" w:rsidRPr="00382F22">
        <w:t>(1,419 gallons per day [gpd])</w:t>
      </w:r>
      <w:r w:rsidR="009D6DEE" w:rsidRPr="00394404">
        <w:t xml:space="preserve">. </w:t>
      </w:r>
      <w:r w:rsidR="009D6DEE">
        <w:t>The approximate water demand for the Pepsi Bottling plant was 1 afy</w:t>
      </w:r>
      <w:r w:rsidR="00B10A22">
        <w:t xml:space="preserve"> (893 </w:t>
      </w:r>
      <w:r w:rsidR="00B10A22" w:rsidRPr="00382F22">
        <w:t>gpd)</w:t>
      </w:r>
      <w:r w:rsidR="00B10A22">
        <w:t xml:space="preserve"> </w:t>
      </w:r>
      <w:r w:rsidR="009D6DEE">
        <w:t>(Song 2021). Therefore, the proposed project would result in an increase in water demand of 0.59 afy.</w:t>
      </w:r>
    </w:p>
    <w:p w14:paraId="2FED2E54" w14:textId="77777777" w:rsidR="009D6DEE" w:rsidRPr="008B059D" w:rsidRDefault="009D6DEE" w:rsidP="009D6DEE">
      <w:pPr>
        <w:pStyle w:val="BodyText"/>
      </w:pPr>
      <w:r w:rsidRPr="00233054">
        <w:t xml:space="preserve">VCWD estimates that it will have sufficient water supplies to meet proposed growth for normal, single-dry, and multiple-dry years. </w:t>
      </w:r>
      <w:r>
        <w:t>VCWD also confirmed that the</w:t>
      </w:r>
      <w:r w:rsidRPr="00067B03">
        <w:t xml:space="preserve"> water consumption </w:t>
      </w:r>
      <w:r>
        <w:t xml:space="preserve">for the proposed project </w:t>
      </w:r>
      <w:r w:rsidRPr="00067B03">
        <w:t xml:space="preserve">does not </w:t>
      </w:r>
      <w:r w:rsidR="00615D1E">
        <w:t>exceed</w:t>
      </w:r>
      <w:r w:rsidR="00615D1E" w:rsidRPr="00067B03">
        <w:t xml:space="preserve"> </w:t>
      </w:r>
      <w:r w:rsidRPr="00067B03">
        <w:t>overall water supplies</w:t>
      </w:r>
      <w:r w:rsidR="00615D1E">
        <w:t>,</w:t>
      </w:r>
      <w:r w:rsidRPr="00067B03">
        <w:t xml:space="preserve"> and the system is adequate to serve the pro</w:t>
      </w:r>
      <w:r>
        <w:t>posed project (Song 2021)</w:t>
      </w:r>
      <w:r w:rsidRPr="00067B03">
        <w:t xml:space="preserve">. </w:t>
      </w:r>
      <w:r w:rsidRPr="00233054">
        <w:t xml:space="preserve">Therefore, project development would not require the construction of new or expanded </w:t>
      </w:r>
      <w:r w:rsidRPr="008B059D">
        <w:t>water treatment facilities. Impacts would be less than significant.</w:t>
      </w:r>
    </w:p>
    <w:p w14:paraId="39172B00" w14:textId="77777777" w:rsidR="009D6DEE" w:rsidRPr="008B059D" w:rsidRDefault="009D6DEE" w:rsidP="009D6DEE">
      <w:pPr>
        <w:pStyle w:val="Heading5"/>
      </w:pPr>
      <w:r w:rsidRPr="008B059D">
        <w:t>Wastewater Treatment Facilities</w:t>
      </w:r>
    </w:p>
    <w:p w14:paraId="48D97AB6" w14:textId="6D176254" w:rsidR="009D6DEE" w:rsidRPr="008B059D" w:rsidRDefault="009D6DEE" w:rsidP="009D6DEE">
      <w:pPr>
        <w:pStyle w:val="BodyText"/>
      </w:pPr>
      <w:r w:rsidRPr="008B059D">
        <w:t xml:space="preserve">Wastewater generated by the land uses in the </w:t>
      </w:r>
      <w:r w:rsidR="00523A7E">
        <w:t>C</w:t>
      </w:r>
      <w:r w:rsidR="00DA4ACF" w:rsidRPr="008B059D">
        <w:t>ity</w:t>
      </w:r>
      <w:r w:rsidRPr="008B059D">
        <w:t xml:space="preserve"> is treated by the Sanitation Districts of Los Angeles County (LACSD). Wastewater is collected in the City’s local sewer collection system</w:t>
      </w:r>
      <w:r w:rsidR="00615D1E">
        <w:t>, which</w:t>
      </w:r>
      <w:r w:rsidRPr="008B059D">
        <w:t xml:space="preserve"> tie into one of LACSD’s regional trunk sewers. Wastewater from the project site would be treated at the San Jose Creek Water Reclamation Plant (WRP). The San Jose Creek WRP currently provides primary, secondary, and tertiary treatment for a design capacity of 100 million gallons of wastewater per day (</w:t>
      </w:r>
      <w:r w:rsidR="00071B56">
        <w:t>mgd</w:t>
      </w:r>
      <w:r w:rsidRPr="008B059D">
        <w:t xml:space="preserve">). The San Jose WRP currently processes an average flow of </w:t>
      </w:r>
      <w:r w:rsidR="00B96A21" w:rsidRPr="00B96A21">
        <w:t xml:space="preserve">66.9 </w:t>
      </w:r>
      <w:r w:rsidRPr="008B059D">
        <w:t>mgd (Irwindale 2020</w:t>
      </w:r>
      <w:r w:rsidR="00615D1E">
        <w:t xml:space="preserve">; </w:t>
      </w:r>
      <w:r w:rsidR="00B96A21">
        <w:t>Ng 2021</w:t>
      </w:r>
      <w:r w:rsidRPr="008B059D">
        <w:t xml:space="preserve">). </w:t>
      </w:r>
    </w:p>
    <w:p w14:paraId="5A457E8B" w14:textId="1957BA12" w:rsidR="00B10A22" w:rsidRDefault="00645C18" w:rsidP="00D77B4E">
      <w:pPr>
        <w:pStyle w:val="BodyText"/>
      </w:pPr>
      <w:r>
        <w:t>W</w:t>
      </w:r>
      <w:r w:rsidRPr="007C161D">
        <w:t xml:space="preserve">astewater generation due to the development of the proposed project is conservatively assumed to be 90 percent of the indoor water use. </w:t>
      </w:r>
      <w:r w:rsidR="00831469" w:rsidRPr="00831469">
        <w:t xml:space="preserve">The proposed project </w:t>
      </w:r>
      <w:r w:rsidR="00831469">
        <w:t>would</w:t>
      </w:r>
      <w:r w:rsidR="00831469" w:rsidRPr="00831469">
        <w:t xml:space="preserve"> comply with </w:t>
      </w:r>
      <w:r>
        <w:t xml:space="preserve">the requirements of the 2019 </w:t>
      </w:r>
      <w:r w:rsidRPr="00645C18">
        <w:t xml:space="preserve">CALGreen </w:t>
      </w:r>
      <w:r w:rsidR="00615D1E">
        <w:t>(</w:t>
      </w:r>
      <w:r w:rsidRPr="00645C18">
        <w:t>Title 24, California Code of Regulations, Part 11)</w:t>
      </w:r>
      <w:r w:rsidR="00615D1E">
        <w:t>,</w:t>
      </w:r>
      <w:r w:rsidRPr="00645C18">
        <w:t xml:space="preserve"> </w:t>
      </w:r>
      <w:r>
        <w:t xml:space="preserve">which </w:t>
      </w:r>
      <w:r w:rsidRPr="00645C18">
        <w:t>establishes mandatory nonresidential measures for water efficiency and conservation under Sections 5.3. The provisions establish the means of conserving water used indoors</w:t>
      </w:r>
      <w:r>
        <w:t xml:space="preserve"> and </w:t>
      </w:r>
      <w:r w:rsidRPr="00645C18">
        <w:t>include standards for water-conserving plumbing fixtures and fittings.</w:t>
      </w:r>
      <w:r>
        <w:t xml:space="preserve"> With the implementation of these requirements, a</w:t>
      </w:r>
      <w:r w:rsidR="00AF712A">
        <w:t xml:space="preserve">s shown in </w:t>
      </w:r>
      <w:r w:rsidR="007C161D">
        <w:t xml:space="preserve">Table </w:t>
      </w:r>
      <w:r w:rsidR="00345BC8">
        <w:t>26</w:t>
      </w:r>
      <w:r w:rsidR="00AF712A">
        <w:t xml:space="preserve">, the proposed project would have an indoor water demand that is less than the existing </w:t>
      </w:r>
      <w:r w:rsidR="00AC6999">
        <w:t xml:space="preserve">bottling plant </w:t>
      </w:r>
      <w:r w:rsidR="00AF712A">
        <w:t xml:space="preserve">and a </w:t>
      </w:r>
      <w:r>
        <w:t xml:space="preserve">subsequent </w:t>
      </w:r>
      <w:r w:rsidR="00AF712A">
        <w:t>net decrease of 17 gpd in wastewater generation</w:t>
      </w:r>
      <w:r w:rsidR="00831469" w:rsidRPr="00831469">
        <w:t xml:space="preserve">. </w:t>
      </w:r>
      <w:r w:rsidR="009D6DEE" w:rsidRPr="008F04EB">
        <w:t>Therefore, project development would not require the construction of new or expanded wastewater treatment facilities. Impacts would be less than significant.</w:t>
      </w:r>
    </w:p>
    <w:tbl>
      <w:tblPr>
        <w:tblStyle w:val="TableGrid30"/>
        <w:tblW w:w="9360" w:type="dxa"/>
        <w:jc w:val="center"/>
        <w:tblLook w:val="04A0" w:firstRow="1" w:lastRow="0" w:firstColumn="1" w:lastColumn="0" w:noHBand="0" w:noVBand="1"/>
      </w:tblPr>
      <w:tblGrid>
        <w:gridCol w:w="2168"/>
        <w:gridCol w:w="1952"/>
        <w:gridCol w:w="1659"/>
        <w:gridCol w:w="1788"/>
        <w:gridCol w:w="1793"/>
      </w:tblGrid>
      <w:tr w:rsidR="00AF712A" w:rsidRPr="00E10CDF" w14:paraId="287D64DF" w14:textId="77777777" w:rsidTr="00FD0109">
        <w:trPr>
          <w:trHeight w:val="288"/>
          <w:jc w:val="center"/>
        </w:trPr>
        <w:tc>
          <w:tcPr>
            <w:tcW w:w="9360" w:type="dxa"/>
            <w:gridSpan w:val="5"/>
            <w:tcBorders>
              <w:top w:val="nil"/>
              <w:left w:val="nil"/>
              <w:bottom w:val="single" w:sz="12" w:space="0" w:color="auto"/>
              <w:right w:val="nil"/>
            </w:tcBorders>
            <w:vAlign w:val="bottom"/>
          </w:tcPr>
          <w:p w14:paraId="37147FF3" w14:textId="2EAFDB5C" w:rsidR="00AF712A" w:rsidRDefault="00AF712A" w:rsidP="008614BA">
            <w:pPr>
              <w:pStyle w:val="TblTitles"/>
            </w:pPr>
            <w:bookmarkStart w:id="223" w:name="_Toc90882272"/>
            <w:r>
              <w:t xml:space="preserve">Table </w:t>
            </w:r>
            <w:r w:rsidR="00345BC8">
              <w:t>26</w:t>
            </w:r>
            <w:r w:rsidR="005A308B">
              <w:tab/>
            </w:r>
            <w:r>
              <w:t xml:space="preserve">Proposed and </w:t>
            </w:r>
            <w:r w:rsidR="00B30965">
              <w:t xml:space="preserve">Former </w:t>
            </w:r>
            <w:r>
              <w:t xml:space="preserve">Wastewater </w:t>
            </w:r>
            <w:r w:rsidR="00B30965">
              <w:t>Generation</w:t>
            </w:r>
            <w:bookmarkEnd w:id="223"/>
          </w:p>
        </w:tc>
      </w:tr>
      <w:tr w:rsidR="00F86479" w:rsidRPr="00E10CDF" w14:paraId="0B9EC6C0" w14:textId="77777777" w:rsidTr="00F86479">
        <w:trPr>
          <w:trHeight w:val="288"/>
          <w:jc w:val="center"/>
        </w:trPr>
        <w:tc>
          <w:tcPr>
            <w:tcW w:w="2168" w:type="dxa"/>
            <w:tcBorders>
              <w:top w:val="single" w:sz="4" w:space="0" w:color="auto"/>
              <w:left w:val="nil"/>
              <w:bottom w:val="single" w:sz="12" w:space="0" w:color="auto"/>
              <w:right w:val="single" w:sz="4" w:space="0" w:color="auto"/>
            </w:tcBorders>
            <w:vAlign w:val="bottom"/>
          </w:tcPr>
          <w:p w14:paraId="6D937F73" w14:textId="77777777" w:rsidR="00F86479" w:rsidRPr="00E10CDF" w:rsidRDefault="00F86479" w:rsidP="00B10A22">
            <w:pPr>
              <w:pStyle w:val="TblColumnHeads"/>
            </w:pPr>
            <w:bookmarkStart w:id="224" w:name="_Hlk495935087"/>
          </w:p>
          <w:p w14:paraId="4E8D40B5" w14:textId="77777777" w:rsidR="00F86479" w:rsidRPr="003F79A9" w:rsidRDefault="00F86479" w:rsidP="00B10A22">
            <w:pPr>
              <w:pStyle w:val="TblColumnHeads"/>
            </w:pPr>
            <w:r>
              <w:t xml:space="preserve">Landscape </w:t>
            </w:r>
            <w:r w:rsidRPr="00394404">
              <w:t>Square F</w:t>
            </w:r>
            <w:r>
              <w:t>ootage</w:t>
            </w:r>
          </w:p>
        </w:tc>
        <w:tc>
          <w:tcPr>
            <w:tcW w:w="1952" w:type="dxa"/>
            <w:tcBorders>
              <w:top w:val="single" w:sz="4" w:space="0" w:color="auto"/>
              <w:left w:val="single" w:sz="4" w:space="0" w:color="auto"/>
              <w:bottom w:val="single" w:sz="12" w:space="0" w:color="auto"/>
              <w:right w:val="nil"/>
            </w:tcBorders>
            <w:vAlign w:val="bottom"/>
          </w:tcPr>
          <w:p w14:paraId="1BF8492E" w14:textId="77777777" w:rsidR="00F86479" w:rsidRPr="00394404" w:rsidRDefault="00F86479" w:rsidP="00B10A22">
            <w:pPr>
              <w:pStyle w:val="TblColumnHeads"/>
            </w:pPr>
            <w:r w:rsidRPr="00394404">
              <w:t>Outdoor Water Use</w:t>
            </w:r>
          </w:p>
          <w:p w14:paraId="1F1C32FE" w14:textId="77777777" w:rsidR="00F86479" w:rsidRDefault="00F86479" w:rsidP="00B10A22">
            <w:pPr>
              <w:pStyle w:val="TblColumnHeads"/>
            </w:pPr>
            <w:r w:rsidRPr="00394404">
              <w:t>(g</w:t>
            </w:r>
            <w:r>
              <w:t>pd</w:t>
            </w:r>
            <w:r w:rsidRPr="00394404">
              <w:t>)</w:t>
            </w:r>
            <w:r w:rsidRPr="00B10A22">
              <w:t xml:space="preserve"> </w:t>
            </w:r>
          </w:p>
        </w:tc>
        <w:tc>
          <w:tcPr>
            <w:tcW w:w="1659" w:type="dxa"/>
            <w:tcBorders>
              <w:top w:val="single" w:sz="4" w:space="0" w:color="auto"/>
              <w:left w:val="single" w:sz="4" w:space="0" w:color="auto"/>
              <w:bottom w:val="single" w:sz="12" w:space="0" w:color="auto"/>
              <w:right w:val="single" w:sz="4" w:space="0" w:color="auto"/>
            </w:tcBorders>
          </w:tcPr>
          <w:p w14:paraId="17DD067A" w14:textId="77777777" w:rsidR="00F86479" w:rsidRDefault="00F86479" w:rsidP="00B10A22">
            <w:pPr>
              <w:pStyle w:val="TblColumnHeads"/>
            </w:pPr>
            <w:r>
              <w:t>Total Water Demand</w:t>
            </w:r>
          </w:p>
          <w:p w14:paraId="154E45BF" w14:textId="77777777" w:rsidR="00F86479" w:rsidRDefault="00F86479" w:rsidP="00B10A22">
            <w:pPr>
              <w:pStyle w:val="TblColumnHeads"/>
            </w:pPr>
            <w:r>
              <w:t>(gpd)</w:t>
            </w:r>
          </w:p>
        </w:tc>
        <w:tc>
          <w:tcPr>
            <w:tcW w:w="1788" w:type="dxa"/>
            <w:tcBorders>
              <w:top w:val="single" w:sz="4" w:space="0" w:color="auto"/>
              <w:left w:val="single" w:sz="4" w:space="0" w:color="auto"/>
              <w:bottom w:val="single" w:sz="12" w:space="0" w:color="auto"/>
              <w:right w:val="nil"/>
            </w:tcBorders>
          </w:tcPr>
          <w:p w14:paraId="76D6788A" w14:textId="77777777" w:rsidR="00F86479" w:rsidRDefault="00F86479" w:rsidP="00B10A22">
            <w:pPr>
              <w:pStyle w:val="TblColumnHeads"/>
            </w:pPr>
            <w:r>
              <w:t>Indoor Water Demand</w:t>
            </w:r>
          </w:p>
          <w:p w14:paraId="1CDB4344" w14:textId="77777777" w:rsidR="00F86479" w:rsidRPr="00394404" w:rsidRDefault="00F86479" w:rsidP="00B10A22">
            <w:pPr>
              <w:pStyle w:val="TblColumnHeads"/>
            </w:pPr>
            <w:r>
              <w:t>(gpd)</w:t>
            </w:r>
          </w:p>
        </w:tc>
        <w:tc>
          <w:tcPr>
            <w:tcW w:w="1793" w:type="dxa"/>
            <w:tcBorders>
              <w:top w:val="single" w:sz="4" w:space="0" w:color="auto"/>
              <w:left w:val="single" w:sz="4" w:space="0" w:color="auto"/>
              <w:bottom w:val="single" w:sz="12" w:space="0" w:color="auto"/>
              <w:right w:val="nil"/>
            </w:tcBorders>
          </w:tcPr>
          <w:p w14:paraId="22B0485E" w14:textId="77777777" w:rsidR="00F86479" w:rsidRDefault="00F86479" w:rsidP="00B10A22">
            <w:pPr>
              <w:pStyle w:val="TblColumnHeads"/>
            </w:pPr>
            <w:r>
              <w:t>Wastewater Generation</w:t>
            </w:r>
          </w:p>
          <w:p w14:paraId="5FD50E9F" w14:textId="77777777" w:rsidR="00F86479" w:rsidRDefault="00F86479" w:rsidP="00B10A22">
            <w:pPr>
              <w:pStyle w:val="TblColumnHeads"/>
            </w:pPr>
            <w:r>
              <w:t>(gpd)</w:t>
            </w:r>
            <w:r>
              <w:rPr>
                <w:vertAlign w:val="superscript"/>
              </w:rPr>
              <w:t xml:space="preserve"> 3</w:t>
            </w:r>
          </w:p>
        </w:tc>
      </w:tr>
      <w:tr w:rsidR="00AF712A" w:rsidRPr="00B10A22" w14:paraId="35583232" w14:textId="77777777" w:rsidTr="00305F41">
        <w:trPr>
          <w:trHeight w:val="288"/>
          <w:jc w:val="center"/>
        </w:trPr>
        <w:tc>
          <w:tcPr>
            <w:tcW w:w="9360" w:type="dxa"/>
            <w:gridSpan w:val="5"/>
            <w:tcBorders>
              <w:top w:val="single" w:sz="12" w:space="0" w:color="auto"/>
              <w:left w:val="nil"/>
              <w:bottom w:val="single" w:sz="4" w:space="0" w:color="auto"/>
              <w:right w:val="nil"/>
            </w:tcBorders>
            <w:shd w:val="clear" w:color="auto" w:fill="D9D9D9" w:themeFill="background1" w:themeFillShade="D9"/>
          </w:tcPr>
          <w:p w14:paraId="653B772F" w14:textId="77777777" w:rsidR="00AF712A" w:rsidRPr="00B10A22" w:rsidRDefault="0067258A" w:rsidP="00FD0109">
            <w:pPr>
              <w:pStyle w:val="TblTxtCenter"/>
              <w:jc w:val="left"/>
              <w:rPr>
                <w:b/>
                <w:bCs/>
              </w:rPr>
            </w:pPr>
            <w:r>
              <w:rPr>
                <w:b/>
                <w:bCs/>
              </w:rPr>
              <w:t>Former</w:t>
            </w:r>
            <w:r w:rsidRPr="00B10A22">
              <w:rPr>
                <w:b/>
                <w:bCs/>
              </w:rPr>
              <w:t xml:space="preserve"> </w:t>
            </w:r>
            <w:r w:rsidR="00AF712A" w:rsidRPr="00B10A22">
              <w:rPr>
                <w:b/>
                <w:bCs/>
              </w:rPr>
              <w:t xml:space="preserve">Land </w:t>
            </w:r>
            <w:r w:rsidR="00AF712A">
              <w:rPr>
                <w:b/>
                <w:bCs/>
              </w:rPr>
              <w:t>U</w:t>
            </w:r>
            <w:r w:rsidR="00AF712A" w:rsidRPr="00B10A22">
              <w:rPr>
                <w:b/>
                <w:bCs/>
              </w:rPr>
              <w:t>se</w:t>
            </w:r>
          </w:p>
        </w:tc>
      </w:tr>
      <w:tr w:rsidR="00F86479" w:rsidRPr="00E10CDF" w14:paraId="57B56BC9" w14:textId="77777777" w:rsidTr="00FD0109">
        <w:trPr>
          <w:trHeight w:val="288"/>
          <w:jc w:val="center"/>
        </w:trPr>
        <w:tc>
          <w:tcPr>
            <w:tcW w:w="2168" w:type="dxa"/>
            <w:tcBorders>
              <w:top w:val="single" w:sz="4" w:space="0" w:color="auto"/>
              <w:left w:val="nil"/>
              <w:bottom w:val="single" w:sz="12" w:space="0" w:color="auto"/>
              <w:right w:val="single" w:sz="4" w:space="0" w:color="auto"/>
            </w:tcBorders>
          </w:tcPr>
          <w:p w14:paraId="138A8621" w14:textId="77777777" w:rsidR="00F86479" w:rsidRDefault="00F86479" w:rsidP="00F86479">
            <w:pPr>
              <w:pStyle w:val="TblTxt1"/>
              <w:ind w:left="0" w:hanging="16"/>
              <w:jc w:val="center"/>
            </w:pPr>
            <w:r>
              <w:t>1,000</w:t>
            </w:r>
            <w:r>
              <w:rPr>
                <w:vertAlign w:val="superscript"/>
              </w:rPr>
              <w:t>1</w:t>
            </w:r>
          </w:p>
        </w:tc>
        <w:tc>
          <w:tcPr>
            <w:tcW w:w="1952" w:type="dxa"/>
            <w:tcBorders>
              <w:top w:val="single" w:sz="4" w:space="0" w:color="auto"/>
              <w:left w:val="single" w:sz="4" w:space="0" w:color="auto"/>
              <w:bottom w:val="single" w:sz="12" w:space="0" w:color="auto"/>
              <w:right w:val="nil"/>
            </w:tcBorders>
            <w:vAlign w:val="center"/>
          </w:tcPr>
          <w:p w14:paraId="44484AEC" w14:textId="77777777" w:rsidR="00F86479" w:rsidRDefault="00F86479" w:rsidP="00B10A22">
            <w:pPr>
              <w:pStyle w:val="TblTxtCenter"/>
            </w:pPr>
            <w:r>
              <w:t>20</w:t>
            </w:r>
            <w:r>
              <w:rPr>
                <w:vertAlign w:val="superscript"/>
              </w:rPr>
              <w:t>2</w:t>
            </w:r>
          </w:p>
        </w:tc>
        <w:tc>
          <w:tcPr>
            <w:tcW w:w="1659" w:type="dxa"/>
            <w:tcBorders>
              <w:top w:val="single" w:sz="4" w:space="0" w:color="auto"/>
              <w:left w:val="single" w:sz="4" w:space="0" w:color="auto"/>
              <w:bottom w:val="single" w:sz="12" w:space="0" w:color="auto"/>
              <w:right w:val="single" w:sz="4" w:space="0" w:color="auto"/>
            </w:tcBorders>
          </w:tcPr>
          <w:p w14:paraId="246F1CA6" w14:textId="77777777" w:rsidR="00F86479" w:rsidRDefault="00F86479" w:rsidP="00B10A22">
            <w:pPr>
              <w:pStyle w:val="TblTxtCenter"/>
            </w:pPr>
            <w:r>
              <w:t>893</w:t>
            </w:r>
          </w:p>
        </w:tc>
        <w:tc>
          <w:tcPr>
            <w:tcW w:w="1788" w:type="dxa"/>
            <w:tcBorders>
              <w:top w:val="single" w:sz="4" w:space="0" w:color="auto"/>
              <w:left w:val="single" w:sz="4" w:space="0" w:color="auto"/>
              <w:bottom w:val="single" w:sz="12" w:space="0" w:color="auto"/>
              <w:right w:val="nil"/>
            </w:tcBorders>
          </w:tcPr>
          <w:p w14:paraId="55AAC8C5" w14:textId="77777777" w:rsidR="00F86479" w:rsidRDefault="00F86479" w:rsidP="00B10A22">
            <w:pPr>
              <w:pStyle w:val="TblTxtCenter"/>
            </w:pPr>
            <w:r>
              <w:t>873</w:t>
            </w:r>
          </w:p>
        </w:tc>
        <w:tc>
          <w:tcPr>
            <w:tcW w:w="1793" w:type="dxa"/>
            <w:tcBorders>
              <w:top w:val="single" w:sz="4" w:space="0" w:color="auto"/>
              <w:left w:val="single" w:sz="4" w:space="0" w:color="auto"/>
              <w:bottom w:val="single" w:sz="12" w:space="0" w:color="auto"/>
              <w:right w:val="nil"/>
            </w:tcBorders>
          </w:tcPr>
          <w:p w14:paraId="13E51DD0" w14:textId="77777777" w:rsidR="00F86479" w:rsidRDefault="00F86479" w:rsidP="00B10A22">
            <w:pPr>
              <w:pStyle w:val="TblTxtCenter"/>
            </w:pPr>
            <w:r>
              <w:t>786</w:t>
            </w:r>
          </w:p>
        </w:tc>
      </w:tr>
      <w:tr w:rsidR="00AF712A" w:rsidRPr="00E10CDF" w14:paraId="7C494D41" w14:textId="77777777" w:rsidTr="00305F41">
        <w:trPr>
          <w:trHeight w:val="288"/>
          <w:jc w:val="center"/>
        </w:trPr>
        <w:tc>
          <w:tcPr>
            <w:tcW w:w="9360" w:type="dxa"/>
            <w:gridSpan w:val="5"/>
            <w:tcBorders>
              <w:top w:val="single" w:sz="4" w:space="0" w:color="auto"/>
              <w:left w:val="nil"/>
              <w:bottom w:val="single" w:sz="4" w:space="0" w:color="auto"/>
              <w:right w:val="nil"/>
            </w:tcBorders>
            <w:shd w:val="clear" w:color="auto" w:fill="D9D9D9" w:themeFill="background1" w:themeFillShade="D9"/>
          </w:tcPr>
          <w:p w14:paraId="65F4D2D6" w14:textId="77777777" w:rsidR="00AF712A" w:rsidRDefault="00AF712A" w:rsidP="00FD0109">
            <w:pPr>
              <w:pStyle w:val="TblTxtCenter"/>
              <w:jc w:val="left"/>
            </w:pPr>
            <w:r>
              <w:rPr>
                <w:b/>
                <w:bCs/>
              </w:rPr>
              <w:t xml:space="preserve">Proposed </w:t>
            </w:r>
            <w:r w:rsidRPr="00B10A22">
              <w:rPr>
                <w:b/>
                <w:bCs/>
              </w:rPr>
              <w:t xml:space="preserve">Land </w:t>
            </w:r>
            <w:r>
              <w:rPr>
                <w:b/>
                <w:bCs/>
              </w:rPr>
              <w:t>U</w:t>
            </w:r>
            <w:r w:rsidRPr="00B10A22">
              <w:rPr>
                <w:b/>
                <w:bCs/>
              </w:rPr>
              <w:t>se</w:t>
            </w:r>
          </w:p>
        </w:tc>
      </w:tr>
      <w:tr w:rsidR="00F86479" w:rsidRPr="00E10CDF" w14:paraId="34570720" w14:textId="77777777" w:rsidTr="003C35DD">
        <w:trPr>
          <w:trHeight w:val="288"/>
          <w:jc w:val="center"/>
        </w:trPr>
        <w:tc>
          <w:tcPr>
            <w:tcW w:w="2168" w:type="dxa"/>
            <w:tcBorders>
              <w:top w:val="single" w:sz="4" w:space="0" w:color="auto"/>
              <w:left w:val="nil"/>
              <w:bottom w:val="single" w:sz="12" w:space="0" w:color="auto"/>
              <w:right w:val="single" w:sz="4" w:space="0" w:color="auto"/>
            </w:tcBorders>
          </w:tcPr>
          <w:p w14:paraId="2325BDF0" w14:textId="09D76094" w:rsidR="00F86479" w:rsidRDefault="00F86479" w:rsidP="00F86479">
            <w:pPr>
              <w:pStyle w:val="TblTxt1"/>
              <w:ind w:left="0" w:hanging="16"/>
              <w:jc w:val="center"/>
            </w:pPr>
            <w:bookmarkStart w:id="225" w:name="_Hlk78970119"/>
            <w:r w:rsidRPr="00EA26E9">
              <w:t>23,271</w:t>
            </w:r>
            <w:bookmarkEnd w:id="225"/>
            <w:r w:rsidR="00C46417">
              <w:rPr>
                <w:vertAlign w:val="superscript"/>
              </w:rPr>
              <w:t>4</w:t>
            </w:r>
          </w:p>
        </w:tc>
        <w:tc>
          <w:tcPr>
            <w:tcW w:w="1952" w:type="dxa"/>
            <w:tcBorders>
              <w:top w:val="single" w:sz="4" w:space="0" w:color="auto"/>
              <w:left w:val="single" w:sz="4" w:space="0" w:color="auto"/>
              <w:bottom w:val="single" w:sz="12" w:space="0" w:color="auto"/>
              <w:right w:val="nil"/>
            </w:tcBorders>
            <w:vAlign w:val="center"/>
          </w:tcPr>
          <w:p w14:paraId="79F45575" w14:textId="77777777" w:rsidR="00F86479" w:rsidRDefault="00F86479" w:rsidP="00FD0109">
            <w:pPr>
              <w:pStyle w:val="TblTxtCenter"/>
            </w:pPr>
            <w:r>
              <w:t>565</w:t>
            </w:r>
          </w:p>
        </w:tc>
        <w:tc>
          <w:tcPr>
            <w:tcW w:w="1659" w:type="dxa"/>
            <w:tcBorders>
              <w:top w:val="single" w:sz="4" w:space="0" w:color="auto"/>
              <w:left w:val="single" w:sz="4" w:space="0" w:color="auto"/>
              <w:bottom w:val="single" w:sz="12" w:space="0" w:color="auto"/>
              <w:right w:val="single" w:sz="4" w:space="0" w:color="auto"/>
            </w:tcBorders>
          </w:tcPr>
          <w:p w14:paraId="2D7F6F54" w14:textId="77777777" w:rsidR="00F86479" w:rsidRDefault="00F86479" w:rsidP="00FD0109">
            <w:pPr>
              <w:pStyle w:val="TblTxtCenter"/>
            </w:pPr>
            <w:r>
              <w:t>1,419</w:t>
            </w:r>
          </w:p>
        </w:tc>
        <w:tc>
          <w:tcPr>
            <w:tcW w:w="1788" w:type="dxa"/>
            <w:tcBorders>
              <w:top w:val="single" w:sz="4" w:space="0" w:color="auto"/>
              <w:left w:val="single" w:sz="4" w:space="0" w:color="auto"/>
              <w:bottom w:val="single" w:sz="12" w:space="0" w:color="auto"/>
              <w:right w:val="nil"/>
            </w:tcBorders>
          </w:tcPr>
          <w:p w14:paraId="0CDEACE1" w14:textId="77777777" w:rsidR="00F86479" w:rsidRDefault="00F86479" w:rsidP="00FD0109">
            <w:pPr>
              <w:pStyle w:val="TblTxtCenter"/>
            </w:pPr>
            <w:r>
              <w:t>854</w:t>
            </w:r>
          </w:p>
        </w:tc>
        <w:tc>
          <w:tcPr>
            <w:tcW w:w="1793" w:type="dxa"/>
            <w:tcBorders>
              <w:top w:val="single" w:sz="4" w:space="0" w:color="auto"/>
              <w:left w:val="single" w:sz="4" w:space="0" w:color="auto"/>
              <w:bottom w:val="single" w:sz="12" w:space="0" w:color="auto"/>
              <w:right w:val="nil"/>
            </w:tcBorders>
          </w:tcPr>
          <w:p w14:paraId="559AF287" w14:textId="77777777" w:rsidR="00F86479" w:rsidRDefault="00F86479" w:rsidP="00FD0109">
            <w:pPr>
              <w:pStyle w:val="TblTxtCenter"/>
            </w:pPr>
            <w:r>
              <w:t>769</w:t>
            </w:r>
          </w:p>
        </w:tc>
      </w:tr>
      <w:tr w:rsidR="003C35DD" w:rsidRPr="00E10CDF" w14:paraId="5DBE1D4E" w14:textId="77777777" w:rsidTr="00FD0109">
        <w:trPr>
          <w:trHeight w:val="288"/>
          <w:jc w:val="center"/>
        </w:trPr>
        <w:tc>
          <w:tcPr>
            <w:tcW w:w="2168" w:type="dxa"/>
            <w:tcBorders>
              <w:top w:val="single" w:sz="12" w:space="0" w:color="auto"/>
              <w:left w:val="nil"/>
              <w:bottom w:val="single" w:sz="12" w:space="0" w:color="auto"/>
              <w:right w:val="single" w:sz="4" w:space="0" w:color="auto"/>
            </w:tcBorders>
          </w:tcPr>
          <w:p w14:paraId="09B9278D" w14:textId="77777777" w:rsidR="003C35DD" w:rsidRPr="00B10A22" w:rsidRDefault="003C35DD" w:rsidP="00305F41">
            <w:pPr>
              <w:pStyle w:val="TblTxt1"/>
              <w:ind w:left="0" w:hanging="16"/>
              <w:rPr>
                <w:b/>
                <w:bCs/>
              </w:rPr>
            </w:pPr>
            <w:r w:rsidRPr="00B10A22">
              <w:rPr>
                <w:b/>
                <w:bCs/>
              </w:rPr>
              <w:t>Net Increase</w:t>
            </w:r>
          </w:p>
        </w:tc>
        <w:tc>
          <w:tcPr>
            <w:tcW w:w="1952" w:type="dxa"/>
            <w:tcBorders>
              <w:top w:val="single" w:sz="12" w:space="0" w:color="auto"/>
              <w:left w:val="single" w:sz="4" w:space="0" w:color="auto"/>
              <w:bottom w:val="single" w:sz="12" w:space="0" w:color="auto"/>
              <w:right w:val="nil"/>
            </w:tcBorders>
            <w:vAlign w:val="center"/>
          </w:tcPr>
          <w:p w14:paraId="1F2F064B" w14:textId="77777777" w:rsidR="003C35DD" w:rsidRPr="00B10A22" w:rsidRDefault="003C35DD" w:rsidP="00FD0109">
            <w:pPr>
              <w:pStyle w:val="TblTxtCenter"/>
              <w:rPr>
                <w:b/>
                <w:bCs/>
              </w:rPr>
            </w:pPr>
            <w:r w:rsidRPr="00B10A22">
              <w:rPr>
                <w:b/>
                <w:bCs/>
              </w:rPr>
              <w:t>545</w:t>
            </w:r>
          </w:p>
        </w:tc>
        <w:tc>
          <w:tcPr>
            <w:tcW w:w="1659" w:type="dxa"/>
            <w:tcBorders>
              <w:top w:val="single" w:sz="12" w:space="0" w:color="auto"/>
              <w:left w:val="single" w:sz="4" w:space="0" w:color="auto"/>
              <w:bottom w:val="single" w:sz="12" w:space="0" w:color="auto"/>
              <w:right w:val="single" w:sz="4" w:space="0" w:color="auto"/>
            </w:tcBorders>
          </w:tcPr>
          <w:p w14:paraId="6A113C51" w14:textId="77777777" w:rsidR="003C35DD" w:rsidRPr="00B10A22" w:rsidRDefault="003C35DD" w:rsidP="00FD0109">
            <w:pPr>
              <w:pStyle w:val="TblTxtCenter"/>
              <w:rPr>
                <w:b/>
                <w:bCs/>
              </w:rPr>
            </w:pPr>
            <w:r>
              <w:rPr>
                <w:b/>
                <w:bCs/>
              </w:rPr>
              <w:t>526</w:t>
            </w:r>
          </w:p>
        </w:tc>
        <w:tc>
          <w:tcPr>
            <w:tcW w:w="1788" w:type="dxa"/>
            <w:tcBorders>
              <w:top w:val="single" w:sz="12" w:space="0" w:color="auto"/>
              <w:left w:val="single" w:sz="4" w:space="0" w:color="auto"/>
              <w:bottom w:val="single" w:sz="12" w:space="0" w:color="auto"/>
              <w:right w:val="nil"/>
            </w:tcBorders>
          </w:tcPr>
          <w:p w14:paraId="3243DDCC" w14:textId="77777777" w:rsidR="003C35DD" w:rsidRPr="00B10A22" w:rsidRDefault="003C35DD" w:rsidP="00FD0109">
            <w:pPr>
              <w:pStyle w:val="TblTxtCenter"/>
              <w:rPr>
                <w:b/>
                <w:bCs/>
              </w:rPr>
            </w:pPr>
            <w:r>
              <w:rPr>
                <w:b/>
                <w:bCs/>
              </w:rPr>
              <w:t>(19)</w:t>
            </w:r>
          </w:p>
        </w:tc>
        <w:tc>
          <w:tcPr>
            <w:tcW w:w="1793" w:type="dxa"/>
            <w:tcBorders>
              <w:top w:val="single" w:sz="12" w:space="0" w:color="auto"/>
              <w:left w:val="single" w:sz="4" w:space="0" w:color="auto"/>
              <w:bottom w:val="single" w:sz="12" w:space="0" w:color="auto"/>
              <w:right w:val="nil"/>
            </w:tcBorders>
          </w:tcPr>
          <w:p w14:paraId="70A0A3F0" w14:textId="77777777" w:rsidR="003C35DD" w:rsidRPr="00B10A22" w:rsidRDefault="003C35DD" w:rsidP="00FD0109">
            <w:pPr>
              <w:pStyle w:val="TblTxtCenter"/>
              <w:rPr>
                <w:b/>
                <w:bCs/>
              </w:rPr>
            </w:pPr>
            <w:r>
              <w:rPr>
                <w:b/>
                <w:bCs/>
              </w:rPr>
              <w:t>(17)</w:t>
            </w:r>
          </w:p>
        </w:tc>
      </w:tr>
    </w:tbl>
    <w:tbl>
      <w:tblPr>
        <w:tblStyle w:val="TableGrid20"/>
        <w:tblW w:w="9360" w:type="dxa"/>
        <w:jc w:val="center"/>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F712A" w:rsidRPr="00D77B4E" w14:paraId="4CF5EFB3" w14:textId="77777777" w:rsidTr="00EF25B2">
        <w:trPr>
          <w:trHeight w:val="144"/>
          <w:jc w:val="center"/>
        </w:trPr>
        <w:tc>
          <w:tcPr>
            <w:tcW w:w="9360" w:type="dxa"/>
          </w:tcPr>
          <w:bookmarkEnd w:id="224"/>
          <w:p w14:paraId="6177218F" w14:textId="77777777" w:rsidR="00AF712A" w:rsidRPr="00AD53C3" w:rsidRDefault="00AF712A" w:rsidP="00FD0109">
            <w:pPr>
              <w:pStyle w:val="Tblsource"/>
            </w:pPr>
            <w:r w:rsidRPr="00AD53C3">
              <w:t xml:space="preserve">Source: </w:t>
            </w:r>
            <w:r w:rsidRPr="007C161D">
              <w:t>DWR 2017</w:t>
            </w:r>
            <w:r w:rsidR="005A308B">
              <w:t>,</w:t>
            </w:r>
            <w:r>
              <w:t xml:space="preserve"> 2021; Scott Peterson Landscape Architect 2021. </w:t>
            </w:r>
          </w:p>
          <w:p w14:paraId="324F5E31" w14:textId="77777777" w:rsidR="00AF712A" w:rsidRPr="00AD53C3" w:rsidRDefault="00AF712A" w:rsidP="00FD0109">
            <w:pPr>
              <w:pStyle w:val="Tblsource"/>
            </w:pPr>
            <w:r w:rsidRPr="00AD53C3">
              <w:rPr>
                <w:szCs w:val="20"/>
              </w:rPr>
              <w:t>Notes: gpd = gallons per day</w:t>
            </w:r>
          </w:p>
          <w:p w14:paraId="29DD3F37" w14:textId="77777777" w:rsidR="00AF712A" w:rsidRDefault="00AF712A" w:rsidP="00FD0109">
            <w:pPr>
              <w:pStyle w:val="Tblsource"/>
              <w:ind w:left="164" w:hanging="164"/>
            </w:pPr>
            <w:r>
              <w:rPr>
                <w:vertAlign w:val="superscript"/>
              </w:rPr>
              <w:t>1</w:t>
            </w:r>
            <w:r w:rsidRPr="00AD53C3">
              <w:tab/>
            </w:r>
            <w:r>
              <w:t>The existing site includes s</w:t>
            </w:r>
            <w:r w:rsidRPr="00A51BEE">
              <w:t>everal mature ornamental trees at the entrance to the northern parking lot along with a few shrubs.</w:t>
            </w:r>
            <w:r>
              <w:t xml:space="preserve"> The square footage of this area was estimated using Google maps. </w:t>
            </w:r>
          </w:p>
          <w:p w14:paraId="27CEEA69" w14:textId="77777777" w:rsidR="00AF712A" w:rsidRDefault="00AF712A" w:rsidP="008A1179">
            <w:pPr>
              <w:pStyle w:val="Tblsource"/>
              <w:ind w:left="164" w:hanging="164"/>
            </w:pPr>
            <w:r>
              <w:rPr>
                <w:vertAlign w:val="superscript"/>
              </w:rPr>
              <w:t>2</w:t>
            </w:r>
            <w:r w:rsidRPr="00AD53C3">
              <w:tab/>
              <w:t>Outdoor water</w:t>
            </w:r>
            <w:r>
              <w:t xml:space="preserve"> </w:t>
            </w:r>
            <w:r w:rsidRPr="00AD53C3">
              <w:t>use is based on the California Department of Water Resources’ Water Budget Workbook for New and Rehabilitated Non-</w:t>
            </w:r>
            <w:r w:rsidR="005A308B" w:rsidRPr="00AD53C3">
              <w:t>r</w:t>
            </w:r>
            <w:r w:rsidRPr="00AD53C3">
              <w:t xml:space="preserve">esidential Landscapes. Precipitation for the City of </w:t>
            </w:r>
            <w:r>
              <w:t>Monrovia</w:t>
            </w:r>
            <w:r w:rsidRPr="00AD53C3">
              <w:t xml:space="preserve"> was used.</w:t>
            </w:r>
          </w:p>
          <w:p w14:paraId="72A4F504" w14:textId="77777777" w:rsidR="00F86479" w:rsidRDefault="00F86479" w:rsidP="008A1179">
            <w:pPr>
              <w:pStyle w:val="Tblsource"/>
              <w:ind w:left="164" w:hanging="164"/>
            </w:pPr>
            <w:r>
              <w:rPr>
                <w:vertAlign w:val="superscript"/>
              </w:rPr>
              <w:t>3</w:t>
            </w:r>
            <w:r w:rsidRPr="00AD53C3">
              <w:tab/>
            </w:r>
            <w:r>
              <w:t>Calculated as 90 percent of indoor water demand</w:t>
            </w:r>
            <w:r w:rsidRPr="00AD53C3">
              <w:t>.</w:t>
            </w:r>
          </w:p>
          <w:p w14:paraId="48039848" w14:textId="7CAC0106" w:rsidR="00C46417" w:rsidRPr="00A51BEE" w:rsidRDefault="00C46417" w:rsidP="008A1179">
            <w:pPr>
              <w:pStyle w:val="Tblsource"/>
              <w:ind w:left="164" w:hanging="164"/>
            </w:pPr>
            <w:r w:rsidRPr="000C1AB6">
              <w:rPr>
                <w:vertAlign w:val="superscript"/>
              </w:rPr>
              <w:t>4</w:t>
            </w:r>
            <w:r w:rsidRPr="00AD53C3">
              <w:tab/>
            </w:r>
            <w:r>
              <w:t>While the total landscaped area is 27,979 square feet, only 23,271 square feet is irrigated</w:t>
            </w:r>
            <w:r w:rsidRPr="00AD53C3">
              <w:t>.</w:t>
            </w:r>
          </w:p>
        </w:tc>
      </w:tr>
    </w:tbl>
    <w:p w14:paraId="11F9954D" w14:textId="77777777" w:rsidR="00B10A22" w:rsidRPr="00394404" w:rsidRDefault="00B10A22" w:rsidP="00B47074">
      <w:pPr>
        <w:pStyle w:val="BodyText"/>
      </w:pPr>
    </w:p>
    <w:p w14:paraId="2EE15456" w14:textId="77777777" w:rsidR="00D77B4E" w:rsidRPr="004F0274" w:rsidRDefault="00D77B4E" w:rsidP="00EA26E9">
      <w:pPr>
        <w:pStyle w:val="Heading5"/>
        <w:numPr>
          <w:ilvl w:val="0"/>
          <w:numId w:val="0"/>
        </w:numPr>
      </w:pPr>
      <w:r w:rsidRPr="004F0274">
        <w:t>Stormwater Drainage Facilities</w:t>
      </w:r>
    </w:p>
    <w:p w14:paraId="156D24E9" w14:textId="4B124AA5" w:rsidR="00D77B4E" w:rsidRPr="004F0274" w:rsidRDefault="00D77B4E" w:rsidP="00D77B4E">
      <w:pPr>
        <w:pStyle w:val="BodyText"/>
      </w:pPr>
      <w:r w:rsidRPr="004F0274">
        <w:t>See response to Section 3.10.c.iii</w:t>
      </w:r>
      <w:r w:rsidR="007B4292">
        <w:t xml:space="preserve">. </w:t>
      </w:r>
      <w:r w:rsidR="00120B59">
        <w:t>As discussed in that section</w:t>
      </w:r>
      <w:r w:rsidR="008F3781">
        <w:t>,</w:t>
      </w:r>
      <w:r w:rsidR="00120B59">
        <w:t xml:space="preserve"> the proposed project would not r</w:t>
      </w:r>
      <w:r w:rsidR="00120B59" w:rsidRPr="00120B59">
        <w:t>equire or result in the relocation or construction of new or expanded storm water drainage</w:t>
      </w:r>
      <w:r w:rsidR="00120B59">
        <w:t xml:space="preserve">, and impacts are less than significant. </w:t>
      </w:r>
    </w:p>
    <w:p w14:paraId="172DC4EE" w14:textId="77777777" w:rsidR="00D77B4E" w:rsidRPr="004F0274" w:rsidRDefault="00D77B4E" w:rsidP="00D77B4E">
      <w:pPr>
        <w:pStyle w:val="Heading5"/>
      </w:pPr>
      <w:r w:rsidRPr="004F0274">
        <w:t xml:space="preserve">Electricity </w:t>
      </w:r>
      <w:r w:rsidR="00167B6B">
        <w:t xml:space="preserve">and Natural Gas </w:t>
      </w:r>
      <w:r w:rsidRPr="004F0274">
        <w:t>Facilities</w:t>
      </w:r>
    </w:p>
    <w:p w14:paraId="51E8A079" w14:textId="77777777" w:rsidR="00D77B4E" w:rsidRPr="004F0274" w:rsidRDefault="00D77B4E" w:rsidP="00D77B4E">
      <w:pPr>
        <w:pStyle w:val="BodyText"/>
      </w:pPr>
      <w:bookmarkStart w:id="226" w:name="_Hlk21385919"/>
      <w:r w:rsidRPr="004F0274">
        <w:t>Electric</w:t>
      </w:r>
      <w:r w:rsidR="005A308B">
        <w:t>ity</w:t>
      </w:r>
      <w:r w:rsidRPr="004F0274">
        <w:t xml:space="preserve"> to the project site would be provided by SCE via existing infrastructure in the immediate area. </w:t>
      </w:r>
      <w:bookmarkEnd w:id="226"/>
      <w:r w:rsidRPr="004F0274">
        <w:t xml:space="preserve">SCE obtains electricity from conventional and renewable sources. The </w:t>
      </w:r>
      <w:r w:rsidR="00FE2A9F">
        <w:t>proposed p</w:t>
      </w:r>
      <w:r w:rsidRPr="004F0274">
        <w:t xml:space="preserve">roject would </w:t>
      </w:r>
      <w:r w:rsidR="00FE2A9F">
        <w:t xml:space="preserve">result in a net increase in electricity </w:t>
      </w:r>
      <w:r w:rsidR="00FE2A9F" w:rsidRPr="007014BA">
        <w:t xml:space="preserve">demand </w:t>
      </w:r>
      <w:r w:rsidRPr="007014BA">
        <w:t xml:space="preserve">of </w:t>
      </w:r>
      <w:r w:rsidR="007014BA" w:rsidRPr="007014BA">
        <w:t xml:space="preserve">310,585 </w:t>
      </w:r>
      <w:r w:rsidRPr="007014BA">
        <w:t>kWh</w:t>
      </w:r>
      <w:r w:rsidR="005A308B" w:rsidRPr="007014BA">
        <w:t xml:space="preserve"> </w:t>
      </w:r>
      <w:r w:rsidR="00FE2A9F" w:rsidRPr="007014BA">
        <w:t xml:space="preserve">per year </w:t>
      </w:r>
      <w:r w:rsidR="00C04262" w:rsidRPr="00320C15">
        <w:t xml:space="preserve">(see Table 10, </w:t>
      </w:r>
      <w:r w:rsidR="00C04262" w:rsidRPr="00320C15">
        <w:rPr>
          <w:rStyle w:val="BodyTextItalicChar"/>
        </w:rPr>
        <w:t>Electricity Consumption</w:t>
      </w:r>
      <w:r w:rsidR="00C04262" w:rsidRPr="00320C15">
        <w:t>)</w:t>
      </w:r>
      <w:r w:rsidRPr="007014BA">
        <w:t>.</w:t>
      </w:r>
      <w:r w:rsidRPr="004F0274">
        <w:t xml:space="preserve"> </w:t>
      </w:r>
    </w:p>
    <w:p w14:paraId="64611CC5" w14:textId="6AC35C4F" w:rsidR="004F0274" w:rsidRPr="00167B6B" w:rsidRDefault="004F0274" w:rsidP="004F0274">
      <w:pPr>
        <w:pStyle w:val="BodyText"/>
      </w:pPr>
      <w:bookmarkStart w:id="227" w:name="_Hlk78709756"/>
      <w:r w:rsidRPr="00D338F7">
        <w:t>Total electricity consumption in SCE’s service area is forecast</w:t>
      </w:r>
      <w:r w:rsidR="00A81B7A">
        <w:t>ed</w:t>
      </w:r>
      <w:r w:rsidRPr="00D338F7">
        <w:t xml:space="preserve"> to increase by approximately 18,000 GWh </w:t>
      </w:r>
      <w:r w:rsidRPr="00167B6B">
        <w:t xml:space="preserve">between 2016 and 2030 (CEC 2018). SCE forecasts that it will have sufficient electricity supplies to meet demands in its service area; and the electricity demand due to the project is within the forecast increase in SCE’s electricity demands. Project development would not require SCE to obtain new or expanded electricity supplies. </w:t>
      </w:r>
    </w:p>
    <w:bookmarkEnd w:id="227"/>
    <w:p w14:paraId="7C999119" w14:textId="77777777" w:rsidR="00167B6B" w:rsidRPr="00167B6B" w:rsidRDefault="00167B6B" w:rsidP="004F0274">
      <w:pPr>
        <w:pStyle w:val="BodyText"/>
      </w:pPr>
      <w:r w:rsidRPr="00167B6B">
        <w:t xml:space="preserve">Additionally, natural gas needs to the project site would be provided by the Southern California Gas Company (SoCalGas) via existing infrastructure </w:t>
      </w:r>
      <w:r w:rsidRPr="007014BA">
        <w:t xml:space="preserve">in the immediate area of the project site. The </w:t>
      </w:r>
      <w:r w:rsidR="00FE2A9F" w:rsidRPr="007014BA">
        <w:t>proposed p</w:t>
      </w:r>
      <w:r w:rsidRPr="007014BA">
        <w:t xml:space="preserve">roject would </w:t>
      </w:r>
      <w:r w:rsidR="00FE2A9F" w:rsidRPr="007014BA">
        <w:t>result in a net increase in</w:t>
      </w:r>
      <w:r w:rsidRPr="007014BA">
        <w:t xml:space="preserve"> gas demand of </w:t>
      </w:r>
      <w:r w:rsidR="007014BA" w:rsidRPr="007014BA">
        <w:t xml:space="preserve">337,131 </w:t>
      </w:r>
      <w:r w:rsidRPr="007014BA">
        <w:t xml:space="preserve">kBTU </w:t>
      </w:r>
      <w:r w:rsidR="00FE2A9F" w:rsidRPr="007014BA">
        <w:t xml:space="preserve">per year </w:t>
      </w:r>
      <w:r w:rsidRPr="007014BA">
        <w:t xml:space="preserve">(see Table </w:t>
      </w:r>
      <w:r w:rsidR="00C04262">
        <w:t>11</w:t>
      </w:r>
      <w:r w:rsidRPr="007014BA">
        <w:t xml:space="preserve">, </w:t>
      </w:r>
      <w:r w:rsidR="007014BA" w:rsidRPr="007014BA">
        <w:rPr>
          <w:rStyle w:val="BodyTextItalicChar"/>
        </w:rPr>
        <w:t>Natural Gas Consumption</w:t>
      </w:r>
      <w:r w:rsidRPr="007014BA">
        <w:t>).</w:t>
      </w:r>
      <w:r w:rsidRPr="00167B6B">
        <w:t xml:space="preserve"> </w:t>
      </w:r>
    </w:p>
    <w:p w14:paraId="2A605CA0" w14:textId="77777777" w:rsidR="004F0274" w:rsidRPr="00D338F7" w:rsidRDefault="00167B6B" w:rsidP="004F0274">
      <w:pPr>
        <w:pStyle w:val="BodyText"/>
      </w:pPr>
      <w:r>
        <w:t>T</w:t>
      </w:r>
      <w:r w:rsidR="004F0274" w:rsidRPr="00D338F7">
        <w:t>he total gas consumption in the SoCalGas</w:t>
      </w:r>
      <w:r>
        <w:t xml:space="preserve"> </w:t>
      </w:r>
      <w:r w:rsidR="004F0274" w:rsidRPr="00D338F7">
        <w:t>service area was approximately 7,700 million therms in 2016</w:t>
      </w:r>
      <w:r w:rsidR="00937B12">
        <w:t>,</w:t>
      </w:r>
      <w:r w:rsidR="004F0274" w:rsidRPr="00D338F7">
        <w:t xml:space="preserve"> with little to no growth projected up to the 2030 (CEC 2018). The natural gas consumption rate for the </w:t>
      </w:r>
      <w:r>
        <w:t>proposed p</w:t>
      </w:r>
      <w:r w:rsidR="004F0274" w:rsidRPr="00D338F7">
        <w:t xml:space="preserve">roject is typical for projects of this size and </w:t>
      </w:r>
      <w:r w:rsidR="00937B12">
        <w:t>is a</w:t>
      </w:r>
      <w:r w:rsidR="00937B12" w:rsidRPr="00D338F7">
        <w:t xml:space="preserve"> </w:t>
      </w:r>
      <w:r w:rsidR="004F0274" w:rsidRPr="00D338F7">
        <w:t xml:space="preserve">modest increase in gas use in the context of SoCalGas’ service territory. </w:t>
      </w:r>
    </w:p>
    <w:p w14:paraId="4DCE395F" w14:textId="77777777" w:rsidR="004F0274" w:rsidRPr="00167B6B" w:rsidRDefault="004F0274" w:rsidP="004F0274">
      <w:pPr>
        <w:pStyle w:val="BodyText"/>
      </w:pPr>
      <w:r w:rsidRPr="00D338F7">
        <w:t xml:space="preserve">In addition, the </w:t>
      </w:r>
      <w:r w:rsidR="00167B6B">
        <w:t>proposed p</w:t>
      </w:r>
      <w:r w:rsidRPr="00D338F7">
        <w:t xml:space="preserve">roject would be required to comply with energy efficiency standards by Title 24 of the California Administrative Code and the Appliance Efficiency Regulations. The </w:t>
      </w:r>
      <w:r w:rsidR="00167B6B">
        <w:t>proposed p</w:t>
      </w:r>
      <w:r w:rsidRPr="00D338F7">
        <w:t>roject would also comply with C</w:t>
      </w:r>
      <w:r w:rsidR="00937B12" w:rsidRPr="00D338F7">
        <w:t>AL</w:t>
      </w:r>
      <w:r w:rsidRPr="00D338F7">
        <w:t xml:space="preserve">Green requirements related to energy and water conservation. These measures will decrease electricity and gas consumption. Therefore, the </w:t>
      </w:r>
      <w:r w:rsidR="00167B6B">
        <w:t>proposed p</w:t>
      </w:r>
      <w:r w:rsidRPr="00D338F7">
        <w:t xml:space="preserve">roject would not result in a substantial increase in natural gas and electrical service demands. SCE and SoCalGas would not need to expand their </w:t>
      </w:r>
      <w:r w:rsidRPr="00051B10">
        <w:t xml:space="preserve">supply and transmission facilities </w:t>
      </w:r>
      <w:r w:rsidR="00FE2A9F" w:rsidRPr="00051B10">
        <w:t>to</w:t>
      </w:r>
      <w:r w:rsidRPr="00051B10">
        <w:t xml:space="preserve"> handle the demand generated by the </w:t>
      </w:r>
      <w:r w:rsidR="00167B6B">
        <w:t>proposed p</w:t>
      </w:r>
      <w:r w:rsidRPr="00051B10">
        <w:t>roject</w:t>
      </w:r>
      <w:r w:rsidR="00937B12">
        <w:t>,</w:t>
      </w:r>
      <w:r w:rsidRPr="00051B10">
        <w:t xml:space="preserve"> and the </w:t>
      </w:r>
      <w:r w:rsidRPr="00167B6B">
        <w:t>impact would be less than significant.</w:t>
      </w:r>
    </w:p>
    <w:p w14:paraId="7B7BC3C8" w14:textId="77777777" w:rsidR="00D77B4E" w:rsidRPr="00167B6B" w:rsidRDefault="00D77B4E" w:rsidP="00D77B4E">
      <w:pPr>
        <w:pStyle w:val="Heading5"/>
      </w:pPr>
      <w:r w:rsidRPr="00167B6B">
        <w:t>Telecommunication Facilities</w:t>
      </w:r>
    </w:p>
    <w:p w14:paraId="5612BA6E" w14:textId="77777777" w:rsidR="00D77B4E" w:rsidRPr="00167B6B" w:rsidRDefault="00D77B4E" w:rsidP="00D10CF6">
      <w:pPr>
        <w:pStyle w:val="BodyText"/>
      </w:pPr>
      <w:r w:rsidRPr="00167B6B">
        <w:t xml:space="preserve">The </w:t>
      </w:r>
      <w:r w:rsidR="00167B6B" w:rsidRPr="00167B6B">
        <w:t>proposed p</w:t>
      </w:r>
      <w:r w:rsidRPr="00167B6B">
        <w:t>roject would include on</w:t>
      </w:r>
      <w:r w:rsidR="00937B12">
        <w:t>-</w:t>
      </w:r>
      <w:r w:rsidRPr="00167B6B">
        <w:t xml:space="preserve">site connections to telecommunication services. The construction-related impacts associated with these improvements are analyzed throughout this Initial Study as part of project development. Impacts would be less than </w:t>
      </w:r>
      <w:r w:rsidR="00FE2A9F" w:rsidRPr="00167B6B">
        <w:t>significant</w:t>
      </w:r>
      <w:r w:rsidRPr="00167B6B">
        <w:t>.</w:t>
      </w:r>
    </w:p>
    <w:p w14:paraId="2786E1A8" w14:textId="77777777" w:rsidR="00D10CF6" w:rsidRDefault="002811BB" w:rsidP="002811BB">
      <w:pPr>
        <w:pStyle w:val="List"/>
      </w:pPr>
      <w:r w:rsidRPr="002811BB">
        <w:t>Have sufficient water supplies available to serve the project and reasonably foreseeable future development during normal, dry and multiple dry years</w:t>
      </w:r>
      <w:r w:rsidR="00D10CF6">
        <w:t>?</w:t>
      </w:r>
    </w:p>
    <w:p w14:paraId="7C8BBFBF" w14:textId="77777777" w:rsidR="0001162E" w:rsidRPr="00617ACC" w:rsidRDefault="0001162E" w:rsidP="0001162E">
      <w:pPr>
        <w:pStyle w:val="BodyText"/>
      </w:pPr>
      <w:r w:rsidRPr="00617ACC">
        <w:rPr>
          <w:rStyle w:val="BodyTextBoldChar"/>
        </w:rPr>
        <w:t>Less Than Significant Impact.</w:t>
      </w:r>
      <w:r w:rsidRPr="00617ACC">
        <w:t xml:space="preserve"> </w:t>
      </w:r>
      <w:r w:rsidR="009F2143">
        <w:t>VCWD</w:t>
      </w:r>
      <w:r w:rsidRPr="00617ACC">
        <w:t xml:space="preserve"> has adequate water supplies to meet project water demands, as substantiated in Section 3.19.a. </w:t>
      </w:r>
    </w:p>
    <w:p w14:paraId="1847FACD" w14:textId="77777777" w:rsidR="0001162E" w:rsidRPr="00617ACC" w:rsidRDefault="00937B12" w:rsidP="0001162E">
      <w:pPr>
        <w:pStyle w:val="BodyText"/>
      </w:pPr>
      <w:r>
        <w:t>T</w:t>
      </w:r>
      <w:r w:rsidR="0001162E" w:rsidRPr="00617ACC">
        <w:t xml:space="preserve">he </w:t>
      </w:r>
      <w:r w:rsidR="0001162E">
        <w:t>proposed p</w:t>
      </w:r>
      <w:r w:rsidR="0001162E" w:rsidRPr="00617ACC">
        <w:t xml:space="preserve">roject’s landscaping would be required to be installed and maintained in compliance with </w:t>
      </w:r>
      <w:r w:rsidR="0001162E" w:rsidRPr="0001162E">
        <w:t>Chapter 15.30</w:t>
      </w:r>
      <w:r w:rsidR="0001162E">
        <w:t xml:space="preserve">, </w:t>
      </w:r>
      <w:r w:rsidR="0001162E" w:rsidRPr="00B47074">
        <w:t>Water Efficient Landscape Standards and Guidelines,</w:t>
      </w:r>
      <w:r w:rsidR="0001162E">
        <w:rPr>
          <w:i/>
          <w:iCs/>
        </w:rPr>
        <w:t xml:space="preserve"> </w:t>
      </w:r>
      <w:r w:rsidR="0001162E" w:rsidRPr="00617ACC">
        <w:t xml:space="preserve">of the </w:t>
      </w:r>
      <w:r w:rsidR="0001162E">
        <w:t>Irwindale Municipal Code</w:t>
      </w:r>
      <w:r w:rsidR="0001162E" w:rsidRPr="00617ACC">
        <w:t xml:space="preserve">, which sets landscape design standards for water conservation. </w:t>
      </w:r>
    </w:p>
    <w:p w14:paraId="1C6D3A0E" w14:textId="77777777" w:rsidR="0001162E" w:rsidRPr="00617ACC" w:rsidRDefault="00937B12" w:rsidP="0001162E">
      <w:pPr>
        <w:pStyle w:val="BodyText"/>
        <w:rPr>
          <w:bCs/>
        </w:rPr>
      </w:pPr>
      <w:r w:rsidRPr="00617ACC">
        <w:rPr>
          <w:bCs/>
        </w:rPr>
        <w:t xml:space="preserve">Development </w:t>
      </w:r>
      <w:r w:rsidR="0001162E" w:rsidRPr="00617ACC">
        <w:rPr>
          <w:bCs/>
        </w:rPr>
        <w:t xml:space="preserve">of the </w:t>
      </w:r>
      <w:r w:rsidR="0001162E">
        <w:rPr>
          <w:bCs/>
        </w:rPr>
        <w:t>proposed p</w:t>
      </w:r>
      <w:r w:rsidR="0001162E" w:rsidRPr="00617ACC">
        <w:rPr>
          <w:bCs/>
        </w:rPr>
        <w:t xml:space="preserve">roject would </w:t>
      </w:r>
      <w:r>
        <w:rPr>
          <w:bCs/>
        </w:rPr>
        <w:t xml:space="preserve">also </w:t>
      </w:r>
      <w:r w:rsidR="0001162E" w:rsidRPr="00617ACC">
        <w:rPr>
          <w:bCs/>
        </w:rPr>
        <w:t xml:space="preserve">be required to comply with the provisions of </w:t>
      </w:r>
      <w:r w:rsidR="0001162E">
        <w:rPr>
          <w:bCs/>
        </w:rPr>
        <w:t>C</w:t>
      </w:r>
      <w:r w:rsidR="0001162E" w:rsidRPr="00617ACC">
        <w:rPr>
          <w:bCs/>
        </w:rPr>
        <w:t xml:space="preserve">ALGreen, which </w:t>
      </w:r>
      <w:r>
        <w:rPr>
          <w:bCs/>
        </w:rPr>
        <w:t>has</w:t>
      </w:r>
      <w:r w:rsidRPr="00617ACC">
        <w:rPr>
          <w:bCs/>
        </w:rPr>
        <w:t xml:space="preserve"> </w:t>
      </w:r>
      <w:r w:rsidR="0001162E" w:rsidRPr="00617ACC">
        <w:rPr>
          <w:bCs/>
        </w:rPr>
        <w:t xml:space="preserve">requirements for indoor water use reduction and site irrigation conservation. Specifically, project development would be required to adhere to </w:t>
      </w:r>
      <w:r>
        <w:rPr>
          <w:bCs/>
        </w:rPr>
        <w:t xml:space="preserve">the </w:t>
      </w:r>
      <w:r w:rsidR="0001162E" w:rsidRPr="00617ACC">
        <w:rPr>
          <w:bCs/>
        </w:rPr>
        <w:t xml:space="preserve">mandatory </w:t>
      </w:r>
      <w:r w:rsidR="0001162E">
        <w:rPr>
          <w:bCs/>
        </w:rPr>
        <w:t>non</w:t>
      </w:r>
      <w:r w:rsidR="0001162E" w:rsidRPr="00617ACC">
        <w:rPr>
          <w:bCs/>
        </w:rPr>
        <w:t xml:space="preserve">residential measures in </w:t>
      </w:r>
      <w:r>
        <w:rPr>
          <w:bCs/>
        </w:rPr>
        <w:t xml:space="preserve">CALGreen </w:t>
      </w:r>
      <w:r w:rsidR="0001162E" w:rsidRPr="00617ACC">
        <w:rPr>
          <w:bCs/>
        </w:rPr>
        <w:t xml:space="preserve">Division </w:t>
      </w:r>
      <w:r w:rsidR="0001162E">
        <w:rPr>
          <w:bCs/>
        </w:rPr>
        <w:t>5</w:t>
      </w:r>
      <w:r w:rsidR="0001162E" w:rsidRPr="00617ACC">
        <w:rPr>
          <w:bCs/>
        </w:rPr>
        <w:t>.3</w:t>
      </w:r>
      <w:r w:rsidR="00071B56">
        <w:rPr>
          <w:bCs/>
        </w:rPr>
        <w:t xml:space="preserve">, </w:t>
      </w:r>
      <w:r w:rsidR="0001162E" w:rsidRPr="00B47074">
        <w:rPr>
          <w:bCs/>
        </w:rPr>
        <w:t>Water Efficiency and Conservation</w:t>
      </w:r>
      <w:r w:rsidR="00071B56" w:rsidRPr="00354C3D">
        <w:rPr>
          <w:bCs/>
        </w:rPr>
        <w:t>,</w:t>
      </w:r>
      <w:r w:rsidR="0001162E" w:rsidRPr="00617ACC">
        <w:rPr>
          <w:bCs/>
        </w:rPr>
        <w:t xml:space="preserve"> including Sections </w:t>
      </w:r>
      <w:r w:rsidR="0001162E">
        <w:rPr>
          <w:bCs/>
        </w:rPr>
        <w:t>5</w:t>
      </w:r>
      <w:r w:rsidR="0001162E" w:rsidRPr="00617ACC">
        <w:rPr>
          <w:bCs/>
        </w:rPr>
        <w:t>.303</w:t>
      </w:r>
      <w:r w:rsidR="00071B56">
        <w:rPr>
          <w:bCs/>
        </w:rPr>
        <w:t xml:space="preserve">, </w:t>
      </w:r>
      <w:r w:rsidR="00071B56" w:rsidRPr="00B47074">
        <w:rPr>
          <w:bCs/>
        </w:rPr>
        <w:t>I</w:t>
      </w:r>
      <w:r w:rsidR="0001162E" w:rsidRPr="00B47074">
        <w:rPr>
          <w:bCs/>
        </w:rPr>
        <w:t>ndoor Water Use</w:t>
      </w:r>
      <w:r w:rsidR="00071B56">
        <w:rPr>
          <w:bCs/>
        </w:rPr>
        <w:t>,</w:t>
      </w:r>
      <w:r w:rsidR="0001162E" w:rsidRPr="00617ACC">
        <w:rPr>
          <w:bCs/>
        </w:rPr>
        <w:t xml:space="preserve"> and </w:t>
      </w:r>
      <w:r w:rsidR="0001162E">
        <w:rPr>
          <w:bCs/>
        </w:rPr>
        <w:t>5</w:t>
      </w:r>
      <w:r w:rsidR="0001162E" w:rsidRPr="00617ACC">
        <w:rPr>
          <w:bCs/>
        </w:rPr>
        <w:t>.304</w:t>
      </w:r>
      <w:r w:rsidR="00071B56">
        <w:rPr>
          <w:bCs/>
        </w:rPr>
        <w:t xml:space="preserve">, </w:t>
      </w:r>
      <w:r w:rsidR="0001162E" w:rsidRPr="00B47074">
        <w:rPr>
          <w:bCs/>
        </w:rPr>
        <w:t>Outdoor Water Use</w:t>
      </w:r>
      <w:r w:rsidR="0001162E" w:rsidRPr="00617ACC">
        <w:rPr>
          <w:bCs/>
        </w:rPr>
        <w:t>.</w:t>
      </w:r>
    </w:p>
    <w:p w14:paraId="2558EBAD" w14:textId="77777777" w:rsidR="0001162E" w:rsidRDefault="0001162E" w:rsidP="00D10CF6">
      <w:pPr>
        <w:pStyle w:val="BodyText"/>
      </w:pPr>
      <w:r w:rsidRPr="00617ACC">
        <w:t xml:space="preserve">Based on the preceding, there are adequate water supplies to meet the water demands of the </w:t>
      </w:r>
      <w:r>
        <w:t>proposed p</w:t>
      </w:r>
      <w:r w:rsidRPr="00617ACC">
        <w:t>roject</w:t>
      </w:r>
      <w:r w:rsidR="00937B12">
        <w:t>,</w:t>
      </w:r>
      <w:r w:rsidRPr="00617ACC">
        <w:t xml:space="preserve"> and </w:t>
      </w:r>
      <w:r w:rsidR="009F2143">
        <w:t>p</w:t>
      </w:r>
      <w:r w:rsidRPr="00617ACC">
        <w:t xml:space="preserve">roject development would not require </w:t>
      </w:r>
      <w:r w:rsidR="009F2143">
        <w:t>VCWD</w:t>
      </w:r>
      <w:r w:rsidRPr="00617ACC">
        <w:t xml:space="preserve"> to obtain new or expanded water supplies. Therefore, impacts on water supplies due to project development would be less than significant.</w:t>
      </w:r>
    </w:p>
    <w:p w14:paraId="5F56155A" w14:textId="77777777" w:rsidR="00D10CF6" w:rsidRDefault="002811BB" w:rsidP="002811BB">
      <w:pPr>
        <w:pStyle w:val="List"/>
      </w:pPr>
      <w:r w:rsidRPr="002811BB">
        <w:t>Result in a determination by the waste water treatment provider, which serves or may serve the project that it has adequate capacity to serve the project’s projected demand in addition to the provider’s existing commitments</w:t>
      </w:r>
      <w:r w:rsidR="00D10CF6">
        <w:t>?</w:t>
      </w:r>
    </w:p>
    <w:p w14:paraId="047DFECE" w14:textId="77777777" w:rsidR="00786D9A" w:rsidRDefault="00786D9A" w:rsidP="00D10CF6">
      <w:pPr>
        <w:pStyle w:val="BodyText"/>
      </w:pPr>
      <w:r w:rsidRPr="00617ACC">
        <w:rPr>
          <w:rStyle w:val="BodyTextBoldChar"/>
        </w:rPr>
        <w:t>Less Than Significant Impact.</w:t>
      </w:r>
      <w:r w:rsidRPr="00617ACC">
        <w:t xml:space="preserve"> As substantiated in Section 3.19.a, there is existing wastewater treatment capacity in the region for estimated project wastewater generation. Project development would not require construction of new or expanded wastewater treatment facilities. Therefore, impacts would be less than </w:t>
      </w:r>
      <w:r w:rsidR="00FE2A9F" w:rsidRPr="00617ACC">
        <w:t>significant</w:t>
      </w:r>
      <w:r w:rsidRPr="00617ACC">
        <w:t>.</w:t>
      </w:r>
    </w:p>
    <w:p w14:paraId="70A4E7E5" w14:textId="77777777" w:rsidR="00D10CF6" w:rsidRDefault="002811BB" w:rsidP="002811BB">
      <w:pPr>
        <w:pStyle w:val="List"/>
      </w:pPr>
      <w:r w:rsidRPr="002811BB">
        <w:t>Generate solid waste in excess of state or local standards, or in excess of the capacity of local infrastructure, or otherwise impair the attainment of solid waste reduction goals</w:t>
      </w:r>
      <w:r w:rsidR="00D10CF6">
        <w:t>?</w:t>
      </w:r>
    </w:p>
    <w:p w14:paraId="01612BD7" w14:textId="5297D6B6" w:rsidR="008F04EB" w:rsidRPr="008F04EB" w:rsidRDefault="00786D9A" w:rsidP="008F04EB">
      <w:pPr>
        <w:pStyle w:val="BodyText"/>
      </w:pPr>
      <w:r w:rsidRPr="00617ACC">
        <w:rPr>
          <w:rStyle w:val="BodyTextBoldChar"/>
        </w:rPr>
        <w:t>Less Than Significant Impact.</w:t>
      </w:r>
      <w:r w:rsidRPr="00617ACC">
        <w:t xml:space="preserve"> </w:t>
      </w:r>
      <w:r w:rsidRPr="0011390B">
        <w:t>Athens Services</w:t>
      </w:r>
      <w:r w:rsidRPr="00617ACC">
        <w:rPr>
          <w:rStyle w:val="BodyTextBoldChar"/>
          <w:b w:val="0"/>
        </w:rPr>
        <w:t xml:space="preserve"> waste haulers provide services in the City of </w:t>
      </w:r>
      <w:r>
        <w:rPr>
          <w:rStyle w:val="BodyTextBoldChar"/>
          <w:b w:val="0"/>
        </w:rPr>
        <w:t>Irwindale</w:t>
      </w:r>
      <w:r w:rsidRPr="00617ACC">
        <w:t xml:space="preserve">. </w:t>
      </w:r>
      <w:r>
        <w:t xml:space="preserve">In </w:t>
      </w:r>
      <w:r w:rsidRPr="00617ACC">
        <w:t>201</w:t>
      </w:r>
      <w:r>
        <w:t>9</w:t>
      </w:r>
      <w:r w:rsidRPr="00617ACC">
        <w:t xml:space="preserve">, approximately </w:t>
      </w:r>
      <w:r w:rsidR="00FE2A9F">
        <w:t>82</w:t>
      </w:r>
      <w:r w:rsidRPr="00617ACC">
        <w:t xml:space="preserve"> percent of the municipal solid waste landfilled from the </w:t>
      </w:r>
      <w:r w:rsidR="00A81B7A">
        <w:t>C</w:t>
      </w:r>
      <w:r w:rsidR="00FE2A9F" w:rsidRPr="00617ACC">
        <w:t>ity</w:t>
      </w:r>
      <w:r w:rsidRPr="00617ACC">
        <w:t xml:space="preserve"> was disposed of at the </w:t>
      </w:r>
      <w:r w:rsidRPr="0039240E">
        <w:t>Mid-Valley Sanitary Landfill</w:t>
      </w:r>
      <w:r w:rsidRPr="0011390B">
        <w:t xml:space="preserve">, </w:t>
      </w:r>
      <w:r w:rsidR="00FE2A9F" w:rsidRPr="0039240E">
        <w:t>San Timoteo Sanitary Landfill</w:t>
      </w:r>
      <w:r w:rsidR="00FE2A9F">
        <w:t xml:space="preserve">, </w:t>
      </w:r>
      <w:r w:rsidRPr="0039240E">
        <w:t>Azusa Land Reclamation Landfill</w:t>
      </w:r>
      <w:r>
        <w:t xml:space="preserve">, </w:t>
      </w:r>
      <w:r w:rsidR="00530227">
        <w:t xml:space="preserve">Simi Valley Landfill, and </w:t>
      </w:r>
      <w:r w:rsidRPr="0039240E">
        <w:t>El Sobrante Landfill</w:t>
      </w:r>
      <w:r w:rsidRPr="0011390B">
        <w:t xml:space="preserve"> </w:t>
      </w:r>
      <w:r>
        <w:t>(CalRecy</w:t>
      </w:r>
      <w:r w:rsidR="00696645">
        <w:t>cle</w:t>
      </w:r>
      <w:r>
        <w:t xml:space="preserve"> 2019</w:t>
      </w:r>
      <w:r w:rsidR="00700A9D">
        <w:t>a</w:t>
      </w:r>
      <w:r>
        <w:t>)</w:t>
      </w:r>
      <w:r w:rsidRPr="0011390B">
        <w:t>.</w:t>
      </w:r>
      <w:r w:rsidRPr="00617ACC">
        <w:t xml:space="preserve"> </w:t>
      </w:r>
      <w:r w:rsidR="008F04EB">
        <w:t xml:space="preserve">Waste Management Inc. (WM) </w:t>
      </w:r>
      <w:r w:rsidR="008F04EB" w:rsidRPr="008F04EB">
        <w:t>own</w:t>
      </w:r>
      <w:r w:rsidR="008F04EB">
        <w:t>s</w:t>
      </w:r>
      <w:r w:rsidR="008F04EB" w:rsidRPr="008F04EB">
        <w:t xml:space="preserve"> and operate</w:t>
      </w:r>
      <w:r w:rsidR="008F04EB">
        <w:t>s</w:t>
      </w:r>
      <w:r w:rsidR="008F04EB" w:rsidRPr="008F04EB">
        <w:t xml:space="preserve"> </w:t>
      </w:r>
      <w:r w:rsidR="008F04EB">
        <w:t xml:space="preserve">the </w:t>
      </w:r>
      <w:r w:rsidR="008F04EB" w:rsidRPr="008F04EB">
        <w:t>Azusa Land Reclamation Landfill</w:t>
      </w:r>
      <w:r w:rsidR="008F04EB">
        <w:t xml:space="preserve"> and </w:t>
      </w:r>
      <w:r w:rsidR="00530227">
        <w:t xml:space="preserve">the Simi Valley Landfill. WM </w:t>
      </w:r>
      <w:r w:rsidR="00937B12">
        <w:t xml:space="preserve">stated </w:t>
      </w:r>
      <w:r w:rsidR="008F04EB">
        <w:t xml:space="preserve">that the </w:t>
      </w:r>
      <w:r w:rsidR="00530227" w:rsidRPr="008F04EB">
        <w:t xml:space="preserve">Azusa Land Reclamation </w:t>
      </w:r>
      <w:r w:rsidR="00530227">
        <w:t>L</w:t>
      </w:r>
      <w:r w:rsidR="008F04EB">
        <w:t xml:space="preserve">andfill does not </w:t>
      </w:r>
      <w:r w:rsidR="008F04EB" w:rsidRPr="008F04EB">
        <w:t>accept municipal solid waste</w:t>
      </w:r>
      <w:r w:rsidR="008F04EB">
        <w:t xml:space="preserve"> but can handle solid waste generated from the construction phase of the proposed project</w:t>
      </w:r>
      <w:r w:rsidR="00700A9D">
        <w:t>. Operational solid waste can be accepted at the Simi Valley Landfill</w:t>
      </w:r>
      <w:r w:rsidR="00696645">
        <w:t xml:space="preserve"> (Bol 2021)</w:t>
      </w:r>
      <w:r w:rsidR="00700A9D">
        <w:t xml:space="preserve">. </w:t>
      </w:r>
      <w:r w:rsidR="008F04EB">
        <w:t>WM also confirmed that the El Sobrante Landfill would be able to adequately serve the expected construction waste. The El Sobrante Landfill would also accept operational solid waste f</w:t>
      </w:r>
      <w:r w:rsidR="008F04EB" w:rsidRPr="00700A9D">
        <w:t>rom the proposed project (Dowaliby 2021).</w:t>
      </w:r>
      <w:r w:rsidR="004C0886" w:rsidRPr="00700A9D">
        <w:t xml:space="preserve"> The County of San Bernardino owns and operates the Mid-Valley Sanitary Landfill and the San Timoteo Sanitary Landfill. The County </w:t>
      </w:r>
      <w:r w:rsidR="00896132">
        <w:t>said</w:t>
      </w:r>
      <w:r w:rsidR="00896132" w:rsidRPr="00700A9D">
        <w:t xml:space="preserve"> </w:t>
      </w:r>
      <w:r w:rsidR="004C0886" w:rsidRPr="00700A9D">
        <w:t>that solid waste from the proposed project would need to be conveyed to landfills in Los Angeles County (Meeka 2021).</w:t>
      </w:r>
      <w:r w:rsidR="004C0886">
        <w:t xml:space="preserve"> </w:t>
      </w:r>
    </w:p>
    <w:p w14:paraId="07DB7D19" w14:textId="1F2B15E5" w:rsidR="00786D9A" w:rsidRPr="00617ACC" w:rsidRDefault="00786D9A" w:rsidP="00786D9A">
      <w:pPr>
        <w:pStyle w:val="BodyText"/>
      </w:pPr>
      <w:r w:rsidRPr="00617ACC">
        <w:t xml:space="preserve">Capacity and disposal data for the </w:t>
      </w:r>
      <w:r w:rsidR="004C0886">
        <w:t>El Sobrante Landfill and Simi Valley Landfill</w:t>
      </w:r>
      <w:r w:rsidRPr="00617ACC">
        <w:t xml:space="preserve"> are shown in Table </w:t>
      </w:r>
      <w:r w:rsidR="00345BC8">
        <w:t>27</w:t>
      </w:r>
      <w:r w:rsidRPr="00617ACC">
        <w:t xml:space="preserve">. As shown in the table, the landfills have a combined </w:t>
      </w:r>
      <w:bookmarkStart w:id="228" w:name="_Hlk9605693"/>
      <w:r w:rsidRPr="00617ACC">
        <w:t xml:space="preserve">residual capacity of </w:t>
      </w:r>
      <w:r w:rsidR="000A2B81" w:rsidRPr="00944B91">
        <w:t>approximately 1</w:t>
      </w:r>
      <w:r w:rsidR="00944B91" w:rsidRPr="00944B91">
        <w:t>0</w:t>
      </w:r>
      <w:r w:rsidR="000A2B81" w:rsidRPr="00944B91">
        <w:t>,</w:t>
      </w:r>
      <w:r w:rsidR="00944B91" w:rsidRPr="00944B91">
        <w:t>598</w:t>
      </w:r>
      <w:r w:rsidRPr="00944B91">
        <w:t xml:space="preserve"> tons per day.</w:t>
      </w:r>
      <w:bookmarkStart w:id="229" w:name="_Toc119395924"/>
      <w:bookmarkStart w:id="230" w:name="_Toc128987361"/>
      <w:bookmarkStart w:id="231" w:name="_Toc177470416"/>
      <w:bookmarkStart w:id="232" w:name="_Toc200269861"/>
      <w:bookmarkStart w:id="233" w:name="_Toc203477333"/>
      <w:bookmarkStart w:id="234" w:name="_Toc239081243"/>
      <w:bookmarkStart w:id="235" w:name="_Toc320880548"/>
      <w:bookmarkStart w:id="236" w:name="_Toc387399765"/>
      <w:bookmarkStart w:id="237" w:name="_Toc484766189"/>
      <w:bookmarkStart w:id="238" w:name="_Toc526922374"/>
      <w:bookmarkEnd w:id="228"/>
      <w:r w:rsidRPr="00617ACC">
        <w:t xml:space="preserve"> </w:t>
      </w:r>
    </w:p>
    <w:tbl>
      <w:tblPr>
        <w:tblW w:w="9360" w:type="dxa"/>
        <w:jc w:val="center"/>
        <w:tblBorders>
          <w:bottom w:val="single" w:sz="6" w:space="0" w:color="auto"/>
          <w:insideH w:val="single" w:sz="6" w:space="0" w:color="auto"/>
          <w:insideV w:val="single" w:sz="6" w:space="0" w:color="auto"/>
        </w:tblBorders>
        <w:tblCellMar>
          <w:left w:w="115" w:type="dxa"/>
          <w:right w:w="115" w:type="dxa"/>
        </w:tblCellMar>
        <w:tblLook w:val="01E0" w:firstRow="1" w:lastRow="1" w:firstColumn="1" w:lastColumn="1" w:noHBand="0" w:noVBand="0"/>
      </w:tblPr>
      <w:tblGrid>
        <w:gridCol w:w="2430"/>
        <w:gridCol w:w="1530"/>
        <w:gridCol w:w="1525"/>
        <w:gridCol w:w="1265"/>
        <w:gridCol w:w="1440"/>
        <w:gridCol w:w="1170"/>
      </w:tblGrid>
      <w:tr w:rsidR="00786D9A" w:rsidRPr="00617ACC" w14:paraId="5B2CF40B" w14:textId="77777777" w:rsidTr="00DD5CFF">
        <w:trPr>
          <w:cantSplit/>
          <w:jc w:val="center"/>
        </w:trPr>
        <w:tc>
          <w:tcPr>
            <w:tcW w:w="9360" w:type="dxa"/>
            <w:gridSpan w:val="6"/>
            <w:tcBorders>
              <w:top w:val="nil"/>
              <w:bottom w:val="single" w:sz="12" w:space="0" w:color="auto"/>
            </w:tcBorders>
            <w:shd w:val="clear" w:color="auto" w:fill="auto"/>
            <w:vAlign w:val="center"/>
          </w:tcPr>
          <w:p w14:paraId="0A5ADF16" w14:textId="4DF34438" w:rsidR="00786D9A" w:rsidRPr="00617ACC" w:rsidRDefault="00786D9A" w:rsidP="00DD5CFF">
            <w:pPr>
              <w:pStyle w:val="TblTitles"/>
            </w:pPr>
            <w:bookmarkStart w:id="239" w:name="_Toc24622775"/>
            <w:bookmarkStart w:id="240" w:name="_Toc90882273"/>
            <w:r w:rsidRPr="00617ACC">
              <w:t xml:space="preserve">Table </w:t>
            </w:r>
            <w:r w:rsidR="00345BC8">
              <w:t>27</w:t>
            </w:r>
            <w:r w:rsidRPr="00617ACC">
              <w:tab/>
              <w:t>Landfill Capacity</w:t>
            </w:r>
            <w:bookmarkEnd w:id="239"/>
            <w:bookmarkEnd w:id="240"/>
          </w:p>
        </w:tc>
      </w:tr>
      <w:tr w:rsidR="00786D9A" w:rsidRPr="00617ACC" w14:paraId="56E7C019" w14:textId="77777777" w:rsidTr="00DD5CFF">
        <w:trPr>
          <w:cantSplit/>
          <w:jc w:val="center"/>
        </w:trPr>
        <w:tc>
          <w:tcPr>
            <w:tcW w:w="2430" w:type="dxa"/>
            <w:tcBorders>
              <w:top w:val="single" w:sz="12" w:space="0" w:color="auto"/>
              <w:bottom w:val="single" w:sz="12" w:space="0" w:color="auto"/>
            </w:tcBorders>
            <w:shd w:val="clear" w:color="auto" w:fill="auto"/>
            <w:vAlign w:val="bottom"/>
          </w:tcPr>
          <w:p w14:paraId="669B3029" w14:textId="77777777" w:rsidR="00786D9A" w:rsidRPr="00617ACC" w:rsidRDefault="00786D9A" w:rsidP="00DD5CFF">
            <w:pPr>
              <w:pStyle w:val="TblColumnHeads"/>
            </w:pPr>
            <w:r w:rsidRPr="00617ACC">
              <w:t xml:space="preserve">Landfill </w:t>
            </w:r>
          </w:p>
        </w:tc>
        <w:tc>
          <w:tcPr>
            <w:tcW w:w="1530" w:type="dxa"/>
            <w:tcBorders>
              <w:top w:val="single" w:sz="12" w:space="0" w:color="auto"/>
              <w:bottom w:val="single" w:sz="12" w:space="0" w:color="auto"/>
            </w:tcBorders>
            <w:shd w:val="clear" w:color="auto" w:fill="auto"/>
            <w:vAlign w:val="bottom"/>
          </w:tcPr>
          <w:p w14:paraId="6A93751A" w14:textId="77777777" w:rsidR="00786D9A" w:rsidRPr="00617ACC" w:rsidRDefault="00786D9A" w:rsidP="00DD5CFF">
            <w:pPr>
              <w:pStyle w:val="TblColumnHeads"/>
            </w:pPr>
            <w:r w:rsidRPr="00617ACC">
              <w:t>Current Remaining</w:t>
            </w:r>
            <w:r w:rsidRPr="00617ACC">
              <w:br/>
              <w:t>Capacity (tons)</w:t>
            </w:r>
            <w:r w:rsidRPr="00617ACC">
              <w:rPr>
                <w:vertAlign w:val="superscript"/>
              </w:rPr>
              <w:t xml:space="preserve"> 1</w:t>
            </w:r>
          </w:p>
        </w:tc>
        <w:tc>
          <w:tcPr>
            <w:tcW w:w="1525" w:type="dxa"/>
            <w:tcBorders>
              <w:top w:val="single" w:sz="12" w:space="0" w:color="auto"/>
              <w:bottom w:val="single" w:sz="12" w:space="0" w:color="auto"/>
            </w:tcBorders>
            <w:shd w:val="clear" w:color="auto" w:fill="auto"/>
            <w:vAlign w:val="bottom"/>
          </w:tcPr>
          <w:p w14:paraId="360048FA" w14:textId="77777777" w:rsidR="00786D9A" w:rsidRPr="00617ACC" w:rsidRDefault="00786D9A" w:rsidP="00DD5CFF">
            <w:pPr>
              <w:pStyle w:val="TblColumnHeads"/>
            </w:pPr>
            <w:r w:rsidRPr="00617ACC">
              <w:t>Maximum</w:t>
            </w:r>
            <w:r w:rsidRPr="00617ACC">
              <w:br/>
              <w:t>Daily Disposal Capacity (tons)</w:t>
            </w:r>
          </w:p>
        </w:tc>
        <w:tc>
          <w:tcPr>
            <w:tcW w:w="1265" w:type="dxa"/>
            <w:tcBorders>
              <w:top w:val="single" w:sz="12" w:space="0" w:color="auto"/>
              <w:bottom w:val="single" w:sz="12" w:space="0" w:color="auto"/>
            </w:tcBorders>
            <w:shd w:val="clear" w:color="auto" w:fill="auto"/>
            <w:vAlign w:val="bottom"/>
          </w:tcPr>
          <w:p w14:paraId="43FC7331" w14:textId="77777777" w:rsidR="00786D9A" w:rsidRPr="00617ACC" w:rsidRDefault="00786D9A" w:rsidP="00DD5CFF">
            <w:pPr>
              <w:pStyle w:val="TblColumnHeads"/>
            </w:pPr>
            <w:r w:rsidRPr="00617ACC">
              <w:t>Average Daily Disposal, 201</w:t>
            </w:r>
            <w:r w:rsidR="00C54DFA">
              <w:t>9</w:t>
            </w:r>
            <w:r w:rsidRPr="00617ACC">
              <w:t xml:space="preserve"> (tons) </w:t>
            </w:r>
            <w:r w:rsidRPr="00617ACC">
              <w:rPr>
                <w:vertAlign w:val="superscript"/>
              </w:rPr>
              <w:t>2</w:t>
            </w:r>
          </w:p>
        </w:tc>
        <w:tc>
          <w:tcPr>
            <w:tcW w:w="1440" w:type="dxa"/>
            <w:tcBorders>
              <w:top w:val="single" w:sz="12" w:space="0" w:color="auto"/>
              <w:bottom w:val="single" w:sz="12" w:space="0" w:color="auto"/>
            </w:tcBorders>
            <w:shd w:val="clear" w:color="auto" w:fill="auto"/>
            <w:vAlign w:val="bottom"/>
          </w:tcPr>
          <w:p w14:paraId="46DBE682" w14:textId="77777777" w:rsidR="00786D9A" w:rsidRPr="00617ACC" w:rsidRDefault="00786D9A" w:rsidP="00DD5CFF">
            <w:pPr>
              <w:pStyle w:val="TblColumnHeads"/>
            </w:pPr>
            <w:r w:rsidRPr="00617ACC">
              <w:t>Residual Daily Disposal Capacity (tons)</w:t>
            </w:r>
          </w:p>
        </w:tc>
        <w:tc>
          <w:tcPr>
            <w:tcW w:w="1170" w:type="dxa"/>
            <w:tcBorders>
              <w:top w:val="single" w:sz="12" w:space="0" w:color="auto"/>
              <w:bottom w:val="single" w:sz="12" w:space="0" w:color="auto"/>
            </w:tcBorders>
            <w:shd w:val="clear" w:color="auto" w:fill="auto"/>
            <w:vAlign w:val="bottom"/>
          </w:tcPr>
          <w:p w14:paraId="7D26DC8B" w14:textId="77777777" w:rsidR="00786D9A" w:rsidRPr="00617ACC" w:rsidRDefault="00786D9A" w:rsidP="00DD5CFF">
            <w:pPr>
              <w:pStyle w:val="TblColumnHeads"/>
            </w:pPr>
            <w:r w:rsidRPr="00617ACC">
              <w:t>Estimated</w:t>
            </w:r>
            <w:r w:rsidRPr="00617ACC">
              <w:br/>
              <w:t>Close Date</w:t>
            </w:r>
          </w:p>
        </w:tc>
      </w:tr>
      <w:tr w:rsidR="00786D9A" w:rsidRPr="00617ACC" w14:paraId="29CDE210" w14:textId="77777777" w:rsidTr="00DD5CFF">
        <w:trPr>
          <w:cantSplit/>
          <w:jc w:val="center"/>
        </w:trPr>
        <w:tc>
          <w:tcPr>
            <w:tcW w:w="2430" w:type="dxa"/>
            <w:tcBorders>
              <w:top w:val="single" w:sz="12" w:space="0" w:color="auto"/>
            </w:tcBorders>
            <w:vAlign w:val="center"/>
          </w:tcPr>
          <w:p w14:paraId="13C165D0" w14:textId="77777777" w:rsidR="00786D9A" w:rsidRPr="00617ACC" w:rsidRDefault="00696645" w:rsidP="00DD5CFF">
            <w:pPr>
              <w:pStyle w:val="TblTxt1"/>
            </w:pPr>
            <w:r>
              <w:t>Simi Valley Landfill</w:t>
            </w:r>
          </w:p>
        </w:tc>
        <w:tc>
          <w:tcPr>
            <w:tcW w:w="1530" w:type="dxa"/>
            <w:tcBorders>
              <w:top w:val="single" w:sz="12" w:space="0" w:color="auto"/>
            </w:tcBorders>
            <w:vAlign w:val="center"/>
          </w:tcPr>
          <w:p w14:paraId="7D6B9129" w14:textId="77777777" w:rsidR="00786D9A" w:rsidRPr="00617ACC" w:rsidRDefault="00696645" w:rsidP="00DD5CFF">
            <w:pPr>
              <w:pStyle w:val="TblTxtCenter"/>
            </w:pPr>
            <w:r w:rsidRPr="00696645">
              <w:t>82,954,873</w:t>
            </w:r>
            <w:r w:rsidR="00786D9A" w:rsidRPr="00617ACC">
              <w:t xml:space="preserve"> </w:t>
            </w:r>
          </w:p>
        </w:tc>
        <w:tc>
          <w:tcPr>
            <w:tcW w:w="1525" w:type="dxa"/>
            <w:tcBorders>
              <w:top w:val="single" w:sz="12" w:space="0" w:color="auto"/>
            </w:tcBorders>
            <w:vAlign w:val="center"/>
          </w:tcPr>
          <w:p w14:paraId="22ACBF5E" w14:textId="77777777" w:rsidR="00786D9A" w:rsidRPr="00617ACC" w:rsidRDefault="00696645" w:rsidP="00DD5CFF">
            <w:pPr>
              <w:pStyle w:val="TblTxtCenter"/>
            </w:pPr>
            <w:r>
              <w:t>10,791</w:t>
            </w:r>
          </w:p>
        </w:tc>
        <w:tc>
          <w:tcPr>
            <w:tcW w:w="1265" w:type="dxa"/>
            <w:tcBorders>
              <w:top w:val="single" w:sz="12" w:space="0" w:color="auto"/>
            </w:tcBorders>
            <w:vAlign w:val="center"/>
          </w:tcPr>
          <w:p w14:paraId="58363B29" w14:textId="77777777" w:rsidR="00786D9A" w:rsidRPr="00617ACC" w:rsidRDefault="00696645" w:rsidP="00DD5CFF">
            <w:pPr>
              <w:pStyle w:val="TblTxtCenter"/>
            </w:pPr>
            <w:r>
              <w:t>4,850</w:t>
            </w:r>
          </w:p>
        </w:tc>
        <w:tc>
          <w:tcPr>
            <w:tcW w:w="1440" w:type="dxa"/>
            <w:tcBorders>
              <w:top w:val="single" w:sz="12" w:space="0" w:color="auto"/>
            </w:tcBorders>
            <w:vAlign w:val="center"/>
          </w:tcPr>
          <w:p w14:paraId="33886EB5" w14:textId="77777777" w:rsidR="00786D9A" w:rsidRPr="00617ACC" w:rsidRDefault="00696645" w:rsidP="00DD5CFF">
            <w:pPr>
              <w:pStyle w:val="TblTxtCenter"/>
            </w:pPr>
            <w:r>
              <w:t>5,94</w:t>
            </w:r>
            <w:r w:rsidR="00530227">
              <w:t>1</w:t>
            </w:r>
          </w:p>
        </w:tc>
        <w:tc>
          <w:tcPr>
            <w:tcW w:w="1170" w:type="dxa"/>
            <w:tcBorders>
              <w:top w:val="single" w:sz="12" w:space="0" w:color="auto"/>
            </w:tcBorders>
            <w:vAlign w:val="center"/>
          </w:tcPr>
          <w:p w14:paraId="140BF54A" w14:textId="77777777" w:rsidR="00786D9A" w:rsidRPr="00617ACC" w:rsidRDefault="00696645" w:rsidP="00DD5CFF">
            <w:pPr>
              <w:pStyle w:val="TblTxtCenter"/>
            </w:pPr>
            <w:r>
              <w:t>2063</w:t>
            </w:r>
          </w:p>
        </w:tc>
      </w:tr>
      <w:tr w:rsidR="00786D9A" w:rsidRPr="00617ACC" w14:paraId="0B20EBA8" w14:textId="77777777" w:rsidTr="00DD5CFF">
        <w:trPr>
          <w:cantSplit/>
          <w:jc w:val="center"/>
        </w:trPr>
        <w:tc>
          <w:tcPr>
            <w:tcW w:w="2430" w:type="dxa"/>
            <w:tcBorders>
              <w:bottom w:val="single" w:sz="4" w:space="0" w:color="auto"/>
            </w:tcBorders>
            <w:vAlign w:val="center"/>
          </w:tcPr>
          <w:p w14:paraId="5A6652E8" w14:textId="77777777" w:rsidR="00786D9A" w:rsidRPr="00617ACC" w:rsidRDefault="00786D9A" w:rsidP="00DD5CFF">
            <w:pPr>
              <w:pStyle w:val="TblTxt1"/>
            </w:pPr>
            <w:r w:rsidRPr="0039240E">
              <w:t>El Sobrante Landfill</w:t>
            </w:r>
          </w:p>
        </w:tc>
        <w:tc>
          <w:tcPr>
            <w:tcW w:w="1530" w:type="dxa"/>
            <w:tcBorders>
              <w:bottom w:val="single" w:sz="4" w:space="0" w:color="auto"/>
            </w:tcBorders>
            <w:vAlign w:val="center"/>
          </w:tcPr>
          <w:p w14:paraId="228778FB" w14:textId="77777777" w:rsidR="00786D9A" w:rsidRPr="00617ACC" w:rsidRDefault="00C54DFA" w:rsidP="00DD5CFF">
            <w:pPr>
              <w:pStyle w:val="TblTxtCenter"/>
            </w:pPr>
            <w:r w:rsidRPr="00C54DFA">
              <w:t>143,977,170</w:t>
            </w:r>
          </w:p>
        </w:tc>
        <w:tc>
          <w:tcPr>
            <w:tcW w:w="1525" w:type="dxa"/>
            <w:tcBorders>
              <w:bottom w:val="single" w:sz="4" w:space="0" w:color="auto"/>
            </w:tcBorders>
            <w:vAlign w:val="center"/>
          </w:tcPr>
          <w:p w14:paraId="423901D6" w14:textId="77777777" w:rsidR="00786D9A" w:rsidRPr="00617ACC" w:rsidRDefault="00C54DFA" w:rsidP="00DD5CFF">
            <w:pPr>
              <w:pStyle w:val="TblTxtCenter"/>
            </w:pPr>
            <w:r w:rsidRPr="00C54DFA">
              <w:t>16,054</w:t>
            </w:r>
          </w:p>
        </w:tc>
        <w:tc>
          <w:tcPr>
            <w:tcW w:w="1265" w:type="dxa"/>
            <w:tcBorders>
              <w:bottom w:val="single" w:sz="4" w:space="0" w:color="auto"/>
            </w:tcBorders>
            <w:vAlign w:val="center"/>
          </w:tcPr>
          <w:p w14:paraId="2008419D" w14:textId="77777777" w:rsidR="00786D9A" w:rsidRPr="00617ACC" w:rsidRDefault="000A2B81" w:rsidP="00DD5CFF">
            <w:pPr>
              <w:pStyle w:val="TblTxtCenter"/>
            </w:pPr>
            <w:r>
              <w:t>11,398</w:t>
            </w:r>
          </w:p>
        </w:tc>
        <w:tc>
          <w:tcPr>
            <w:tcW w:w="1440" w:type="dxa"/>
            <w:tcBorders>
              <w:bottom w:val="single" w:sz="4" w:space="0" w:color="auto"/>
            </w:tcBorders>
            <w:vAlign w:val="center"/>
          </w:tcPr>
          <w:p w14:paraId="77C9F9D3" w14:textId="77777777" w:rsidR="00786D9A" w:rsidRPr="00617ACC" w:rsidRDefault="000A2B81" w:rsidP="00DD5CFF">
            <w:pPr>
              <w:pStyle w:val="TblTxtCenter"/>
            </w:pPr>
            <w:r>
              <w:t>4,656</w:t>
            </w:r>
          </w:p>
        </w:tc>
        <w:tc>
          <w:tcPr>
            <w:tcW w:w="1170" w:type="dxa"/>
            <w:tcBorders>
              <w:bottom w:val="single" w:sz="4" w:space="0" w:color="auto"/>
            </w:tcBorders>
            <w:vAlign w:val="center"/>
          </w:tcPr>
          <w:p w14:paraId="1A821308" w14:textId="77777777" w:rsidR="00786D9A" w:rsidRPr="00617ACC" w:rsidRDefault="00C54DFA" w:rsidP="00DD5CFF">
            <w:pPr>
              <w:pStyle w:val="TblTxtCenter"/>
            </w:pPr>
            <w:r>
              <w:t>2051</w:t>
            </w:r>
          </w:p>
        </w:tc>
      </w:tr>
      <w:tr w:rsidR="00786D9A" w:rsidRPr="00617ACC" w14:paraId="3AC4E932" w14:textId="77777777" w:rsidTr="00DD5CFF">
        <w:trPr>
          <w:cantSplit/>
          <w:jc w:val="center"/>
        </w:trPr>
        <w:tc>
          <w:tcPr>
            <w:tcW w:w="2430" w:type="dxa"/>
            <w:tcBorders>
              <w:top w:val="single" w:sz="12" w:space="0" w:color="auto"/>
              <w:bottom w:val="single" w:sz="12" w:space="0" w:color="auto"/>
            </w:tcBorders>
            <w:vAlign w:val="center"/>
          </w:tcPr>
          <w:p w14:paraId="08FD4608" w14:textId="77777777" w:rsidR="00786D9A" w:rsidRPr="00617ACC" w:rsidRDefault="00786D9A" w:rsidP="000C1AB6">
            <w:pPr>
              <w:pStyle w:val="TblTxt1"/>
              <w:jc w:val="right"/>
              <w:rPr>
                <w:b/>
              </w:rPr>
            </w:pPr>
            <w:r w:rsidRPr="00617ACC">
              <w:rPr>
                <w:b/>
              </w:rPr>
              <w:t>Total</w:t>
            </w:r>
          </w:p>
        </w:tc>
        <w:tc>
          <w:tcPr>
            <w:tcW w:w="1530" w:type="dxa"/>
            <w:tcBorders>
              <w:top w:val="single" w:sz="12" w:space="0" w:color="auto"/>
              <w:bottom w:val="single" w:sz="12" w:space="0" w:color="auto"/>
            </w:tcBorders>
            <w:vAlign w:val="center"/>
          </w:tcPr>
          <w:p w14:paraId="777444A5" w14:textId="77777777" w:rsidR="00786D9A" w:rsidRPr="00617ACC" w:rsidRDefault="00696645" w:rsidP="00DD5CFF">
            <w:pPr>
              <w:pStyle w:val="TblTxtCenter"/>
              <w:rPr>
                <w:b/>
              </w:rPr>
            </w:pPr>
            <w:r>
              <w:rPr>
                <w:b/>
              </w:rPr>
              <w:t>226,932,043</w:t>
            </w:r>
          </w:p>
        </w:tc>
        <w:tc>
          <w:tcPr>
            <w:tcW w:w="1525" w:type="dxa"/>
            <w:tcBorders>
              <w:top w:val="single" w:sz="12" w:space="0" w:color="auto"/>
              <w:bottom w:val="single" w:sz="12" w:space="0" w:color="auto"/>
            </w:tcBorders>
            <w:vAlign w:val="center"/>
          </w:tcPr>
          <w:p w14:paraId="427A606F" w14:textId="77777777" w:rsidR="00786D9A" w:rsidRPr="00617ACC" w:rsidRDefault="00AE3085" w:rsidP="00DD5CFF">
            <w:pPr>
              <w:pStyle w:val="TblTxtCenter"/>
              <w:rPr>
                <w:b/>
              </w:rPr>
            </w:pPr>
            <w:r>
              <w:rPr>
                <w:b/>
              </w:rPr>
              <w:t>26,845</w:t>
            </w:r>
          </w:p>
        </w:tc>
        <w:tc>
          <w:tcPr>
            <w:tcW w:w="1265" w:type="dxa"/>
            <w:tcBorders>
              <w:top w:val="single" w:sz="12" w:space="0" w:color="auto"/>
              <w:bottom w:val="single" w:sz="12" w:space="0" w:color="auto"/>
            </w:tcBorders>
            <w:vAlign w:val="center"/>
          </w:tcPr>
          <w:p w14:paraId="6BD24AC7" w14:textId="77777777" w:rsidR="00786D9A" w:rsidRPr="00617ACC" w:rsidRDefault="00AE3085" w:rsidP="00DD5CFF">
            <w:pPr>
              <w:pStyle w:val="TblTxtCenter"/>
              <w:rPr>
                <w:b/>
              </w:rPr>
            </w:pPr>
            <w:r>
              <w:rPr>
                <w:b/>
              </w:rPr>
              <w:t>16,248</w:t>
            </w:r>
          </w:p>
        </w:tc>
        <w:tc>
          <w:tcPr>
            <w:tcW w:w="1440" w:type="dxa"/>
            <w:tcBorders>
              <w:top w:val="single" w:sz="12" w:space="0" w:color="auto"/>
              <w:bottom w:val="single" w:sz="12" w:space="0" w:color="auto"/>
            </w:tcBorders>
          </w:tcPr>
          <w:p w14:paraId="7D8BA6EE" w14:textId="77777777" w:rsidR="00786D9A" w:rsidRPr="00617ACC" w:rsidRDefault="00696645" w:rsidP="00DD5CFF">
            <w:pPr>
              <w:pStyle w:val="TblTxtCenter"/>
              <w:rPr>
                <w:b/>
              </w:rPr>
            </w:pPr>
            <w:r>
              <w:rPr>
                <w:b/>
              </w:rPr>
              <w:t>10,59</w:t>
            </w:r>
            <w:r w:rsidR="00530227">
              <w:rPr>
                <w:b/>
              </w:rPr>
              <w:t>7</w:t>
            </w:r>
          </w:p>
        </w:tc>
        <w:tc>
          <w:tcPr>
            <w:tcW w:w="1170" w:type="dxa"/>
            <w:tcBorders>
              <w:top w:val="single" w:sz="12" w:space="0" w:color="auto"/>
              <w:bottom w:val="single" w:sz="12" w:space="0" w:color="auto"/>
            </w:tcBorders>
            <w:vAlign w:val="center"/>
          </w:tcPr>
          <w:p w14:paraId="718FF55D" w14:textId="77777777" w:rsidR="00786D9A" w:rsidRPr="00617ACC" w:rsidRDefault="00786D9A" w:rsidP="00DD5CFF">
            <w:pPr>
              <w:pStyle w:val="TblTxtCenter"/>
              <w:rPr>
                <w:b/>
              </w:rPr>
            </w:pPr>
            <w:r w:rsidRPr="00617ACC">
              <w:rPr>
                <w:b/>
              </w:rPr>
              <w:t>NA</w:t>
            </w:r>
          </w:p>
        </w:tc>
      </w:tr>
      <w:tr w:rsidR="00786D9A" w:rsidRPr="00617ACC" w14:paraId="0027AA14" w14:textId="77777777" w:rsidTr="00DD5CFF">
        <w:trPr>
          <w:cantSplit/>
          <w:jc w:val="center"/>
        </w:trPr>
        <w:tc>
          <w:tcPr>
            <w:tcW w:w="9360" w:type="dxa"/>
            <w:gridSpan w:val="6"/>
            <w:tcBorders>
              <w:top w:val="single" w:sz="12" w:space="0" w:color="auto"/>
              <w:bottom w:val="single" w:sz="12" w:space="0" w:color="auto"/>
            </w:tcBorders>
            <w:vAlign w:val="center"/>
          </w:tcPr>
          <w:p w14:paraId="2F32F91C" w14:textId="77777777" w:rsidR="00786D9A" w:rsidRPr="00617ACC" w:rsidRDefault="00786D9A" w:rsidP="00DD5CFF">
            <w:pPr>
              <w:pStyle w:val="Tblsource"/>
              <w:rPr>
                <w:vertAlign w:val="superscript"/>
              </w:rPr>
            </w:pPr>
            <w:r w:rsidRPr="00617ACC">
              <w:t>Sources: CalRecycle 2019b, 2019c, 2019d</w:t>
            </w:r>
            <w:r w:rsidR="00896132">
              <w:t>.</w:t>
            </w:r>
          </w:p>
          <w:p w14:paraId="518B67C2" w14:textId="77777777" w:rsidR="00786D9A" w:rsidRPr="00617ACC" w:rsidRDefault="00786D9A" w:rsidP="00DD5CFF">
            <w:pPr>
              <w:pStyle w:val="Tblsource"/>
              <w:ind w:left="155" w:hanging="155"/>
            </w:pPr>
            <w:r w:rsidRPr="0068224C">
              <w:rPr>
                <w:vertAlign w:val="superscript"/>
              </w:rPr>
              <w:t>1</w:t>
            </w:r>
            <w:r w:rsidRPr="0068224C">
              <w:rPr>
                <w:vertAlign w:val="superscript"/>
              </w:rPr>
              <w:tab/>
            </w:r>
            <w:r w:rsidRPr="00617ACC">
              <w:t>A</w:t>
            </w:r>
            <w:r w:rsidR="00896132" w:rsidRPr="00617ACC">
              <w:t xml:space="preserve"> volume-to-weight </w:t>
            </w:r>
            <w:r w:rsidRPr="00617ACC">
              <w:t xml:space="preserve">conversion rate of 2,000 lbs/cubic yard (1 ton/cubic yard) for “Compacted - MSW Large Landfill with Best Management Practices” is used </w:t>
            </w:r>
            <w:r w:rsidR="00896132">
              <w:t>according to</w:t>
            </w:r>
            <w:r w:rsidRPr="00617ACC">
              <w:t xml:space="preserve"> CalRecyle’s 2016 Volume-to-Weight Conversion Factors</w:t>
            </w:r>
            <w:r w:rsidR="00896132">
              <w:t>,</w:t>
            </w:r>
            <w:r w:rsidRPr="00617ACC">
              <w:t xml:space="preserve"> https://www.epa.gov/sites/production/files/201604/documents/volume_to_weight_conversion_factors_memorandum_04192016_508fnl.pdf.</w:t>
            </w:r>
          </w:p>
          <w:p w14:paraId="6C186D58" w14:textId="77777777" w:rsidR="00786D9A" w:rsidRPr="00617ACC" w:rsidRDefault="00786D9A" w:rsidP="00DD5CFF">
            <w:pPr>
              <w:pStyle w:val="Tblsource"/>
              <w:ind w:left="155" w:hanging="155"/>
            </w:pPr>
            <w:r w:rsidRPr="0068224C">
              <w:rPr>
                <w:vertAlign w:val="superscript"/>
              </w:rPr>
              <w:t>2</w:t>
            </w:r>
            <w:r w:rsidRPr="0050289A">
              <w:tab/>
            </w:r>
            <w:r w:rsidRPr="00617ACC">
              <w:t xml:space="preserve">Average daily disposal is calculated based on 300 operating days per </w:t>
            </w:r>
            <w:r w:rsidR="00530227">
              <w:t>year.</w:t>
            </w:r>
          </w:p>
        </w:tc>
      </w:tr>
      <w:bookmarkEnd w:id="229"/>
      <w:bookmarkEnd w:id="230"/>
      <w:bookmarkEnd w:id="231"/>
      <w:bookmarkEnd w:id="232"/>
      <w:bookmarkEnd w:id="233"/>
      <w:bookmarkEnd w:id="234"/>
      <w:bookmarkEnd w:id="235"/>
      <w:bookmarkEnd w:id="236"/>
      <w:bookmarkEnd w:id="237"/>
      <w:bookmarkEnd w:id="238"/>
    </w:tbl>
    <w:p w14:paraId="0CB48454" w14:textId="77777777" w:rsidR="000A2B81" w:rsidRDefault="000A2B81" w:rsidP="00786D9A">
      <w:pPr>
        <w:pStyle w:val="BodyText"/>
      </w:pPr>
    </w:p>
    <w:p w14:paraId="044553CD" w14:textId="47A596F5" w:rsidR="00786D9A" w:rsidRPr="00E73187" w:rsidRDefault="00E10CDF" w:rsidP="00786D9A">
      <w:pPr>
        <w:pStyle w:val="BodyText"/>
      </w:pPr>
      <w:r w:rsidRPr="00E73187">
        <w:t xml:space="preserve">As shown in Table </w:t>
      </w:r>
      <w:r w:rsidR="00345BC8">
        <w:t>28</w:t>
      </w:r>
      <w:r w:rsidRPr="00E73187">
        <w:t>, t</w:t>
      </w:r>
      <w:r w:rsidR="00786D9A" w:rsidRPr="00E73187">
        <w:t xml:space="preserve">he </w:t>
      </w:r>
      <w:r w:rsidR="000A2B81" w:rsidRPr="003F79A9">
        <w:t>proposed p</w:t>
      </w:r>
      <w:r w:rsidR="00786D9A" w:rsidRPr="003F79A9">
        <w:t xml:space="preserve">roject is estimated to generate a net increase of approximately </w:t>
      </w:r>
      <w:r w:rsidR="00E73187" w:rsidRPr="003F79A9">
        <w:t>8</w:t>
      </w:r>
      <w:r w:rsidR="00896132">
        <w:t>,</w:t>
      </w:r>
      <w:r w:rsidR="003F79A9" w:rsidRPr="003F79A9">
        <w:t>7</w:t>
      </w:r>
      <w:r w:rsidR="00B0004D">
        <w:t>7</w:t>
      </w:r>
      <w:r w:rsidR="003F79A9" w:rsidRPr="003F79A9">
        <w:t>8</w:t>
      </w:r>
      <w:r w:rsidR="00896132">
        <w:t> </w:t>
      </w:r>
      <w:r w:rsidR="00786D9A" w:rsidRPr="003F79A9">
        <w:t xml:space="preserve">pounds (or </w:t>
      </w:r>
      <w:r w:rsidR="00F34174">
        <w:t>0.4</w:t>
      </w:r>
      <w:r w:rsidR="003F79A9" w:rsidRPr="003F79A9">
        <w:t>4</w:t>
      </w:r>
      <w:r w:rsidR="00786D9A" w:rsidRPr="003F79A9">
        <w:t xml:space="preserve"> ton) of solid waste per day.</w:t>
      </w:r>
      <w:r w:rsidR="00786D9A" w:rsidRPr="00E73187">
        <w:t xml:space="preserve"> </w:t>
      </w:r>
    </w:p>
    <w:tbl>
      <w:tblPr>
        <w:tblStyle w:val="TableGrid30"/>
        <w:tblW w:w="9360" w:type="dxa"/>
        <w:jc w:val="center"/>
        <w:tblLook w:val="04A0" w:firstRow="1" w:lastRow="0" w:firstColumn="1" w:lastColumn="0" w:noHBand="0" w:noVBand="1"/>
      </w:tblPr>
      <w:tblGrid>
        <w:gridCol w:w="2970"/>
        <w:gridCol w:w="2160"/>
        <w:gridCol w:w="2160"/>
        <w:gridCol w:w="2070"/>
      </w:tblGrid>
      <w:tr w:rsidR="00E10CDF" w:rsidRPr="00E10CDF" w14:paraId="61AAA8AC" w14:textId="77777777" w:rsidTr="00DD5CFF">
        <w:trPr>
          <w:jc w:val="center"/>
        </w:trPr>
        <w:tc>
          <w:tcPr>
            <w:tcW w:w="9360" w:type="dxa"/>
            <w:gridSpan w:val="4"/>
            <w:tcBorders>
              <w:top w:val="nil"/>
              <w:left w:val="nil"/>
              <w:bottom w:val="single" w:sz="12" w:space="0" w:color="auto"/>
              <w:right w:val="nil"/>
            </w:tcBorders>
          </w:tcPr>
          <w:p w14:paraId="72AC93AF" w14:textId="4CA090A8" w:rsidR="00786D9A" w:rsidRPr="00E10CDF" w:rsidRDefault="00786D9A" w:rsidP="008614BA">
            <w:pPr>
              <w:pStyle w:val="TblTitles"/>
              <w:pageBreakBefore/>
            </w:pPr>
            <w:bookmarkStart w:id="241" w:name="_Toc5875472"/>
            <w:bookmarkStart w:id="242" w:name="_Toc24622776"/>
            <w:bookmarkStart w:id="243" w:name="_Toc90882274"/>
            <w:r w:rsidRPr="00E10CDF">
              <w:t xml:space="preserve">Table </w:t>
            </w:r>
            <w:r w:rsidR="00345BC8">
              <w:t>28</w:t>
            </w:r>
            <w:r w:rsidRPr="00E10CDF">
              <w:tab/>
            </w:r>
            <w:r w:rsidR="00B30965">
              <w:t xml:space="preserve">Former </w:t>
            </w:r>
            <w:r w:rsidR="00FE2A9F">
              <w:t xml:space="preserve">and </w:t>
            </w:r>
            <w:r w:rsidRPr="00E10CDF">
              <w:t>Proposed Solid Waste Generatio</w:t>
            </w:r>
            <w:bookmarkEnd w:id="241"/>
            <w:r w:rsidRPr="00E10CDF">
              <w:t>n</w:t>
            </w:r>
            <w:bookmarkEnd w:id="242"/>
            <w:bookmarkEnd w:id="243"/>
          </w:p>
        </w:tc>
      </w:tr>
      <w:tr w:rsidR="00E10CDF" w:rsidRPr="00E10CDF" w14:paraId="54599B6A" w14:textId="77777777" w:rsidTr="00E10CDF">
        <w:trPr>
          <w:trHeight w:val="375"/>
          <w:jc w:val="center"/>
        </w:trPr>
        <w:tc>
          <w:tcPr>
            <w:tcW w:w="2970" w:type="dxa"/>
            <w:tcBorders>
              <w:top w:val="single" w:sz="12" w:space="0" w:color="auto"/>
              <w:left w:val="nil"/>
              <w:bottom w:val="single" w:sz="12" w:space="0" w:color="auto"/>
              <w:right w:val="single" w:sz="6" w:space="0" w:color="auto"/>
            </w:tcBorders>
            <w:vAlign w:val="bottom"/>
          </w:tcPr>
          <w:p w14:paraId="6B15AA6B" w14:textId="77777777" w:rsidR="00786D9A" w:rsidRPr="00E10CDF" w:rsidRDefault="00786D9A" w:rsidP="00DD5CFF">
            <w:pPr>
              <w:pStyle w:val="TblColumnHeads"/>
            </w:pPr>
            <w:r w:rsidRPr="00E10CDF">
              <w:t>Land Use</w:t>
            </w:r>
          </w:p>
        </w:tc>
        <w:tc>
          <w:tcPr>
            <w:tcW w:w="2160" w:type="dxa"/>
            <w:tcBorders>
              <w:top w:val="single" w:sz="12" w:space="0" w:color="auto"/>
              <w:left w:val="nil"/>
              <w:bottom w:val="single" w:sz="12" w:space="0" w:color="auto"/>
              <w:right w:val="single" w:sz="4" w:space="0" w:color="auto"/>
            </w:tcBorders>
            <w:vAlign w:val="bottom"/>
          </w:tcPr>
          <w:p w14:paraId="3937C634" w14:textId="77777777" w:rsidR="00786D9A" w:rsidRPr="00E10CDF" w:rsidRDefault="00786D9A" w:rsidP="00DD5CFF">
            <w:pPr>
              <w:pStyle w:val="TblColumnHeads"/>
            </w:pPr>
            <w:r w:rsidRPr="00E10CDF">
              <w:t>Square Feet</w:t>
            </w:r>
          </w:p>
        </w:tc>
        <w:tc>
          <w:tcPr>
            <w:tcW w:w="2160" w:type="dxa"/>
            <w:tcBorders>
              <w:top w:val="single" w:sz="12" w:space="0" w:color="auto"/>
              <w:left w:val="single" w:sz="4" w:space="0" w:color="auto"/>
              <w:bottom w:val="single" w:sz="12" w:space="0" w:color="auto"/>
              <w:right w:val="single" w:sz="4" w:space="0" w:color="auto"/>
            </w:tcBorders>
            <w:vAlign w:val="bottom"/>
          </w:tcPr>
          <w:p w14:paraId="2BBB9222" w14:textId="77777777" w:rsidR="00786D9A" w:rsidRPr="00E10CDF" w:rsidRDefault="00786D9A" w:rsidP="00DD5CFF">
            <w:pPr>
              <w:pStyle w:val="TblColumnHeads"/>
            </w:pPr>
            <w:r w:rsidRPr="00E10CDF">
              <w:t>Generation Rate</w:t>
            </w:r>
          </w:p>
          <w:p w14:paraId="55E1E2A4" w14:textId="77777777" w:rsidR="00786D9A" w:rsidRPr="00E10CDF" w:rsidRDefault="00786D9A" w:rsidP="00DD5CFF">
            <w:pPr>
              <w:pStyle w:val="TblColumnHeads"/>
            </w:pPr>
            <w:r w:rsidRPr="00E10CDF">
              <w:t xml:space="preserve">(lbs/square </w:t>
            </w:r>
            <w:r w:rsidR="00896132" w:rsidRPr="00E10CDF">
              <w:t>f</w:t>
            </w:r>
            <w:r w:rsidR="00896132">
              <w:t>oo</w:t>
            </w:r>
            <w:r w:rsidR="00896132" w:rsidRPr="00E10CDF">
              <w:t>t</w:t>
            </w:r>
            <w:r w:rsidRPr="00E10CDF">
              <w:t>/day)</w:t>
            </w:r>
          </w:p>
        </w:tc>
        <w:tc>
          <w:tcPr>
            <w:tcW w:w="2070" w:type="dxa"/>
            <w:tcBorders>
              <w:top w:val="single" w:sz="12" w:space="0" w:color="auto"/>
              <w:left w:val="single" w:sz="4" w:space="0" w:color="auto"/>
              <w:bottom w:val="single" w:sz="12" w:space="0" w:color="auto"/>
              <w:right w:val="nil"/>
            </w:tcBorders>
            <w:vAlign w:val="bottom"/>
          </w:tcPr>
          <w:p w14:paraId="55C08192" w14:textId="77777777" w:rsidR="00786D9A" w:rsidRPr="00E10CDF" w:rsidRDefault="00786D9A" w:rsidP="00DD5CFF">
            <w:pPr>
              <w:pStyle w:val="TblColumnHeads"/>
            </w:pPr>
            <w:r w:rsidRPr="00E10CDF">
              <w:t>Total</w:t>
            </w:r>
          </w:p>
          <w:p w14:paraId="5537AFA1" w14:textId="77777777" w:rsidR="00786D9A" w:rsidRPr="00E10CDF" w:rsidRDefault="00786D9A" w:rsidP="00DD5CFF">
            <w:pPr>
              <w:pStyle w:val="TblColumnHeads"/>
            </w:pPr>
            <w:r w:rsidRPr="00E10CDF">
              <w:t>(ppd)</w:t>
            </w:r>
          </w:p>
        </w:tc>
      </w:tr>
      <w:tr w:rsidR="00E10CDF" w:rsidRPr="00E10CDF" w14:paraId="3EDD4B46" w14:textId="77777777" w:rsidTr="003C35DD">
        <w:trPr>
          <w:trHeight w:val="105"/>
          <w:jc w:val="center"/>
        </w:trPr>
        <w:tc>
          <w:tcPr>
            <w:tcW w:w="9360" w:type="dxa"/>
            <w:gridSpan w:val="4"/>
            <w:tcBorders>
              <w:top w:val="single" w:sz="12" w:space="0" w:color="auto"/>
              <w:left w:val="nil"/>
              <w:bottom w:val="single" w:sz="4" w:space="0" w:color="auto"/>
              <w:right w:val="nil"/>
            </w:tcBorders>
            <w:shd w:val="clear" w:color="auto" w:fill="D9D9D9" w:themeFill="background1" w:themeFillShade="D9"/>
            <w:vAlign w:val="bottom"/>
          </w:tcPr>
          <w:p w14:paraId="0CAC08E1" w14:textId="77777777" w:rsidR="00E10CDF" w:rsidRPr="00E10CDF" w:rsidRDefault="0067258A" w:rsidP="00E10CDF">
            <w:pPr>
              <w:pStyle w:val="TblColumnHeads"/>
              <w:jc w:val="left"/>
              <w:rPr>
                <w:sz w:val="18"/>
                <w:szCs w:val="18"/>
              </w:rPr>
            </w:pPr>
            <w:r>
              <w:rPr>
                <w:sz w:val="18"/>
                <w:szCs w:val="18"/>
              </w:rPr>
              <w:t>Former</w:t>
            </w:r>
            <w:r w:rsidRPr="00E10CDF">
              <w:rPr>
                <w:sz w:val="18"/>
                <w:szCs w:val="18"/>
              </w:rPr>
              <w:t xml:space="preserve"> </w:t>
            </w:r>
            <w:r w:rsidR="00E10CDF" w:rsidRPr="00E10CDF">
              <w:rPr>
                <w:sz w:val="18"/>
                <w:szCs w:val="18"/>
              </w:rPr>
              <w:t>Land use</w:t>
            </w:r>
          </w:p>
        </w:tc>
      </w:tr>
      <w:tr w:rsidR="00E10CDF" w:rsidRPr="00E10CDF" w14:paraId="2568AED8" w14:textId="77777777" w:rsidTr="003C35DD">
        <w:trPr>
          <w:trHeight w:val="288"/>
          <w:jc w:val="center"/>
        </w:trPr>
        <w:tc>
          <w:tcPr>
            <w:tcW w:w="2970" w:type="dxa"/>
            <w:tcBorders>
              <w:top w:val="single" w:sz="4" w:space="0" w:color="auto"/>
              <w:left w:val="nil"/>
              <w:bottom w:val="single" w:sz="12" w:space="0" w:color="auto"/>
              <w:right w:val="single" w:sz="6" w:space="0" w:color="auto"/>
            </w:tcBorders>
          </w:tcPr>
          <w:p w14:paraId="4A9D845C" w14:textId="77777777" w:rsidR="00786D9A" w:rsidRPr="00E10CDF" w:rsidRDefault="00AC6999" w:rsidP="00DD5CFF">
            <w:pPr>
              <w:pStyle w:val="TblTxt1"/>
              <w:ind w:left="0" w:hanging="16"/>
            </w:pPr>
            <w:r>
              <w:t>Bottling Plant</w:t>
            </w:r>
          </w:p>
        </w:tc>
        <w:tc>
          <w:tcPr>
            <w:tcW w:w="2160" w:type="dxa"/>
            <w:tcBorders>
              <w:top w:val="single" w:sz="4" w:space="0" w:color="auto"/>
              <w:left w:val="nil"/>
              <w:bottom w:val="single" w:sz="12" w:space="0" w:color="auto"/>
              <w:right w:val="single" w:sz="4" w:space="0" w:color="auto"/>
            </w:tcBorders>
            <w:vAlign w:val="center"/>
          </w:tcPr>
          <w:p w14:paraId="17EBA5A6" w14:textId="77777777" w:rsidR="00786D9A" w:rsidRPr="00E10CDF" w:rsidRDefault="003F79A9" w:rsidP="00DD5CFF">
            <w:pPr>
              <w:pStyle w:val="TblTxtCenter"/>
            </w:pPr>
            <w:r w:rsidRPr="003F79A9">
              <w:t>62,713</w:t>
            </w:r>
          </w:p>
        </w:tc>
        <w:tc>
          <w:tcPr>
            <w:tcW w:w="2160" w:type="dxa"/>
            <w:tcBorders>
              <w:top w:val="single" w:sz="4" w:space="0" w:color="auto"/>
              <w:left w:val="single" w:sz="4" w:space="0" w:color="auto"/>
              <w:bottom w:val="single" w:sz="12" w:space="0" w:color="auto"/>
              <w:right w:val="nil"/>
            </w:tcBorders>
            <w:vAlign w:val="center"/>
          </w:tcPr>
          <w:p w14:paraId="463E9E2E" w14:textId="77777777" w:rsidR="00786D9A" w:rsidRPr="00E10CDF" w:rsidRDefault="00E73187" w:rsidP="00DD5CFF">
            <w:pPr>
              <w:pStyle w:val="TblTxtCenter"/>
            </w:pPr>
            <w:r>
              <w:t>0.0142</w:t>
            </w:r>
          </w:p>
        </w:tc>
        <w:tc>
          <w:tcPr>
            <w:tcW w:w="2070" w:type="dxa"/>
            <w:tcBorders>
              <w:top w:val="single" w:sz="4" w:space="0" w:color="auto"/>
              <w:left w:val="single" w:sz="6" w:space="0" w:color="auto"/>
              <w:bottom w:val="single" w:sz="12" w:space="0" w:color="auto"/>
              <w:right w:val="nil"/>
            </w:tcBorders>
            <w:vAlign w:val="center"/>
          </w:tcPr>
          <w:p w14:paraId="6B47327C" w14:textId="77777777" w:rsidR="00786D9A" w:rsidRPr="00E10CDF" w:rsidRDefault="00E73187" w:rsidP="00DD5CFF">
            <w:pPr>
              <w:pStyle w:val="TblTxtCenter"/>
            </w:pPr>
            <w:r>
              <w:t>(</w:t>
            </w:r>
            <w:r w:rsidR="003F79A9">
              <w:t>891</w:t>
            </w:r>
            <w:r>
              <w:t>)</w:t>
            </w:r>
          </w:p>
        </w:tc>
      </w:tr>
      <w:tr w:rsidR="003C35DD" w:rsidRPr="00E10CDF" w14:paraId="24C86012" w14:textId="77777777" w:rsidTr="00305F41">
        <w:trPr>
          <w:trHeight w:val="105"/>
          <w:jc w:val="center"/>
        </w:trPr>
        <w:tc>
          <w:tcPr>
            <w:tcW w:w="9360" w:type="dxa"/>
            <w:gridSpan w:val="4"/>
            <w:tcBorders>
              <w:top w:val="single" w:sz="12" w:space="0" w:color="auto"/>
              <w:left w:val="nil"/>
              <w:bottom w:val="single" w:sz="4" w:space="0" w:color="auto"/>
              <w:right w:val="nil"/>
            </w:tcBorders>
            <w:shd w:val="clear" w:color="auto" w:fill="D9D9D9" w:themeFill="background1" w:themeFillShade="D9"/>
            <w:vAlign w:val="bottom"/>
          </w:tcPr>
          <w:p w14:paraId="3C08483F" w14:textId="77777777" w:rsidR="003C35DD" w:rsidRPr="00E10CDF" w:rsidRDefault="003C35DD" w:rsidP="003C35DD">
            <w:pPr>
              <w:pStyle w:val="TblTxtBold"/>
            </w:pPr>
            <w:r w:rsidRPr="00E10CDF">
              <w:t>Proposed Land use</w:t>
            </w:r>
          </w:p>
        </w:tc>
      </w:tr>
      <w:tr w:rsidR="00E10CDF" w:rsidRPr="00E10CDF" w14:paraId="6823AF7E" w14:textId="77777777" w:rsidTr="003C35DD">
        <w:trPr>
          <w:trHeight w:val="288"/>
          <w:jc w:val="center"/>
        </w:trPr>
        <w:tc>
          <w:tcPr>
            <w:tcW w:w="2970" w:type="dxa"/>
            <w:tcBorders>
              <w:top w:val="single" w:sz="4" w:space="0" w:color="auto"/>
              <w:left w:val="nil"/>
              <w:bottom w:val="single" w:sz="4" w:space="0" w:color="auto"/>
              <w:right w:val="single" w:sz="6" w:space="0" w:color="auto"/>
            </w:tcBorders>
          </w:tcPr>
          <w:p w14:paraId="361A5B72" w14:textId="77777777" w:rsidR="00E10CDF" w:rsidRPr="00E10CDF" w:rsidRDefault="00E10CDF" w:rsidP="00FD0109">
            <w:pPr>
              <w:pStyle w:val="TblTxt1"/>
              <w:ind w:left="0" w:hanging="16"/>
            </w:pPr>
            <w:r w:rsidRPr="00E10CDF">
              <w:t>Warehouse</w:t>
            </w:r>
          </w:p>
        </w:tc>
        <w:tc>
          <w:tcPr>
            <w:tcW w:w="2160" w:type="dxa"/>
            <w:tcBorders>
              <w:top w:val="single" w:sz="4" w:space="0" w:color="auto"/>
              <w:left w:val="nil"/>
              <w:bottom w:val="single" w:sz="4" w:space="0" w:color="auto"/>
              <w:right w:val="single" w:sz="4" w:space="0" w:color="auto"/>
            </w:tcBorders>
            <w:vAlign w:val="center"/>
          </w:tcPr>
          <w:p w14:paraId="2C32F424" w14:textId="77777777" w:rsidR="00E10CDF" w:rsidRPr="00B0004D" w:rsidRDefault="00B0004D" w:rsidP="00FD0109">
            <w:pPr>
              <w:pStyle w:val="TblTxtCenter"/>
            </w:pPr>
            <w:r w:rsidRPr="00B0004D">
              <w:t>103,670</w:t>
            </w:r>
          </w:p>
        </w:tc>
        <w:tc>
          <w:tcPr>
            <w:tcW w:w="2160" w:type="dxa"/>
            <w:tcBorders>
              <w:top w:val="single" w:sz="4" w:space="0" w:color="auto"/>
              <w:left w:val="single" w:sz="4" w:space="0" w:color="auto"/>
              <w:bottom w:val="single" w:sz="4" w:space="0" w:color="auto"/>
              <w:right w:val="nil"/>
            </w:tcBorders>
            <w:vAlign w:val="center"/>
          </w:tcPr>
          <w:p w14:paraId="39CCC6BF" w14:textId="77777777" w:rsidR="00E10CDF" w:rsidRPr="00E10CDF" w:rsidRDefault="00E73187" w:rsidP="00FD0109">
            <w:pPr>
              <w:pStyle w:val="TblTxtCenter"/>
            </w:pPr>
            <w:r>
              <w:t>0.0142</w:t>
            </w:r>
          </w:p>
        </w:tc>
        <w:tc>
          <w:tcPr>
            <w:tcW w:w="2070" w:type="dxa"/>
            <w:tcBorders>
              <w:top w:val="single" w:sz="4" w:space="0" w:color="auto"/>
              <w:left w:val="single" w:sz="6" w:space="0" w:color="auto"/>
              <w:bottom w:val="single" w:sz="4" w:space="0" w:color="auto"/>
              <w:right w:val="nil"/>
            </w:tcBorders>
            <w:vAlign w:val="center"/>
          </w:tcPr>
          <w:p w14:paraId="7FF153AA" w14:textId="77777777" w:rsidR="00E10CDF" w:rsidRPr="00E10CDF" w:rsidRDefault="00E73187" w:rsidP="00FD0109">
            <w:pPr>
              <w:pStyle w:val="TblTxtCenter"/>
            </w:pPr>
            <w:r>
              <w:t>1,4</w:t>
            </w:r>
            <w:r w:rsidR="00B0004D">
              <w:t>72</w:t>
            </w:r>
          </w:p>
        </w:tc>
      </w:tr>
      <w:tr w:rsidR="00E10CDF" w:rsidRPr="00E10CDF" w14:paraId="31E02BF7" w14:textId="77777777" w:rsidTr="00E10CDF">
        <w:trPr>
          <w:trHeight w:val="288"/>
          <w:jc w:val="center"/>
        </w:trPr>
        <w:tc>
          <w:tcPr>
            <w:tcW w:w="2970" w:type="dxa"/>
            <w:tcBorders>
              <w:top w:val="single" w:sz="4" w:space="0" w:color="auto"/>
              <w:left w:val="nil"/>
              <w:bottom w:val="single" w:sz="4" w:space="0" w:color="auto"/>
              <w:right w:val="single" w:sz="6" w:space="0" w:color="auto"/>
            </w:tcBorders>
          </w:tcPr>
          <w:p w14:paraId="3C107606" w14:textId="77777777" w:rsidR="00E10CDF" w:rsidRPr="00E10CDF" w:rsidRDefault="00E10CDF" w:rsidP="00FD0109">
            <w:pPr>
              <w:pStyle w:val="TblTxt1"/>
              <w:ind w:left="0" w:hanging="16"/>
            </w:pPr>
            <w:r w:rsidRPr="00E10CDF">
              <w:t>Manufacturing</w:t>
            </w:r>
          </w:p>
        </w:tc>
        <w:tc>
          <w:tcPr>
            <w:tcW w:w="2160" w:type="dxa"/>
            <w:tcBorders>
              <w:top w:val="single" w:sz="4" w:space="0" w:color="auto"/>
              <w:left w:val="nil"/>
              <w:bottom w:val="single" w:sz="4" w:space="0" w:color="auto"/>
              <w:right w:val="single" w:sz="4" w:space="0" w:color="auto"/>
            </w:tcBorders>
            <w:vAlign w:val="center"/>
          </w:tcPr>
          <w:p w14:paraId="5E8CAAAE" w14:textId="77777777" w:rsidR="00E10CDF" w:rsidRPr="00B0004D" w:rsidRDefault="00E10CDF" w:rsidP="00FD0109">
            <w:pPr>
              <w:pStyle w:val="TblTxtCenter"/>
            </w:pPr>
            <w:r w:rsidRPr="00B0004D">
              <w:t>17,</w:t>
            </w:r>
            <w:r w:rsidR="00B0004D" w:rsidRPr="00B0004D">
              <w:t>0</w:t>
            </w:r>
            <w:r w:rsidRPr="00B0004D">
              <w:t>00</w:t>
            </w:r>
          </w:p>
        </w:tc>
        <w:tc>
          <w:tcPr>
            <w:tcW w:w="2160" w:type="dxa"/>
            <w:tcBorders>
              <w:top w:val="single" w:sz="4" w:space="0" w:color="auto"/>
              <w:left w:val="single" w:sz="4" w:space="0" w:color="auto"/>
              <w:bottom w:val="single" w:sz="4" w:space="0" w:color="auto"/>
              <w:right w:val="nil"/>
            </w:tcBorders>
            <w:vAlign w:val="center"/>
          </w:tcPr>
          <w:p w14:paraId="557CC1A2" w14:textId="77777777" w:rsidR="00E10CDF" w:rsidRPr="00E10CDF" w:rsidRDefault="00E73187" w:rsidP="00FD0109">
            <w:pPr>
              <w:pStyle w:val="TblTxtCenter"/>
            </w:pPr>
            <w:r>
              <w:t>0.0142</w:t>
            </w:r>
          </w:p>
        </w:tc>
        <w:tc>
          <w:tcPr>
            <w:tcW w:w="2070" w:type="dxa"/>
            <w:tcBorders>
              <w:top w:val="single" w:sz="4" w:space="0" w:color="auto"/>
              <w:left w:val="single" w:sz="6" w:space="0" w:color="auto"/>
              <w:bottom w:val="single" w:sz="4" w:space="0" w:color="auto"/>
              <w:right w:val="nil"/>
            </w:tcBorders>
            <w:vAlign w:val="center"/>
          </w:tcPr>
          <w:p w14:paraId="2E1D3753" w14:textId="77777777" w:rsidR="00E10CDF" w:rsidRPr="00E10CDF" w:rsidRDefault="00E73187" w:rsidP="00FD0109">
            <w:pPr>
              <w:pStyle w:val="TblTxtCenter"/>
            </w:pPr>
            <w:r>
              <w:t>24</w:t>
            </w:r>
            <w:r w:rsidR="00B0004D">
              <w:t>1</w:t>
            </w:r>
          </w:p>
        </w:tc>
      </w:tr>
      <w:tr w:rsidR="00E10CDF" w:rsidRPr="00E10CDF" w14:paraId="2BF16995" w14:textId="77777777" w:rsidTr="003C35DD">
        <w:trPr>
          <w:trHeight w:val="288"/>
          <w:jc w:val="center"/>
        </w:trPr>
        <w:tc>
          <w:tcPr>
            <w:tcW w:w="2970" w:type="dxa"/>
            <w:tcBorders>
              <w:top w:val="single" w:sz="4" w:space="0" w:color="auto"/>
              <w:left w:val="nil"/>
              <w:bottom w:val="single" w:sz="12" w:space="0" w:color="auto"/>
              <w:right w:val="single" w:sz="6" w:space="0" w:color="auto"/>
            </w:tcBorders>
          </w:tcPr>
          <w:p w14:paraId="00038125" w14:textId="77777777" w:rsidR="00786D9A" w:rsidRPr="00E10CDF" w:rsidRDefault="00786D9A" w:rsidP="00DD5CFF">
            <w:pPr>
              <w:pStyle w:val="TblTxt1"/>
              <w:ind w:left="0" w:hanging="16"/>
            </w:pPr>
            <w:r w:rsidRPr="00E10CDF">
              <w:t>Office Use</w:t>
            </w:r>
          </w:p>
        </w:tc>
        <w:tc>
          <w:tcPr>
            <w:tcW w:w="2160" w:type="dxa"/>
            <w:tcBorders>
              <w:top w:val="single" w:sz="4" w:space="0" w:color="auto"/>
              <w:left w:val="nil"/>
              <w:bottom w:val="single" w:sz="12" w:space="0" w:color="auto"/>
              <w:right w:val="single" w:sz="4" w:space="0" w:color="auto"/>
            </w:tcBorders>
            <w:vAlign w:val="center"/>
          </w:tcPr>
          <w:p w14:paraId="217E16D3" w14:textId="77777777" w:rsidR="00786D9A" w:rsidRPr="00B0004D" w:rsidRDefault="00E10CDF" w:rsidP="00DD5CFF">
            <w:pPr>
              <w:pStyle w:val="TblTxtCenter"/>
            </w:pPr>
            <w:r w:rsidRPr="00B0004D">
              <w:t>9,1</w:t>
            </w:r>
            <w:r w:rsidR="00B0004D" w:rsidRPr="00B0004D">
              <w:t>60</w:t>
            </w:r>
          </w:p>
        </w:tc>
        <w:tc>
          <w:tcPr>
            <w:tcW w:w="2160" w:type="dxa"/>
            <w:tcBorders>
              <w:top w:val="single" w:sz="4" w:space="0" w:color="auto"/>
              <w:left w:val="single" w:sz="4" w:space="0" w:color="auto"/>
              <w:bottom w:val="single" w:sz="12" w:space="0" w:color="auto"/>
              <w:right w:val="nil"/>
            </w:tcBorders>
            <w:vAlign w:val="center"/>
          </w:tcPr>
          <w:p w14:paraId="7D3E60D6" w14:textId="77777777" w:rsidR="00786D9A" w:rsidRPr="00E10CDF" w:rsidRDefault="00E73187" w:rsidP="00DD5CFF">
            <w:pPr>
              <w:pStyle w:val="TblTxtCenter"/>
            </w:pPr>
            <w:r>
              <w:t>0.006</w:t>
            </w:r>
          </w:p>
        </w:tc>
        <w:tc>
          <w:tcPr>
            <w:tcW w:w="2070" w:type="dxa"/>
            <w:tcBorders>
              <w:top w:val="single" w:sz="4" w:space="0" w:color="auto"/>
              <w:left w:val="single" w:sz="6" w:space="0" w:color="auto"/>
              <w:bottom w:val="single" w:sz="12" w:space="0" w:color="auto"/>
              <w:right w:val="nil"/>
            </w:tcBorders>
            <w:vAlign w:val="center"/>
          </w:tcPr>
          <w:p w14:paraId="5D15E4A5" w14:textId="77777777" w:rsidR="00786D9A" w:rsidRPr="00E10CDF" w:rsidRDefault="00E73187" w:rsidP="00DD5CFF">
            <w:pPr>
              <w:pStyle w:val="TblTxtCenter"/>
            </w:pPr>
            <w:r>
              <w:t>55</w:t>
            </w:r>
          </w:p>
        </w:tc>
      </w:tr>
      <w:tr w:rsidR="00305F41" w:rsidRPr="00E10CDF" w14:paraId="6F962EEA" w14:textId="77777777" w:rsidTr="00432DB2">
        <w:trPr>
          <w:trHeight w:val="288"/>
          <w:jc w:val="center"/>
        </w:trPr>
        <w:tc>
          <w:tcPr>
            <w:tcW w:w="7290" w:type="dxa"/>
            <w:gridSpan w:val="3"/>
            <w:tcBorders>
              <w:top w:val="single" w:sz="12" w:space="0" w:color="auto"/>
              <w:left w:val="nil"/>
              <w:right w:val="single" w:sz="6" w:space="0" w:color="auto"/>
            </w:tcBorders>
          </w:tcPr>
          <w:p w14:paraId="03F80760" w14:textId="36766455" w:rsidR="00305F41" w:rsidRPr="00305F41" w:rsidRDefault="00305F41" w:rsidP="00305F41">
            <w:pPr>
              <w:pStyle w:val="TblTxt1"/>
              <w:ind w:left="0" w:hanging="16"/>
              <w:jc w:val="right"/>
              <w:rPr>
                <w:b/>
                <w:bCs/>
              </w:rPr>
            </w:pPr>
            <w:r>
              <w:rPr>
                <w:b/>
                <w:bCs/>
              </w:rPr>
              <w:t>Net Increase</w:t>
            </w:r>
          </w:p>
        </w:tc>
        <w:tc>
          <w:tcPr>
            <w:tcW w:w="2070" w:type="dxa"/>
            <w:tcBorders>
              <w:top w:val="single" w:sz="12" w:space="0" w:color="auto"/>
              <w:left w:val="single" w:sz="6" w:space="0" w:color="auto"/>
              <w:right w:val="nil"/>
            </w:tcBorders>
            <w:vAlign w:val="center"/>
          </w:tcPr>
          <w:p w14:paraId="5D3FB1D5" w14:textId="77777777" w:rsidR="00305F41" w:rsidRPr="00B0004D" w:rsidRDefault="00305F41" w:rsidP="00DD5CFF">
            <w:pPr>
              <w:pStyle w:val="TblTxtCenter"/>
              <w:rPr>
                <w:b/>
                <w:bCs/>
              </w:rPr>
            </w:pPr>
            <w:r w:rsidRPr="00B0004D">
              <w:rPr>
                <w:b/>
                <w:bCs/>
              </w:rPr>
              <w:t>877</w:t>
            </w:r>
          </w:p>
        </w:tc>
      </w:tr>
      <w:tr w:rsidR="00E10CDF" w:rsidRPr="00E10CDF" w14:paraId="55AE344C" w14:textId="77777777" w:rsidTr="00DD5CFF">
        <w:trPr>
          <w:jc w:val="center"/>
        </w:trPr>
        <w:tc>
          <w:tcPr>
            <w:tcW w:w="0" w:type="auto"/>
            <w:gridSpan w:val="4"/>
            <w:tcBorders>
              <w:top w:val="single" w:sz="12" w:space="0" w:color="auto"/>
              <w:left w:val="nil"/>
              <w:bottom w:val="single" w:sz="12" w:space="0" w:color="auto"/>
              <w:right w:val="nil"/>
            </w:tcBorders>
          </w:tcPr>
          <w:p w14:paraId="6F92AE7B" w14:textId="77777777" w:rsidR="00786D9A" w:rsidRPr="00E10CDF" w:rsidRDefault="00786D9A" w:rsidP="00DD5CFF">
            <w:pPr>
              <w:pStyle w:val="Tblnote"/>
            </w:pPr>
            <w:r w:rsidRPr="00E10CDF">
              <w:t>Source: CalRecycle 2019</w:t>
            </w:r>
            <w:r w:rsidR="00696645">
              <w:t>e</w:t>
            </w:r>
            <w:r w:rsidR="00896132">
              <w:t>.</w:t>
            </w:r>
          </w:p>
          <w:p w14:paraId="693C9F0A" w14:textId="77777777" w:rsidR="00786D9A" w:rsidRPr="00E10CDF" w:rsidRDefault="00786D9A" w:rsidP="00DD5CFF">
            <w:pPr>
              <w:pStyle w:val="Tblnote"/>
            </w:pPr>
            <w:r w:rsidRPr="00E10CDF">
              <w:t>Notes: ppd = pounds per day</w:t>
            </w:r>
          </w:p>
        </w:tc>
      </w:tr>
    </w:tbl>
    <w:p w14:paraId="17193682" w14:textId="77777777" w:rsidR="00786D9A" w:rsidRPr="00617ACC" w:rsidRDefault="00786D9A" w:rsidP="00786D9A">
      <w:pPr>
        <w:pStyle w:val="BodyText"/>
        <w:rPr>
          <w:highlight w:val="yellow"/>
        </w:rPr>
      </w:pPr>
    </w:p>
    <w:p w14:paraId="3D4CC61C" w14:textId="74E0DFB8" w:rsidR="00786D9A" w:rsidRPr="00617ACC" w:rsidRDefault="00786D9A" w:rsidP="00786D9A">
      <w:pPr>
        <w:pStyle w:val="BodyText"/>
      </w:pPr>
      <w:r w:rsidRPr="00617ACC">
        <w:t xml:space="preserve">As demonstrated in Tables </w:t>
      </w:r>
      <w:r w:rsidR="00345BC8">
        <w:t>27</w:t>
      </w:r>
      <w:r w:rsidR="00345BC8" w:rsidRPr="00617ACC">
        <w:t xml:space="preserve"> </w:t>
      </w:r>
      <w:r w:rsidRPr="00617ACC">
        <w:t xml:space="preserve">and </w:t>
      </w:r>
      <w:r w:rsidR="00345BC8">
        <w:t>28</w:t>
      </w:r>
      <w:r w:rsidRPr="00617ACC">
        <w:t>, the total amount of solid waste expected to be generated</w:t>
      </w:r>
      <w:r>
        <w:t xml:space="preserve"> </w:t>
      </w:r>
      <w:r w:rsidRPr="00617ACC">
        <w:t xml:space="preserve">by the </w:t>
      </w:r>
      <w:r w:rsidR="000A2B81">
        <w:t>proposed p</w:t>
      </w:r>
      <w:r w:rsidRPr="00617ACC">
        <w:t xml:space="preserve">roject would be minimal compared to the residual daily disposal capacity of the </w:t>
      </w:r>
      <w:r w:rsidR="00001711">
        <w:t>two</w:t>
      </w:r>
      <w:r w:rsidRPr="00617ACC">
        <w:t xml:space="preserve"> landfills </w:t>
      </w:r>
      <w:r w:rsidR="00001711">
        <w:t xml:space="preserve">that could </w:t>
      </w:r>
      <w:r w:rsidRPr="00617ACC">
        <w:t>serv</w:t>
      </w:r>
      <w:r w:rsidR="00001711">
        <w:t xml:space="preserve">e the proposed project. </w:t>
      </w:r>
    </w:p>
    <w:p w14:paraId="4558F271" w14:textId="77777777" w:rsidR="00786D9A" w:rsidRPr="00617ACC" w:rsidRDefault="00896132" w:rsidP="00786D9A">
      <w:pPr>
        <w:pStyle w:val="BodyText"/>
      </w:pPr>
      <w:r>
        <w:t>E</w:t>
      </w:r>
      <w:r w:rsidRPr="003C256A">
        <w:t xml:space="preserve">nclosures </w:t>
      </w:r>
      <w:r w:rsidR="003C256A" w:rsidRPr="003C256A">
        <w:t>with a roof and double swing gates would accommodate trash bins for solid waste and recyclable materials</w:t>
      </w:r>
      <w:r w:rsidR="003C256A">
        <w:t xml:space="preserve">. The trash enclosure </w:t>
      </w:r>
      <w:r w:rsidR="003C256A" w:rsidRPr="003C256A">
        <w:t xml:space="preserve">would be </w:t>
      </w:r>
      <w:r w:rsidR="003C256A">
        <w:t>in</w:t>
      </w:r>
      <w:r w:rsidR="003C256A" w:rsidRPr="003C256A">
        <w:t xml:space="preserve"> </w:t>
      </w:r>
      <w:r w:rsidR="003C256A">
        <w:t xml:space="preserve">the </w:t>
      </w:r>
      <w:r w:rsidR="003C256A" w:rsidRPr="003C256A">
        <w:t>southwest corner of the truck court area.</w:t>
      </w:r>
      <w:r w:rsidR="00786D9A" w:rsidRPr="00617ACC">
        <w:t xml:space="preserve"> The provision of recycling bin</w:t>
      </w:r>
      <w:r w:rsidR="003C256A">
        <w:t>s</w:t>
      </w:r>
      <w:r w:rsidR="00786D9A" w:rsidRPr="00617ACC">
        <w:t xml:space="preserve"> would help reduce the amount of solid waste that would need to be transported to landfills.</w:t>
      </w:r>
    </w:p>
    <w:p w14:paraId="0059C3D4" w14:textId="77777777" w:rsidR="00786D9A" w:rsidRDefault="00001711" w:rsidP="00786D9A">
      <w:pPr>
        <w:pStyle w:val="BodyText"/>
      </w:pPr>
      <w:r>
        <w:t>S</w:t>
      </w:r>
      <w:r w:rsidR="00786D9A" w:rsidRPr="0097047F">
        <w:t xml:space="preserve">ubstantial reductions in solid waste from construction materials can be achieved through recycling, reuse, and diversion programs. </w:t>
      </w:r>
      <w:r w:rsidR="003C256A" w:rsidRPr="0097047F">
        <w:t xml:space="preserve">Chapter 8.20, </w:t>
      </w:r>
      <w:r w:rsidR="003C256A" w:rsidRPr="00B47074">
        <w:t>Solid Waste Collection and Salvage of Recyclable Materials,</w:t>
      </w:r>
      <w:r w:rsidR="003C256A" w:rsidRPr="0097047F">
        <w:rPr>
          <w:i/>
          <w:iCs/>
        </w:rPr>
        <w:t xml:space="preserve"> </w:t>
      </w:r>
      <w:r w:rsidR="00786D9A" w:rsidRPr="0097047F">
        <w:t xml:space="preserve">of the </w:t>
      </w:r>
      <w:r w:rsidR="003C256A" w:rsidRPr="0097047F">
        <w:t>Irwindale Municipal Code</w:t>
      </w:r>
      <w:r w:rsidR="00786D9A" w:rsidRPr="0097047F">
        <w:t xml:space="preserve"> outline</w:t>
      </w:r>
      <w:r>
        <w:t>s</w:t>
      </w:r>
      <w:r w:rsidR="00786D9A" w:rsidRPr="0097047F">
        <w:t xml:space="preserve"> the requirements for diverting construction waste from landfills. As currently codified, the regulations require diversion of </w:t>
      </w:r>
      <w:r w:rsidR="0097047F" w:rsidRPr="0097047F">
        <w:t>6</w:t>
      </w:r>
      <w:r w:rsidR="00786D9A" w:rsidRPr="0097047F">
        <w:t xml:space="preserve">5 percent of nonhazardous construction and demolition waste through recycling, reuse, and diversion programs. </w:t>
      </w:r>
      <w:r w:rsidR="0097047F" w:rsidRPr="0097047F">
        <w:t xml:space="preserve">Applicants are required to submit a waste diversion plan (WDP) to the City as part of the building or demolition permit process. The preliminary WDP submitted </w:t>
      </w:r>
      <w:r w:rsidR="00896132">
        <w:t>before</w:t>
      </w:r>
      <w:r w:rsidR="0097047F" w:rsidRPr="0097047F">
        <w:t xml:space="preserve"> starting the project </w:t>
      </w:r>
      <w:r w:rsidR="00896132">
        <w:t>must</w:t>
      </w:r>
      <w:r w:rsidR="00896132" w:rsidRPr="0097047F">
        <w:t xml:space="preserve"> </w:t>
      </w:r>
      <w:r w:rsidR="0097047F" w:rsidRPr="0097047F">
        <w:t>estimate the weight or volume of project construction and demolition debris by material type</w:t>
      </w:r>
      <w:r w:rsidR="00896132">
        <w:t>;</w:t>
      </w:r>
      <w:r w:rsidR="0097047F" w:rsidRPr="0097047F">
        <w:t xml:space="preserve"> the maximum weight or volume of such materials that can feasibly be diverted via reuse, recycling or salvage</w:t>
      </w:r>
      <w:r w:rsidR="00896132">
        <w:t>;</w:t>
      </w:r>
      <w:r w:rsidR="0097047F" w:rsidRPr="0097047F">
        <w:t xml:space="preserve"> and the estimated weight or volume of construction and demolition debris that will be sent to a landfill. </w:t>
      </w:r>
      <w:r w:rsidR="00786D9A" w:rsidRPr="0097047F">
        <w:t xml:space="preserve">The purpose of the </w:t>
      </w:r>
      <w:r w:rsidR="0097047F" w:rsidRPr="0097047F">
        <w:t>WDP</w:t>
      </w:r>
      <w:r w:rsidR="00786D9A" w:rsidRPr="0097047F">
        <w:t xml:space="preserve"> is to ensure that development projects meet the </w:t>
      </w:r>
      <w:r w:rsidR="0097047F" w:rsidRPr="0097047F">
        <w:t>6</w:t>
      </w:r>
      <w:r w:rsidR="00786D9A" w:rsidRPr="0097047F">
        <w:t>5 percent requirement. Upon completion of the construction phase</w:t>
      </w:r>
      <w:r w:rsidR="0097047F" w:rsidRPr="0097047F">
        <w:t xml:space="preserve"> </w:t>
      </w:r>
      <w:r w:rsidR="00786D9A" w:rsidRPr="0097047F">
        <w:t xml:space="preserve">and prior to obtaining occupancy permits, </w:t>
      </w:r>
      <w:r w:rsidR="0097047F" w:rsidRPr="0097047F">
        <w:t xml:space="preserve">the applicant would submit documentation to the City that proves compliance with diversion requirements. The documentation shall consist of a final completed WDP showing the actual waste tonnage data, supported by original or certified photocopies of receipts and weight tickets or other records of measurement from recycling companies, deconstruction contractors, and/or landfill and disposal companies. </w:t>
      </w:r>
      <w:r w:rsidR="00786D9A" w:rsidRPr="0097047F">
        <w:t xml:space="preserve">Preparation of the </w:t>
      </w:r>
      <w:r w:rsidR="0097047F" w:rsidRPr="0097047F">
        <w:t>final WDP</w:t>
      </w:r>
      <w:r w:rsidR="00786D9A" w:rsidRPr="0097047F">
        <w:t xml:space="preserve"> would be imposed by the City as a condition of </w:t>
      </w:r>
      <w:r w:rsidR="0097047F" w:rsidRPr="0097047F">
        <w:t>p</w:t>
      </w:r>
      <w:r w:rsidR="00786D9A" w:rsidRPr="0097047F">
        <w:t>roject approval, and compliance would be ensured through the City’s building plan check and development review process.</w:t>
      </w:r>
    </w:p>
    <w:p w14:paraId="0EBA4947" w14:textId="77777777" w:rsidR="00DE76FF" w:rsidRPr="00DE76FF" w:rsidRDefault="00DE76FF" w:rsidP="00786D9A">
      <w:pPr>
        <w:pStyle w:val="BodyText"/>
      </w:pPr>
      <w:r w:rsidRPr="00DE76FF">
        <w:t xml:space="preserve">Finally, development of the proposed project would be required to comply with the provisions of the 2019 CALGreen, which outlines requirements for construction waste reduction, material selection, and natural resource conservation. </w:t>
      </w:r>
    </w:p>
    <w:p w14:paraId="1B99D12F" w14:textId="77777777" w:rsidR="00786D9A" w:rsidRPr="00DE76FF" w:rsidRDefault="00786D9A" w:rsidP="00D10CF6">
      <w:pPr>
        <w:pStyle w:val="BodyText"/>
      </w:pPr>
      <w:r w:rsidRPr="00DE76FF">
        <w:t>Based on the preceding, impacts on landfill capacity would be less than significant.</w:t>
      </w:r>
    </w:p>
    <w:p w14:paraId="76FAB63E" w14:textId="77777777" w:rsidR="00D10CF6" w:rsidRDefault="002811BB" w:rsidP="002811BB">
      <w:pPr>
        <w:pStyle w:val="List"/>
      </w:pPr>
      <w:r w:rsidRPr="002811BB">
        <w:t>Comply with federal, state, and local management and reduction statutes and regulations related to solid waste</w:t>
      </w:r>
      <w:r w:rsidR="00D10CF6">
        <w:t>?</w:t>
      </w:r>
    </w:p>
    <w:p w14:paraId="0B2E6775" w14:textId="632A7086" w:rsidR="009B3F91" w:rsidRPr="00617ACC" w:rsidRDefault="00E9367F" w:rsidP="009B3F91">
      <w:pPr>
        <w:pStyle w:val="BodyText"/>
        <w:rPr>
          <w:rStyle w:val="BodyTextBoldChar"/>
        </w:rPr>
      </w:pPr>
      <w:r>
        <w:rPr>
          <w:rStyle w:val="BodyTextBoldChar"/>
        </w:rPr>
        <w:t>Less than Significant</w:t>
      </w:r>
      <w:r w:rsidRPr="00617ACC">
        <w:rPr>
          <w:rStyle w:val="BodyTextBoldChar"/>
        </w:rPr>
        <w:t xml:space="preserve"> </w:t>
      </w:r>
      <w:r w:rsidR="009B3F91" w:rsidRPr="00617ACC">
        <w:rPr>
          <w:rStyle w:val="BodyTextBoldChar"/>
        </w:rPr>
        <w:t>Impact.</w:t>
      </w:r>
      <w:r w:rsidR="009B3F91" w:rsidRPr="00617ACC">
        <w:t xml:space="preserve"> See response to section 3.19.d.</w:t>
      </w:r>
      <w:r w:rsidR="009B3F91" w:rsidRPr="00617ACC">
        <w:rPr>
          <w:rStyle w:val="BodyTextBoldChar"/>
        </w:rPr>
        <w:t xml:space="preserve"> </w:t>
      </w:r>
    </w:p>
    <w:p w14:paraId="0E439B98" w14:textId="77777777" w:rsidR="009B3F91" w:rsidRPr="00617ACC" w:rsidRDefault="00896132" w:rsidP="009B3F91">
      <w:pPr>
        <w:pStyle w:val="BodyText"/>
      </w:pPr>
      <w:r w:rsidRPr="00617ACC">
        <w:t xml:space="preserve">The </w:t>
      </w:r>
      <w:r w:rsidR="009B3F91" w:rsidRPr="00617ACC">
        <w:t>following federal, state, and local laws and regulations govern solid waste disposal:</w:t>
      </w:r>
      <w:r w:rsidR="009B3F91">
        <w:t xml:space="preserve"> </w:t>
      </w:r>
    </w:p>
    <w:p w14:paraId="52B4D083" w14:textId="77777777" w:rsidR="009B3F91" w:rsidRPr="00617ACC" w:rsidRDefault="00896132" w:rsidP="009B3F91">
      <w:pPr>
        <w:pStyle w:val="Bullet1last"/>
      </w:pPr>
      <w:r>
        <w:t xml:space="preserve">The </w:t>
      </w:r>
      <w:r w:rsidRPr="00617ACC">
        <w:t xml:space="preserve">EPA </w:t>
      </w:r>
      <w:r w:rsidR="009B3F91" w:rsidRPr="00617ACC">
        <w:t xml:space="preserve">administers the Resource Conservation and Recovery Act of 1976 and the Solid Waste Disposal Act of 1965, which govern solid waste disposal. </w:t>
      </w:r>
    </w:p>
    <w:p w14:paraId="7DB01790" w14:textId="77777777" w:rsidR="009B3F91" w:rsidRPr="00617ACC" w:rsidRDefault="002830E6" w:rsidP="009B3F91">
      <w:pPr>
        <w:pStyle w:val="Bullet1last"/>
      </w:pPr>
      <w:r>
        <w:t>AB</w:t>
      </w:r>
      <w:r w:rsidR="009B3F91" w:rsidRPr="00617ACC">
        <w:t xml:space="preserve"> 341 (Chapter 476, Statutes of 2011) increases the statewide waste diversion goal to 75 percent by 2020, and mandates recycling for commercial and multifamily residential land uses. </w:t>
      </w:r>
    </w:p>
    <w:p w14:paraId="6784F7AE" w14:textId="77777777" w:rsidR="009B3F91" w:rsidRPr="00617ACC" w:rsidRDefault="009B3F91" w:rsidP="009B3F91">
      <w:pPr>
        <w:pStyle w:val="Bullet1last"/>
      </w:pPr>
      <w:r w:rsidRPr="00617ACC">
        <w:t>AB 939 (Integrated Solid Waste Management Act of 1989; Public Resources Code 40050 et seq.) required every California city and county to divert 50 percent of its waste from landfills by the year 2000 by means</w:t>
      </w:r>
      <w:r w:rsidR="002830E6" w:rsidRPr="002830E6">
        <w:t xml:space="preserve"> </w:t>
      </w:r>
      <w:r w:rsidR="002830E6" w:rsidRPr="00617ACC">
        <w:t>such</w:t>
      </w:r>
      <w:r w:rsidRPr="00617ACC">
        <w:t xml:space="preserve"> as recycling, source reduction, and composting. In addition, AB 939 requires each county to prepare a countywide siting element specifying areas for transformation or disposal sites to provide capacity for solid waste generated in the county that cannot be reduced or recycled for a 15-year period. </w:t>
      </w:r>
    </w:p>
    <w:p w14:paraId="731EBE87" w14:textId="77777777" w:rsidR="009B3F91" w:rsidRPr="00617ACC" w:rsidRDefault="009B3F91" w:rsidP="009B3F91">
      <w:pPr>
        <w:pStyle w:val="Bullet1last"/>
      </w:pPr>
      <w:r w:rsidRPr="00617ACC">
        <w:t xml:space="preserve">AB 1327 (California Solid Waste Reuse and Recycling Access Act of 1991) requires local agencies to adopt ordinances mandating the use of recyclable materials in development projects. </w:t>
      </w:r>
    </w:p>
    <w:p w14:paraId="7D802598" w14:textId="77777777" w:rsidR="009B3F91" w:rsidRPr="00B47074" w:rsidRDefault="009B3F91" w:rsidP="00D10CF6">
      <w:pPr>
        <w:pStyle w:val="BodyText"/>
      </w:pPr>
      <w:r w:rsidRPr="00617ACC">
        <w:t>Project-related construction and operation phases would be implemented in accordance with all applicable federal, state, and local laws and regulations govern</w:t>
      </w:r>
      <w:r w:rsidR="002830E6">
        <w:t>ing</w:t>
      </w:r>
      <w:r w:rsidRPr="00617ACC">
        <w:t xml:space="preserve"> solid waste disposal. Therefore, no impact would occur</w:t>
      </w:r>
      <w:r w:rsidRPr="002830E6">
        <w:t>.</w:t>
      </w:r>
    </w:p>
    <w:p w14:paraId="382F2F6E" w14:textId="77777777" w:rsidR="009A138A" w:rsidRPr="00FC5F58" w:rsidRDefault="00255801" w:rsidP="009A138A">
      <w:pPr>
        <w:pStyle w:val="Heading2"/>
      </w:pPr>
      <w:bookmarkStart w:id="244" w:name="_Toc90882172"/>
      <w:r w:rsidRPr="00FC5F58">
        <w:t>WILDIFRE</w:t>
      </w:r>
      <w:bookmarkEnd w:id="244"/>
    </w:p>
    <w:p w14:paraId="053B6881" w14:textId="77777777" w:rsidR="009A138A" w:rsidRPr="00A40C87" w:rsidRDefault="009A138A" w:rsidP="009A138A">
      <w:pPr>
        <w:pStyle w:val="BodyText"/>
      </w:pPr>
      <w:r w:rsidRPr="009A138A">
        <w:t>If located in or near state responsibility areas or lands classified as very high fire hazard severity zones, would the project:</w:t>
      </w:r>
    </w:p>
    <w:p w14:paraId="5324D2A9" w14:textId="77777777" w:rsidR="009A138A" w:rsidRDefault="009A138A" w:rsidP="009D6ECC">
      <w:pPr>
        <w:pStyle w:val="List"/>
        <w:numPr>
          <w:ilvl w:val="0"/>
          <w:numId w:val="43"/>
        </w:numPr>
      </w:pPr>
      <w:r w:rsidRPr="009A138A">
        <w:t>Substantially impair an adopted emergency response plan or emergency evacuation plan</w:t>
      </w:r>
      <w:r>
        <w:t>?</w:t>
      </w:r>
    </w:p>
    <w:p w14:paraId="46B28745" w14:textId="77777777" w:rsidR="009A138A" w:rsidRPr="003E5E05" w:rsidRDefault="003E5E05" w:rsidP="009A138A">
      <w:pPr>
        <w:pStyle w:val="BodyText"/>
        <w:rPr>
          <w:bCs/>
        </w:rPr>
      </w:pPr>
      <w:r w:rsidRPr="00655D6B">
        <w:rPr>
          <w:rStyle w:val="BodyTextBoldChar"/>
        </w:rPr>
        <w:t>Less Than Significant Impact.</w:t>
      </w:r>
      <w:r>
        <w:rPr>
          <w:rStyle w:val="BodyTextBoldChar"/>
        </w:rPr>
        <w:t xml:space="preserve"> </w:t>
      </w:r>
      <w:r w:rsidRPr="00E95657">
        <w:rPr>
          <w:rStyle w:val="BodyTextBoldChar"/>
          <w:b w:val="0"/>
        </w:rPr>
        <w:t xml:space="preserve">The proposed project would not conflict with adopted emergency response or evacuation plans. The surrounding roadways would continue to provide emergency access to the project area and surrounding properties during and </w:t>
      </w:r>
      <w:r w:rsidR="002830E6">
        <w:rPr>
          <w:rStyle w:val="BodyTextBoldChar"/>
          <w:b w:val="0"/>
        </w:rPr>
        <w:t xml:space="preserve">after </w:t>
      </w:r>
      <w:r w:rsidRPr="00E95657">
        <w:rPr>
          <w:rStyle w:val="BodyTextBoldChar"/>
          <w:b w:val="0"/>
        </w:rPr>
        <w:t xml:space="preserve">construction. </w:t>
      </w:r>
      <w:r>
        <w:rPr>
          <w:rStyle w:val="BodyTextBoldChar"/>
          <w:b w:val="0"/>
        </w:rPr>
        <w:t>Vehicular access for the project site would be provided via three driveways––one off Azusa Canyon Road and two off Los Angeles Street.</w:t>
      </w:r>
      <w:r w:rsidRPr="00E95657">
        <w:rPr>
          <w:rStyle w:val="BodyTextBoldChar"/>
          <w:b w:val="0"/>
        </w:rPr>
        <w:t xml:space="preserve"> The proposed project would not result in inadequate emergency </w:t>
      </w:r>
      <w:r w:rsidR="00FC5F58" w:rsidRPr="00E95657">
        <w:rPr>
          <w:rStyle w:val="BodyTextBoldChar"/>
          <w:b w:val="0"/>
        </w:rPr>
        <w:t>access and</w:t>
      </w:r>
      <w:r w:rsidRPr="00E95657">
        <w:rPr>
          <w:rStyle w:val="BodyTextBoldChar"/>
          <w:b w:val="0"/>
        </w:rPr>
        <w:t xml:space="preserve"> impacts to adopted emergency response and evacuation plans are less than significant.</w:t>
      </w:r>
      <w:r>
        <w:rPr>
          <w:rStyle w:val="BodyTextBoldChar"/>
          <w:b w:val="0"/>
          <w:bCs/>
        </w:rPr>
        <w:t xml:space="preserve"> </w:t>
      </w:r>
    </w:p>
    <w:p w14:paraId="49FC2ECB" w14:textId="77777777" w:rsidR="009A138A" w:rsidRDefault="009A138A" w:rsidP="009A138A">
      <w:pPr>
        <w:pStyle w:val="List"/>
      </w:pPr>
      <w:r w:rsidRPr="009A138A">
        <w:t>Due to slope, prevailing winds, and other factors, exacerbate wildfire risks, and thereby expose project occupants to pollutant concentrations from a wildfire or the uncontrolled spread of a wildfire</w:t>
      </w:r>
      <w:r>
        <w:t>?</w:t>
      </w:r>
    </w:p>
    <w:p w14:paraId="6A9BFB95" w14:textId="77777777" w:rsidR="003E5E05" w:rsidRPr="00F552BE" w:rsidRDefault="003E5E05" w:rsidP="003E5E05">
      <w:pPr>
        <w:pStyle w:val="BodyText"/>
        <w:rPr>
          <w:bCs/>
        </w:rPr>
      </w:pPr>
      <w:r w:rsidRPr="00655D6B">
        <w:rPr>
          <w:rStyle w:val="BodyTextBoldChar"/>
        </w:rPr>
        <w:t>Less Than Significant Impact</w:t>
      </w:r>
      <w:r>
        <w:rPr>
          <w:rStyle w:val="BodyTextBoldChar"/>
        </w:rPr>
        <w:t xml:space="preserve">. </w:t>
      </w:r>
      <w:r w:rsidRPr="00E95657">
        <w:rPr>
          <w:rStyle w:val="BodyTextBoldChar"/>
          <w:b w:val="0"/>
        </w:rPr>
        <w:t>There are three primary factors used in assessing wildfire hazards––topography, weather, and fuel. The project site is flat and in an urbanized environment. The proposed project would not impact weather or topography. According to CAL FIRE’</w:t>
      </w:r>
      <w:r w:rsidRPr="00312016">
        <w:rPr>
          <w:bCs/>
        </w:rPr>
        <w:t xml:space="preserve">s </w:t>
      </w:r>
      <w:r w:rsidRPr="00F552BE">
        <w:rPr>
          <w:bCs/>
        </w:rPr>
        <w:t xml:space="preserve">Fire and Resource Assessment Program, the project area is not in a </w:t>
      </w:r>
      <w:r w:rsidR="00E15160">
        <w:rPr>
          <w:bCs/>
        </w:rPr>
        <w:t xml:space="preserve">High or </w:t>
      </w:r>
      <w:r w:rsidRPr="00F552BE">
        <w:rPr>
          <w:bCs/>
        </w:rPr>
        <w:t>Very High F</w:t>
      </w:r>
      <w:r w:rsidR="00E15160">
        <w:rPr>
          <w:bCs/>
        </w:rPr>
        <w:t>ire Hazard Safety Zone (F</w:t>
      </w:r>
      <w:r w:rsidRPr="00F552BE">
        <w:rPr>
          <w:bCs/>
        </w:rPr>
        <w:t>HSZ</w:t>
      </w:r>
      <w:r w:rsidR="00E15160">
        <w:rPr>
          <w:bCs/>
        </w:rPr>
        <w:t>)</w:t>
      </w:r>
      <w:r w:rsidRPr="00F552BE">
        <w:rPr>
          <w:bCs/>
        </w:rPr>
        <w:t xml:space="preserve"> (CAL</w:t>
      </w:r>
      <w:r w:rsidR="00944B91">
        <w:rPr>
          <w:bCs/>
        </w:rPr>
        <w:t xml:space="preserve"> </w:t>
      </w:r>
      <w:r w:rsidRPr="00F552BE">
        <w:rPr>
          <w:bCs/>
        </w:rPr>
        <w:t>FIRE 20</w:t>
      </w:r>
      <w:r w:rsidR="00944B91">
        <w:rPr>
          <w:bCs/>
        </w:rPr>
        <w:t>2</w:t>
      </w:r>
      <w:r w:rsidRPr="00F552BE">
        <w:rPr>
          <w:bCs/>
        </w:rPr>
        <w:t>1).</w:t>
      </w:r>
      <w:r>
        <w:rPr>
          <w:bCs/>
        </w:rPr>
        <w:t xml:space="preserve"> Therefore, impacts of exposing project occupants to pollutant concentrations from or exacerbating a wildfire would be less than significant. </w:t>
      </w:r>
    </w:p>
    <w:p w14:paraId="7D0F7B29" w14:textId="77777777" w:rsidR="009A138A" w:rsidRDefault="009A138A" w:rsidP="009A138A">
      <w:pPr>
        <w:pStyle w:val="List"/>
      </w:pPr>
      <w:r w:rsidRPr="009A138A">
        <w:t>Require the installation or maintenance of associated infrastructure (such as roads, fuel breaks, emergency water sources, power lines or other utilities) that may exacerbate fire risk or that may result in temporary or ongoing impacts to the environment</w:t>
      </w:r>
      <w:r>
        <w:t>?</w:t>
      </w:r>
    </w:p>
    <w:p w14:paraId="55F4D3A5" w14:textId="061042D9" w:rsidR="003E5E05" w:rsidRPr="00E95657" w:rsidRDefault="003E5E05" w:rsidP="003E5E05">
      <w:pPr>
        <w:pStyle w:val="BodyText"/>
        <w:rPr>
          <w:b/>
        </w:rPr>
      </w:pPr>
      <w:r w:rsidRPr="00655D6B">
        <w:rPr>
          <w:rStyle w:val="BodyTextBoldChar"/>
        </w:rPr>
        <w:t>Less Than Significant Impact.</w:t>
      </w:r>
      <w:r>
        <w:rPr>
          <w:rStyle w:val="BodyTextBoldChar"/>
        </w:rPr>
        <w:t xml:space="preserve"> </w:t>
      </w:r>
      <w:r w:rsidRPr="00E95657">
        <w:rPr>
          <w:rStyle w:val="BodyTextBoldChar"/>
          <w:b w:val="0"/>
        </w:rPr>
        <w:t xml:space="preserve">The proposed project would require utility connections and new infrastructure for electricity, natural gas, telecommunications, and cable service. </w:t>
      </w:r>
      <w:r w:rsidR="002830E6" w:rsidRPr="00E95657">
        <w:rPr>
          <w:rStyle w:val="BodyTextBoldChar"/>
          <w:b w:val="0"/>
        </w:rPr>
        <w:t xml:space="preserve">The </w:t>
      </w:r>
      <w:r w:rsidRPr="00E95657">
        <w:rPr>
          <w:rStyle w:val="BodyTextBoldChar"/>
          <w:b w:val="0"/>
        </w:rPr>
        <w:t xml:space="preserve">project site is not in a </w:t>
      </w:r>
      <w:r w:rsidR="00E15160">
        <w:rPr>
          <w:rStyle w:val="BodyTextBoldChar"/>
          <w:b w:val="0"/>
        </w:rPr>
        <w:t xml:space="preserve">High or </w:t>
      </w:r>
      <w:r w:rsidR="002830E6" w:rsidRPr="00E95657">
        <w:rPr>
          <w:rStyle w:val="BodyTextBoldChar"/>
          <w:b w:val="0"/>
        </w:rPr>
        <w:t>Very High</w:t>
      </w:r>
      <w:r w:rsidRPr="00E95657">
        <w:rPr>
          <w:rStyle w:val="BodyTextBoldChar"/>
          <w:b w:val="0"/>
        </w:rPr>
        <w:t xml:space="preserve"> FHSZ</w:t>
      </w:r>
      <w:r w:rsidR="002830E6">
        <w:rPr>
          <w:rStyle w:val="BodyTextBoldChar"/>
          <w:b w:val="0"/>
        </w:rPr>
        <w:t xml:space="preserve"> but</w:t>
      </w:r>
      <w:r w:rsidRPr="00E95657">
        <w:rPr>
          <w:rStyle w:val="BodyTextBoldChar"/>
          <w:b w:val="0"/>
        </w:rPr>
        <w:t xml:space="preserve"> in a highly urbanized part of the </w:t>
      </w:r>
      <w:r w:rsidR="00A81B7A">
        <w:rPr>
          <w:rStyle w:val="BodyTextBoldChar"/>
          <w:b w:val="0"/>
        </w:rPr>
        <w:t>C</w:t>
      </w:r>
      <w:r w:rsidRPr="00E95657">
        <w:rPr>
          <w:rStyle w:val="BodyTextBoldChar"/>
          <w:b w:val="0"/>
        </w:rPr>
        <w:t>ity</w:t>
      </w:r>
      <w:r w:rsidR="002830E6">
        <w:rPr>
          <w:rStyle w:val="BodyTextBoldChar"/>
          <w:b w:val="0"/>
        </w:rPr>
        <w:t>.</w:t>
      </w:r>
      <w:r w:rsidR="002830E6" w:rsidRPr="00E95657">
        <w:rPr>
          <w:rStyle w:val="BodyTextBoldChar"/>
          <w:b w:val="0"/>
        </w:rPr>
        <w:t xml:space="preserve"> The </w:t>
      </w:r>
      <w:r w:rsidRPr="00E95657">
        <w:rPr>
          <w:rStyle w:val="BodyTextBoldChar"/>
          <w:b w:val="0"/>
        </w:rPr>
        <w:t xml:space="preserve">proposed project would not add infrastructure such as roads or overhead power lines in areas with wildland vegetation. Therefore, impacts of exacerbating fire risks on the environment would be less than significant. </w:t>
      </w:r>
    </w:p>
    <w:p w14:paraId="2C68559B" w14:textId="77777777" w:rsidR="009A138A" w:rsidRDefault="009A138A" w:rsidP="009A138A">
      <w:pPr>
        <w:pStyle w:val="List"/>
      </w:pPr>
      <w:r w:rsidRPr="009A138A">
        <w:t>Expose people or structures to significant risks, including downslope or downstream flooding or landslides, as a result of runoff, post-fire slope instability, or drainage changes</w:t>
      </w:r>
      <w:r>
        <w:t>?</w:t>
      </w:r>
    </w:p>
    <w:p w14:paraId="39A8EE08" w14:textId="38E1348E" w:rsidR="009A138A" w:rsidRPr="002C1B31" w:rsidRDefault="009A138A" w:rsidP="009A138A">
      <w:pPr>
        <w:pStyle w:val="BodyText"/>
        <w:rPr>
          <w:bCs/>
        </w:rPr>
      </w:pPr>
      <w:r w:rsidRPr="00655D6B">
        <w:rPr>
          <w:rStyle w:val="BodyTextBoldChar"/>
        </w:rPr>
        <w:t xml:space="preserve">Less </w:t>
      </w:r>
      <w:r w:rsidR="002C1B31" w:rsidRPr="00655D6B">
        <w:rPr>
          <w:rStyle w:val="BodyTextBoldChar"/>
        </w:rPr>
        <w:t>Than Significant Impact</w:t>
      </w:r>
      <w:r w:rsidR="002C1B31">
        <w:rPr>
          <w:rStyle w:val="BodyTextBoldChar"/>
        </w:rPr>
        <w:t>.</w:t>
      </w:r>
      <w:r w:rsidR="002C1B31">
        <w:rPr>
          <w:rStyle w:val="BodyTextBoldChar"/>
          <w:b w:val="0"/>
          <w:bCs/>
        </w:rPr>
        <w:t xml:space="preserve"> </w:t>
      </w:r>
      <w:r w:rsidR="002C1B31" w:rsidRPr="002C1B31">
        <w:rPr>
          <w:rStyle w:val="BodyTextBoldChar"/>
          <w:b w:val="0"/>
        </w:rPr>
        <w:t xml:space="preserve">The project site is </w:t>
      </w:r>
      <w:r w:rsidR="002830E6">
        <w:rPr>
          <w:rStyle w:val="BodyTextBoldChar"/>
          <w:b w:val="0"/>
        </w:rPr>
        <w:t>generally</w:t>
      </w:r>
      <w:r w:rsidR="002830E6" w:rsidRPr="002C1B31">
        <w:rPr>
          <w:rStyle w:val="BodyTextBoldChar"/>
          <w:b w:val="0"/>
        </w:rPr>
        <w:t xml:space="preserve"> </w:t>
      </w:r>
      <w:r w:rsidR="002C1B31" w:rsidRPr="002C1B31">
        <w:rPr>
          <w:rStyle w:val="BodyTextBoldChar"/>
          <w:b w:val="0"/>
        </w:rPr>
        <w:t xml:space="preserve">flat. </w:t>
      </w:r>
      <w:r w:rsidR="002830E6">
        <w:rPr>
          <w:rStyle w:val="BodyTextBoldChar"/>
          <w:b w:val="0"/>
        </w:rPr>
        <w:t>It</w:t>
      </w:r>
      <w:r w:rsidR="002C1B31" w:rsidRPr="002C1B31">
        <w:rPr>
          <w:rStyle w:val="BodyTextBoldChar"/>
          <w:b w:val="0"/>
        </w:rPr>
        <w:t xml:space="preserve"> is not in a </w:t>
      </w:r>
      <w:r w:rsidR="002830E6" w:rsidRPr="002C1B31">
        <w:rPr>
          <w:rStyle w:val="BodyTextBoldChar"/>
          <w:b w:val="0"/>
        </w:rPr>
        <w:t xml:space="preserve">designated </w:t>
      </w:r>
      <w:r w:rsidR="002C1B31" w:rsidRPr="002C1B31">
        <w:rPr>
          <w:rStyle w:val="BodyTextBoldChar"/>
          <w:b w:val="0"/>
        </w:rPr>
        <w:t xml:space="preserve">area </w:t>
      </w:r>
      <w:r w:rsidR="002830E6">
        <w:rPr>
          <w:rStyle w:val="BodyTextBoldChar"/>
          <w:b w:val="0"/>
        </w:rPr>
        <w:t xml:space="preserve">with </w:t>
      </w:r>
      <w:r w:rsidR="002C1B31" w:rsidRPr="002C1B31">
        <w:rPr>
          <w:rStyle w:val="BodyTextBoldChar"/>
          <w:b w:val="0"/>
        </w:rPr>
        <w:t xml:space="preserve">potential for landslides </w:t>
      </w:r>
      <w:r w:rsidR="002830E6">
        <w:rPr>
          <w:rStyle w:val="BodyTextBoldChar"/>
          <w:b w:val="0"/>
        </w:rPr>
        <w:t>or</w:t>
      </w:r>
      <w:r w:rsidR="002C1B31" w:rsidRPr="002C1B31">
        <w:rPr>
          <w:bCs/>
        </w:rPr>
        <w:t xml:space="preserve"> in a 100-year flood hazard zone (FEMA 2008). Therefore, it is unlikely that the site would be susceptible to downslope or downstream flooding or landslides as a result of postfire slope instability. The project site is </w:t>
      </w:r>
      <w:r w:rsidR="00880E5F">
        <w:rPr>
          <w:bCs/>
        </w:rPr>
        <w:t xml:space="preserve">also </w:t>
      </w:r>
      <w:r w:rsidR="002C1B31" w:rsidRPr="002C1B31">
        <w:rPr>
          <w:bCs/>
        </w:rPr>
        <w:t xml:space="preserve">not in a </w:t>
      </w:r>
      <w:r w:rsidR="002830E6" w:rsidRPr="002C1B31">
        <w:rPr>
          <w:bCs/>
        </w:rPr>
        <w:t xml:space="preserve">Very High </w:t>
      </w:r>
      <w:r w:rsidR="002C1B31" w:rsidRPr="002C1B31">
        <w:rPr>
          <w:bCs/>
        </w:rPr>
        <w:t>FHSZ. Impacts would be less than significant.</w:t>
      </w:r>
    </w:p>
    <w:p w14:paraId="20C070C4" w14:textId="77777777" w:rsidR="00D10CF6" w:rsidRDefault="00D10CF6" w:rsidP="00D10CF6">
      <w:pPr>
        <w:pStyle w:val="Heading2"/>
      </w:pPr>
      <w:bookmarkStart w:id="245" w:name="_Toc90882173"/>
      <w:r>
        <w:t>MANDATORY FINDINGS OF SIGNIFICANCE</w:t>
      </w:r>
      <w:bookmarkEnd w:id="245"/>
    </w:p>
    <w:p w14:paraId="11B2CA1A" w14:textId="77777777" w:rsidR="00D10CF6" w:rsidRDefault="000325BF" w:rsidP="009D6ECC">
      <w:pPr>
        <w:pStyle w:val="List"/>
        <w:numPr>
          <w:ilvl w:val="0"/>
          <w:numId w:val="14"/>
        </w:numPr>
      </w:pPr>
      <w:r w:rsidRPr="000325BF">
        <w:t>Does the project have the potential to substantially degrade the quality of the environment, substantially reduce the habitat of a fish or wildlife species, cause a fish or wildlife population to drop below self-sustaining levels, threaten to eliminate a plant or animal community, substantially reduce the number or restrict the range of a rare or endangered plant or animal or eliminate important examples of the major periods of California history or prehistory</w:t>
      </w:r>
      <w:r w:rsidR="00D10CF6">
        <w:t>?</w:t>
      </w:r>
    </w:p>
    <w:p w14:paraId="12FFF215" w14:textId="77777777" w:rsidR="00255801" w:rsidRPr="0013634B" w:rsidRDefault="00255801" w:rsidP="00255801">
      <w:pPr>
        <w:pStyle w:val="BodyText"/>
      </w:pPr>
      <w:r w:rsidRPr="0013634B">
        <w:rPr>
          <w:rStyle w:val="BodyTextBoldChar"/>
        </w:rPr>
        <w:t xml:space="preserve">Less Than Significant Impact With Mitigation Incorporated. </w:t>
      </w:r>
      <w:r w:rsidRPr="0013634B">
        <w:t xml:space="preserve">As </w:t>
      </w:r>
      <w:r w:rsidRPr="001C26E9">
        <w:t xml:space="preserve">shown in Figure 3, </w:t>
      </w:r>
      <w:r w:rsidRPr="001C26E9">
        <w:rPr>
          <w:rStyle w:val="BodyTextItalicChar"/>
        </w:rPr>
        <w:t>A</w:t>
      </w:r>
      <w:r w:rsidRPr="0013634B">
        <w:rPr>
          <w:rStyle w:val="BodyTextItalicChar"/>
        </w:rPr>
        <w:t>erial Photograph</w:t>
      </w:r>
      <w:r w:rsidRPr="0013634B">
        <w:t xml:space="preserve">, the </w:t>
      </w:r>
      <w:r>
        <w:t xml:space="preserve">site is currently occupied by the Pepsi </w:t>
      </w:r>
      <w:r w:rsidR="002F49CB">
        <w:t xml:space="preserve">Bottling Group </w:t>
      </w:r>
      <w:r w:rsidR="007F1464">
        <w:t>building</w:t>
      </w:r>
      <w:r w:rsidRPr="0013634B">
        <w:t xml:space="preserve">. </w:t>
      </w:r>
      <w:r w:rsidRPr="0013634B">
        <w:rPr>
          <w:szCs w:val="22"/>
        </w:rPr>
        <w:t>The project site and surrounding area are highly urbanized</w:t>
      </w:r>
      <w:r w:rsidR="002830E6">
        <w:rPr>
          <w:szCs w:val="22"/>
        </w:rPr>
        <w:t xml:space="preserve"> and</w:t>
      </w:r>
      <w:r w:rsidRPr="006738BE">
        <w:rPr>
          <w:szCs w:val="22"/>
        </w:rPr>
        <w:t xml:space="preserve"> primarily dominated by commercial and industrial uses</w:t>
      </w:r>
      <w:r w:rsidR="002830E6">
        <w:rPr>
          <w:szCs w:val="22"/>
        </w:rPr>
        <w:t>,</w:t>
      </w:r>
      <w:r w:rsidRPr="006738BE">
        <w:rPr>
          <w:szCs w:val="22"/>
        </w:rPr>
        <w:t xml:space="preserve"> with some residential uses to the northeast</w:t>
      </w:r>
      <w:r w:rsidR="000833EE">
        <w:rPr>
          <w:szCs w:val="22"/>
        </w:rPr>
        <w:t>, southeast, south, and southwest</w:t>
      </w:r>
      <w:r w:rsidRPr="006738BE">
        <w:rPr>
          <w:szCs w:val="22"/>
        </w:rPr>
        <w:t>.</w:t>
      </w:r>
      <w:r w:rsidRPr="0013634B">
        <w:t xml:space="preserve"> </w:t>
      </w:r>
    </w:p>
    <w:p w14:paraId="7FF6D0AA" w14:textId="77777777" w:rsidR="00255801" w:rsidRPr="00FA1515" w:rsidRDefault="00255801" w:rsidP="00255801">
      <w:pPr>
        <w:pStyle w:val="BodyText"/>
      </w:pPr>
      <w:r w:rsidRPr="00BC2E39">
        <w:t xml:space="preserve">As substantiated in Section 3.4, </w:t>
      </w:r>
      <w:r w:rsidRPr="00BC2E39">
        <w:rPr>
          <w:i/>
        </w:rPr>
        <w:t>Biological Resources</w:t>
      </w:r>
      <w:r w:rsidRPr="00BC2E39">
        <w:t xml:space="preserve">, implementation of the </w:t>
      </w:r>
      <w:r w:rsidR="006738BE" w:rsidRPr="00BC2E39">
        <w:t>proposed p</w:t>
      </w:r>
      <w:r w:rsidRPr="00BC2E39">
        <w:t xml:space="preserve">roject would not result in the reduction of the habitat of fish or wildlife species; cause a fish or wildlife population to drop below self-sustaining levels; threaten to eliminate a plant or animal community; or reduce the number or restrict the range of a rare or endangered plant or animal. </w:t>
      </w:r>
      <w:r w:rsidR="002830E6" w:rsidRPr="00BC2E39">
        <w:t xml:space="preserve">There </w:t>
      </w:r>
      <w:r w:rsidR="00BC2E39" w:rsidRPr="00BC2E39">
        <w:t xml:space="preserve">would be a less than significant </w:t>
      </w:r>
      <w:r w:rsidRPr="00BC2E39">
        <w:t xml:space="preserve">impact to nesting </w:t>
      </w:r>
      <w:r w:rsidRPr="00FA1515">
        <w:t>habitat for migratory birds</w:t>
      </w:r>
      <w:r w:rsidR="00BC2E39" w:rsidRPr="00FA1515">
        <w:t>.</w:t>
      </w:r>
    </w:p>
    <w:p w14:paraId="3AAFFD13" w14:textId="77777777" w:rsidR="00FA1515" w:rsidRPr="003D2EDF" w:rsidRDefault="00B32144" w:rsidP="00255801">
      <w:pPr>
        <w:pStyle w:val="BodyText"/>
      </w:pPr>
      <w:r w:rsidRPr="003D2EDF">
        <w:t xml:space="preserve">As </w:t>
      </w:r>
      <w:r w:rsidR="00255801" w:rsidRPr="003D2EDF">
        <w:t xml:space="preserve">substantiated in Section 3.5, </w:t>
      </w:r>
      <w:r w:rsidR="00255801" w:rsidRPr="003D2EDF">
        <w:rPr>
          <w:i/>
        </w:rPr>
        <w:t>Cultural Resources</w:t>
      </w:r>
      <w:r w:rsidR="00255801" w:rsidRPr="003D2EDF">
        <w:t xml:space="preserve">, </w:t>
      </w:r>
      <w:r w:rsidR="00FA1515" w:rsidRPr="003D2EDF">
        <w:t>the project was assessed to have low sensitivity for prehistoric resources and a low</w:t>
      </w:r>
      <w:r>
        <w:t>-</w:t>
      </w:r>
      <w:r w:rsidR="00FA1515" w:rsidRPr="003D2EDF">
        <w:t>to</w:t>
      </w:r>
      <w:r>
        <w:t>-</w:t>
      </w:r>
      <w:r w:rsidR="00FA1515" w:rsidRPr="003D2EDF">
        <w:t>moderate sensitivity for buried historic archaeological resources. Mitigation measure CUL-</w:t>
      </w:r>
      <w:r>
        <w:t>1</w:t>
      </w:r>
      <w:r w:rsidR="00FA1515" w:rsidRPr="003D2EDF">
        <w:t xml:space="preserve"> was included </w:t>
      </w:r>
      <w:r>
        <w:t xml:space="preserve">to </w:t>
      </w:r>
      <w:r w:rsidR="00FA1515" w:rsidRPr="003D2EDF">
        <w:t>reduce impacts to a less than significant level.</w:t>
      </w:r>
    </w:p>
    <w:p w14:paraId="0C8C8A5D" w14:textId="77777777" w:rsidR="00255801" w:rsidRPr="00255801" w:rsidRDefault="00B32144" w:rsidP="00354C3D">
      <w:pPr>
        <w:pStyle w:val="BodyText"/>
        <w:rPr>
          <w:rStyle w:val="InsertText"/>
          <w:color w:val="auto"/>
        </w:rPr>
      </w:pPr>
      <w:r>
        <w:t xml:space="preserve">In </w:t>
      </w:r>
      <w:r w:rsidR="00255801" w:rsidRPr="003D2EDF">
        <w:t xml:space="preserve">Section 3.7, </w:t>
      </w:r>
      <w:r w:rsidR="00255801" w:rsidRPr="003D2EDF">
        <w:rPr>
          <w:rStyle w:val="BodyTextItalicChar"/>
        </w:rPr>
        <w:t>Geology and Soils</w:t>
      </w:r>
      <w:r w:rsidR="00255801" w:rsidRPr="003D2EDF">
        <w:t>, impacts to paleontological re</w:t>
      </w:r>
      <w:r w:rsidR="00FA1515" w:rsidRPr="003D2EDF">
        <w:t>sources were</w:t>
      </w:r>
      <w:r w:rsidR="00255801" w:rsidRPr="003D2EDF">
        <w:t xml:space="preserve"> deemed less than significant</w:t>
      </w:r>
      <w:r w:rsidR="003D2EDF" w:rsidRPr="003D2EDF">
        <w:t xml:space="preserve"> with mitigation incorporated</w:t>
      </w:r>
      <w:r>
        <w:t>, and</w:t>
      </w:r>
      <w:r w:rsidR="00255801" w:rsidRPr="003D2EDF">
        <w:t xml:space="preserve"> in Section 3.18, </w:t>
      </w:r>
      <w:r w:rsidR="00255801" w:rsidRPr="003D2EDF">
        <w:rPr>
          <w:rStyle w:val="BodyTextItalicChar"/>
        </w:rPr>
        <w:t>Tribal Cultural Resources</w:t>
      </w:r>
      <w:r w:rsidR="00255801" w:rsidRPr="003D2EDF">
        <w:t>, impacts to tribal cultural resources were deemed to be less than significant</w:t>
      </w:r>
      <w:r w:rsidR="003D2EDF" w:rsidRPr="003D2EDF">
        <w:t xml:space="preserve"> with mitigation incorporated</w:t>
      </w:r>
      <w:r w:rsidR="00255801" w:rsidRPr="003D2EDF">
        <w:t>.</w:t>
      </w:r>
    </w:p>
    <w:p w14:paraId="06A4B7B4" w14:textId="77777777" w:rsidR="00D10CF6" w:rsidRDefault="00D10CF6" w:rsidP="00D10CF6">
      <w:pPr>
        <w:pStyle w:val="List"/>
        <w:numPr>
          <w:ilvl w:val="0"/>
          <w:numId w:val="6"/>
        </w:numPr>
      </w:pPr>
      <w:r>
        <w:t>Does the project have impacts that are individually limited, but cumulatively considerable? (“Cumulatively considerable” means that the incremental effects of a project are considerable when viewed in connection with the effects of past projects, the effects of other current projects, and the effects of probable future projects.)</w:t>
      </w:r>
    </w:p>
    <w:p w14:paraId="7828246B" w14:textId="77777777" w:rsidR="00255801" w:rsidRDefault="00255801" w:rsidP="00255801">
      <w:pPr>
        <w:pStyle w:val="BodyText"/>
      </w:pPr>
      <w:r w:rsidRPr="0084508B">
        <w:rPr>
          <w:rStyle w:val="BodyTextBoldChar"/>
        </w:rPr>
        <w:t xml:space="preserve">Less Than Significant Impact. </w:t>
      </w:r>
    </w:p>
    <w:p w14:paraId="370A0745" w14:textId="77777777" w:rsidR="007448DA" w:rsidRDefault="00BF0549" w:rsidP="00255801">
      <w:pPr>
        <w:pStyle w:val="BodyText"/>
      </w:pPr>
      <w:r>
        <w:t xml:space="preserve">Regarding cumulative effects on agricultural, biological, and mineral resources, the project site </w:t>
      </w:r>
      <w:r w:rsidR="007448DA">
        <w:t>is in</w:t>
      </w:r>
      <w:r>
        <w:t xml:space="preserve"> a developed area and other developments occurring </w:t>
      </w:r>
      <w:r w:rsidR="007448DA">
        <w:t xml:space="preserve">in the vicinity of </w:t>
      </w:r>
      <w:r>
        <w:t xml:space="preserve">the proposed project would largely occur on disturbed land. Thus, no cumulative impacts to these resources would occur. Impacts related to archaeological resources, paleontological resources, and hazards and hazardous materials are generally confined to a specific site and do not affect off-site areas. As such, impacts would </w:t>
      </w:r>
      <w:r w:rsidR="007448DA">
        <w:t xml:space="preserve">also </w:t>
      </w:r>
      <w:r>
        <w:t xml:space="preserve">be less than significant. </w:t>
      </w:r>
    </w:p>
    <w:p w14:paraId="16C5B936" w14:textId="77777777" w:rsidR="00BF0549" w:rsidRPr="00E06185" w:rsidRDefault="007448DA" w:rsidP="00255801">
      <w:pPr>
        <w:pStyle w:val="BodyText"/>
      </w:pPr>
      <w:r>
        <w:t xml:space="preserve">Furthermore, </w:t>
      </w:r>
      <w:r w:rsidR="00BF0549">
        <w:t xml:space="preserve">the evaluation of air quality </w:t>
      </w:r>
      <w:r>
        <w:t xml:space="preserve">and greenhouse gas </w:t>
      </w:r>
      <w:r w:rsidR="00BF0549">
        <w:t xml:space="preserve">impacts considered the </w:t>
      </w:r>
      <w:r>
        <w:t>proposed p</w:t>
      </w:r>
      <w:r w:rsidR="00BF0549">
        <w:t xml:space="preserve">roject’s cumulative contribution to federal or State nonattainment pollutants within the </w:t>
      </w:r>
      <w:r w:rsidRPr="007448DA">
        <w:t>SoCAB</w:t>
      </w:r>
      <w:r w:rsidR="00BF0549">
        <w:t xml:space="preserve"> and the evaluation of traffic impacts considered the cumulative effect of other proposed projects in the immediate vicinity. Through the analyses, no significant cumulative impacts were identified for the </w:t>
      </w:r>
      <w:r>
        <w:t>proposed p</w:t>
      </w:r>
      <w:r w:rsidR="00BF0549">
        <w:t>roject.</w:t>
      </w:r>
      <w:r w:rsidRPr="007448DA">
        <w:t xml:space="preserve"> Additionally, the project site is in a highly urbanized area of the city where supporting utility infrastructure (e.g., water, wastewater, and drainage) and services (e.g., solid waste collection) currently exist. </w:t>
      </w:r>
      <w:r>
        <w:t>I</w:t>
      </w:r>
      <w:r w:rsidRPr="007448DA">
        <w:t xml:space="preserve">mplementation </w:t>
      </w:r>
      <w:r>
        <w:t xml:space="preserve">of the proposed project </w:t>
      </w:r>
      <w:r w:rsidRPr="007448DA">
        <w:t xml:space="preserve">would not require the construction of new or expansion of existing utility infrastructure and services. </w:t>
      </w:r>
      <w:r>
        <w:t>The proposed project would also have no impacts on recreation and housing</w:t>
      </w:r>
      <w:r w:rsidR="00B85BC9">
        <w:t xml:space="preserve">. </w:t>
      </w:r>
    </w:p>
    <w:p w14:paraId="3A5F099C" w14:textId="77777777" w:rsidR="00255801" w:rsidRDefault="00255801" w:rsidP="00D10CF6">
      <w:pPr>
        <w:pStyle w:val="BodyText"/>
      </w:pPr>
      <w:r w:rsidRPr="0084508B">
        <w:t xml:space="preserve">In consideration of the preceding factors, the </w:t>
      </w:r>
      <w:r>
        <w:t>p</w:t>
      </w:r>
      <w:r w:rsidRPr="0084508B">
        <w:t xml:space="preserve">roposed </w:t>
      </w:r>
      <w:r>
        <w:t>p</w:t>
      </w:r>
      <w:r w:rsidRPr="0084508B">
        <w:t>roject’s contribution to cumulative impacts would be rendered less than significant; therefore, project impacts would not be cumulatively considerable.</w:t>
      </w:r>
    </w:p>
    <w:p w14:paraId="6B0079F7" w14:textId="77777777" w:rsidR="00255801" w:rsidRDefault="00D10CF6" w:rsidP="00255801">
      <w:pPr>
        <w:pStyle w:val="List"/>
        <w:numPr>
          <w:ilvl w:val="0"/>
          <w:numId w:val="6"/>
        </w:numPr>
      </w:pPr>
      <w:r>
        <w:t>Does the project have environmental effects, which will cause substantial adverse effects on human beings, either directly or indirectly?</w:t>
      </w:r>
    </w:p>
    <w:p w14:paraId="0C53DFD6" w14:textId="673D0AAD" w:rsidR="008614BA" w:rsidRDefault="003C5C13" w:rsidP="0082260D">
      <w:pPr>
        <w:pStyle w:val="BodyText"/>
      </w:pPr>
      <w:r w:rsidRPr="00D87836">
        <w:rPr>
          <w:rStyle w:val="BodyTextBoldChar"/>
        </w:rPr>
        <w:t>Less Than Significant Impact With Mitigation Incorporated</w:t>
      </w:r>
      <w:r>
        <w:rPr>
          <w:rStyle w:val="BodyTextBoldChar"/>
        </w:rPr>
        <w:t xml:space="preserve">. </w:t>
      </w:r>
      <w:r w:rsidRPr="00D87836">
        <w:t xml:space="preserve">As discussed in the respective topical sections of this Initial Study, implementation of the </w:t>
      </w:r>
      <w:r>
        <w:t>proposed p</w:t>
      </w:r>
      <w:r w:rsidRPr="00D87836">
        <w:t xml:space="preserve">roject would not result in significant impacts </w:t>
      </w:r>
      <w:r w:rsidR="009509B2">
        <w:t xml:space="preserve">or substantial adverse effects on human beings </w:t>
      </w:r>
      <w:r w:rsidRPr="00D87836">
        <w:t xml:space="preserve">in the areas of </w:t>
      </w:r>
      <w:r w:rsidR="0082260D">
        <w:t xml:space="preserve">geology and soils, GHG, </w:t>
      </w:r>
      <w:r w:rsidRPr="009035E6">
        <w:t>hydrology and water quality,</w:t>
      </w:r>
      <w:r w:rsidRPr="00D87836">
        <w:t xml:space="preserve"> noise, or wildfire. Therefore, impacts related to these environmental effects </w:t>
      </w:r>
      <w:r w:rsidR="0082260D">
        <w:t>are</w:t>
      </w:r>
      <w:r w:rsidRPr="00D87836">
        <w:t xml:space="preserve"> less than significant.</w:t>
      </w:r>
      <w:r>
        <w:t xml:space="preserve"> A</w:t>
      </w:r>
      <w:r w:rsidRPr="00D87836">
        <w:t>s demonstrated in Section 3.</w:t>
      </w:r>
      <w:r>
        <w:t>3</w:t>
      </w:r>
      <w:r w:rsidRPr="00D87836">
        <w:t xml:space="preserve">, </w:t>
      </w:r>
      <w:r w:rsidRPr="00D87836">
        <w:rPr>
          <w:rStyle w:val="BodyTextItalicChar"/>
        </w:rPr>
        <w:t>Air Quality</w:t>
      </w:r>
      <w:r w:rsidRPr="00D87836">
        <w:t xml:space="preserve">, </w:t>
      </w:r>
      <w:r w:rsidR="0082260D">
        <w:t>p</w:t>
      </w:r>
      <w:r>
        <w:t xml:space="preserve">roject-related </w:t>
      </w:r>
      <w:r w:rsidR="0082260D" w:rsidRPr="0082260D">
        <w:t xml:space="preserve">nuisance odors </w:t>
      </w:r>
      <w:r w:rsidRPr="00D87836">
        <w:t xml:space="preserve">would be reduced to a level of less than significant with implementation of Mitigation Measure </w:t>
      </w:r>
      <w:r>
        <w:t>AQ</w:t>
      </w:r>
      <w:r w:rsidRPr="00D87836">
        <w:t>-1</w:t>
      </w:r>
      <w:r>
        <w:t>.</w:t>
      </w:r>
      <w:r w:rsidR="009509B2">
        <w:t xml:space="preserve"> Also,</w:t>
      </w:r>
      <w:r w:rsidR="0082260D">
        <w:t xml:space="preserve"> </w:t>
      </w:r>
      <w:r w:rsidR="009509B2">
        <w:t xml:space="preserve">compliance </w:t>
      </w:r>
      <w:r w:rsidR="0082260D">
        <w:t xml:space="preserve">with </w:t>
      </w:r>
      <w:r w:rsidR="0082260D" w:rsidRPr="0082260D">
        <w:t xml:space="preserve">applicable laws and regulations governing the use, storage, transportation, and disposal of potentially contaminated soils and </w:t>
      </w:r>
      <w:r w:rsidR="0082260D">
        <w:t>implementation of M</w:t>
      </w:r>
      <w:r w:rsidR="0082260D" w:rsidRPr="0082260D">
        <w:t xml:space="preserve">itigation </w:t>
      </w:r>
      <w:r w:rsidR="0082260D">
        <w:t>M</w:t>
      </w:r>
      <w:r w:rsidR="0082260D" w:rsidRPr="0082260D">
        <w:t xml:space="preserve">easure HAZ-1 would ensure that impacts </w:t>
      </w:r>
      <w:r w:rsidR="0082260D">
        <w:t xml:space="preserve">to human beings </w:t>
      </w:r>
      <w:r w:rsidR="0082260D" w:rsidRPr="0082260D">
        <w:t>would be less than significant</w:t>
      </w:r>
      <w:r w:rsidR="00B85BC9">
        <w:t xml:space="preserve">. </w:t>
      </w:r>
    </w:p>
    <w:p w14:paraId="2BCF7CEB" w14:textId="77777777" w:rsidR="008614BA" w:rsidRDefault="008614BA">
      <w:pPr>
        <w:rPr>
          <w:kern w:val="20"/>
          <w:szCs w:val="20"/>
        </w:rPr>
      </w:pPr>
      <w:r>
        <w:br w:type="page"/>
      </w:r>
    </w:p>
    <w:p w14:paraId="61752C9A" w14:textId="0C90C2E0" w:rsidR="003C5C13" w:rsidRPr="008614BA" w:rsidRDefault="008614BA" w:rsidP="0082260D">
      <w:pPr>
        <w:pStyle w:val="BodyText"/>
        <w:rPr>
          <w:i/>
          <w:iCs/>
        </w:rPr>
      </w:pPr>
      <w:r w:rsidRPr="008614BA">
        <w:rPr>
          <w:i/>
          <w:iCs/>
        </w:rPr>
        <w:t>This page intentionally left blank.</w:t>
      </w:r>
    </w:p>
    <w:bookmarkEnd w:id="184"/>
    <w:p w14:paraId="08BEC5D3" w14:textId="77777777" w:rsidR="00D10CF6" w:rsidRPr="00C7743B" w:rsidRDefault="00D10CF6" w:rsidP="00C7743B">
      <w:pPr>
        <w:rPr>
          <w:i/>
        </w:rPr>
      </w:pPr>
    </w:p>
    <w:p w14:paraId="19B7E228" w14:textId="77777777" w:rsidR="00925217" w:rsidRPr="00925217" w:rsidRDefault="00925217" w:rsidP="00925217">
      <w:pPr>
        <w:sectPr w:rsidR="00925217" w:rsidRPr="00925217" w:rsidSect="00AD6FE2">
          <w:headerReference w:type="even" r:id="rId29"/>
          <w:headerReference w:type="default" r:id="rId30"/>
          <w:footerReference w:type="even" r:id="rId31"/>
          <w:headerReference w:type="first" r:id="rId32"/>
          <w:footerReference w:type="first" r:id="rId33"/>
          <w:pgSz w:w="12240" w:h="15840" w:code="1"/>
          <w:pgMar w:top="2376" w:right="1440" w:bottom="1440" w:left="1440" w:header="720" w:footer="720" w:gutter="0"/>
          <w:cols w:space="720"/>
          <w:noEndnote/>
        </w:sectPr>
      </w:pPr>
    </w:p>
    <w:p w14:paraId="3E6BDC57" w14:textId="77777777" w:rsidR="00D10CF6" w:rsidRDefault="00D10CF6" w:rsidP="00D10CF6">
      <w:pPr>
        <w:pStyle w:val="Heading1"/>
      </w:pPr>
      <w:bookmarkStart w:id="246" w:name="_Toc149033024"/>
      <w:bookmarkStart w:id="247" w:name="_Toc119297835"/>
      <w:bookmarkStart w:id="248" w:name="_Toc90882174"/>
      <w:r>
        <w:t>References</w:t>
      </w:r>
      <w:bookmarkEnd w:id="246"/>
      <w:bookmarkEnd w:id="248"/>
    </w:p>
    <w:bookmarkEnd w:id="247"/>
    <w:p w14:paraId="4AF0DE34" w14:textId="77777777" w:rsidR="0083543E" w:rsidRDefault="0083543E" w:rsidP="00F97727">
      <w:pPr>
        <w:pStyle w:val="Reference"/>
      </w:pPr>
      <w:r>
        <w:t xml:space="preserve">AECOM. 2015, May. Airport Layout Plan Drawing Set. </w:t>
      </w:r>
      <w:r w:rsidRPr="0083543E">
        <w:t>https://planning.lacounty.gov/assets/upl/project/aluc_elmonte-plan.pdf</w:t>
      </w:r>
      <w:r>
        <w:t>.</w:t>
      </w:r>
    </w:p>
    <w:p w14:paraId="1589609D" w14:textId="77777777" w:rsidR="008F04EB" w:rsidRPr="008F04EB" w:rsidRDefault="008F04EB" w:rsidP="008F04EB">
      <w:pPr>
        <w:pStyle w:val="Reference"/>
        <w:rPr>
          <w:rFonts w:cs="Garamond"/>
          <w:szCs w:val="22"/>
        </w:rPr>
      </w:pPr>
      <w:r>
        <w:t>Bol, Raymond</w:t>
      </w:r>
      <w:r w:rsidRPr="007B34B1">
        <w:t xml:space="preserve"> </w:t>
      </w:r>
      <w:r w:rsidRPr="009F0833">
        <w:t>(</w:t>
      </w:r>
      <w:r w:rsidR="00B32144">
        <w:t>i</w:t>
      </w:r>
      <w:r w:rsidR="00B32144" w:rsidRPr="008F04EB">
        <w:t>ndustrial account manager</w:t>
      </w:r>
      <w:r w:rsidRPr="009F0833">
        <w:t xml:space="preserve">). 2021, June </w:t>
      </w:r>
      <w:r>
        <w:t>8. Email</w:t>
      </w:r>
      <w:r w:rsidRPr="009F0833">
        <w:t xml:space="preserve"> Response. </w:t>
      </w:r>
      <w:r>
        <w:t>Waste Management Inc</w:t>
      </w:r>
      <w:r w:rsidRPr="009F0833">
        <w:t>.</w:t>
      </w:r>
    </w:p>
    <w:p w14:paraId="524C13D7" w14:textId="77777777" w:rsidR="00F97727" w:rsidRDefault="00F97727" w:rsidP="00F97727">
      <w:pPr>
        <w:pStyle w:val="Reference"/>
      </w:pPr>
      <w:bookmarkStart w:id="249" w:name="_Hlk75686974"/>
      <w:r w:rsidRPr="00602EBE">
        <w:t xml:space="preserve">California </w:t>
      </w:r>
      <w:r>
        <w:t>Department of Fish and Wildlife (CDFW)</w:t>
      </w:r>
      <w:bookmarkStart w:id="250" w:name="_Hlk497735227"/>
      <w:r>
        <w:t xml:space="preserve">. </w:t>
      </w:r>
      <w:r w:rsidRPr="00602EBE">
        <w:t>20</w:t>
      </w:r>
      <w:r>
        <w:t>21</w:t>
      </w:r>
      <w:r w:rsidRPr="00602EBE">
        <w:t xml:space="preserve">. </w:t>
      </w:r>
      <w:r w:rsidRPr="00F97727">
        <w:t>Biogeographic Information and Observation System (BIOS)</w:t>
      </w:r>
      <w:r w:rsidRPr="00602EBE">
        <w:t xml:space="preserve">. </w:t>
      </w:r>
      <w:r w:rsidR="00AE1157" w:rsidRPr="00AE1157">
        <w:t>https://apps.wildlife.ca.gov/bios/</w:t>
      </w:r>
      <w:r w:rsidRPr="00602EBE">
        <w:t>.</w:t>
      </w:r>
      <w:bookmarkEnd w:id="250"/>
    </w:p>
    <w:bookmarkEnd w:id="249"/>
    <w:p w14:paraId="4BA210C5" w14:textId="77777777" w:rsidR="00AE1157" w:rsidRDefault="00AE1157" w:rsidP="00AE1157">
      <w:pPr>
        <w:pStyle w:val="Reference"/>
      </w:pPr>
      <w:r w:rsidRPr="00617ACC">
        <w:t>———. 2019, April. California Regional Conservation Plans. https://nrm.dfg.ca.gov/FileHandler.ashx?DocumentID=68626&amp;inline.</w:t>
      </w:r>
    </w:p>
    <w:p w14:paraId="236A4476" w14:textId="77777777" w:rsidR="006738BE" w:rsidRDefault="006738BE" w:rsidP="006738BE">
      <w:pPr>
        <w:pStyle w:val="Reference"/>
      </w:pPr>
      <w:r w:rsidRPr="00E66005">
        <w:t xml:space="preserve">———. </w:t>
      </w:r>
      <w:r w:rsidR="00135002">
        <w:t xml:space="preserve">2015. </w:t>
      </w:r>
      <w:r w:rsidRPr="00E66005">
        <w:t>SWAP Final 2015 Document: Chapter 11. Glossary. https://www.wildlife.ca.gov/swap/final.</w:t>
      </w:r>
    </w:p>
    <w:p w14:paraId="3ED1361D" w14:textId="77777777" w:rsidR="00F65898" w:rsidRPr="00696645" w:rsidRDefault="00F65898" w:rsidP="00F65898">
      <w:pPr>
        <w:pStyle w:val="Reference"/>
      </w:pPr>
      <w:r w:rsidRPr="009969D2">
        <w:t>California Department of Forestry and Fire Prevention (CAL</w:t>
      </w:r>
      <w:r w:rsidR="00944B91">
        <w:t xml:space="preserve"> </w:t>
      </w:r>
      <w:r w:rsidRPr="009969D2">
        <w:t xml:space="preserve">FIRE). </w:t>
      </w:r>
      <w:r>
        <w:t>20</w:t>
      </w:r>
      <w:r w:rsidR="00FA2525">
        <w:t>2</w:t>
      </w:r>
      <w:r>
        <w:t xml:space="preserve">1. </w:t>
      </w:r>
      <w:r w:rsidR="00FA2525">
        <w:t>FHSV Viewer</w:t>
      </w:r>
      <w:r w:rsidRPr="00AC5B8D">
        <w:t xml:space="preserve">. </w:t>
      </w:r>
      <w:r w:rsidR="00FA2525" w:rsidRPr="00FA2525">
        <w:t>https://egis.fire.ca.gov/FHSZ/</w:t>
      </w:r>
      <w:r w:rsidR="00FA2525">
        <w:t xml:space="preserve">. </w:t>
      </w:r>
    </w:p>
    <w:p w14:paraId="7B15C8CE" w14:textId="77777777" w:rsidR="00786D9A" w:rsidRPr="00696645" w:rsidRDefault="00786D9A" w:rsidP="00786D9A">
      <w:pPr>
        <w:pStyle w:val="Reference"/>
      </w:pPr>
      <w:r w:rsidRPr="00696645">
        <w:t>California Department of Resources Recycling and Recovery (CalRecycle). 2019a. Jurisdiction Disposal and Alternative Daily Cover (ADC) Tons by Facility. https://www2.calrecycle.ca.gov/LGCentral/DisposalReporting/Destination/DisposalByFacility.</w:t>
      </w:r>
    </w:p>
    <w:p w14:paraId="0DC5719D" w14:textId="77777777" w:rsidR="00786D9A" w:rsidRPr="00617ACC" w:rsidRDefault="00786D9A" w:rsidP="00786D9A">
      <w:pPr>
        <w:pStyle w:val="Reference"/>
      </w:pPr>
      <w:r w:rsidRPr="00696645">
        <w:t xml:space="preserve">———.2019b. SWIS Facility Detail </w:t>
      </w:r>
      <w:r w:rsidR="00696645" w:rsidRPr="00696645">
        <w:t>–</w:t>
      </w:r>
      <w:r w:rsidRPr="00696645">
        <w:t xml:space="preserve"> </w:t>
      </w:r>
      <w:r w:rsidR="00696645" w:rsidRPr="00696645">
        <w:t>Simi Valley Landfill &amp; Recycling Center (56-AA-0007). https://www2.calrecycle.ca.gov/SolidWaste/SiteActivity/Details/608?siteID=3954</w:t>
      </w:r>
      <w:r w:rsidRPr="00696645">
        <w:t>.</w:t>
      </w:r>
    </w:p>
    <w:p w14:paraId="6AA4415D" w14:textId="77777777" w:rsidR="00786D9A" w:rsidRPr="00617ACC" w:rsidRDefault="00786D9A" w:rsidP="00786D9A">
      <w:pPr>
        <w:pStyle w:val="Reference"/>
      </w:pPr>
      <w:r w:rsidRPr="00617ACC">
        <w:t xml:space="preserve">———.2019c. SWIS Facility Detail - </w:t>
      </w:r>
      <w:r w:rsidR="00530227" w:rsidRPr="00530227">
        <w:t>El Sobrante Landfill (33-AA-0217)</w:t>
      </w:r>
      <w:r w:rsidRPr="00617ACC">
        <w:t xml:space="preserve">. </w:t>
      </w:r>
      <w:r w:rsidR="00530227" w:rsidRPr="00530227">
        <w:t>https://www2.calrecycle.ca.gov/SolidWaste/SiteActivity/Details/2280?siteID=2402</w:t>
      </w:r>
      <w:r w:rsidRPr="00617ACC">
        <w:t>.</w:t>
      </w:r>
    </w:p>
    <w:p w14:paraId="3A6C88DE" w14:textId="77777777" w:rsidR="00786D9A" w:rsidRDefault="00786D9A" w:rsidP="00786D9A">
      <w:pPr>
        <w:pStyle w:val="Reference"/>
      </w:pPr>
      <w:r w:rsidRPr="00224D46">
        <w:t>———.2019</w:t>
      </w:r>
      <w:r w:rsidR="00696645">
        <w:t>d</w:t>
      </w:r>
      <w:r w:rsidRPr="00224D46">
        <w:t xml:space="preserve">. Landfill Tonnage Reports. </w:t>
      </w:r>
      <w:r w:rsidR="00E10CDF" w:rsidRPr="00E10CDF">
        <w:t>https://www2.calrecycle.ca.gov/LandfillTipFees/</w:t>
      </w:r>
      <w:r w:rsidRPr="00224D46">
        <w:t>.</w:t>
      </w:r>
    </w:p>
    <w:p w14:paraId="70CB7EB1" w14:textId="77777777" w:rsidR="00E10CDF" w:rsidRDefault="00E10CDF" w:rsidP="00786D9A">
      <w:pPr>
        <w:pStyle w:val="Reference"/>
      </w:pPr>
      <w:r w:rsidRPr="00224D46">
        <w:t>———.2019</w:t>
      </w:r>
      <w:r w:rsidR="00696645">
        <w:t>e</w:t>
      </w:r>
      <w:r w:rsidRPr="00224D46">
        <w:t xml:space="preserve">. </w:t>
      </w:r>
      <w:r w:rsidRPr="00E10CDF">
        <w:t>Estimated Solid Waste Generation Rates</w:t>
      </w:r>
      <w:r>
        <w:t xml:space="preserve">. </w:t>
      </w:r>
      <w:r w:rsidRPr="00E10CDF">
        <w:t>https://www2.calrecycle.ca.gov/WasteCharacterization/General/Rates</w:t>
      </w:r>
      <w:r>
        <w:t>.</w:t>
      </w:r>
    </w:p>
    <w:p w14:paraId="49C84888" w14:textId="77777777" w:rsidR="007B20C3" w:rsidRDefault="009941A1" w:rsidP="009941A1">
      <w:pPr>
        <w:pStyle w:val="Reference"/>
      </w:pPr>
      <w:r w:rsidRPr="00617ACC">
        <w:t>California Department of Transportation (Caltrans). 20</w:t>
      </w:r>
      <w:r>
        <w:t>21</w:t>
      </w:r>
      <w:r w:rsidRPr="00617ACC">
        <w:t xml:space="preserve">. California </w:t>
      </w:r>
      <w:r>
        <w:t xml:space="preserve">State </w:t>
      </w:r>
      <w:r w:rsidRPr="00617ACC">
        <w:t>Scenic Highway</w:t>
      </w:r>
      <w:r>
        <w:t>s</w:t>
      </w:r>
      <w:r w:rsidRPr="00617ACC">
        <w:t xml:space="preserve">. </w:t>
      </w:r>
      <w:r w:rsidR="00A046A2" w:rsidRPr="00A046A2">
        <w:t>https://dot.ca.gov/programs/design/lap-landscape-architecture-and-community-livability/lap-liv-i-scenic-highways</w:t>
      </w:r>
      <w:r w:rsidRPr="00617ACC">
        <w:t>.</w:t>
      </w:r>
    </w:p>
    <w:p w14:paraId="2393698B" w14:textId="77777777" w:rsidR="00A046A2" w:rsidRDefault="00A046A2" w:rsidP="009941A1">
      <w:pPr>
        <w:pStyle w:val="Reference"/>
      </w:pPr>
      <w:r w:rsidRPr="00224D46">
        <w:t>———.</w:t>
      </w:r>
      <w:r>
        <w:rPr>
          <w:szCs w:val="22"/>
        </w:rPr>
        <w:t xml:space="preserve">2013. </w:t>
      </w:r>
      <w:r w:rsidRPr="00DA769E">
        <w:rPr>
          <w:i/>
          <w:szCs w:val="22"/>
        </w:rPr>
        <w:t>Technical Noise Supplement (“TeNS”)</w:t>
      </w:r>
      <w:r w:rsidRPr="00DA769E">
        <w:rPr>
          <w:szCs w:val="22"/>
        </w:rPr>
        <w:t xml:space="preserve">. Prepared by ICF International. </w:t>
      </w:r>
      <w:r>
        <w:rPr>
          <w:rFonts w:cs="Garamond"/>
          <w:szCs w:val="22"/>
        </w:rPr>
        <w:t>City of Irwindale Municipal Code.</w:t>
      </w:r>
    </w:p>
    <w:p w14:paraId="6944AEB1" w14:textId="77777777" w:rsidR="007C161D" w:rsidRDefault="007C161D" w:rsidP="007C161D">
      <w:pPr>
        <w:pStyle w:val="Reference"/>
      </w:pPr>
      <w:bookmarkStart w:id="251" w:name="_Hlk527704124"/>
      <w:r>
        <w:t xml:space="preserve">California </w:t>
      </w:r>
      <w:r w:rsidRPr="0062493A">
        <w:t xml:space="preserve">Department of Water Resources (DWR). </w:t>
      </w:r>
      <w:bookmarkEnd w:id="251"/>
      <w:r>
        <w:t xml:space="preserve">2021. California Irrigation Management Information System. </w:t>
      </w:r>
      <w:r w:rsidRPr="007C161D">
        <w:t>https://cimis.water.ca.gov/Default.aspx</w:t>
      </w:r>
      <w:r>
        <w:t xml:space="preserve">. </w:t>
      </w:r>
    </w:p>
    <w:p w14:paraId="0AEEBB28" w14:textId="77777777" w:rsidR="00FA2525" w:rsidRDefault="007C161D" w:rsidP="00FA2525">
      <w:pPr>
        <w:pStyle w:val="Reference"/>
      </w:pPr>
      <w:r w:rsidRPr="00617ACC">
        <w:t>———.</w:t>
      </w:r>
      <w:r w:rsidR="00B32144">
        <w:t xml:space="preserve"> </w:t>
      </w:r>
      <w:r w:rsidRPr="0062493A">
        <w:t xml:space="preserve">2017, June </w:t>
      </w:r>
      <w:r w:rsidRPr="00224D46">
        <w:t xml:space="preserve">13. Water Budget Workbook for New and Rehabilitated Non-Residential Landscapes. </w:t>
      </w:r>
      <w:r w:rsidR="003C35DD" w:rsidRPr="003C35DD">
        <w:t>https://www.google.com/search?q=Water+Budget+Workbook+for+New+and+Rehabilitated+Non-Residential+Landscapes.&amp;oq=Water+Budget+Workbook+for+New+and+Rehabilitated</w:t>
      </w:r>
      <w:r w:rsidRPr="00224D46">
        <w:t>+</w:t>
      </w:r>
      <w:r w:rsidR="003C35DD">
        <w:t xml:space="preserve"> </w:t>
      </w:r>
      <w:r w:rsidRPr="00224D46">
        <w:t xml:space="preserve">Non-Residential+Landscapes.&amp;aqs=chrome..69i57.622j0j9&amp;sourceid=chrome&amp;ie=UTF-8. </w:t>
      </w:r>
    </w:p>
    <w:p w14:paraId="038EB4DE" w14:textId="77777777" w:rsidR="00B32144" w:rsidRDefault="00B32144" w:rsidP="00B32144">
      <w:pPr>
        <w:pStyle w:val="Reference"/>
      </w:pPr>
      <w:bookmarkStart w:id="252" w:name="_Hlk4591073"/>
      <w:bookmarkStart w:id="253" w:name="_Hlk78709776"/>
      <w:r w:rsidRPr="00617ACC">
        <w:rPr>
          <w:rFonts w:cs="Garamond"/>
          <w:szCs w:val="22"/>
        </w:rPr>
        <w:t>California Division of Oil, Gas, and Geothermal Resources</w:t>
      </w:r>
      <w:r>
        <w:rPr>
          <w:rFonts w:cs="Garamond"/>
          <w:szCs w:val="22"/>
        </w:rPr>
        <w:t xml:space="preserve"> (DOGGR). 2021, July 3 (accessed). Well Finder. </w:t>
      </w:r>
      <w:r w:rsidRPr="00944B91">
        <w:rPr>
          <w:rFonts w:cs="Garamond"/>
          <w:szCs w:val="22"/>
        </w:rPr>
        <w:t>https://maps.conservation.ca.gov/doggr/wellfinder/#close</w:t>
      </w:r>
      <w:r>
        <w:rPr>
          <w:rFonts w:cs="Garamond"/>
          <w:szCs w:val="22"/>
        </w:rPr>
        <w:t>.</w:t>
      </w:r>
    </w:p>
    <w:p w14:paraId="14BD5921" w14:textId="77777777" w:rsidR="007B20C3" w:rsidRDefault="007B20C3" w:rsidP="009941A1">
      <w:pPr>
        <w:pStyle w:val="Reference"/>
      </w:pPr>
      <w:r w:rsidRPr="007B20C3">
        <w:t>California Employment Development Department (EDD). 202, June1. Unemployment Rate and Labor Force: Current Month Unemployment Rate and Labor Force Summary. https://www.labormarketinfo.edd.ca.gov/data/unemployment-and-labor-force.html.</w:t>
      </w:r>
    </w:p>
    <w:p w14:paraId="3F110E78" w14:textId="77777777" w:rsidR="009941A1" w:rsidRDefault="009941A1" w:rsidP="009941A1">
      <w:pPr>
        <w:pStyle w:val="Reference"/>
      </w:pPr>
      <w:r w:rsidRPr="00CA2DBB">
        <w:t>California Energy Commission (CEC). 2018, January 1. The California Energy Demand 2018-2030 Revised Forecast.</w:t>
      </w:r>
      <w:r>
        <w:t xml:space="preserve"> </w:t>
      </w:r>
      <w:r w:rsidR="007002B8" w:rsidRPr="007002B8">
        <w:t>https://www.energy.ca.gov/data-reports/reports/integrated-energy-policy-report/2017-integrated-energy-policy-report/2017-iepr</w:t>
      </w:r>
      <w:r w:rsidRPr="00CA2DBB">
        <w:t>.</w:t>
      </w:r>
      <w:bookmarkEnd w:id="252"/>
    </w:p>
    <w:bookmarkEnd w:id="253"/>
    <w:p w14:paraId="0C64F660" w14:textId="77777777" w:rsidR="003D7E68" w:rsidRPr="00617ACC" w:rsidRDefault="003D7E68" w:rsidP="003D7E68">
      <w:pPr>
        <w:pStyle w:val="Reference"/>
      </w:pPr>
      <w:r w:rsidRPr="00617ACC">
        <w:t>California Geological Survey (CGS). 2015</w:t>
      </w:r>
      <w:r>
        <w:t>a</w:t>
      </w:r>
      <w:r w:rsidRPr="00617ACC">
        <w:t>. CGS Information Warehouse: Regulatory Maps. http://maps.conservation.ca.gov/cgs/informationwarehouse/index.html?map=regulatorymaps.</w:t>
      </w:r>
    </w:p>
    <w:p w14:paraId="184C801E" w14:textId="77777777" w:rsidR="003D7E68" w:rsidRDefault="003D7E68" w:rsidP="003D7E68">
      <w:pPr>
        <w:pStyle w:val="Reference"/>
      </w:pPr>
      <w:r w:rsidRPr="00617ACC">
        <w:t>———. 201</w:t>
      </w:r>
      <w:r>
        <w:t>5b</w:t>
      </w:r>
      <w:r w:rsidRPr="00617ACC">
        <w:t xml:space="preserve">. Fault Activity Map of California. </w:t>
      </w:r>
      <w:r w:rsidR="00055E19" w:rsidRPr="00055E19">
        <w:t>http://maps.conservation.ca.gov/cgs/fam/</w:t>
      </w:r>
      <w:r w:rsidRPr="00617ACC">
        <w:t>.</w:t>
      </w:r>
    </w:p>
    <w:p w14:paraId="49DBBE10" w14:textId="77777777" w:rsidR="00055E19" w:rsidRDefault="00055E19" w:rsidP="00055E19">
      <w:pPr>
        <w:pStyle w:val="Reference"/>
      </w:pPr>
      <w:r w:rsidRPr="00617ACC">
        <w:t xml:space="preserve">———. </w:t>
      </w:r>
      <w:r>
        <w:t>2010</w:t>
      </w:r>
      <w:r w:rsidRPr="00617ACC">
        <w:t xml:space="preserve">. </w:t>
      </w:r>
      <w:r>
        <w:t>San Gabriel Valley P-C Region Showing MRZ-2 Areas and Active Open Mine Operations.</w:t>
      </w:r>
      <w:r w:rsidRPr="00055E19">
        <w:t xml:space="preserve"> </w:t>
      </w:r>
    </w:p>
    <w:p w14:paraId="0E174A60" w14:textId="77777777" w:rsidR="007B20C3" w:rsidRDefault="007B20C3" w:rsidP="004C0D38">
      <w:pPr>
        <w:pStyle w:val="Reference"/>
        <w:rPr>
          <w:szCs w:val="22"/>
        </w:rPr>
      </w:pPr>
      <w:r w:rsidRPr="007B20C3">
        <w:rPr>
          <w:szCs w:val="22"/>
        </w:rPr>
        <w:t>California Stormwater Quality Association. December 2019. Stormwater Best Management Practice Handbook, Construction.</w:t>
      </w:r>
    </w:p>
    <w:p w14:paraId="2E8D0132" w14:textId="77777777" w:rsidR="004C0886" w:rsidRPr="004C0D38" w:rsidRDefault="004A04F7" w:rsidP="004C0D38">
      <w:pPr>
        <w:pStyle w:val="Reference"/>
        <w:rPr>
          <w:szCs w:val="22"/>
        </w:rPr>
      </w:pPr>
      <w:r w:rsidRPr="00726ABD">
        <w:rPr>
          <w:szCs w:val="22"/>
        </w:rPr>
        <w:t>Division of Land Resource Protection (DLRP). 2016. California Important Farmland Finder. California Department of Conservation</w:t>
      </w:r>
      <w:r>
        <w:rPr>
          <w:szCs w:val="22"/>
        </w:rPr>
        <w:t>.</w:t>
      </w:r>
      <w:r w:rsidRPr="00643257">
        <w:rPr>
          <w:szCs w:val="22"/>
        </w:rPr>
        <w:t xml:space="preserve"> https://maps.conservation.ca.gov/dlrp/ciff/</w:t>
      </w:r>
      <w:r>
        <w:rPr>
          <w:szCs w:val="22"/>
        </w:rPr>
        <w:t>.</w:t>
      </w:r>
    </w:p>
    <w:p w14:paraId="7273971B" w14:textId="77777777" w:rsidR="004C0886" w:rsidRDefault="004C0886" w:rsidP="004C0886">
      <w:pPr>
        <w:pStyle w:val="Reference"/>
        <w:rPr>
          <w:rFonts w:cs="Garamond"/>
          <w:szCs w:val="22"/>
        </w:rPr>
      </w:pPr>
      <w:r w:rsidRPr="004C0886">
        <w:t>Dowaliby</w:t>
      </w:r>
      <w:r>
        <w:t xml:space="preserve">, </w:t>
      </w:r>
      <w:r w:rsidRPr="004C0886">
        <w:t xml:space="preserve">Stephen </w:t>
      </w:r>
      <w:r w:rsidRPr="009F0833">
        <w:t>(</w:t>
      </w:r>
      <w:r w:rsidRPr="004C0886">
        <w:t>Environmental Protection Specialist</w:t>
      </w:r>
      <w:r w:rsidRPr="009F0833">
        <w:t xml:space="preserve">). 2021, June </w:t>
      </w:r>
      <w:r>
        <w:t xml:space="preserve">4. </w:t>
      </w:r>
      <w:r w:rsidR="004C0D38">
        <w:t>Email Response</w:t>
      </w:r>
      <w:r w:rsidRPr="009F0833">
        <w:t xml:space="preserve">. </w:t>
      </w:r>
      <w:r>
        <w:t>Waste Management Inc El Sobrante Landfill</w:t>
      </w:r>
      <w:r w:rsidRPr="009F0833">
        <w:t>.</w:t>
      </w:r>
    </w:p>
    <w:p w14:paraId="5778CCA3" w14:textId="77777777" w:rsidR="007E02EE" w:rsidRDefault="007E02EE" w:rsidP="007E02EE">
      <w:pPr>
        <w:pStyle w:val="Reference"/>
        <w:rPr>
          <w:rFonts w:cs="Garamond"/>
          <w:szCs w:val="22"/>
        </w:rPr>
      </w:pPr>
      <w:r w:rsidRPr="00617ACC">
        <w:rPr>
          <w:rFonts w:cs="Garamond"/>
          <w:szCs w:val="22"/>
        </w:rPr>
        <w:t>Federal Emergency Management Agency (FEMA). 2008, September</w:t>
      </w:r>
      <w:r>
        <w:rPr>
          <w:rFonts w:cs="Garamond"/>
          <w:szCs w:val="22"/>
        </w:rPr>
        <w:t xml:space="preserve"> 26</w:t>
      </w:r>
      <w:r w:rsidRPr="00617ACC">
        <w:rPr>
          <w:rFonts w:cs="Garamond"/>
          <w:szCs w:val="22"/>
        </w:rPr>
        <w:t xml:space="preserve">. FEMA Flood Map Service Center. </w:t>
      </w:r>
      <w:r w:rsidR="0059007F" w:rsidRPr="0059007F">
        <w:rPr>
          <w:rFonts w:cs="Garamond"/>
          <w:szCs w:val="22"/>
        </w:rPr>
        <w:t>https://msc.fema.gov/portal/search?AddressQuery=4416%20Azusa%20Canyon%20Road%2C%20Irwindale%2C%20CA#searchresultsanchor</w:t>
      </w:r>
      <w:r w:rsidRPr="00617ACC">
        <w:rPr>
          <w:rFonts w:cs="Garamond"/>
          <w:szCs w:val="22"/>
        </w:rPr>
        <w:t>.</w:t>
      </w:r>
    </w:p>
    <w:p w14:paraId="504F5D5C" w14:textId="77777777" w:rsidR="0059007F" w:rsidRPr="0059007F" w:rsidRDefault="0059007F" w:rsidP="0059007F">
      <w:pPr>
        <w:pStyle w:val="Reference"/>
      </w:pPr>
      <w:r w:rsidRPr="00DA769E">
        <w:t xml:space="preserve">Federal Highway Administration. 2006. </w:t>
      </w:r>
      <w:r w:rsidRPr="00DA769E">
        <w:rPr>
          <w:i/>
        </w:rPr>
        <w:t>Roadway Construction Noise Model (RCNM)</w:t>
      </w:r>
      <w:r>
        <w:rPr>
          <w:i/>
        </w:rPr>
        <w:t>.</w:t>
      </w:r>
      <w:r>
        <w:t xml:space="preserve"> </w:t>
      </w:r>
    </w:p>
    <w:p w14:paraId="0FBD6B97" w14:textId="77777777" w:rsidR="0059007F" w:rsidRPr="0059007F" w:rsidRDefault="0059007F" w:rsidP="0059007F">
      <w:pPr>
        <w:pStyle w:val="Reference"/>
      </w:pPr>
      <w:r w:rsidRPr="004E2194">
        <w:t>Federal Tr</w:t>
      </w:r>
      <w:r>
        <w:t>ansit Administration. 2018, September</w:t>
      </w:r>
      <w:r w:rsidRPr="004E2194">
        <w:t xml:space="preserve">. </w:t>
      </w:r>
      <w:r w:rsidRPr="007F7EB3">
        <w:rPr>
          <w:i/>
        </w:rPr>
        <w:t>Transit Noise and Vibration Impact Assessment Manual</w:t>
      </w:r>
      <w:r w:rsidRPr="007F7EB3">
        <w:t xml:space="preserve">. </w:t>
      </w:r>
      <w:r>
        <w:t xml:space="preserve">US </w:t>
      </w:r>
      <w:r w:rsidRPr="004E2194">
        <w:t xml:space="preserve">Department of Transportation. </w:t>
      </w:r>
    </w:p>
    <w:p w14:paraId="02B5713C" w14:textId="6915969C" w:rsidR="00E13ADA" w:rsidRDefault="00E13ADA" w:rsidP="00772C91">
      <w:pPr>
        <w:pStyle w:val="Reference"/>
        <w:rPr>
          <w:rFonts w:cs="Garamond"/>
          <w:szCs w:val="22"/>
        </w:rPr>
      </w:pPr>
      <w:r>
        <w:rPr>
          <w:rFonts w:cs="Garamond"/>
          <w:szCs w:val="22"/>
        </w:rPr>
        <w:t xml:space="preserve">Fraijo, John (police lieutenant). </w:t>
      </w:r>
      <w:r w:rsidRPr="00E13ADA">
        <w:rPr>
          <w:rFonts w:cs="Garamond"/>
          <w:szCs w:val="22"/>
        </w:rPr>
        <w:t xml:space="preserve">2021, June </w:t>
      </w:r>
      <w:r>
        <w:rPr>
          <w:rFonts w:cs="Garamond"/>
          <w:szCs w:val="22"/>
        </w:rPr>
        <w:t>30</w:t>
      </w:r>
      <w:r w:rsidRPr="00E13ADA">
        <w:rPr>
          <w:rFonts w:cs="Garamond"/>
          <w:szCs w:val="22"/>
        </w:rPr>
        <w:t xml:space="preserve">. Email Response. </w:t>
      </w:r>
      <w:r>
        <w:rPr>
          <w:rFonts w:cs="Garamond"/>
          <w:szCs w:val="22"/>
        </w:rPr>
        <w:t>Irwindale Police Department</w:t>
      </w:r>
      <w:r w:rsidRPr="00E13ADA">
        <w:rPr>
          <w:rFonts w:cs="Garamond"/>
          <w:szCs w:val="22"/>
        </w:rPr>
        <w:t>.</w:t>
      </w:r>
    </w:p>
    <w:p w14:paraId="70D5392C" w14:textId="181F4562" w:rsidR="006F03A6" w:rsidRDefault="00EE3F38" w:rsidP="00772C91">
      <w:pPr>
        <w:pStyle w:val="Reference"/>
        <w:rPr>
          <w:rFonts w:cs="Garamond"/>
          <w:szCs w:val="22"/>
        </w:rPr>
      </w:pPr>
      <w:r w:rsidRPr="00EE3F38">
        <w:rPr>
          <w:rFonts w:cs="Garamond"/>
          <w:szCs w:val="22"/>
        </w:rPr>
        <w:t>GAA Architects</w:t>
      </w:r>
      <w:r>
        <w:rPr>
          <w:rFonts w:cs="Garamond"/>
          <w:szCs w:val="22"/>
        </w:rPr>
        <w:t xml:space="preserve">. </w:t>
      </w:r>
      <w:r w:rsidRPr="00EE3F38">
        <w:rPr>
          <w:rFonts w:cs="Garamond"/>
          <w:szCs w:val="22"/>
        </w:rPr>
        <w:t>2021, June 14</w:t>
      </w:r>
      <w:r>
        <w:rPr>
          <w:rFonts w:cs="Garamond"/>
          <w:szCs w:val="22"/>
        </w:rPr>
        <w:t xml:space="preserve">. </w:t>
      </w:r>
      <w:r w:rsidRPr="00EE3F38">
        <w:rPr>
          <w:rFonts w:cs="Garamond"/>
          <w:szCs w:val="22"/>
        </w:rPr>
        <w:t>4th Plan Check Set</w:t>
      </w:r>
      <w:r>
        <w:rPr>
          <w:rFonts w:cs="Garamond"/>
          <w:szCs w:val="22"/>
        </w:rPr>
        <w:t>.</w:t>
      </w:r>
    </w:p>
    <w:p w14:paraId="3EFF4B77" w14:textId="77777777" w:rsidR="0059007F" w:rsidRDefault="00772C91" w:rsidP="00772C91">
      <w:pPr>
        <w:pStyle w:val="Reference"/>
        <w:rPr>
          <w:rFonts w:cs="Garamond"/>
          <w:szCs w:val="22"/>
        </w:rPr>
      </w:pPr>
      <w:r>
        <w:rPr>
          <w:rFonts w:cs="Garamond"/>
          <w:szCs w:val="22"/>
        </w:rPr>
        <w:t xml:space="preserve">Governor’s Office of Planning and Research (OPR). </w:t>
      </w:r>
      <w:r w:rsidR="0059007F" w:rsidRPr="0059007F">
        <w:rPr>
          <w:rFonts w:cs="Garamond"/>
          <w:szCs w:val="22"/>
        </w:rPr>
        <w:t>2017</w:t>
      </w:r>
      <w:r w:rsidR="0059007F">
        <w:rPr>
          <w:rFonts w:cs="Garamond"/>
          <w:szCs w:val="22"/>
        </w:rPr>
        <w:t>a</w:t>
      </w:r>
      <w:r w:rsidR="0059007F" w:rsidRPr="0059007F">
        <w:rPr>
          <w:rFonts w:cs="Garamond"/>
          <w:szCs w:val="22"/>
        </w:rPr>
        <w:t>. State of California General Plan Guidelines.</w:t>
      </w:r>
    </w:p>
    <w:p w14:paraId="62FEDF15" w14:textId="77777777" w:rsidR="007B20C3" w:rsidRDefault="0059007F" w:rsidP="00772C91">
      <w:pPr>
        <w:pStyle w:val="Reference"/>
        <w:rPr>
          <w:rFonts w:cs="Garamond"/>
          <w:szCs w:val="22"/>
        </w:rPr>
      </w:pPr>
      <w:r w:rsidRPr="00617ACC">
        <w:rPr>
          <w:rFonts w:cs="Garamond"/>
          <w:szCs w:val="22"/>
        </w:rPr>
        <w:t>———.</w:t>
      </w:r>
      <w:r>
        <w:rPr>
          <w:rFonts w:cs="Garamond"/>
          <w:szCs w:val="22"/>
        </w:rPr>
        <w:t xml:space="preserve"> </w:t>
      </w:r>
      <w:r w:rsidR="00772C91">
        <w:rPr>
          <w:rFonts w:cs="Garamond"/>
          <w:szCs w:val="22"/>
        </w:rPr>
        <w:t>2017</w:t>
      </w:r>
      <w:r>
        <w:rPr>
          <w:rFonts w:cs="Garamond"/>
          <w:szCs w:val="22"/>
        </w:rPr>
        <w:t>b</w:t>
      </w:r>
      <w:r w:rsidR="00772C91">
        <w:rPr>
          <w:rFonts w:cs="Garamond"/>
          <w:szCs w:val="22"/>
        </w:rPr>
        <w:t xml:space="preserve">, June. Technical Advisory - </w:t>
      </w:r>
      <w:r w:rsidR="00772C91" w:rsidRPr="00EB6309">
        <w:rPr>
          <w:rFonts w:cs="Garamond"/>
          <w:szCs w:val="22"/>
        </w:rPr>
        <w:t xml:space="preserve">AB 52 </w:t>
      </w:r>
      <w:r w:rsidR="00772C91">
        <w:rPr>
          <w:rFonts w:cs="Garamond"/>
          <w:szCs w:val="22"/>
        </w:rPr>
        <w:t xml:space="preserve">and Tribal Cultural Resources in </w:t>
      </w:r>
      <w:r w:rsidR="00772C91" w:rsidRPr="00EB6309">
        <w:rPr>
          <w:rFonts w:cs="Garamond"/>
          <w:szCs w:val="22"/>
        </w:rPr>
        <w:t>CEQA</w:t>
      </w:r>
      <w:r w:rsidR="00772C91">
        <w:rPr>
          <w:rFonts w:cs="Garamond"/>
          <w:szCs w:val="22"/>
        </w:rPr>
        <w:t xml:space="preserve">. </w:t>
      </w:r>
      <w:r w:rsidR="007B20C3" w:rsidRPr="007B20C3">
        <w:rPr>
          <w:rFonts w:cs="Garamond"/>
          <w:szCs w:val="22"/>
        </w:rPr>
        <w:t>https://opr.ca.gov/docs/20200224-AB_52_Technical_Advisory_Feb_2020.pdf</w:t>
      </w:r>
      <w:r w:rsidR="00772C91">
        <w:rPr>
          <w:rFonts w:cs="Garamond"/>
          <w:szCs w:val="22"/>
        </w:rPr>
        <w:t>.</w:t>
      </w:r>
    </w:p>
    <w:p w14:paraId="66C11413" w14:textId="77777777" w:rsidR="00B32144" w:rsidRDefault="00B32144" w:rsidP="00B32144">
      <w:pPr>
        <w:pStyle w:val="Reference"/>
      </w:pPr>
      <w:r>
        <w:t>Irwindale,</w:t>
      </w:r>
      <w:r w:rsidRPr="00B32144">
        <w:t xml:space="preserve"> </w:t>
      </w:r>
      <w:r w:rsidRPr="00923E9E">
        <w:t>City of</w:t>
      </w:r>
      <w:r>
        <w:t xml:space="preserve">. 2021, January. Active Transportation Plan. </w:t>
      </w:r>
      <w:r w:rsidRPr="009D457C">
        <w:t>https://www.irwindaleca.gov/DocumentCenter/View/6532/IrwindaleActiveTransportationPlan-012021?bidId=</w:t>
      </w:r>
      <w:r>
        <w:t>.</w:t>
      </w:r>
    </w:p>
    <w:p w14:paraId="182C08E0" w14:textId="77777777" w:rsidR="00B32144" w:rsidRDefault="00B32144" w:rsidP="00B32144">
      <w:pPr>
        <w:pStyle w:val="Reference"/>
      </w:pPr>
      <w:r w:rsidRPr="00617ACC">
        <w:rPr>
          <w:rFonts w:cs="Garamond"/>
          <w:szCs w:val="22"/>
        </w:rPr>
        <w:t>———.</w:t>
      </w:r>
      <w:r>
        <w:rPr>
          <w:rFonts w:cs="Garamond"/>
          <w:szCs w:val="22"/>
        </w:rPr>
        <w:t xml:space="preserve"> </w:t>
      </w:r>
      <w:r>
        <w:t xml:space="preserve">2020, April. Draft Environmental Impact Report, 13131 Los Angeles Street Industrial Project. </w:t>
      </w:r>
      <w:r w:rsidRPr="008B059D">
        <w:t>https://www.irwindaleca.gov/DocumentCenter/View/6076</w:t>
      </w:r>
      <w:r>
        <w:t>.</w:t>
      </w:r>
    </w:p>
    <w:p w14:paraId="6C5D4965" w14:textId="77777777" w:rsidR="00B32144" w:rsidRDefault="00B32144" w:rsidP="00B32144">
      <w:pPr>
        <w:pStyle w:val="Reference"/>
      </w:pPr>
      <w:r w:rsidRPr="00617ACC">
        <w:rPr>
          <w:rFonts w:cs="Garamond"/>
          <w:szCs w:val="22"/>
        </w:rPr>
        <w:t>———.</w:t>
      </w:r>
      <w:r>
        <w:rPr>
          <w:rFonts w:cs="Garamond"/>
          <w:szCs w:val="22"/>
        </w:rPr>
        <w:t xml:space="preserve"> </w:t>
      </w:r>
      <w:r>
        <w:t xml:space="preserve">2012, November 20. City of Irwindale 2012 Hazard Mitigation Plan. </w:t>
      </w:r>
      <w:r w:rsidRPr="00FD7BAC">
        <w:t>https://www.irwindaleca.gov/DocumentCenter/View/50/Irwindale-Hazmit-Plan-11-20-12---Website?bidId=</w:t>
      </w:r>
      <w:r>
        <w:t>.</w:t>
      </w:r>
    </w:p>
    <w:p w14:paraId="51D5A798" w14:textId="77777777" w:rsidR="00B32144" w:rsidRPr="00923E9E" w:rsidRDefault="00B32144" w:rsidP="00B32144">
      <w:pPr>
        <w:pStyle w:val="Reference"/>
      </w:pPr>
      <w:r w:rsidRPr="00617ACC">
        <w:rPr>
          <w:rFonts w:cs="Garamond"/>
          <w:szCs w:val="22"/>
        </w:rPr>
        <w:t>———.</w:t>
      </w:r>
      <w:r>
        <w:rPr>
          <w:rFonts w:cs="Garamond"/>
          <w:szCs w:val="22"/>
        </w:rPr>
        <w:t xml:space="preserve"> 2008. City of Irwindale General Plan Update. </w:t>
      </w:r>
      <w:r w:rsidRPr="00FD7BAC">
        <w:rPr>
          <w:rFonts w:cs="Garamond"/>
          <w:szCs w:val="22"/>
        </w:rPr>
        <w:t>https://www.irwindaleca.gov/DocumentCenter/View/38/General-Plan?bidId=</w:t>
      </w:r>
      <w:r>
        <w:rPr>
          <w:rFonts w:cs="Garamond"/>
          <w:szCs w:val="22"/>
        </w:rPr>
        <w:t>.</w:t>
      </w:r>
    </w:p>
    <w:p w14:paraId="0C8B4E75" w14:textId="77777777" w:rsidR="00081999" w:rsidRDefault="00081999" w:rsidP="00801B2A">
      <w:pPr>
        <w:pStyle w:val="Reference"/>
        <w:rPr>
          <w:rFonts w:cs="Garamond"/>
          <w:szCs w:val="22"/>
        </w:rPr>
      </w:pPr>
      <w:r>
        <w:rPr>
          <w:rFonts w:cs="Garamond"/>
          <w:szCs w:val="22"/>
        </w:rPr>
        <w:t>Los Angeles Conservancy (LAC), 2020. Preservation by City</w:t>
      </w:r>
      <w:r w:rsidR="00B32144">
        <w:rPr>
          <w:rFonts w:cs="Garamond"/>
          <w:szCs w:val="22"/>
        </w:rPr>
        <w:t>:</w:t>
      </w:r>
      <w:r>
        <w:rPr>
          <w:rFonts w:cs="Garamond"/>
          <w:szCs w:val="22"/>
        </w:rPr>
        <w:t xml:space="preserve"> </w:t>
      </w:r>
      <w:r w:rsidRPr="00081999">
        <w:rPr>
          <w:rFonts w:cs="Garamond"/>
          <w:szCs w:val="22"/>
        </w:rPr>
        <w:t>Irwindale</w:t>
      </w:r>
      <w:r>
        <w:rPr>
          <w:rFonts w:cs="Garamond"/>
          <w:szCs w:val="22"/>
        </w:rPr>
        <w:t xml:space="preserve">. </w:t>
      </w:r>
      <w:r w:rsidRPr="00081999">
        <w:rPr>
          <w:rFonts w:cs="Garamond"/>
          <w:szCs w:val="22"/>
        </w:rPr>
        <w:t>https://www.laconservancy.org/communities/irwindale</w:t>
      </w:r>
      <w:r>
        <w:rPr>
          <w:rFonts w:cs="Garamond"/>
          <w:szCs w:val="22"/>
        </w:rPr>
        <w:t>.</w:t>
      </w:r>
    </w:p>
    <w:p w14:paraId="574DA8FB" w14:textId="77777777" w:rsidR="00801B2A" w:rsidRPr="00801B2A" w:rsidRDefault="00801B2A" w:rsidP="00801B2A">
      <w:pPr>
        <w:pStyle w:val="Reference"/>
        <w:rPr>
          <w:rFonts w:cs="Garamond"/>
          <w:szCs w:val="22"/>
          <w:highlight w:val="yellow"/>
        </w:rPr>
      </w:pPr>
      <w:r w:rsidRPr="00617ACC">
        <w:rPr>
          <w:rFonts w:cs="Garamond"/>
          <w:szCs w:val="22"/>
        </w:rPr>
        <w:t>Los Angeles County Department of Regional Planning (DRP). 2019. Significant Ecological Areas Program. http://planning.lacounty.gov/site/sea/maps/.</w:t>
      </w:r>
    </w:p>
    <w:p w14:paraId="59589427" w14:textId="77777777" w:rsidR="00394404" w:rsidRDefault="00394404" w:rsidP="00EB6309">
      <w:pPr>
        <w:pStyle w:val="Reference"/>
        <w:rPr>
          <w:rFonts w:cs="Garamond"/>
          <w:szCs w:val="22"/>
        </w:rPr>
      </w:pPr>
      <w:r>
        <w:rPr>
          <w:rFonts w:cs="Garamond"/>
          <w:szCs w:val="22"/>
        </w:rPr>
        <w:t xml:space="preserve">Los Angeles County Office of the Assessor (LACOA). 2021, May 29 (accessed). Property Assessment Information System. </w:t>
      </w:r>
      <w:r w:rsidRPr="00394404">
        <w:rPr>
          <w:rFonts w:cs="Garamond"/>
          <w:szCs w:val="22"/>
        </w:rPr>
        <w:t>https://maps.assessor.lacounty.gov/m/</w:t>
      </w:r>
      <w:r>
        <w:rPr>
          <w:rFonts w:cs="Garamond"/>
          <w:szCs w:val="22"/>
        </w:rPr>
        <w:t>.</w:t>
      </w:r>
    </w:p>
    <w:p w14:paraId="36387662" w14:textId="77777777" w:rsidR="000C3688" w:rsidRDefault="00B32144" w:rsidP="002D5727">
      <w:pPr>
        <w:pStyle w:val="Reference"/>
        <w:rPr>
          <w:rFonts w:cs="Garamond"/>
          <w:szCs w:val="22"/>
        </w:rPr>
      </w:pPr>
      <w:r>
        <w:rPr>
          <w:rFonts w:cs="Garamond"/>
          <w:szCs w:val="22"/>
        </w:rPr>
        <w:t>McGrath, David</w:t>
      </w:r>
      <w:r w:rsidR="000C3688">
        <w:rPr>
          <w:rFonts w:cs="Garamond"/>
          <w:szCs w:val="22"/>
        </w:rPr>
        <w:t xml:space="preserve">. 2015, November 5. </w:t>
      </w:r>
      <w:r w:rsidR="002D5727" w:rsidRPr="002D5727">
        <w:rPr>
          <w:rFonts w:cs="Garamond"/>
          <w:szCs w:val="22"/>
        </w:rPr>
        <w:t>CEQA Baseline Can Consider Historic Levels of Use</w:t>
      </w:r>
      <w:r w:rsidR="00F179F1">
        <w:rPr>
          <w:rFonts w:cs="Garamond"/>
          <w:szCs w:val="22"/>
        </w:rPr>
        <w:t>:</w:t>
      </w:r>
      <w:r w:rsidR="00596D49">
        <w:rPr>
          <w:rFonts w:cs="Garamond"/>
          <w:szCs w:val="22"/>
        </w:rPr>
        <w:t xml:space="preserve"> </w:t>
      </w:r>
      <w:r w:rsidR="002D5727" w:rsidRPr="00B47074">
        <w:rPr>
          <w:rFonts w:cs="Garamond"/>
          <w:i/>
          <w:iCs/>
          <w:szCs w:val="22"/>
        </w:rPr>
        <w:t>North County Advocates v. City of Carlsbad</w:t>
      </w:r>
      <w:r w:rsidR="002D5727" w:rsidRPr="002D5727">
        <w:rPr>
          <w:rFonts w:cs="Garamond"/>
          <w:szCs w:val="22"/>
        </w:rPr>
        <w:t xml:space="preserve"> (2015)—Cal.App.4th—Case No. D066488</w:t>
      </w:r>
      <w:r w:rsidR="00F179F1">
        <w:rPr>
          <w:rFonts w:cs="Garamond"/>
          <w:szCs w:val="22"/>
        </w:rPr>
        <w:t>. Manatt.com.</w:t>
      </w:r>
      <w:r w:rsidR="002D5727" w:rsidRPr="002D5727">
        <w:rPr>
          <w:rFonts w:cs="Garamond"/>
          <w:szCs w:val="22"/>
        </w:rPr>
        <w:t xml:space="preserve"> </w:t>
      </w:r>
      <w:r w:rsidR="000C3688" w:rsidRPr="000C3688">
        <w:rPr>
          <w:rFonts w:cs="Garamond"/>
          <w:szCs w:val="22"/>
        </w:rPr>
        <w:t>https://www.manatt.com/insights/newsletters/real-estate-and-land-use/ceqa-baseline-can-consider-historic-levels-of-use</w:t>
      </w:r>
      <w:r w:rsidR="000C3688">
        <w:rPr>
          <w:rFonts w:cs="Garamond"/>
          <w:szCs w:val="22"/>
        </w:rPr>
        <w:t>.</w:t>
      </w:r>
    </w:p>
    <w:p w14:paraId="2F225BC1" w14:textId="77777777" w:rsidR="00973FAD" w:rsidRPr="00973FAD" w:rsidRDefault="00973FAD" w:rsidP="00973FAD">
      <w:pPr>
        <w:pStyle w:val="Reference"/>
        <w:rPr>
          <w:rFonts w:cs="Garamond"/>
          <w:szCs w:val="22"/>
        </w:rPr>
      </w:pPr>
      <w:r>
        <w:t>Meeka, Darenn</w:t>
      </w:r>
      <w:r w:rsidRPr="007B34B1">
        <w:t xml:space="preserve"> </w:t>
      </w:r>
      <w:r w:rsidRPr="009F0833">
        <w:t>(</w:t>
      </w:r>
      <w:r w:rsidR="00F179F1" w:rsidRPr="00973FAD">
        <w:t>deputy director</w:t>
      </w:r>
      <w:r w:rsidRPr="009F0833">
        <w:t xml:space="preserve">). 2021, June </w:t>
      </w:r>
      <w:r>
        <w:t>8. Telephone Conversation</w:t>
      </w:r>
      <w:r w:rsidRPr="009F0833">
        <w:t xml:space="preserve">. </w:t>
      </w:r>
      <w:r w:rsidRPr="00973FAD">
        <w:t>County of San Bernardino Solid Waste Management Division</w:t>
      </w:r>
      <w:r w:rsidRPr="009F0833">
        <w:t>.</w:t>
      </w:r>
    </w:p>
    <w:p w14:paraId="5426BFE6" w14:textId="77777777" w:rsidR="009F0833" w:rsidRDefault="007B34B1" w:rsidP="00772C91">
      <w:pPr>
        <w:pStyle w:val="Reference"/>
        <w:rPr>
          <w:rFonts w:cs="Garamond"/>
          <w:szCs w:val="22"/>
        </w:rPr>
      </w:pPr>
      <w:r w:rsidRPr="007B34B1">
        <w:t>Mortenson</w:t>
      </w:r>
      <w:r>
        <w:t>, Tom</w:t>
      </w:r>
      <w:r w:rsidRPr="007B34B1">
        <w:t xml:space="preserve"> </w:t>
      </w:r>
      <w:r w:rsidR="009F0833" w:rsidRPr="009F0833">
        <w:t>(</w:t>
      </w:r>
      <w:r w:rsidR="00F179F1">
        <w:t>operations and maintenance manager</w:t>
      </w:r>
      <w:r w:rsidR="009F0833" w:rsidRPr="009F0833">
        <w:t xml:space="preserve">). 2021, June 4. </w:t>
      </w:r>
      <w:r w:rsidR="004C0D38">
        <w:t>Email Response</w:t>
      </w:r>
      <w:r w:rsidR="009F0833" w:rsidRPr="009F0833">
        <w:t>. Valley County Water District.</w:t>
      </w:r>
    </w:p>
    <w:p w14:paraId="6D9CAAA7" w14:textId="77777777" w:rsidR="00B80612" w:rsidRPr="00B80612" w:rsidRDefault="00B80612" w:rsidP="00B80612">
      <w:pPr>
        <w:pStyle w:val="Reference"/>
      </w:pPr>
      <w:r>
        <w:t>NextGen Engineering. May 17, 2021. Hydrology and Detention for 4416 Azusa Canyon Rd. Irwindale, CA 91706.</w:t>
      </w:r>
    </w:p>
    <w:p w14:paraId="2E4BA92D" w14:textId="77777777" w:rsidR="00B96A21" w:rsidRDefault="00B96A21" w:rsidP="00772C91">
      <w:pPr>
        <w:pStyle w:val="Reference"/>
        <w:rPr>
          <w:rFonts w:cs="Garamond"/>
          <w:szCs w:val="22"/>
        </w:rPr>
      </w:pPr>
      <w:r>
        <w:rPr>
          <w:rFonts w:cs="Garamond"/>
          <w:szCs w:val="22"/>
        </w:rPr>
        <w:t>Ng, Mandy (</w:t>
      </w:r>
      <w:r w:rsidR="00F179F1">
        <w:rPr>
          <w:rFonts w:cs="Garamond"/>
          <w:szCs w:val="22"/>
        </w:rPr>
        <w:t>environmental planner</w:t>
      </w:r>
      <w:r>
        <w:rPr>
          <w:rFonts w:cs="Garamond"/>
          <w:szCs w:val="22"/>
        </w:rPr>
        <w:t xml:space="preserve">). 2021, June 28. </w:t>
      </w:r>
      <w:r w:rsidR="004C0D38">
        <w:t>Email Response</w:t>
      </w:r>
      <w:r>
        <w:t xml:space="preserve">. </w:t>
      </w:r>
      <w:r w:rsidRPr="00B96A21">
        <w:t>Los Angeles County Sanitation Districts</w:t>
      </w:r>
      <w:r>
        <w:t>.</w:t>
      </w:r>
    </w:p>
    <w:p w14:paraId="27A5FB64" w14:textId="77777777" w:rsidR="00B80612" w:rsidRDefault="00944B91" w:rsidP="00B80612">
      <w:pPr>
        <w:pStyle w:val="Reference"/>
        <w:rPr>
          <w:rFonts w:cs="Garamond"/>
          <w:szCs w:val="22"/>
        </w:rPr>
      </w:pPr>
      <w:r>
        <w:rPr>
          <w:rFonts w:cs="Garamond"/>
          <w:szCs w:val="22"/>
        </w:rPr>
        <w:t xml:space="preserve">Regional Planning Association (RPA). 2010. </w:t>
      </w:r>
      <w:r w:rsidRPr="00E87E28">
        <w:rPr>
          <w:rFonts w:cs="Garamond"/>
          <w:szCs w:val="22"/>
        </w:rPr>
        <w:t xml:space="preserve">Logistics Trends and Specific Industries </w:t>
      </w:r>
      <w:r w:rsidR="00F179F1" w:rsidRPr="00E87E28">
        <w:rPr>
          <w:rFonts w:cs="Garamond"/>
          <w:szCs w:val="22"/>
        </w:rPr>
        <w:t xml:space="preserve">That </w:t>
      </w:r>
      <w:r w:rsidRPr="00E87E28">
        <w:rPr>
          <w:rFonts w:cs="Garamond"/>
          <w:szCs w:val="22"/>
        </w:rPr>
        <w:t>Will Drive</w:t>
      </w:r>
      <w:r>
        <w:rPr>
          <w:rFonts w:cs="Garamond"/>
          <w:szCs w:val="22"/>
        </w:rPr>
        <w:t xml:space="preserve"> </w:t>
      </w:r>
      <w:r w:rsidRPr="00E87E28">
        <w:rPr>
          <w:rFonts w:cs="Garamond"/>
          <w:szCs w:val="22"/>
        </w:rPr>
        <w:t>Warehouse and Distribution Growth and Demand for Space</w:t>
      </w:r>
      <w:r>
        <w:rPr>
          <w:rFonts w:cs="Garamond"/>
          <w:szCs w:val="22"/>
        </w:rPr>
        <w:t xml:space="preserve">. </w:t>
      </w:r>
      <w:r w:rsidR="005846CB" w:rsidRPr="005846CB">
        <w:rPr>
          <w:rFonts w:cs="Garamond"/>
          <w:szCs w:val="22"/>
        </w:rPr>
        <w:t>http://www.naiop.org/~/media/Research/Research/Research%20Reports/Logistics%20Trends%20and%20Specific%20Industries/LogisticsTrendsandIndustries.ashx</w:t>
      </w:r>
      <w:r w:rsidR="005846CB">
        <w:rPr>
          <w:rFonts w:cs="Garamond"/>
          <w:szCs w:val="22"/>
        </w:rPr>
        <w:t>.</w:t>
      </w:r>
    </w:p>
    <w:p w14:paraId="25A9EF37" w14:textId="77777777" w:rsidR="00444E3C" w:rsidRDefault="00950281" w:rsidP="00950281">
      <w:pPr>
        <w:pStyle w:val="Reference"/>
        <w:rPr>
          <w:rFonts w:cs="Garamond"/>
          <w:szCs w:val="22"/>
        </w:rPr>
      </w:pPr>
      <w:r w:rsidRPr="00617ACC">
        <w:rPr>
          <w:rFonts w:cs="Garamond"/>
          <w:szCs w:val="22"/>
        </w:rPr>
        <w:t xml:space="preserve">Southern California Association of Governments (SCAG). </w:t>
      </w:r>
      <w:r w:rsidR="00444E3C" w:rsidRPr="00617ACC">
        <w:rPr>
          <w:rFonts w:cs="Garamond"/>
          <w:szCs w:val="22"/>
        </w:rPr>
        <w:t>20</w:t>
      </w:r>
      <w:r w:rsidR="00444E3C">
        <w:rPr>
          <w:rFonts w:cs="Garamond"/>
          <w:szCs w:val="22"/>
        </w:rPr>
        <w:t>20a</w:t>
      </w:r>
      <w:r w:rsidR="00444E3C" w:rsidRPr="00617ACC">
        <w:rPr>
          <w:rFonts w:cs="Garamond"/>
          <w:szCs w:val="22"/>
        </w:rPr>
        <w:t xml:space="preserve">, </w:t>
      </w:r>
      <w:r w:rsidR="00444E3C">
        <w:rPr>
          <w:rFonts w:cs="Garamond"/>
          <w:szCs w:val="22"/>
        </w:rPr>
        <w:t>September</w:t>
      </w:r>
      <w:r w:rsidR="00444E3C" w:rsidRPr="00617ACC">
        <w:rPr>
          <w:rFonts w:cs="Garamond"/>
          <w:szCs w:val="22"/>
        </w:rPr>
        <w:t xml:space="preserve">. </w:t>
      </w:r>
      <w:r w:rsidR="00444E3C">
        <w:rPr>
          <w:rFonts w:cs="Garamond"/>
          <w:szCs w:val="22"/>
        </w:rPr>
        <w:t>Connect SoCal Plan</w:t>
      </w:r>
      <w:r w:rsidR="005846CB">
        <w:rPr>
          <w:rFonts w:cs="Garamond"/>
          <w:szCs w:val="22"/>
        </w:rPr>
        <w:t xml:space="preserve">. </w:t>
      </w:r>
      <w:r w:rsidR="00596D49" w:rsidRPr="00596D49">
        <w:rPr>
          <w:rFonts w:cs="Garamond"/>
          <w:szCs w:val="22"/>
        </w:rPr>
        <w:t>https://scag.ca.gov/sites/main/files/file-attachments/0903fconnectsocal-plan_0.pdf?1606001176</w:t>
      </w:r>
      <w:r w:rsidR="00444E3C" w:rsidRPr="00617ACC">
        <w:rPr>
          <w:rFonts w:cs="Garamond"/>
          <w:szCs w:val="22"/>
        </w:rPr>
        <w:t>.</w:t>
      </w:r>
    </w:p>
    <w:p w14:paraId="034ADA30" w14:textId="77777777" w:rsidR="00950281" w:rsidRPr="00950281" w:rsidRDefault="00444E3C" w:rsidP="00950281">
      <w:pPr>
        <w:pStyle w:val="Reference"/>
        <w:rPr>
          <w:rFonts w:cs="Garamond"/>
          <w:szCs w:val="22"/>
          <w:highlight w:val="yellow"/>
        </w:rPr>
      </w:pPr>
      <w:r w:rsidRPr="00617ACC">
        <w:rPr>
          <w:rFonts w:cs="Garamond"/>
          <w:szCs w:val="22"/>
        </w:rPr>
        <w:t>———.</w:t>
      </w:r>
      <w:r w:rsidR="00F179F1">
        <w:rPr>
          <w:rFonts w:cs="Garamond"/>
          <w:szCs w:val="22"/>
        </w:rPr>
        <w:t xml:space="preserve"> </w:t>
      </w:r>
      <w:r w:rsidR="00950281" w:rsidRPr="00617ACC">
        <w:rPr>
          <w:rFonts w:cs="Garamond"/>
          <w:szCs w:val="22"/>
        </w:rPr>
        <w:t>20</w:t>
      </w:r>
      <w:r w:rsidR="00A64748">
        <w:rPr>
          <w:rFonts w:cs="Garamond"/>
          <w:szCs w:val="22"/>
        </w:rPr>
        <w:t>20</w:t>
      </w:r>
      <w:r>
        <w:rPr>
          <w:rFonts w:cs="Garamond"/>
          <w:szCs w:val="22"/>
        </w:rPr>
        <w:t>b</w:t>
      </w:r>
      <w:r w:rsidR="00950281" w:rsidRPr="00617ACC">
        <w:rPr>
          <w:rFonts w:cs="Garamond"/>
          <w:szCs w:val="22"/>
        </w:rPr>
        <w:t xml:space="preserve">, </w:t>
      </w:r>
      <w:r w:rsidR="00A64748">
        <w:rPr>
          <w:rFonts w:cs="Garamond"/>
          <w:szCs w:val="22"/>
        </w:rPr>
        <w:t>September</w:t>
      </w:r>
      <w:r w:rsidR="00950281" w:rsidRPr="00617ACC">
        <w:rPr>
          <w:rFonts w:cs="Garamond"/>
          <w:szCs w:val="22"/>
        </w:rPr>
        <w:t>. Regional Transportation Plan/Sustainable Communities Strategy 20</w:t>
      </w:r>
      <w:r w:rsidR="00A64748">
        <w:rPr>
          <w:rFonts w:cs="Garamond"/>
          <w:szCs w:val="22"/>
        </w:rPr>
        <w:t>20</w:t>
      </w:r>
      <w:r w:rsidR="00950281" w:rsidRPr="00617ACC">
        <w:rPr>
          <w:rFonts w:cs="Garamond"/>
          <w:szCs w:val="22"/>
        </w:rPr>
        <w:t>-204</w:t>
      </w:r>
      <w:r w:rsidR="00A64748">
        <w:rPr>
          <w:rFonts w:cs="Garamond"/>
          <w:szCs w:val="22"/>
        </w:rPr>
        <w:t>5</w:t>
      </w:r>
      <w:r w:rsidR="00950281" w:rsidRPr="00617ACC">
        <w:rPr>
          <w:rFonts w:cs="Garamond"/>
          <w:szCs w:val="22"/>
        </w:rPr>
        <w:t xml:space="preserve">. Demographics &amp; Growth Forecast Appendix. </w:t>
      </w:r>
      <w:r w:rsidR="005846CB" w:rsidRPr="005846CB">
        <w:rPr>
          <w:rFonts w:cs="Garamond"/>
          <w:szCs w:val="22"/>
        </w:rPr>
        <w:t>https://scag.ca.gov/sites/main/files/file-attachments/0903fconnectsocal_demographics-and-growth-forecast.pdf?1606001579</w:t>
      </w:r>
      <w:r w:rsidR="00950281" w:rsidRPr="00617ACC">
        <w:rPr>
          <w:rFonts w:cs="Garamond"/>
          <w:szCs w:val="22"/>
        </w:rPr>
        <w:t>.</w:t>
      </w:r>
    </w:p>
    <w:p w14:paraId="69A128AB" w14:textId="77777777" w:rsidR="00B80612" w:rsidRDefault="00B80612" w:rsidP="00B80612">
      <w:pPr>
        <w:pStyle w:val="Reference"/>
      </w:pPr>
      <w:r>
        <w:t>Southern California Geotechnical. February 14, 2020. Geotechnical Investigation Proposed Warehouse Building 4116 Azusa Canyon Road Irwindale, California.</w:t>
      </w:r>
    </w:p>
    <w:p w14:paraId="66A22208" w14:textId="77777777" w:rsidR="00C779A1" w:rsidRDefault="00C779A1" w:rsidP="00C779A1">
      <w:pPr>
        <w:pStyle w:val="Reference"/>
      </w:pPr>
      <w:r>
        <w:t xml:space="preserve">State Water Resources Control Board (SWRCB). </w:t>
      </w:r>
      <w:r w:rsidRPr="00602EBE">
        <w:t>20</w:t>
      </w:r>
      <w:r>
        <w:t>21, April 29 (accessed)</w:t>
      </w:r>
      <w:r w:rsidRPr="00602EBE">
        <w:t xml:space="preserve">. </w:t>
      </w:r>
      <w:r>
        <w:t>San Gabriel River Watershed</w:t>
      </w:r>
      <w:r w:rsidRPr="00602EBE">
        <w:t xml:space="preserve">. </w:t>
      </w:r>
      <w:r w:rsidR="001A177C" w:rsidRPr="001A177C">
        <w:t>https://www.waterboards.ca.gov/rwqcb4/water_issues/programs/regional_program/Water_Quality_and_Watersheds/san_gabriel_river_watershed/summary.shtml#:~:text=Watershed%20Description,habitats%20in%20its%20upper%20reaches</w:t>
      </w:r>
      <w:r w:rsidRPr="00C779A1">
        <w:t>.</w:t>
      </w:r>
    </w:p>
    <w:p w14:paraId="75006BB0" w14:textId="77777777" w:rsidR="007B34B1" w:rsidRPr="007B34B1" w:rsidRDefault="007B34B1" w:rsidP="007B34B1">
      <w:pPr>
        <w:pStyle w:val="Reference"/>
        <w:rPr>
          <w:rFonts w:cs="Garamond"/>
          <w:szCs w:val="22"/>
        </w:rPr>
      </w:pPr>
      <w:r>
        <w:t>Song, David</w:t>
      </w:r>
      <w:r w:rsidRPr="009F0833">
        <w:t xml:space="preserve"> (</w:t>
      </w:r>
      <w:r w:rsidR="00F179F1">
        <w:t>civil engineer</w:t>
      </w:r>
      <w:r w:rsidRPr="009F0833">
        <w:t xml:space="preserve">). 2021, June </w:t>
      </w:r>
      <w:r>
        <w:t>7</w:t>
      </w:r>
      <w:r w:rsidRPr="009F0833">
        <w:t xml:space="preserve">. </w:t>
      </w:r>
      <w:r w:rsidR="004C0D38">
        <w:t>Email Response</w:t>
      </w:r>
      <w:r w:rsidRPr="009F0833">
        <w:t>. Valley County Water District.</w:t>
      </w:r>
    </w:p>
    <w:p w14:paraId="2C303686" w14:textId="77777777" w:rsidR="002C6860" w:rsidRDefault="002C6860" w:rsidP="00C779A1">
      <w:pPr>
        <w:pStyle w:val="Reference"/>
      </w:pPr>
      <w:r w:rsidRPr="00617ACC">
        <w:t>US Army Corps of Engineers</w:t>
      </w:r>
      <w:r>
        <w:t xml:space="preserve"> (Corps). 2021, September 29 (accessed). Santa Fe Dam. </w:t>
      </w:r>
      <w:r w:rsidRPr="002C6860">
        <w:t>https://www.spl.usace.army.mil/Missions/Asset-Management/Santa-Fe-Dam/</w:t>
      </w:r>
      <w:r>
        <w:t>.</w:t>
      </w:r>
    </w:p>
    <w:p w14:paraId="50A8889F" w14:textId="77777777" w:rsidR="00045431" w:rsidRDefault="00045431" w:rsidP="00045431">
      <w:pPr>
        <w:pStyle w:val="Reference"/>
        <w:rPr>
          <w:rFonts w:cs="Garamond"/>
          <w:szCs w:val="22"/>
        </w:rPr>
      </w:pPr>
      <w:r w:rsidRPr="00617ACC">
        <w:rPr>
          <w:rFonts w:cs="Garamond"/>
          <w:szCs w:val="22"/>
        </w:rPr>
        <w:t>US Fish and Wildlife Services (USFWS). 20</w:t>
      </w:r>
      <w:r>
        <w:rPr>
          <w:rFonts w:cs="Garamond"/>
          <w:szCs w:val="22"/>
        </w:rPr>
        <w:t>20, October 1</w:t>
      </w:r>
      <w:r w:rsidRPr="00617ACC">
        <w:rPr>
          <w:rFonts w:cs="Garamond"/>
          <w:szCs w:val="22"/>
        </w:rPr>
        <w:t xml:space="preserve">. Wetlands Mapper. </w:t>
      </w:r>
      <w:r w:rsidR="00AE1157" w:rsidRPr="00AE1157">
        <w:rPr>
          <w:rFonts w:cs="Garamond"/>
          <w:szCs w:val="22"/>
        </w:rPr>
        <w:t>https://www.fws.gov/wetlands/data/mapper.html</w:t>
      </w:r>
      <w:r w:rsidRPr="00617ACC">
        <w:rPr>
          <w:rFonts w:cs="Garamond"/>
          <w:szCs w:val="22"/>
        </w:rPr>
        <w:t>.</w:t>
      </w:r>
    </w:p>
    <w:p w14:paraId="6C8E22B6" w14:textId="77777777" w:rsidR="00AE1157" w:rsidRPr="00045431" w:rsidRDefault="00AE1157" w:rsidP="00AE1157">
      <w:pPr>
        <w:pStyle w:val="Reference"/>
        <w:rPr>
          <w:rFonts w:cs="Garamond"/>
          <w:szCs w:val="22"/>
        </w:rPr>
      </w:pPr>
      <w:bookmarkStart w:id="254" w:name="_Hlk21043496"/>
      <w:r w:rsidRPr="00617ACC">
        <w:rPr>
          <w:rFonts w:cs="Garamond"/>
          <w:szCs w:val="22"/>
        </w:rPr>
        <w:t>———.</w:t>
      </w:r>
      <w:bookmarkEnd w:id="254"/>
      <w:r w:rsidRPr="00617ACC">
        <w:rPr>
          <w:rFonts w:cs="Garamond"/>
          <w:szCs w:val="22"/>
        </w:rPr>
        <w:t xml:space="preserve"> 2016, May 25. Habitat Conservation Plans in Pacific Southwest Region of US Fish and Wildlife Service. Data layer on Data Basin maintained by Conservation Biology Institute. https://databasin.org/maps/bcd7a710c93743a48b4b29231dfdc158/active.</w:t>
      </w:r>
    </w:p>
    <w:p w14:paraId="23D68FFD" w14:textId="77777777" w:rsidR="002C1FC9" w:rsidRDefault="002C1FC9" w:rsidP="00C779A1">
      <w:pPr>
        <w:pStyle w:val="Reference"/>
      </w:pPr>
      <w:r>
        <w:t xml:space="preserve">US Geologic Survey (USGS). 2021, July 3 (accessed). </w:t>
      </w:r>
      <w:r w:rsidRPr="002C1FC9">
        <w:t>Areas of Land Subsidence in California</w:t>
      </w:r>
      <w:r>
        <w:t xml:space="preserve">. </w:t>
      </w:r>
      <w:r w:rsidRPr="002C1FC9">
        <w:t>https://ca.water.usgs.gov/land_subsidence/california-subsidence-areas.html</w:t>
      </w:r>
      <w:r w:rsidR="005846CB">
        <w:t>.</w:t>
      </w:r>
    </w:p>
    <w:p w14:paraId="795E97BA" w14:textId="77777777" w:rsidR="001A177C" w:rsidRDefault="001A177C" w:rsidP="00C779A1">
      <w:pPr>
        <w:pStyle w:val="Reference"/>
      </w:pPr>
      <w:r w:rsidRPr="001A177C">
        <w:t>Valley County Water District</w:t>
      </w:r>
      <w:r>
        <w:t xml:space="preserve"> (VCWD). 2017, July. </w:t>
      </w:r>
      <w:r w:rsidRPr="001A177C">
        <w:t>2015 Urban Water Management Plan</w:t>
      </w:r>
      <w:r>
        <w:t xml:space="preserve">. </w:t>
      </w:r>
      <w:r w:rsidR="00DD01C2" w:rsidRPr="00FA011F">
        <w:t>http://vcwd.org/DocumentCenter/View/119/2015-Urban-Water-Management-Plan-PDF</w:t>
      </w:r>
      <w:r>
        <w:t>.</w:t>
      </w:r>
    </w:p>
    <w:p w14:paraId="3CEFAAF7" w14:textId="77777777" w:rsidR="00DD01C2" w:rsidRPr="001B0796" w:rsidRDefault="00DD01C2" w:rsidP="00DD01C2">
      <w:pPr>
        <w:pStyle w:val="Reference"/>
      </w:pPr>
      <w:r>
        <w:t xml:space="preserve">Willdan. 2018, June 5. City of Irwindale Development Impact Fee Study. </w:t>
      </w:r>
      <w:r>
        <w:cr/>
      </w:r>
      <w:r w:rsidRPr="00DD01C2">
        <w:t>https://irwindaleca.gov/AgendaCenter/ViewFile/Agenda/_07112018-467</w:t>
      </w:r>
      <w:r>
        <w:t>.</w:t>
      </w:r>
    </w:p>
    <w:p w14:paraId="517E8AE3" w14:textId="77777777" w:rsidR="00C779A1" w:rsidRPr="001B0796" w:rsidRDefault="00C779A1" w:rsidP="00F97727">
      <w:pPr>
        <w:pStyle w:val="Reference"/>
      </w:pPr>
    </w:p>
    <w:p w14:paraId="7EA31967" w14:textId="77777777" w:rsidR="00D10CF6" w:rsidRDefault="00D10CF6" w:rsidP="00D10CF6">
      <w:pPr>
        <w:pStyle w:val="BodyTextItalic"/>
      </w:pPr>
    </w:p>
    <w:p w14:paraId="521276AF" w14:textId="77777777" w:rsidR="00D10CF6" w:rsidRDefault="00D10CF6" w:rsidP="00D10CF6">
      <w:pPr>
        <w:pStyle w:val="BodyText"/>
        <w:sectPr w:rsidR="00D10CF6" w:rsidSect="00756DE2">
          <w:headerReference w:type="even" r:id="rId34"/>
          <w:headerReference w:type="default" r:id="rId35"/>
          <w:headerReference w:type="first" r:id="rId36"/>
          <w:pgSz w:w="12240" w:h="15840" w:code="1"/>
          <w:pgMar w:top="2376" w:right="1440" w:bottom="1440" w:left="1440" w:header="720" w:footer="720" w:gutter="0"/>
          <w:cols w:space="720"/>
          <w:noEndnote/>
          <w:titlePg/>
        </w:sectPr>
      </w:pPr>
    </w:p>
    <w:p w14:paraId="295FF191" w14:textId="77777777" w:rsidR="00D10CF6" w:rsidRPr="004E461F" w:rsidRDefault="00D10CF6" w:rsidP="00D10CF6">
      <w:pPr>
        <w:pStyle w:val="Heading1"/>
      </w:pPr>
      <w:bookmarkStart w:id="255" w:name="_Toc119297838"/>
      <w:bookmarkStart w:id="256" w:name="_Toc90882175"/>
      <w:r w:rsidRPr="004E461F">
        <w:t xml:space="preserve">List </w:t>
      </w:r>
      <w:r>
        <w:t>o</w:t>
      </w:r>
      <w:r w:rsidRPr="004E461F">
        <w:t>f Preparers</w:t>
      </w:r>
      <w:bookmarkEnd w:id="255"/>
      <w:bookmarkEnd w:id="256"/>
    </w:p>
    <w:p w14:paraId="60C300EB" w14:textId="77777777" w:rsidR="0085536B" w:rsidRPr="00617ACC" w:rsidRDefault="0085536B" w:rsidP="0085536B">
      <w:pPr>
        <w:pStyle w:val="Heading2"/>
        <w:numPr>
          <w:ilvl w:val="1"/>
          <w:numId w:val="0"/>
        </w:numPr>
        <w:tabs>
          <w:tab w:val="num" w:pos="720"/>
        </w:tabs>
        <w:ind w:left="720" w:hanging="720"/>
      </w:pPr>
      <w:bookmarkStart w:id="257" w:name="_Toc24541311"/>
      <w:bookmarkStart w:id="258" w:name="_Toc90882176"/>
      <w:r w:rsidRPr="00617ACC">
        <w:t>Lead Agency</w:t>
      </w:r>
      <w:bookmarkEnd w:id="257"/>
      <w:bookmarkEnd w:id="258"/>
    </w:p>
    <w:p w14:paraId="34072EE2" w14:textId="77777777" w:rsidR="0085536B" w:rsidRPr="0085536B" w:rsidRDefault="0085536B" w:rsidP="008614BA">
      <w:pPr>
        <w:pStyle w:val="BodyText"/>
      </w:pPr>
      <w:r w:rsidRPr="0085536B">
        <w:rPr>
          <w:rStyle w:val="InsertText"/>
          <w:color w:val="auto"/>
        </w:rPr>
        <w:t xml:space="preserve">Brandi </w:t>
      </w:r>
      <w:r w:rsidRPr="0085536B">
        <w:t>Jones, Senior Planner</w:t>
      </w:r>
    </w:p>
    <w:p w14:paraId="129E6314" w14:textId="77777777" w:rsidR="0085536B" w:rsidRDefault="0085536B" w:rsidP="008614BA">
      <w:pPr>
        <w:pStyle w:val="BodyText"/>
        <w:rPr>
          <w:rStyle w:val="InsertText"/>
          <w:color w:val="auto"/>
        </w:rPr>
      </w:pPr>
      <w:r w:rsidRPr="0085536B">
        <w:t>Lisa Chou, Associate</w:t>
      </w:r>
      <w:r w:rsidRPr="0085536B">
        <w:rPr>
          <w:rStyle w:val="InsertText"/>
          <w:color w:val="auto"/>
        </w:rPr>
        <w:t xml:space="preserve"> Planner</w:t>
      </w:r>
    </w:p>
    <w:p w14:paraId="614BBAF9" w14:textId="77777777" w:rsidR="00523A7E" w:rsidRDefault="00523A7E" w:rsidP="008614BA">
      <w:pPr>
        <w:pStyle w:val="BodyText"/>
        <w:rPr>
          <w:rStyle w:val="InsertText"/>
          <w:color w:val="auto"/>
        </w:rPr>
      </w:pPr>
      <w:r>
        <w:rPr>
          <w:rStyle w:val="InsertText"/>
          <w:color w:val="auto"/>
        </w:rPr>
        <w:t>Daniel Co, Assistant City Engineer</w:t>
      </w:r>
    </w:p>
    <w:p w14:paraId="3150D1F4" w14:textId="6DB72CCE" w:rsidR="00523A7E" w:rsidRPr="00617ACC" w:rsidRDefault="00506C77" w:rsidP="003C35DD">
      <w:pPr>
        <w:pStyle w:val="BodyText"/>
        <w:spacing w:after="400"/>
      </w:pPr>
      <w:r>
        <w:rPr>
          <w:rStyle w:val="InsertText"/>
          <w:color w:val="auto"/>
        </w:rPr>
        <w:t>Jamie Traxler, Assistant City Attorney</w:t>
      </w:r>
    </w:p>
    <w:p w14:paraId="04933BE9" w14:textId="77777777" w:rsidR="0085536B" w:rsidRPr="00617ACC" w:rsidRDefault="0085536B" w:rsidP="0085536B">
      <w:pPr>
        <w:pStyle w:val="Heading2"/>
        <w:numPr>
          <w:ilvl w:val="1"/>
          <w:numId w:val="0"/>
        </w:numPr>
        <w:tabs>
          <w:tab w:val="num" w:pos="720"/>
        </w:tabs>
        <w:spacing w:before="200"/>
        <w:ind w:left="720" w:hanging="720"/>
      </w:pPr>
      <w:bookmarkStart w:id="259" w:name="_Toc24541312"/>
      <w:bookmarkStart w:id="260" w:name="_Toc90882177"/>
      <w:r w:rsidRPr="00617ACC">
        <w:t>PlaceWorks</w:t>
      </w:r>
      <w:bookmarkEnd w:id="259"/>
      <w:bookmarkEnd w:id="260"/>
    </w:p>
    <w:p w14:paraId="1F6E0AF3" w14:textId="16E1C687" w:rsidR="0085536B" w:rsidRDefault="0085536B" w:rsidP="0085536B">
      <w:pPr>
        <w:pStyle w:val="BodyText"/>
      </w:pPr>
      <w:r>
        <w:t xml:space="preserve">JoAnn Hadfield, Principal </w:t>
      </w:r>
      <w:r w:rsidR="00912AF5">
        <w:t xml:space="preserve"> </w:t>
      </w:r>
    </w:p>
    <w:p w14:paraId="5BA6D3AF" w14:textId="77777777" w:rsidR="0085536B" w:rsidRDefault="0085536B" w:rsidP="0085536B">
      <w:pPr>
        <w:pStyle w:val="BodyText"/>
      </w:pPr>
      <w:r>
        <w:t>Dina El Chammas Gass, Senior Engineer</w:t>
      </w:r>
    </w:p>
    <w:p w14:paraId="2A13BE63" w14:textId="77777777" w:rsidR="0085536B" w:rsidRDefault="0085536B" w:rsidP="0085536B">
      <w:pPr>
        <w:pStyle w:val="BodyText"/>
      </w:pPr>
      <w:r>
        <w:t>Josh Carman, Senior Associate, Noise and Vibration</w:t>
      </w:r>
    </w:p>
    <w:p w14:paraId="527B9F53" w14:textId="77777777" w:rsidR="0085536B" w:rsidRDefault="0085536B" w:rsidP="0085536B">
      <w:pPr>
        <w:pStyle w:val="BodyText"/>
      </w:pPr>
      <w:r>
        <w:t>John Vang, Senior Associate, Air Quality and GHG</w:t>
      </w:r>
    </w:p>
    <w:p w14:paraId="6B9C184E" w14:textId="77777777" w:rsidR="0085536B" w:rsidRDefault="0085536B" w:rsidP="0085536B">
      <w:pPr>
        <w:pStyle w:val="BodyText"/>
      </w:pPr>
      <w:r>
        <w:t>Steve Bush, Senior Engineer, Health Risk Assessment</w:t>
      </w:r>
    </w:p>
    <w:p w14:paraId="5E5D4A6A" w14:textId="77777777" w:rsidR="0085536B" w:rsidRDefault="00F179F1" w:rsidP="0085536B">
      <w:pPr>
        <w:pStyle w:val="BodyText"/>
      </w:pPr>
      <w:r>
        <w:t xml:space="preserve">Izzy </w:t>
      </w:r>
      <w:r w:rsidR="0085536B">
        <w:t>Garcia, Associate, Noise and Vibration</w:t>
      </w:r>
    </w:p>
    <w:p w14:paraId="3BFCBBDF" w14:textId="77777777" w:rsidR="0085536B" w:rsidRDefault="0085536B" w:rsidP="0085536B">
      <w:pPr>
        <w:pStyle w:val="BodyText"/>
      </w:pPr>
      <w:r>
        <w:t>Jasmine Osman, Project Planner</w:t>
      </w:r>
    </w:p>
    <w:p w14:paraId="69C01B0C" w14:textId="77777777" w:rsidR="0085536B" w:rsidRPr="00BE0384" w:rsidRDefault="0085536B" w:rsidP="0085536B">
      <w:pPr>
        <w:pStyle w:val="BodyText"/>
      </w:pPr>
      <w:r>
        <w:t>Cary Nakama, Graphic Artist</w:t>
      </w:r>
    </w:p>
    <w:p w14:paraId="09DA8EAD" w14:textId="77777777" w:rsidR="0085536B" w:rsidRDefault="0085536B" w:rsidP="00925217">
      <w:pPr>
        <w:pStyle w:val="ListofPreparers"/>
      </w:pPr>
    </w:p>
    <w:p w14:paraId="20A04B3B" w14:textId="77777777" w:rsidR="00D10CF6" w:rsidRDefault="00D10CF6" w:rsidP="00D10CF6">
      <w:pPr>
        <w:pStyle w:val="BodyTextItalic"/>
      </w:pPr>
      <w:r>
        <w:br w:type="page"/>
        <w:t>This page intentionally left blank.</w:t>
      </w:r>
    </w:p>
    <w:p w14:paraId="4072DBBE" w14:textId="77777777" w:rsidR="00D10CF6" w:rsidRDefault="00D10CF6" w:rsidP="00D10CF6">
      <w:pPr>
        <w:pStyle w:val="BodyText"/>
        <w:sectPr w:rsidR="00D10CF6" w:rsidSect="00756DE2">
          <w:headerReference w:type="even" r:id="rId37"/>
          <w:headerReference w:type="default" r:id="rId38"/>
          <w:headerReference w:type="first" r:id="rId39"/>
          <w:footerReference w:type="first" r:id="rId40"/>
          <w:pgSz w:w="12240" w:h="15840" w:code="1"/>
          <w:pgMar w:top="2376" w:right="1440" w:bottom="1440" w:left="1440" w:header="720" w:footer="720" w:gutter="0"/>
          <w:cols w:space="720"/>
          <w:noEndnote/>
          <w:titlePg/>
        </w:sectPr>
      </w:pPr>
    </w:p>
    <w:p w14:paraId="1164E28A" w14:textId="77777777" w:rsidR="006F421B" w:rsidRPr="00C12A5C" w:rsidRDefault="006F421B" w:rsidP="006F421B">
      <w:pPr>
        <w:pStyle w:val="Appendix"/>
      </w:pPr>
      <w:bookmarkStart w:id="261" w:name="_Toc82790820"/>
      <w:bookmarkStart w:id="262" w:name="_Toc82790907"/>
      <w:bookmarkStart w:id="263" w:name="_Toc382066194"/>
      <w:bookmarkStart w:id="264" w:name="_Toc384624545"/>
      <w:bookmarkStart w:id="265" w:name="_Toc387063053"/>
      <w:bookmarkStart w:id="266" w:name="_Toc387063122"/>
      <w:r w:rsidRPr="00643644">
        <w:t>Appendix</w:t>
      </w:r>
      <w:r>
        <w:t> </w:t>
      </w:r>
      <w:r w:rsidR="00A43D8D">
        <w:t>A</w:t>
      </w:r>
      <w:r>
        <w:tab/>
      </w:r>
      <w:r w:rsidR="00A43D8D" w:rsidRPr="00A43D8D">
        <w:t>Air Quality and GHG Background and Modeling</w:t>
      </w:r>
      <w:bookmarkEnd w:id="261"/>
      <w:bookmarkEnd w:id="262"/>
      <w:r w:rsidR="00A43D8D">
        <w:t xml:space="preserve"> </w:t>
      </w:r>
    </w:p>
    <w:p w14:paraId="66538BCB" w14:textId="77777777" w:rsidR="006F421B" w:rsidRDefault="006F421B">
      <w:pPr>
        <w:rPr>
          <w:rFonts w:ascii="Arial Narrow" w:hAnsi="Arial Narrow"/>
          <w:kern w:val="20"/>
          <w:sz w:val="48"/>
          <w:szCs w:val="20"/>
        </w:rPr>
      </w:pPr>
      <w:r>
        <w:br w:type="page"/>
      </w:r>
    </w:p>
    <w:p w14:paraId="2E26C569" w14:textId="77777777" w:rsidR="00EF25B2" w:rsidRDefault="00EF25B2" w:rsidP="00EF25B2">
      <w:pPr>
        <w:pStyle w:val="BodyTextItalic"/>
      </w:pPr>
      <w:r>
        <w:t>This page intentionally left blank.</w:t>
      </w:r>
    </w:p>
    <w:p w14:paraId="20701EBE" w14:textId="77777777" w:rsidR="00EF25B2" w:rsidRPr="00EF25B2" w:rsidRDefault="00EF25B2" w:rsidP="00EF25B2">
      <w:pPr>
        <w:pStyle w:val="BodyTextItalic"/>
      </w:pPr>
      <w:r w:rsidRPr="00EF25B2">
        <w:br w:type="page"/>
      </w:r>
    </w:p>
    <w:p w14:paraId="08583173" w14:textId="77777777" w:rsidR="00D10CF6" w:rsidRPr="00C12A5C" w:rsidRDefault="00D10CF6" w:rsidP="00D10CF6">
      <w:pPr>
        <w:pStyle w:val="Appendix"/>
      </w:pPr>
      <w:bookmarkStart w:id="267" w:name="_Toc82790821"/>
      <w:bookmarkStart w:id="268" w:name="_Toc82790908"/>
      <w:r w:rsidRPr="00643644">
        <w:t>Appendix</w:t>
      </w:r>
      <w:r w:rsidR="00D25C64">
        <w:t> </w:t>
      </w:r>
      <w:bookmarkEnd w:id="263"/>
      <w:bookmarkEnd w:id="264"/>
      <w:bookmarkEnd w:id="265"/>
      <w:r w:rsidR="006F421B">
        <w:t>B</w:t>
      </w:r>
      <w:r w:rsidR="006A4F7E">
        <w:tab/>
      </w:r>
      <w:bookmarkEnd w:id="266"/>
      <w:r w:rsidR="00A43D8D">
        <w:t>Health Risk Assessment</w:t>
      </w:r>
      <w:bookmarkEnd w:id="267"/>
      <w:bookmarkEnd w:id="268"/>
    </w:p>
    <w:p w14:paraId="3A6DB4C3" w14:textId="77777777" w:rsidR="00D10CF6" w:rsidRDefault="00D10CF6" w:rsidP="00D10CF6">
      <w:pPr>
        <w:pStyle w:val="BodyTextItalic"/>
      </w:pPr>
      <w:r>
        <w:br w:type="page"/>
        <w:t>This page intentionally left blank.</w:t>
      </w:r>
    </w:p>
    <w:p w14:paraId="1DBC6838" w14:textId="77777777" w:rsidR="00A43D8D" w:rsidRPr="000C1AB6" w:rsidRDefault="00A43D8D" w:rsidP="000C1AB6">
      <w:pPr>
        <w:pStyle w:val="BodyText"/>
      </w:pPr>
      <w:r w:rsidRPr="000C1AB6">
        <w:br w:type="page"/>
      </w:r>
    </w:p>
    <w:p w14:paraId="5FF6FBD7" w14:textId="77777777" w:rsidR="00A43D8D" w:rsidRPr="00C12A5C" w:rsidRDefault="00A43D8D" w:rsidP="00A43D8D">
      <w:pPr>
        <w:pStyle w:val="Appendix"/>
      </w:pPr>
      <w:bookmarkStart w:id="269" w:name="_Toc82790822"/>
      <w:bookmarkStart w:id="270" w:name="_Toc82790909"/>
      <w:r w:rsidRPr="00643644">
        <w:t>Appendix</w:t>
      </w:r>
      <w:r>
        <w:t> C</w:t>
      </w:r>
      <w:r>
        <w:tab/>
      </w:r>
      <w:r w:rsidRPr="00A43D8D">
        <w:t>Cultural and Paleontological Resources Assessment Report</w:t>
      </w:r>
      <w:bookmarkEnd w:id="269"/>
      <w:bookmarkEnd w:id="270"/>
    </w:p>
    <w:p w14:paraId="21285C98" w14:textId="77777777" w:rsidR="00A43D8D" w:rsidRPr="000C1AB6" w:rsidRDefault="00A43D8D" w:rsidP="000C1AB6">
      <w:pPr>
        <w:pStyle w:val="BodyText"/>
      </w:pPr>
      <w:r w:rsidRPr="000C1AB6">
        <w:br w:type="page"/>
      </w:r>
    </w:p>
    <w:p w14:paraId="247505DE" w14:textId="77777777" w:rsidR="00A43D8D" w:rsidRDefault="00A43D8D" w:rsidP="00A43D8D">
      <w:pPr>
        <w:pStyle w:val="BodyTextItalic"/>
      </w:pPr>
      <w:r>
        <w:t>This page intentionally left blank.</w:t>
      </w:r>
    </w:p>
    <w:p w14:paraId="386ED68A" w14:textId="77777777" w:rsidR="00A43D8D" w:rsidRPr="00EF25B2" w:rsidRDefault="00A43D8D" w:rsidP="00A43D8D">
      <w:pPr>
        <w:pStyle w:val="BodyTextItalic"/>
      </w:pPr>
      <w:r w:rsidRPr="00EF25B2">
        <w:br w:type="page"/>
      </w:r>
    </w:p>
    <w:p w14:paraId="0F292B27" w14:textId="77777777" w:rsidR="00A43D8D" w:rsidRPr="00C12A5C" w:rsidRDefault="00A43D8D" w:rsidP="00A43D8D">
      <w:pPr>
        <w:pStyle w:val="Appendix"/>
      </w:pPr>
      <w:bookmarkStart w:id="271" w:name="_Toc82790823"/>
      <w:bookmarkStart w:id="272" w:name="_Toc82790910"/>
      <w:r w:rsidRPr="00643644">
        <w:t>Appendix</w:t>
      </w:r>
      <w:r>
        <w:t> D</w:t>
      </w:r>
      <w:r>
        <w:tab/>
        <w:t xml:space="preserve">Geotechnical Investigation and </w:t>
      </w:r>
      <w:r w:rsidRPr="00A43D8D">
        <w:t>Results of Infiltration Testing</w:t>
      </w:r>
      <w:bookmarkEnd w:id="271"/>
      <w:bookmarkEnd w:id="272"/>
      <w:r>
        <w:t xml:space="preserve"> </w:t>
      </w:r>
    </w:p>
    <w:p w14:paraId="3969216E" w14:textId="77777777" w:rsidR="00A43D8D" w:rsidRDefault="00A43D8D" w:rsidP="00A43D8D">
      <w:pPr>
        <w:pStyle w:val="BodyTextItalic"/>
      </w:pPr>
      <w:r>
        <w:br w:type="page"/>
        <w:t>This page intentionally left blank.</w:t>
      </w:r>
    </w:p>
    <w:p w14:paraId="11343D86" w14:textId="77777777" w:rsidR="00A43D8D" w:rsidRDefault="00A43D8D">
      <w:pPr>
        <w:rPr>
          <w:rFonts w:ascii="Arial Narrow" w:hAnsi="Arial Narrow"/>
          <w:kern w:val="20"/>
          <w:sz w:val="48"/>
          <w:szCs w:val="20"/>
        </w:rPr>
      </w:pPr>
      <w:r>
        <w:br w:type="page"/>
      </w:r>
    </w:p>
    <w:p w14:paraId="1C28F8E0" w14:textId="77777777" w:rsidR="00A43D8D" w:rsidRPr="00C12A5C" w:rsidRDefault="00A43D8D" w:rsidP="00A43D8D">
      <w:pPr>
        <w:pStyle w:val="Appendix"/>
      </w:pPr>
      <w:bookmarkStart w:id="273" w:name="_Toc82790824"/>
      <w:bookmarkStart w:id="274" w:name="_Toc82790911"/>
      <w:r w:rsidRPr="00643644">
        <w:t>Appendix</w:t>
      </w:r>
      <w:r>
        <w:t> E</w:t>
      </w:r>
      <w:r>
        <w:tab/>
        <w:t>Phase I Environmental Assessment</w:t>
      </w:r>
      <w:bookmarkEnd w:id="273"/>
      <w:bookmarkEnd w:id="274"/>
    </w:p>
    <w:p w14:paraId="6AE06FE1" w14:textId="77777777" w:rsidR="00A43D8D" w:rsidRDefault="00A43D8D" w:rsidP="00A43D8D">
      <w:pPr>
        <w:pStyle w:val="BodyTextItalic"/>
      </w:pPr>
      <w:r>
        <w:br w:type="page"/>
        <w:t>This page intentionally left blank.</w:t>
      </w:r>
    </w:p>
    <w:p w14:paraId="3F310805" w14:textId="77777777" w:rsidR="00A43D8D" w:rsidRDefault="00A43D8D" w:rsidP="00A43D8D">
      <w:pPr>
        <w:rPr>
          <w:rFonts w:ascii="Arial Narrow" w:hAnsi="Arial Narrow"/>
          <w:kern w:val="20"/>
          <w:sz w:val="48"/>
          <w:szCs w:val="20"/>
        </w:rPr>
      </w:pPr>
      <w:r>
        <w:br w:type="page"/>
      </w:r>
    </w:p>
    <w:p w14:paraId="570D7644" w14:textId="77777777" w:rsidR="00A43D8D" w:rsidRPr="00C12A5C" w:rsidRDefault="00A43D8D" w:rsidP="00A43D8D">
      <w:pPr>
        <w:pStyle w:val="Appendix"/>
      </w:pPr>
      <w:bookmarkStart w:id="275" w:name="_Toc82790825"/>
      <w:bookmarkStart w:id="276" w:name="_Toc82790912"/>
      <w:r w:rsidRPr="00643644">
        <w:t>Appendix</w:t>
      </w:r>
      <w:r>
        <w:t> F</w:t>
      </w:r>
      <w:r>
        <w:tab/>
        <w:t>LID Report and Hydrology and Detention Report</w:t>
      </w:r>
      <w:bookmarkEnd w:id="275"/>
      <w:bookmarkEnd w:id="276"/>
    </w:p>
    <w:p w14:paraId="3A7EEF5C" w14:textId="77777777" w:rsidR="00A43D8D" w:rsidRDefault="00A43D8D" w:rsidP="00A43D8D">
      <w:pPr>
        <w:rPr>
          <w:rFonts w:ascii="Arial Narrow" w:hAnsi="Arial Narrow"/>
          <w:kern w:val="20"/>
          <w:sz w:val="48"/>
          <w:szCs w:val="20"/>
        </w:rPr>
      </w:pPr>
      <w:r>
        <w:br w:type="page"/>
      </w:r>
    </w:p>
    <w:p w14:paraId="32B18267" w14:textId="77777777" w:rsidR="00A43D8D" w:rsidRDefault="00A43D8D" w:rsidP="00A43D8D">
      <w:pPr>
        <w:pStyle w:val="BodyTextItalic"/>
      </w:pPr>
      <w:r>
        <w:t>This page intentionally left blank.</w:t>
      </w:r>
    </w:p>
    <w:p w14:paraId="5EE4650F" w14:textId="77777777" w:rsidR="00A43D8D" w:rsidRPr="00EF25B2" w:rsidRDefault="00A43D8D" w:rsidP="00A43D8D">
      <w:pPr>
        <w:pStyle w:val="BodyTextItalic"/>
      </w:pPr>
      <w:r w:rsidRPr="00EF25B2">
        <w:br w:type="page"/>
      </w:r>
    </w:p>
    <w:p w14:paraId="7B05E0C3" w14:textId="77777777" w:rsidR="00A43D8D" w:rsidRPr="00C12A5C" w:rsidRDefault="00A43D8D" w:rsidP="00A43D8D">
      <w:pPr>
        <w:pStyle w:val="Appendix"/>
      </w:pPr>
      <w:bookmarkStart w:id="277" w:name="_Toc82790826"/>
      <w:bookmarkStart w:id="278" w:name="_Toc82790913"/>
      <w:r w:rsidRPr="00643644">
        <w:t>Appendix</w:t>
      </w:r>
      <w:r>
        <w:t> G</w:t>
      </w:r>
      <w:r>
        <w:tab/>
      </w:r>
      <w:r w:rsidRPr="00A43D8D">
        <w:t>Noise Background</w:t>
      </w:r>
      <w:bookmarkEnd w:id="277"/>
      <w:bookmarkEnd w:id="278"/>
    </w:p>
    <w:p w14:paraId="2B8CA3C2" w14:textId="77777777" w:rsidR="00A43D8D" w:rsidRDefault="00A43D8D" w:rsidP="00A43D8D">
      <w:pPr>
        <w:pStyle w:val="BodyTextItalic"/>
      </w:pPr>
      <w:r>
        <w:br w:type="page"/>
        <w:t>This page intentionally left blank.</w:t>
      </w:r>
    </w:p>
    <w:p w14:paraId="4D731A53" w14:textId="77777777" w:rsidR="00A86CBF" w:rsidRDefault="00A86CBF">
      <w:pPr>
        <w:rPr>
          <w:rFonts w:ascii="Arial Narrow" w:hAnsi="Arial Narrow"/>
          <w:kern w:val="20"/>
          <w:sz w:val="48"/>
          <w:szCs w:val="20"/>
        </w:rPr>
      </w:pPr>
      <w:r>
        <w:br w:type="page"/>
      </w:r>
    </w:p>
    <w:p w14:paraId="53C5BB9E" w14:textId="77777777" w:rsidR="00A86CBF" w:rsidRPr="00C12A5C" w:rsidRDefault="00A86CBF" w:rsidP="00A86CBF">
      <w:pPr>
        <w:pStyle w:val="Appendix"/>
      </w:pPr>
      <w:bookmarkStart w:id="279" w:name="_Toc82790827"/>
      <w:bookmarkStart w:id="280" w:name="_Toc82790914"/>
      <w:r w:rsidRPr="00643644">
        <w:t>Appendix</w:t>
      </w:r>
      <w:r>
        <w:t> H</w:t>
      </w:r>
      <w:r>
        <w:tab/>
        <w:t>Public Services and Utility Provider Responses</w:t>
      </w:r>
      <w:bookmarkEnd w:id="279"/>
      <w:bookmarkEnd w:id="280"/>
    </w:p>
    <w:p w14:paraId="63BB7197" w14:textId="77777777" w:rsidR="00A86CBF" w:rsidRDefault="00A86CBF" w:rsidP="00A86CBF">
      <w:pPr>
        <w:rPr>
          <w:rFonts w:ascii="Arial Narrow" w:hAnsi="Arial Narrow"/>
          <w:kern w:val="20"/>
          <w:sz w:val="48"/>
          <w:szCs w:val="20"/>
        </w:rPr>
      </w:pPr>
      <w:r>
        <w:br w:type="page"/>
      </w:r>
    </w:p>
    <w:p w14:paraId="29019BDA" w14:textId="77777777" w:rsidR="00A86CBF" w:rsidRDefault="00A86CBF" w:rsidP="00A86CBF">
      <w:pPr>
        <w:pStyle w:val="BodyTextItalic"/>
      </w:pPr>
      <w:r>
        <w:t>This page intentionally left blank.</w:t>
      </w:r>
    </w:p>
    <w:p w14:paraId="3DC4C68C" w14:textId="77777777" w:rsidR="00A86CBF" w:rsidRPr="00EF25B2" w:rsidRDefault="00A86CBF" w:rsidP="00A86CBF">
      <w:pPr>
        <w:pStyle w:val="BodyTextItalic"/>
      </w:pPr>
      <w:r w:rsidRPr="00EF25B2">
        <w:br w:type="page"/>
      </w:r>
    </w:p>
    <w:p w14:paraId="4101C638" w14:textId="77777777" w:rsidR="00A86CBF" w:rsidRPr="00C12A5C" w:rsidRDefault="00A86CBF" w:rsidP="00A86CBF">
      <w:pPr>
        <w:pStyle w:val="Appendix"/>
      </w:pPr>
      <w:bookmarkStart w:id="281" w:name="_Toc82790828"/>
      <w:bookmarkStart w:id="282" w:name="_Toc82790915"/>
      <w:r w:rsidRPr="00643644">
        <w:t>Appendix</w:t>
      </w:r>
      <w:r>
        <w:t> I</w:t>
      </w:r>
      <w:r>
        <w:tab/>
        <w:t>Transportation Analysis</w:t>
      </w:r>
      <w:bookmarkEnd w:id="281"/>
      <w:bookmarkEnd w:id="282"/>
    </w:p>
    <w:p w14:paraId="7C1E389E" w14:textId="77777777" w:rsidR="00A86CBF" w:rsidRDefault="00A86CBF" w:rsidP="00A86CBF">
      <w:pPr>
        <w:pStyle w:val="BodyTextItalic"/>
      </w:pPr>
      <w:r>
        <w:br w:type="page"/>
        <w:t>This page intentionally left blank.</w:t>
      </w:r>
    </w:p>
    <w:p w14:paraId="2E6F0348" w14:textId="77777777" w:rsidR="00A86CBF" w:rsidRPr="00A86CBF" w:rsidRDefault="00A86CBF" w:rsidP="00A86CBF">
      <w:pPr>
        <w:pStyle w:val="BodyText"/>
      </w:pPr>
    </w:p>
    <w:sectPr w:rsidR="00A86CBF" w:rsidRPr="00A86CBF" w:rsidSect="00756DE2">
      <w:headerReference w:type="even" r:id="rId41"/>
      <w:headerReference w:type="default" r:id="rId42"/>
      <w:footerReference w:type="even" r:id="rId43"/>
      <w:footerReference w:type="default" r:id="rId44"/>
      <w:headerReference w:type="first" r:id="rId45"/>
      <w:pgSz w:w="12240" w:h="15840" w:code="1"/>
      <w:pgMar w:top="2376"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47DDD" w14:textId="77777777" w:rsidR="009D7D09" w:rsidRDefault="009D7D09" w:rsidP="004304C8">
      <w:r>
        <w:separator/>
      </w:r>
    </w:p>
    <w:p w14:paraId="470D4F24" w14:textId="77777777" w:rsidR="009D7D09" w:rsidRDefault="009D7D09"/>
    <w:p w14:paraId="64A1F955" w14:textId="77777777" w:rsidR="009D7D09" w:rsidRDefault="009D7D09"/>
    <w:p w14:paraId="34E7293E" w14:textId="77777777" w:rsidR="009D7D09" w:rsidRDefault="009D7D09"/>
  </w:endnote>
  <w:endnote w:type="continuationSeparator" w:id="0">
    <w:p w14:paraId="018A9145" w14:textId="77777777" w:rsidR="009D7D09" w:rsidRDefault="009D7D09" w:rsidP="004304C8">
      <w:r>
        <w:continuationSeparator/>
      </w:r>
    </w:p>
    <w:p w14:paraId="3BF3A616" w14:textId="77777777" w:rsidR="009D7D09" w:rsidRDefault="009D7D09"/>
    <w:p w14:paraId="0D375F4E" w14:textId="77777777" w:rsidR="009D7D09" w:rsidRDefault="009D7D09"/>
    <w:p w14:paraId="204FF2F4" w14:textId="77777777" w:rsidR="009D7D09" w:rsidRDefault="009D7D09"/>
  </w:endnote>
  <w:endnote w:type="continuationNotice" w:id="1">
    <w:p w14:paraId="174491C5" w14:textId="77777777" w:rsidR="009D7D09" w:rsidRDefault="009D7D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wis721 Hv BT">
    <w:panose1 w:val="020B0804020202020204"/>
    <w:charset w:val="00"/>
    <w:family w:val="swiss"/>
    <w:pitch w:val="variable"/>
    <w:sig w:usb0="00000087" w:usb1="00000000" w:usb2="00000000" w:usb3="00000000" w:csb0="0000001B" w:csb1="00000000"/>
  </w:font>
  <w:font w:name="Swis721 BT">
    <w:panose1 w:val="020B0504020202020204"/>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Swis721 Cn BT">
    <w:panose1 w:val="020B0506020202030204"/>
    <w:charset w:val="00"/>
    <w:family w:val="swiss"/>
    <w:pitch w:val="variable"/>
    <w:sig w:usb0="00000087" w:usb1="00000000" w:usb2="00000000" w:usb3="00000000" w:csb0="0000001B" w:csb1="00000000"/>
  </w:font>
  <w:font w:name="Arial Bold">
    <w:panose1 w:val="020B07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Walbaum Text">
    <w:charset w:val="00"/>
    <w:family w:val="roman"/>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4416" w14:textId="0CE954DC" w:rsidR="00E43364" w:rsidRPr="004304C8" w:rsidRDefault="00EB1300" w:rsidP="000419FD">
    <w:pPr>
      <w:tabs>
        <w:tab w:val="center" w:pos="5127"/>
        <w:tab w:val="right" w:pos="10253"/>
      </w:tabs>
    </w:pPr>
    <w:r>
      <w:rPr>
        <w:noProof/>
      </w:rPr>
      <w:drawing>
        <wp:anchor distT="0" distB="0" distL="114300" distR="114300" simplePos="0" relativeHeight="251659776" behindDoc="0" locked="0" layoutInCell="1" allowOverlap="1" wp14:anchorId="6E6931A5" wp14:editId="4EB45E18">
          <wp:simplePos x="0" y="0"/>
          <wp:positionH relativeFrom="column">
            <wp:posOffset>4919345</wp:posOffset>
          </wp:positionH>
          <wp:positionV relativeFrom="paragraph">
            <wp:posOffset>-201295</wp:posOffset>
          </wp:positionV>
          <wp:extent cx="1600200" cy="320040"/>
          <wp:effectExtent l="0" t="0" r="0" b="381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320040"/>
                  </a:xfrm>
                  <a:prstGeom prst="rect">
                    <a:avLst/>
                  </a:prstGeom>
                </pic:spPr>
              </pic:pic>
            </a:graphicData>
          </a:graphic>
        </wp:anchor>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1768" w14:textId="38BAA788" w:rsidR="00E43364" w:rsidRPr="008614BA" w:rsidRDefault="00405CC1" w:rsidP="008614BA">
    <w:pPr>
      <w:pStyle w:val="FooterOdd"/>
      <w:jc w:val="left"/>
    </w:pPr>
    <w:r>
      <w:t xml:space="preserve">December </w:t>
    </w:r>
    <w:r w:rsidR="00E43364">
      <w:t>2021</w:t>
    </w:r>
    <w:r w:rsidR="00E43364">
      <w:tab/>
      <w:t xml:space="preserve">Page </w:t>
    </w:r>
    <w:r w:rsidR="00E43364">
      <w:fldChar w:fldCharType="begin"/>
    </w:r>
    <w:r w:rsidR="00E43364">
      <w:instrText xml:space="preserve"> PAGE </w:instrText>
    </w:r>
    <w:r w:rsidR="00E43364">
      <w:fldChar w:fldCharType="separate"/>
    </w:r>
    <w:r w:rsidR="00A47E06">
      <w:rPr>
        <w:noProof/>
      </w:rPr>
      <w:t>154</w:t>
    </w:r>
    <w:r w:rsidR="00E43364">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3B3D" w14:textId="7D2AE525" w:rsidR="00E43364" w:rsidRPr="008614BA" w:rsidRDefault="00405CC1" w:rsidP="008614BA">
    <w:pPr>
      <w:pStyle w:val="FooterOdd"/>
      <w:jc w:val="left"/>
    </w:pPr>
    <w:r>
      <w:t xml:space="preserve">December </w:t>
    </w:r>
    <w:r w:rsidR="00E43364">
      <w:t>2021</w:t>
    </w:r>
    <w:r w:rsidR="00E43364">
      <w:tab/>
      <w:t xml:space="preserve">Page </w:t>
    </w:r>
    <w:r w:rsidR="00E43364">
      <w:fldChar w:fldCharType="begin"/>
    </w:r>
    <w:r w:rsidR="00E43364">
      <w:instrText xml:space="preserve"> PAGE </w:instrText>
    </w:r>
    <w:r w:rsidR="00E43364">
      <w:fldChar w:fldCharType="separate"/>
    </w:r>
    <w:r w:rsidR="00A47E06">
      <w:rPr>
        <w:noProof/>
      </w:rPr>
      <w:t>158</w:t>
    </w:r>
    <w:r w:rsidR="00E43364">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FF61" w14:textId="77777777" w:rsidR="00E43364" w:rsidRPr="00A874E0" w:rsidRDefault="00E43364" w:rsidP="00756DE2">
    <w:pPr>
      <w:pStyle w:val="FooterEven"/>
    </w:pPr>
    <w:r>
      <w:tab/>
      <w:t>PlaceWorks</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F6A9" w14:textId="330D801E" w:rsidR="00E43364" w:rsidRPr="008614BA" w:rsidRDefault="00405CC1" w:rsidP="008614BA">
    <w:pPr>
      <w:pStyle w:val="FooterOdd"/>
      <w:jc w:val="left"/>
    </w:pPr>
    <w:r>
      <w:t xml:space="preserve">December </w:t>
    </w:r>
    <w:r w:rsidR="00E43364">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CB2D" w14:textId="114DD97D" w:rsidR="00E43364" w:rsidRDefault="00E43364" w:rsidP="00AD2D1F">
    <w:pPr>
      <w:pStyle w:val="FooterOdd"/>
      <w:jc w:val="left"/>
    </w:pPr>
    <w:r>
      <w:t xml:space="preserve">Page </w:t>
    </w:r>
    <w:r>
      <w:fldChar w:fldCharType="begin"/>
    </w:r>
    <w:r>
      <w:instrText xml:space="preserve"> PAGE </w:instrText>
    </w:r>
    <w:r>
      <w:fldChar w:fldCharType="separate"/>
    </w:r>
    <w:r w:rsidR="00A47E06">
      <w:rPr>
        <w:noProof/>
      </w:rPr>
      <w:t>viii</w:t>
    </w:r>
    <w:r>
      <w:fldChar w:fldCharType="end"/>
    </w:r>
    <w:r>
      <w:tab/>
      <w:t>PlaceWorks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A516" w14:textId="052AE7B7" w:rsidR="00E43364" w:rsidRDefault="00405CC1" w:rsidP="00AD2D1F">
    <w:pPr>
      <w:pStyle w:val="FooterOdd"/>
      <w:jc w:val="left"/>
    </w:pPr>
    <w:r>
      <w:t>December</w:t>
    </w:r>
    <w:r w:rsidR="00E43364">
      <w:t xml:space="preserve"> 2021</w:t>
    </w:r>
    <w:r w:rsidR="00E43364">
      <w:tab/>
      <w:t xml:space="preserve">Page </w:t>
    </w:r>
    <w:r w:rsidR="00E43364">
      <w:fldChar w:fldCharType="begin"/>
    </w:r>
    <w:r w:rsidR="00E43364">
      <w:instrText xml:space="preserve"> PAGE </w:instrText>
    </w:r>
    <w:r w:rsidR="00E43364">
      <w:fldChar w:fldCharType="separate"/>
    </w:r>
    <w:r w:rsidR="00A47E06">
      <w:rPr>
        <w:noProof/>
      </w:rPr>
      <w:t>11</w:t>
    </w:r>
    <w:r w:rsidR="00E43364">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31A95" w14:textId="77777777" w:rsidR="00E43364" w:rsidRDefault="00E4336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232E" w14:textId="0E1C8024" w:rsidR="00E43364" w:rsidRPr="00516AA7" w:rsidRDefault="00E43364" w:rsidP="00756DE2">
    <w:pPr>
      <w:pStyle w:val="FooterEven"/>
    </w:pPr>
    <w:r>
      <w:t xml:space="preserve">Page </w:t>
    </w:r>
    <w:r>
      <w:fldChar w:fldCharType="begin"/>
    </w:r>
    <w:r>
      <w:instrText xml:space="preserve"> PAGE </w:instrText>
    </w:r>
    <w:r>
      <w:fldChar w:fldCharType="separate"/>
    </w:r>
    <w:r w:rsidR="00A47E06">
      <w:rPr>
        <w:noProof/>
      </w:rPr>
      <w:t>10</w:t>
    </w:r>
    <w:r>
      <w:fldChar w:fldCharType="end"/>
    </w:r>
    <w:r>
      <w:tab/>
      <w:t>PlaceWorks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336A3" w14:textId="3E37E5EC" w:rsidR="00E43364" w:rsidRPr="00AD2D1F" w:rsidRDefault="00405CC1" w:rsidP="00AD2D1F">
    <w:pPr>
      <w:pStyle w:val="FooterOdd"/>
      <w:jc w:val="left"/>
    </w:pPr>
    <w:r>
      <w:t xml:space="preserve">December </w:t>
    </w:r>
    <w:r w:rsidR="00E43364">
      <w:t>2021</w:t>
    </w:r>
    <w:r w:rsidR="00E43364">
      <w:tab/>
      <w:t xml:space="preserve">Page </w:t>
    </w:r>
    <w:r w:rsidR="00E43364">
      <w:fldChar w:fldCharType="begin"/>
    </w:r>
    <w:r w:rsidR="00E43364">
      <w:instrText xml:space="preserve"> PAGE </w:instrText>
    </w:r>
    <w:r w:rsidR="00E43364">
      <w:fldChar w:fldCharType="separate"/>
    </w:r>
    <w:r w:rsidR="00A47E06">
      <w:rPr>
        <w:noProof/>
      </w:rPr>
      <w:t>1</w:t>
    </w:r>
    <w:r w:rsidR="00E43364">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2CE1" w14:textId="198557CB" w:rsidR="00E43364" w:rsidRPr="00516AA7" w:rsidRDefault="00E43364" w:rsidP="00AD6FE2">
    <w:pPr>
      <w:pStyle w:val="FooterEven"/>
      <w:tabs>
        <w:tab w:val="clear" w:pos="9360"/>
        <w:tab w:val="right" w:pos="12960"/>
      </w:tabs>
    </w:pPr>
    <w:r>
      <w:t xml:space="preserve">Page </w:t>
    </w:r>
    <w:r>
      <w:fldChar w:fldCharType="begin"/>
    </w:r>
    <w:r>
      <w:instrText xml:space="preserve"> PAGE </w:instrText>
    </w:r>
    <w:r>
      <w:fldChar w:fldCharType="separate"/>
    </w:r>
    <w:r w:rsidR="00A47E06">
      <w:rPr>
        <w:noProof/>
      </w:rPr>
      <w:t>122</w:t>
    </w:r>
    <w:r>
      <w:fldChar w:fldCharType="end"/>
    </w:r>
    <w:r>
      <w:tab/>
      <w:t>PlaceWorks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3BD4C" w14:textId="2013CE84" w:rsidR="00E43364" w:rsidRPr="00AD2D1F" w:rsidRDefault="00405CC1" w:rsidP="00AD2D1F">
    <w:pPr>
      <w:pStyle w:val="FooterOdd"/>
      <w:tabs>
        <w:tab w:val="clear" w:pos="9360"/>
        <w:tab w:val="right" w:pos="12960"/>
      </w:tabs>
      <w:jc w:val="left"/>
    </w:pPr>
    <w:r>
      <w:t xml:space="preserve">December </w:t>
    </w:r>
    <w:r w:rsidR="00E43364">
      <w:t>2021</w:t>
    </w:r>
    <w:r w:rsidR="00E43364">
      <w:tab/>
      <w:t xml:space="preserve">Page </w:t>
    </w:r>
    <w:r w:rsidR="00E43364">
      <w:fldChar w:fldCharType="begin"/>
    </w:r>
    <w:r w:rsidR="00E43364">
      <w:instrText xml:space="preserve"> PAGE </w:instrText>
    </w:r>
    <w:r w:rsidR="00E43364">
      <w:fldChar w:fldCharType="separate"/>
    </w:r>
    <w:r w:rsidR="00A47E06">
      <w:rPr>
        <w:noProof/>
      </w:rPr>
      <w:t>159</w:t>
    </w:r>
    <w:r w:rsidR="00E43364">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C999" w14:textId="3003F609" w:rsidR="00E43364" w:rsidRPr="00516AA7" w:rsidRDefault="00E43364" w:rsidP="00756DE2">
    <w:pPr>
      <w:pStyle w:val="FooterEven"/>
    </w:pPr>
    <w:r>
      <w:t xml:space="preserve">Page </w:t>
    </w:r>
    <w:r>
      <w:fldChar w:fldCharType="begin"/>
    </w:r>
    <w:r>
      <w:instrText xml:space="preserve"> PAGE </w:instrText>
    </w:r>
    <w:r>
      <w:fldChar w:fldCharType="separate"/>
    </w:r>
    <w:r w:rsidR="00A47E06">
      <w:rPr>
        <w:noProof/>
      </w:rPr>
      <w:t>156</w:t>
    </w:r>
    <w:r>
      <w:fldChar w:fldCharType="end"/>
    </w:r>
    <w:r>
      <w:tab/>
      <w:t>PlaceWorks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FB145" w14:textId="77777777" w:rsidR="009D7D09" w:rsidRDefault="009D7D09" w:rsidP="004304C8">
      <w:r>
        <w:separator/>
      </w:r>
    </w:p>
  </w:footnote>
  <w:footnote w:type="continuationSeparator" w:id="0">
    <w:p w14:paraId="4588D346" w14:textId="77777777" w:rsidR="009D7D09" w:rsidRDefault="009D7D09" w:rsidP="004304C8">
      <w:r>
        <w:continuationSeparator/>
      </w:r>
    </w:p>
  </w:footnote>
  <w:footnote w:type="continuationNotice" w:id="1">
    <w:p w14:paraId="72D8ACED" w14:textId="77777777" w:rsidR="009D7D09" w:rsidRDefault="009D7D09"/>
  </w:footnote>
  <w:footnote w:id="2">
    <w:p w14:paraId="0275B42D" w14:textId="77777777" w:rsidR="00E43364" w:rsidRDefault="00E43364" w:rsidP="006E4815">
      <w:pPr>
        <w:pStyle w:val="FootnoteText"/>
      </w:pPr>
      <w:r>
        <w:rPr>
          <w:rStyle w:val="FootnoteReference"/>
        </w:rPr>
        <w:footnoteRef/>
      </w:r>
      <w:r>
        <w:t xml:space="preserve"> </w:t>
      </w:r>
      <w:r>
        <w:tab/>
        <w:t xml:space="preserve">Pursuant to Public Resources Code Section 21067, lead agency refers to the public agency that has the principal responsibility for carrying out or approving a project that may have a significant effect on the environment. </w:t>
      </w:r>
    </w:p>
  </w:footnote>
  <w:footnote w:id="3">
    <w:p w14:paraId="788DCA5B" w14:textId="77777777" w:rsidR="00E43364" w:rsidRDefault="00E43364" w:rsidP="002D0B68">
      <w:pPr>
        <w:pStyle w:val="FootnoteText"/>
      </w:pPr>
      <w:r>
        <w:rPr>
          <w:rStyle w:val="FootnoteReference"/>
        </w:rPr>
        <w:footnoteRef/>
      </w:r>
      <w:r>
        <w:t xml:space="preserve"> </w:t>
      </w:r>
      <w:r>
        <w:tab/>
        <w:t xml:space="preserve">Construction hours are also in compliance with the requirements of Section 15-95, </w:t>
      </w:r>
      <w:r w:rsidRPr="004C7293">
        <w:t>Construction and Building Projects,</w:t>
      </w:r>
      <w:r>
        <w:t xml:space="preserve"> of the municipal code for the City of West Covina, which borders the project site to the south. </w:t>
      </w:r>
    </w:p>
  </w:footnote>
  <w:footnote w:id="4">
    <w:p w14:paraId="7299051C" w14:textId="77777777" w:rsidR="00E43364" w:rsidRDefault="00E43364" w:rsidP="00B54534">
      <w:pPr>
        <w:pStyle w:val="FootnoteText"/>
      </w:pPr>
      <w:r>
        <w:rPr>
          <w:rStyle w:val="FootnoteReference"/>
        </w:rPr>
        <w:footnoteRef/>
      </w:r>
      <w:r>
        <w:t xml:space="preserve"> </w:t>
      </w:r>
      <w:r>
        <w:tab/>
        <w:t xml:space="preserve">Total trip ends represent the “to” and “from” trips between the soil import site and the project site. </w:t>
      </w:r>
    </w:p>
  </w:footnote>
  <w:footnote w:id="5">
    <w:p w14:paraId="73660445" w14:textId="77777777" w:rsidR="00E43364" w:rsidRDefault="00E43364" w:rsidP="002970D3">
      <w:pPr>
        <w:pStyle w:val="FootnoteText"/>
      </w:pPr>
      <w:r>
        <w:rPr>
          <w:rStyle w:val="FootnoteReference"/>
        </w:rPr>
        <w:footnoteRef/>
      </w:r>
      <w:r>
        <w:t xml:space="preserve"> </w:t>
      </w:r>
      <w:bookmarkStart w:id="116" w:name="_Hlk80198161"/>
      <w:r>
        <w:tab/>
        <w:t xml:space="preserve">Based on information provided by the project applicant. It is assumed the proposed uses would be in operation 24 hours per day and 7 days a week. However, while forklifts and yard trucks would be available and on standby for use during operating hours, it is not anticipated that these pieces of equipment would operate continuously throughout the entirely of the 24-hour/7-day operating hours. Thus, the equipment operating hours of 7 hours per day per unit represent the total cumulative hours each piece of off-road equipment would be in use per day. </w:t>
      </w:r>
      <w:bookmarkEnd w:id="116"/>
    </w:p>
  </w:footnote>
  <w:footnote w:id="6">
    <w:p w14:paraId="2BBECA12" w14:textId="77777777" w:rsidR="00E43364" w:rsidRDefault="00E43364">
      <w:pPr>
        <w:pStyle w:val="FootnoteText"/>
      </w:pPr>
      <w:r>
        <w:rPr>
          <w:rStyle w:val="FootnoteReference"/>
        </w:rPr>
        <w:footnoteRef/>
      </w:r>
      <w:r>
        <w:t xml:space="preserve"> </w:t>
      </w:r>
      <w:r>
        <w:tab/>
        <w:t>Since specific business(es) and/or tenant(s) that would ultimately occupy the proposed building are unknown at this time, trip generation rates are based on modeling defaults</w:t>
      </w:r>
      <w:r w:rsidRPr="00167493">
        <w:t xml:space="preserve"> </w:t>
      </w:r>
      <w:r>
        <w:t xml:space="preserve">specified in the </w:t>
      </w:r>
      <w:r w:rsidRPr="00167493">
        <w:t>Institute of Transportation Engineers (ITE), Trip Generation Manual, 10th Edition (2017) and 10th Edition Supplement (2020).</w:t>
      </w:r>
    </w:p>
  </w:footnote>
  <w:footnote w:id="7">
    <w:p w14:paraId="515AE9E2" w14:textId="77777777" w:rsidR="00E43364" w:rsidRDefault="00E43364">
      <w:pPr>
        <w:pStyle w:val="FootnoteText"/>
      </w:pPr>
      <w:r>
        <w:rPr>
          <w:rStyle w:val="FootnoteReference"/>
        </w:rPr>
        <w:footnoteRef/>
      </w:r>
      <w:r>
        <w:t xml:space="preserve"> </w:t>
      </w:r>
      <w:r>
        <w:tab/>
        <w:t xml:space="preserve">Since specific business(es) and/or tenant(s) that would ultimately occupy the proposed building are unknown at this time, off-road equipment use is based on generalized equipment use associated with comparably sized warehouse buildings. </w:t>
      </w:r>
    </w:p>
  </w:footnote>
  <w:footnote w:id="8">
    <w:p w14:paraId="27CB58AC" w14:textId="77777777" w:rsidR="00E43364" w:rsidRDefault="00E43364" w:rsidP="006738BE">
      <w:pPr>
        <w:pStyle w:val="FootnoteText"/>
        <w:ind w:left="180" w:hanging="180"/>
      </w:pPr>
      <w:r>
        <w:rPr>
          <w:rStyle w:val="FootnoteReference"/>
        </w:rPr>
        <w:footnoteRef/>
      </w:r>
      <w:r>
        <w:t xml:space="preserve"> </w:t>
      </w:r>
      <w:r>
        <w:tab/>
        <w:t xml:space="preserve">Per the California Department of Fish and Wildlife, habitat is where a given plant or animal species meets its requirements for food, cover, and water in both space and </w:t>
      </w:r>
      <w:r w:rsidRPr="000403CD">
        <w:t>time (CDFW 2015).</w:t>
      </w:r>
    </w:p>
  </w:footnote>
  <w:footnote w:id="9">
    <w:p w14:paraId="3F158298" w14:textId="77777777" w:rsidR="00E43364" w:rsidRDefault="00E43364" w:rsidP="003C3452">
      <w:pPr>
        <w:pStyle w:val="FootnoteText"/>
      </w:pPr>
      <w:r>
        <w:rPr>
          <w:rStyle w:val="FootnoteReference"/>
        </w:rPr>
        <w:footnoteRef/>
      </w:r>
      <w:r>
        <w:t xml:space="preserve"> </w:t>
      </w:r>
      <w:r>
        <w:tab/>
      </w:r>
      <w:r>
        <w:rPr>
          <w:rFonts w:cs="Garamond"/>
          <w:szCs w:val="18"/>
        </w:rPr>
        <w:t>Riverine habitat includes all wetlands and deep-water habitats in a channel (USFWS 2020).</w:t>
      </w:r>
    </w:p>
  </w:footnote>
  <w:footnote w:id="10">
    <w:p w14:paraId="373FDF54" w14:textId="77777777" w:rsidR="00E43364" w:rsidRDefault="00E43364">
      <w:pPr>
        <w:pStyle w:val="FootnoteText"/>
      </w:pPr>
      <w:r>
        <w:rPr>
          <w:rStyle w:val="FootnoteReference"/>
        </w:rPr>
        <w:footnoteRef/>
      </w:r>
      <w:r>
        <w:t xml:space="preserve"> </w:t>
      </w:r>
      <w:r>
        <w:tab/>
      </w:r>
      <w:r w:rsidRPr="00384AE4">
        <w:t xml:space="preserve">Cogstone requested a </w:t>
      </w:r>
      <w:r>
        <w:t>SLF</w:t>
      </w:r>
      <w:r w:rsidRPr="00384AE4">
        <w:t xml:space="preserve"> search from the Native American Heritage Commission (NAHC) on April 13, 2021. On April 27, 20121 the NAHC responded that the </w:t>
      </w:r>
      <w:r>
        <w:t>project area</w:t>
      </w:r>
      <w:r w:rsidRPr="00384AE4">
        <w:t xml:space="preserve"> was negative for any known sacred sites or resources</w:t>
      </w:r>
      <w:r>
        <w:t xml:space="preserve"> (Appendix B)</w:t>
      </w:r>
      <w:r w:rsidRPr="00384AE4">
        <w:t>.</w:t>
      </w:r>
    </w:p>
  </w:footnote>
  <w:footnote w:id="11">
    <w:p w14:paraId="286778C0" w14:textId="77777777" w:rsidR="00E43364" w:rsidRDefault="00E43364">
      <w:pPr>
        <w:pStyle w:val="FootnoteText"/>
      </w:pPr>
      <w:r>
        <w:rPr>
          <w:rStyle w:val="FootnoteReference"/>
        </w:rPr>
        <w:footnoteRef/>
      </w:r>
      <w:r>
        <w:t xml:space="preserve"> </w:t>
      </w:r>
      <w:r>
        <w:tab/>
      </w:r>
      <w:r w:rsidRPr="00D07A61">
        <w:t>Relative density is the measure of compactness of cohesionless soil.</w:t>
      </w:r>
      <w:r w:rsidRPr="00C7350C">
        <w:t xml:space="preserve"> Void ratio is the </w:t>
      </w:r>
      <w:r>
        <w:t>ratio of empty space</w:t>
      </w:r>
      <w:r w:rsidRPr="00C7350C">
        <w:t xml:space="preserve"> to solids in the soil.</w:t>
      </w:r>
    </w:p>
  </w:footnote>
  <w:footnote w:id="12">
    <w:p w14:paraId="2490326C" w14:textId="77777777" w:rsidR="00E43364" w:rsidRDefault="00E43364">
      <w:pPr>
        <w:pStyle w:val="FootnoteText"/>
      </w:pPr>
      <w:r>
        <w:rPr>
          <w:rStyle w:val="FootnoteReference"/>
        </w:rPr>
        <w:footnoteRef/>
      </w:r>
      <w:r>
        <w:t xml:space="preserve"> </w:t>
      </w:r>
      <w:r>
        <w:tab/>
      </w:r>
      <w:r w:rsidRPr="00C7350C">
        <w:t xml:space="preserve">Porosity is a measure of the </w:t>
      </w:r>
      <w:r>
        <w:t>empty</w:t>
      </w:r>
      <w:r w:rsidRPr="00C7350C">
        <w:t xml:space="preserve"> spaces in a material</w:t>
      </w:r>
      <w:r>
        <w:t>.</w:t>
      </w:r>
    </w:p>
  </w:footnote>
  <w:footnote w:id="13">
    <w:p w14:paraId="4AEB1673" w14:textId="77777777" w:rsidR="00E43364" w:rsidRPr="0056616C" w:rsidRDefault="00E43364" w:rsidP="000E40F4">
      <w:pPr>
        <w:pStyle w:val="FootnoteText"/>
        <w:keepLines/>
        <w:rPr>
          <w:rFonts w:cs="Times"/>
          <w:bCs/>
          <w:szCs w:val="19"/>
        </w:rPr>
      </w:pPr>
      <w:r w:rsidRPr="0056616C">
        <w:rPr>
          <w:rFonts w:cs="Times"/>
          <w:bCs/>
          <w:szCs w:val="19"/>
          <w:vertAlign w:val="superscript"/>
        </w:rPr>
        <w:footnoteRef/>
      </w:r>
      <w:r w:rsidRPr="0056616C">
        <w:rPr>
          <w:rFonts w:cs="Times"/>
          <w:bCs/>
          <w:szCs w:val="19"/>
        </w:rPr>
        <w:t xml:space="preserve"> </w:t>
      </w:r>
      <w:r>
        <w:rPr>
          <w:rFonts w:cs="Times"/>
          <w:bCs/>
          <w:szCs w:val="19"/>
        </w:rPr>
        <w:tab/>
      </w:r>
      <w:r w:rsidRPr="0056616C">
        <w:rPr>
          <w:rFonts w:cs="Times"/>
          <w:bCs/>
          <w:szCs w:val="19"/>
        </w:rPr>
        <w:t>Water vapor (H</w:t>
      </w:r>
      <w:r w:rsidRPr="0056616C">
        <w:rPr>
          <w:rFonts w:cs="Times"/>
          <w:bCs/>
          <w:szCs w:val="19"/>
          <w:vertAlign w:val="subscript"/>
        </w:rPr>
        <w:t>2</w:t>
      </w:r>
      <w:r w:rsidRPr="0056616C">
        <w:rPr>
          <w:rFonts w:cs="Times"/>
          <w:bCs/>
          <w:szCs w:val="19"/>
        </w:rPr>
        <w:t>O) is the strongest GHG and the most variable in its phases (vapor, cloud droplets, ice crystals). However, water vapor is not considered a pollutant, but part of the feedback loop rather than a primary cause of change.</w:t>
      </w:r>
    </w:p>
  </w:footnote>
  <w:footnote w:id="14">
    <w:p w14:paraId="37C922FA" w14:textId="77777777" w:rsidR="00E43364" w:rsidRPr="0056616C" w:rsidRDefault="00E43364" w:rsidP="000E40F4">
      <w:pPr>
        <w:pStyle w:val="FootnoteText"/>
        <w:keepLines/>
      </w:pPr>
      <w:r w:rsidRPr="0056616C">
        <w:rPr>
          <w:rFonts w:cs="Times"/>
          <w:bCs/>
          <w:szCs w:val="19"/>
          <w:vertAlign w:val="superscript"/>
        </w:rPr>
        <w:footnoteRef/>
      </w:r>
      <w:r w:rsidRPr="0056616C">
        <w:rPr>
          <w:rFonts w:cs="Times"/>
          <w:bCs/>
          <w:szCs w:val="19"/>
        </w:rPr>
        <w:t xml:space="preserve"> </w:t>
      </w:r>
      <w:r>
        <w:rPr>
          <w:rFonts w:cs="Times"/>
          <w:bCs/>
          <w:szCs w:val="19"/>
        </w:rPr>
        <w:tab/>
      </w:r>
      <w:r w:rsidRPr="0056616C">
        <w:rPr>
          <w:rFonts w:cs="Times"/>
          <w:bCs/>
          <w:szCs w:val="19"/>
        </w:rPr>
        <w:t>Black carbon contributes to climate change both directly, by absorbing sunlight, and indirectly, by depositing on snow (making it melt faster) and by interacting with clouds and affecting cloud formation. Black carbon is the most strongly light-absorbing component of PM emitted from burning fuels. Reducing black carbon emissions globally can have immediate economic, climate, and public health benefits. California has been an international leader in reducing emissions of black carbon, with close to 95 percent control expected by 2020 due to existing programs that target reducing PM from diesel engines and burning activities (CARB 2017</w:t>
      </w:r>
      <w:r>
        <w:rPr>
          <w:rFonts w:cs="Times"/>
          <w:bCs/>
          <w:szCs w:val="19"/>
        </w:rPr>
        <w:t>a</w:t>
      </w:r>
      <w:r w:rsidRPr="0056616C">
        <w:rPr>
          <w:rFonts w:cs="Times"/>
          <w:bCs/>
          <w:szCs w:val="19"/>
        </w:rPr>
        <w:t xml:space="preserve">). However, state and national GHG inventories do not yet include black carbon due to ongoing work resolving </w:t>
      </w:r>
      <w:r>
        <w:rPr>
          <w:rFonts w:cs="Times"/>
          <w:bCs/>
          <w:szCs w:val="19"/>
        </w:rPr>
        <w:t>its</w:t>
      </w:r>
      <w:r w:rsidRPr="0056616C">
        <w:rPr>
          <w:rFonts w:cs="Times"/>
          <w:bCs/>
          <w:szCs w:val="19"/>
        </w:rPr>
        <w:t xml:space="preserve"> precise global warming potential. Guidance for CEQA documents does not yet include black carbon.</w:t>
      </w:r>
    </w:p>
  </w:footnote>
  <w:footnote w:id="15">
    <w:p w14:paraId="3A4FAB8F" w14:textId="77777777" w:rsidR="00E43364" w:rsidRDefault="00E43364" w:rsidP="000E40F4">
      <w:pPr>
        <w:pStyle w:val="FootnoteText"/>
      </w:pPr>
      <w:r w:rsidRPr="0056616C">
        <w:rPr>
          <w:rStyle w:val="FootnoteReference"/>
        </w:rPr>
        <w:footnoteRef/>
      </w:r>
      <w:r w:rsidRPr="0056616C">
        <w:t xml:space="preserve"> </w:t>
      </w:r>
      <w:r>
        <w:tab/>
      </w:r>
      <w:r w:rsidRPr="0056616C">
        <w:rPr>
          <w:rFonts w:cs="Times"/>
          <w:bCs/>
          <w:szCs w:val="19"/>
        </w:rPr>
        <w:t>Life</w:t>
      </w:r>
      <w:r>
        <w:rPr>
          <w:rFonts w:cs="Times"/>
          <w:bCs/>
          <w:szCs w:val="19"/>
        </w:rPr>
        <w:t>-</w:t>
      </w:r>
      <w:r w:rsidRPr="0056616C">
        <w:rPr>
          <w:rFonts w:cs="Times"/>
          <w:bCs/>
          <w:szCs w:val="19"/>
        </w:rPr>
        <w:t xml:space="preserve">cycle emissions include indirect emissions associated with materials manufacture. However, these indirect emissions involve numerous parties, each of which is responsible for GHG emissions of </w:t>
      </w:r>
      <w:r>
        <w:rPr>
          <w:rFonts w:cs="Times"/>
          <w:bCs/>
          <w:szCs w:val="19"/>
        </w:rPr>
        <w:t>its</w:t>
      </w:r>
      <w:r w:rsidRPr="0056616C">
        <w:rPr>
          <w:rFonts w:cs="Times"/>
          <w:bCs/>
          <w:szCs w:val="19"/>
        </w:rPr>
        <w:t xml:space="preserve"> particular activity. The California Resources Agency, in adopting the CEQA Guidelines Amendments on GHG emissions</w:t>
      </w:r>
      <w:r>
        <w:rPr>
          <w:rFonts w:cs="Times"/>
          <w:bCs/>
          <w:szCs w:val="19"/>
        </w:rPr>
        <w:t>,</w:t>
      </w:r>
      <w:r w:rsidRPr="0056616C">
        <w:rPr>
          <w:rFonts w:cs="Times"/>
          <w:bCs/>
          <w:szCs w:val="19"/>
        </w:rPr>
        <w:t xml:space="preserve"> found that life</w:t>
      </w:r>
      <w:r>
        <w:rPr>
          <w:rFonts w:cs="Times"/>
          <w:bCs/>
          <w:szCs w:val="19"/>
        </w:rPr>
        <w:t>-</w:t>
      </w:r>
      <w:r w:rsidRPr="0056616C">
        <w:rPr>
          <w:rFonts w:cs="Times"/>
          <w:bCs/>
          <w:szCs w:val="19"/>
        </w:rPr>
        <w:t>cycle analys</w:t>
      </w:r>
      <w:r>
        <w:rPr>
          <w:rFonts w:cs="Times"/>
          <w:bCs/>
          <w:szCs w:val="19"/>
        </w:rPr>
        <w:t>i</w:t>
      </w:r>
      <w:r w:rsidRPr="0056616C">
        <w:rPr>
          <w:rFonts w:cs="Times"/>
          <w:bCs/>
          <w:szCs w:val="19"/>
        </w:rPr>
        <w:t xml:space="preserve">s was not warranted for project-specific CEQA analysis in most situations for a variety of reasons, including lack of control over some sources and the possibility of double-counting emissions (see Final Statement of Reasons for Regulatory Action, December 2009). Because the amount of materials consumed during the operation or construction of the proposed project is not known, the origin of the raw materials purchased is not known, and manufacturing information for those raw materials </w:t>
      </w:r>
      <w:r>
        <w:rPr>
          <w:rFonts w:cs="Times"/>
          <w:bCs/>
          <w:szCs w:val="19"/>
        </w:rPr>
        <w:t>is</w:t>
      </w:r>
      <w:r w:rsidRPr="0056616C">
        <w:rPr>
          <w:rFonts w:cs="Times"/>
          <w:bCs/>
          <w:szCs w:val="19"/>
        </w:rPr>
        <w:t xml:space="preserve"> not known, calculation of life</w:t>
      </w:r>
      <w:r>
        <w:rPr>
          <w:rFonts w:cs="Times"/>
          <w:bCs/>
          <w:szCs w:val="19"/>
        </w:rPr>
        <w:t>-</w:t>
      </w:r>
      <w:r w:rsidRPr="0056616C">
        <w:rPr>
          <w:rFonts w:cs="Times"/>
          <w:bCs/>
          <w:szCs w:val="19"/>
        </w:rPr>
        <w:t>cycle emissions would be speculative. A life-cycle analysis is not warranted (OPR 2008).</w:t>
      </w:r>
    </w:p>
  </w:footnote>
  <w:footnote w:id="16">
    <w:p w14:paraId="1D756584" w14:textId="77777777" w:rsidR="00E43364" w:rsidRDefault="00E43364" w:rsidP="000E40F4">
      <w:pPr>
        <w:pStyle w:val="FootnoteText"/>
        <w:ind w:left="270" w:hanging="270"/>
      </w:pPr>
      <w:r w:rsidRPr="004833F5">
        <w:rPr>
          <w:rStyle w:val="FootnoteReference"/>
        </w:rPr>
        <w:footnoteRef/>
      </w:r>
      <w:r w:rsidRPr="004833F5">
        <w:t xml:space="preserve"> </w:t>
      </w:r>
      <w:r>
        <w:tab/>
      </w:r>
      <w:r w:rsidRPr="004833F5">
        <w:t xml:space="preserve">Particulate matter emissions, which include black carbon, are analyzed in Section 3.3, </w:t>
      </w:r>
      <w:r w:rsidRPr="004833F5">
        <w:rPr>
          <w:i/>
        </w:rPr>
        <w:t>Air Quality</w:t>
      </w:r>
      <w:r w:rsidRPr="004833F5">
        <w:t>. Black carbon emissions have sharply declined due to efforts to reduce on-road and off-road vehicle emissions, especially diesel particulate matter. The State's existing air quality policies will virtually eliminate black carbon emissions from on-road diesel engines within 10 years (CARB 2017</w:t>
      </w:r>
      <w:r>
        <w:t>a</w:t>
      </w:r>
      <w:r w:rsidRPr="004833F5">
        <w:t>).</w:t>
      </w:r>
    </w:p>
  </w:footnote>
  <w:footnote w:id="17">
    <w:p w14:paraId="3BC44741" w14:textId="77777777" w:rsidR="00E43364" w:rsidRDefault="00E43364" w:rsidP="00485695">
      <w:pPr>
        <w:pStyle w:val="FootnoteText"/>
        <w:jc w:val="both"/>
      </w:pPr>
      <w:r>
        <w:rPr>
          <w:rStyle w:val="FootnoteReference"/>
        </w:rPr>
        <w:footnoteRef/>
      </w:r>
      <w:r>
        <w:tab/>
        <w:t>Cold storage warehouse means a storage warehouse used to store fresh and/or frozen perishable fruits or vegetables, meat, seafood, dairy products, or fowl, or any combination thereof, at a desired temperature to maintain the quality of the product for orderly marketing.</w:t>
      </w:r>
      <w:r w:rsidRPr="0075231A">
        <w:t xml:space="preserve"> </w:t>
      </w:r>
      <w:r>
        <w:t>Cold storage warehouses employ t</w:t>
      </w:r>
      <w:r w:rsidRPr="0075231A">
        <w:t xml:space="preserve">ransport </w:t>
      </w:r>
      <w:r>
        <w:t>r</w:t>
      </w:r>
      <w:r w:rsidRPr="0075231A">
        <w:t xml:space="preserve">efrigeration </w:t>
      </w:r>
      <w:r>
        <w:t>u</w:t>
      </w:r>
      <w:r w:rsidRPr="0075231A">
        <w:t>nit</w:t>
      </w:r>
      <w:r>
        <w:t>s</w:t>
      </w:r>
      <w:r w:rsidRPr="0075231A">
        <w:t xml:space="preserve"> (TRU</w:t>
      </w:r>
      <w:r>
        <w:t>s</w:t>
      </w:r>
      <w:r w:rsidRPr="0075231A">
        <w:t>)</w:t>
      </w:r>
      <w:r>
        <w:t>. TRUs are</w:t>
      </w:r>
      <w:r w:rsidRPr="0075231A">
        <w:t xml:space="preserve"> a refrigeration system installed on cargo trailers, straight trucks, intermodal shipping containers, and rail cars used in transporting temperature sensitive goods.</w:t>
      </w:r>
    </w:p>
  </w:footnote>
  <w:footnote w:id="18">
    <w:p w14:paraId="73EE5B55" w14:textId="523D2A18" w:rsidR="00E43364" w:rsidRDefault="00E43364" w:rsidP="00485695">
      <w:pPr>
        <w:pStyle w:val="FootnoteText"/>
        <w:ind w:left="180" w:hanging="180"/>
        <w:jc w:val="both"/>
      </w:pPr>
      <w:r>
        <w:rPr>
          <w:rStyle w:val="FootnoteReference"/>
        </w:rPr>
        <w:footnoteRef/>
      </w:r>
      <w:r>
        <w:t xml:space="preserve"> </w:t>
      </w:r>
      <w:r w:rsidR="00295F9A">
        <w:tab/>
      </w:r>
      <w:r w:rsidRPr="005537C9">
        <w:t xml:space="preserve">The Health Haz Mat Division of LACFD </w:t>
      </w:r>
      <w:r w:rsidRPr="006F4B36">
        <w:t xml:space="preserve">is the Certified Unified Program Agency (CUPA) for </w:t>
      </w:r>
      <w:r>
        <w:t>the City</w:t>
      </w:r>
      <w:r w:rsidRPr="006F4B36">
        <w:t xml:space="preserve">; the </w:t>
      </w:r>
      <w:r>
        <w:t>CUPA administers and</w:t>
      </w:r>
      <w:r w:rsidRPr="006F4B36">
        <w:t xml:space="preserve"> </w:t>
      </w:r>
      <w:r>
        <w:t>enforces</w:t>
      </w:r>
      <w:r w:rsidRPr="006F4B36">
        <w:t xml:space="preserve"> several state and federal regulations governing hazardous materials</w:t>
      </w:r>
      <w:r>
        <w:t xml:space="preserve"> and hazardous waste</w:t>
      </w:r>
      <w:r w:rsidRPr="006F4B36">
        <w:t>.</w:t>
      </w:r>
      <w:r w:rsidRPr="007B4097">
        <w:t xml:space="preserve"> </w:t>
      </w:r>
    </w:p>
  </w:footnote>
  <w:footnote w:id="19">
    <w:p w14:paraId="356284BB" w14:textId="77777777" w:rsidR="00E43364" w:rsidRDefault="00E43364" w:rsidP="00C96EDC">
      <w:pPr>
        <w:pStyle w:val="FootnoteText"/>
        <w:tabs>
          <w:tab w:val="clear" w:pos="216"/>
        </w:tabs>
        <w:ind w:left="180" w:hanging="180"/>
        <w:jc w:val="both"/>
      </w:pPr>
      <w:r>
        <w:rPr>
          <w:rStyle w:val="FootnoteReference"/>
        </w:rPr>
        <w:footnoteRef/>
      </w:r>
      <w:r>
        <w:tab/>
        <w:t xml:space="preserve">Bituminous materials are materials </w:t>
      </w:r>
      <w:r w:rsidRPr="0018046F">
        <w:t>resembling or containing bitumen</w:t>
      </w:r>
      <w:r>
        <w:t xml:space="preserve">; bitumen = </w:t>
      </w:r>
      <w:r w:rsidRPr="0018046F">
        <w:t>any of various viscous or solid impure mixtures of hydrocarbons that occur naturally in asphalt, tar, mineral waxes, etc</w:t>
      </w:r>
      <w:r>
        <w:t>.;</w:t>
      </w:r>
      <w:r w:rsidRPr="0018046F">
        <w:t xml:space="preserve"> used as a road surfacing and roofing material</w:t>
      </w:r>
      <w:r>
        <w:t>.</w:t>
      </w:r>
    </w:p>
  </w:footnote>
  <w:footnote w:id="20">
    <w:p w14:paraId="65B521DD" w14:textId="4F47444E" w:rsidR="00E43364" w:rsidRDefault="00E43364" w:rsidP="000C1AB6">
      <w:pPr>
        <w:pStyle w:val="FootnoteText"/>
        <w:ind w:left="180" w:hanging="180"/>
      </w:pPr>
      <w:r>
        <w:rPr>
          <w:rStyle w:val="FootnoteReference"/>
        </w:rPr>
        <w:footnoteRef/>
      </w:r>
      <w:r>
        <w:t xml:space="preserve"> </w:t>
      </w:r>
      <w:r w:rsidR="000C1AB6">
        <w:tab/>
      </w:r>
      <w:r>
        <w:t xml:space="preserve">The design storm, from which the </w:t>
      </w:r>
      <w:r w:rsidRPr="00E951EF">
        <w:t>Stormwater Quality Design Volume</w:t>
      </w:r>
      <w:r>
        <w:t xml:space="preserve"> is calculated, is defined as the greater of the 0.75-inch, 24-hour rain event; or the 85th percentile, 24-hour rain event.</w:t>
      </w:r>
    </w:p>
  </w:footnote>
  <w:footnote w:id="21">
    <w:p w14:paraId="70E119B0" w14:textId="2DE1AA32" w:rsidR="00E43364" w:rsidRDefault="00E43364" w:rsidP="004D04B1">
      <w:pPr>
        <w:pStyle w:val="FootnoteText"/>
      </w:pPr>
      <w:r>
        <w:rPr>
          <w:rStyle w:val="FootnoteReference"/>
        </w:rPr>
        <w:footnoteRef/>
      </w:r>
      <w:r w:rsidR="000C1AB6">
        <w:tab/>
      </w:r>
      <w:r>
        <w:t>For flow-based treatment BMPs, the Stormwater Quality Design Flow (SWQDf) is used.</w:t>
      </w:r>
    </w:p>
  </w:footnote>
  <w:footnote w:id="22">
    <w:p w14:paraId="44EF0AC2" w14:textId="6F6ED65F" w:rsidR="00E43364" w:rsidRDefault="00E43364">
      <w:pPr>
        <w:pStyle w:val="FootnoteText"/>
      </w:pPr>
      <w:r>
        <w:rPr>
          <w:rStyle w:val="FootnoteReference"/>
        </w:rPr>
        <w:footnoteRef/>
      </w:r>
      <w:r w:rsidR="00295F9A">
        <w:tab/>
      </w:r>
      <w:r>
        <w:t>A treatment train</w:t>
      </w:r>
      <w:r w:rsidRPr="00BE3122">
        <w:t xml:space="preserve"> </w:t>
      </w:r>
      <w:r>
        <w:t>is</w:t>
      </w:r>
      <w:r w:rsidRPr="00BE3122">
        <w:t xml:space="preserve"> </w:t>
      </w:r>
      <w:r w:rsidRPr="003226DA">
        <w:t xml:space="preserve">a series of stormwater </w:t>
      </w:r>
      <w:r>
        <w:t>BMPs</w:t>
      </w:r>
      <w:r w:rsidRPr="003226DA">
        <w:t xml:space="preserve"> that maximize the removal of pollutants.</w:t>
      </w:r>
    </w:p>
  </w:footnote>
  <w:footnote w:id="23">
    <w:p w14:paraId="1A32BA1A" w14:textId="77777777" w:rsidR="00E43364" w:rsidRPr="006D0E20" w:rsidRDefault="00E43364" w:rsidP="00AD6FE2">
      <w:pPr>
        <w:pStyle w:val="FootnoteText"/>
        <w:ind w:left="180" w:hanging="180"/>
      </w:pPr>
      <w:r>
        <w:rPr>
          <w:rStyle w:val="FootnoteReference"/>
        </w:rPr>
        <w:footnoteRef/>
      </w:r>
      <w:r>
        <w:tab/>
      </w:r>
      <w:r w:rsidRPr="0059007F">
        <w:rPr>
          <w:bCs/>
        </w:rPr>
        <w:t>Community Noise Equivalent Level (CNEL)</w:t>
      </w:r>
      <w:r>
        <w:rPr>
          <w:bCs/>
        </w:rPr>
        <w:t xml:space="preserve"> is t</w:t>
      </w:r>
      <w:r w:rsidRPr="006D0E20">
        <w:t>he energy average of the A-weighted sound levels during a 24-hour period, with 5</w:t>
      </w:r>
      <w:r>
        <w:t> </w:t>
      </w:r>
      <w:r w:rsidRPr="006D0E20">
        <w:t>dB added from 7:00 pm to 10:00 pm and 10 dB from 10:00 pm to 7:00 am.</w:t>
      </w:r>
      <w:r>
        <w:t xml:space="preserve"> See Appendix G for more information.</w:t>
      </w:r>
    </w:p>
    <w:p w14:paraId="271A326A" w14:textId="77777777" w:rsidR="00E43364" w:rsidRDefault="00E43364">
      <w:pPr>
        <w:pStyle w:val="FootnoteText"/>
      </w:pPr>
    </w:p>
  </w:footnote>
  <w:footnote w:id="24">
    <w:p w14:paraId="330CE47A" w14:textId="77777777" w:rsidR="00E43364" w:rsidRDefault="00E43364" w:rsidP="000415FE">
      <w:pPr>
        <w:pStyle w:val="FootnoteText"/>
        <w:jc w:val="both"/>
      </w:pPr>
      <w:r>
        <w:rPr>
          <w:rStyle w:val="FootnoteReference"/>
        </w:rPr>
        <w:footnoteRef/>
      </w:r>
      <w:r>
        <w:tab/>
        <w:t xml:space="preserve">As measured from the edge of the project site to the sensitive receptor property line. </w:t>
      </w:r>
    </w:p>
  </w:footnote>
  <w:footnote w:id="25">
    <w:p w14:paraId="10A5D93D" w14:textId="77777777" w:rsidR="00E43364" w:rsidRDefault="00E43364" w:rsidP="000415FE">
      <w:pPr>
        <w:pStyle w:val="FootnoteText"/>
        <w:jc w:val="both"/>
      </w:pPr>
      <w:r>
        <w:rPr>
          <w:rStyle w:val="FootnoteReference"/>
        </w:rPr>
        <w:footnoteRef/>
      </w:r>
      <w:r>
        <w:tab/>
        <w:t>Ambient base level:</w:t>
      </w:r>
      <w:r w:rsidRPr="00D17536">
        <w:t xml:space="preserve"> means reasonable and representative ambient noise levels</w:t>
      </w:r>
      <w:r>
        <w:t xml:space="preserve"> </w:t>
      </w:r>
      <w:r w:rsidRPr="00D17536">
        <w:t>in</w:t>
      </w:r>
      <w:r>
        <w:t xml:space="preserve"> </w:t>
      </w:r>
      <w:r w:rsidRPr="00D17536">
        <w:t>various land use categories in the city and at various times as established by</w:t>
      </w:r>
      <w:r>
        <w:t xml:space="preserve"> </w:t>
      </w:r>
      <w:r w:rsidRPr="00D17536">
        <w:t>the planning</w:t>
      </w:r>
      <w:r>
        <w:t xml:space="preserve"> </w:t>
      </w:r>
      <w:r w:rsidRPr="00D17536">
        <w:t>commission.</w:t>
      </w:r>
    </w:p>
  </w:footnote>
  <w:footnote w:id="26">
    <w:p w14:paraId="458BC67C" w14:textId="77777777" w:rsidR="00E43364" w:rsidRDefault="00E43364" w:rsidP="000415FE">
      <w:pPr>
        <w:pStyle w:val="FootnoteText"/>
        <w:jc w:val="both"/>
      </w:pPr>
      <w:r>
        <w:rPr>
          <w:rStyle w:val="FootnoteReference"/>
        </w:rPr>
        <w:footnoteRef/>
      </w:r>
      <w:r>
        <w:tab/>
      </w:r>
      <w:r w:rsidRPr="00D17536">
        <w:t>Ambient noise level means the all-encompassing noise associated with a given</w:t>
      </w:r>
      <w:r>
        <w:t xml:space="preserve"> </w:t>
      </w:r>
      <w:r w:rsidRPr="00D17536">
        <w:t>environment,</w:t>
      </w:r>
      <w:r>
        <w:t xml:space="preserve"> </w:t>
      </w:r>
      <w:r w:rsidRPr="00D17536">
        <w:t>usually being a composite of sounds with many sources excluding the alleged</w:t>
      </w:r>
      <w:r>
        <w:t xml:space="preserve"> </w:t>
      </w:r>
      <w:r w:rsidRPr="00D17536">
        <w:t>offensive</w:t>
      </w:r>
      <w:r>
        <w:t xml:space="preserve"> </w:t>
      </w:r>
      <w:r w:rsidRPr="00D17536">
        <w:t>noise at the location and approximate time at which a comparison with the alleged</w:t>
      </w:r>
      <w:r>
        <w:t xml:space="preserve"> </w:t>
      </w:r>
      <w:r w:rsidRPr="00D17536">
        <w:t>offensive noise is to be made.</w:t>
      </w:r>
    </w:p>
  </w:footnote>
  <w:footnote w:id="27">
    <w:p w14:paraId="1E4A6E46" w14:textId="77777777" w:rsidR="00E43364" w:rsidRDefault="00E43364" w:rsidP="000415FE">
      <w:pPr>
        <w:pStyle w:val="FootnoteText"/>
        <w:jc w:val="both"/>
      </w:pPr>
      <w:r>
        <w:rPr>
          <w:rStyle w:val="FootnoteReference"/>
        </w:rPr>
        <w:footnoteRef/>
      </w:r>
      <w:r>
        <w:tab/>
      </w:r>
      <w:r w:rsidRPr="000937CC">
        <w:t>Maximum Sound Level (Lmax). The highest RMS sound level measured during the measurement period</w:t>
      </w:r>
      <w:r>
        <w:t xml:space="preserve"> (see Appendix G)</w:t>
      </w:r>
      <w:r w:rsidRPr="000937CC">
        <w:t>.</w:t>
      </w:r>
    </w:p>
  </w:footnote>
  <w:footnote w:id="28">
    <w:p w14:paraId="28752423" w14:textId="77777777" w:rsidR="00E43364" w:rsidRDefault="00E43364" w:rsidP="000415FE">
      <w:pPr>
        <w:pStyle w:val="FootnoteText"/>
        <w:jc w:val="both"/>
      </w:pPr>
      <w:r>
        <w:rPr>
          <w:rStyle w:val="FootnoteReference"/>
        </w:rPr>
        <w:footnoteRef/>
      </w:r>
      <w:r>
        <w:tab/>
        <w:t>A</w:t>
      </w:r>
      <w:r w:rsidRPr="004D1E43">
        <w:t>verage daily traffic</w:t>
      </w:r>
      <w:r w:rsidRPr="004D1E43" w:rsidDel="004D1E43">
        <w:t xml:space="preserve"> </w:t>
      </w:r>
      <w:r>
        <w:t xml:space="preserve">provided </w:t>
      </w:r>
      <w:r w:rsidRPr="00034B9D">
        <w:t xml:space="preserve">by </w:t>
      </w:r>
      <w:r>
        <w:t>Urban Crossroads</w:t>
      </w:r>
      <w:r w:rsidRPr="00034B9D">
        <w:t xml:space="preserve"> 2021.</w:t>
      </w:r>
      <w:r>
        <w:t xml:space="preserve"> </w:t>
      </w:r>
    </w:p>
  </w:footnote>
  <w:footnote w:id="29">
    <w:p w14:paraId="30F808BD" w14:textId="77777777" w:rsidR="00E43364" w:rsidRDefault="00E43364" w:rsidP="000415FE">
      <w:pPr>
        <w:pStyle w:val="FootnoteText"/>
        <w:jc w:val="both"/>
      </w:pPr>
      <w:r>
        <w:rPr>
          <w:rStyle w:val="FootnoteReference"/>
        </w:rPr>
        <w:footnoteRef/>
      </w:r>
      <w:r>
        <w:tab/>
      </w:r>
      <w:r w:rsidRPr="000937CC">
        <w:t>Equivalent Continuous Noise Level (Leq); also called the Energy-Equivalent Noise Level. The value of an equivalent, steady sound level which, in a stated time period (often over an hour) and at a stated location, has the same A-weighted sound energy as the time-varying sound. Thus, the Leq metric is a single numerical value that represents the equivalent amount of variable sound energy received by a receptor over the specified duration.</w:t>
      </w:r>
    </w:p>
  </w:footnote>
  <w:footnote w:id="30">
    <w:p w14:paraId="36741314" w14:textId="77777777" w:rsidR="00E43364" w:rsidRDefault="00E43364" w:rsidP="000415FE">
      <w:pPr>
        <w:pStyle w:val="FootnoteText"/>
        <w:jc w:val="both"/>
      </w:pPr>
      <w:r>
        <w:rPr>
          <w:rStyle w:val="FootnoteReference"/>
        </w:rPr>
        <w:footnoteRef/>
      </w:r>
      <w:r>
        <w:t xml:space="preserve"> </w:t>
      </w:r>
      <w:r>
        <w:tab/>
        <w:t>ASTM F2200 provides guidance to ensure that the mechanical components of a gate are designed and installed in such a way to prevent risk to people in “entrapment zones.” UL 325 (Standard for Safety: Door, Drapery, Gate, Louver and Window Operators and Systems) is the standard to which vehicular gate operators are designed, tested, and manufactured.</w:t>
      </w:r>
    </w:p>
  </w:footnote>
  <w:footnote w:id="31">
    <w:p w14:paraId="1E0CA6A2" w14:textId="77777777" w:rsidR="00E43364" w:rsidRDefault="00E43364" w:rsidP="000415FE">
      <w:pPr>
        <w:pStyle w:val="FootnoteText"/>
        <w:jc w:val="both"/>
      </w:pPr>
      <w:r>
        <w:rPr>
          <w:rStyle w:val="FootnoteReference"/>
        </w:rPr>
        <w:footnoteRef/>
      </w:r>
      <w:r>
        <w:tab/>
        <w:t xml:space="preserve">Class I Shared-Use Paths are separated completely from motor vehicle traffic and shared between bicyclists and pedestrians. </w:t>
      </w:r>
    </w:p>
  </w:footnote>
  <w:footnote w:id="32">
    <w:p w14:paraId="66614973" w14:textId="77777777" w:rsidR="00E43364" w:rsidRDefault="00E43364" w:rsidP="000415FE">
      <w:pPr>
        <w:pStyle w:val="FootnoteText"/>
        <w:jc w:val="both"/>
      </w:pPr>
      <w:r>
        <w:rPr>
          <w:rStyle w:val="FootnoteReference"/>
        </w:rPr>
        <w:footnoteRef/>
      </w:r>
      <w:r>
        <w:tab/>
      </w:r>
      <w:r w:rsidRPr="00511380">
        <w:t xml:space="preserve">Class IV Bikeways </w:t>
      </w:r>
      <w:r>
        <w:t>are within or adjacent to a roadway and separated from traffic by a physical barrier such as bollards, on-street parking, or planters. This design allows an exclusive right-of-way for bicycle travel.</w:t>
      </w:r>
    </w:p>
  </w:footnote>
  <w:footnote w:id="33">
    <w:p w14:paraId="3D4BAE40" w14:textId="77777777" w:rsidR="00E43364" w:rsidRDefault="00E43364" w:rsidP="000415FE">
      <w:pPr>
        <w:pStyle w:val="FootnoteText"/>
        <w:jc w:val="both"/>
      </w:pPr>
      <w:r>
        <w:rPr>
          <w:rStyle w:val="FootnoteReference"/>
        </w:rPr>
        <w:footnoteRef/>
      </w:r>
      <w:r>
        <w:tab/>
        <w:t>The peak hour traffic estimate is the total peak hour passenger car trips and the peak hour passenger car equivalent t</w:t>
      </w:r>
      <w:r w:rsidRPr="00FD6C2A">
        <w:t xml:space="preserve">ruck </w:t>
      </w:r>
      <w:r>
        <w:t>t</w:t>
      </w:r>
      <w:r w:rsidRPr="00FD6C2A">
        <w:t>rips</w:t>
      </w:r>
      <w:r>
        <w:t>.</w:t>
      </w:r>
    </w:p>
  </w:footnote>
  <w:footnote w:id="34">
    <w:p w14:paraId="1B688F31" w14:textId="77777777" w:rsidR="00E43364" w:rsidRDefault="00E43364" w:rsidP="000415FE">
      <w:pPr>
        <w:pStyle w:val="FootnoteText"/>
        <w:jc w:val="both"/>
      </w:pPr>
      <w:r>
        <w:rPr>
          <w:rStyle w:val="FootnoteReference"/>
        </w:rPr>
        <w:footnoteRef/>
      </w:r>
      <w:r>
        <w:tab/>
        <w:t>Refer to Table 4-2 and Table 4-4 of the proposed project’s transportation analysis (Appendix 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CE1D" w14:textId="77777777" w:rsidR="00E43364" w:rsidRDefault="00E43364" w:rsidP="00810B47">
    <w:pPr>
      <w:pStyle w:val="HEADEREVEN1"/>
    </w:pPr>
    <w:r>
      <w:t>4416 Azusa Canyon Road Initial Study</w:t>
    </w:r>
  </w:p>
  <w:p w14:paraId="60FE13E9" w14:textId="77777777" w:rsidR="00E43364" w:rsidRDefault="00E43364" w:rsidP="00810B47">
    <w:pPr>
      <w:pStyle w:val="HEADEREVEN1"/>
    </w:pPr>
    <w:r>
      <w:t>city of Irwindale</w:t>
    </w:r>
  </w:p>
  <w:p w14:paraId="0E4EC8B5" w14:textId="77777777" w:rsidR="00E43364" w:rsidRDefault="00E43364" w:rsidP="00A505AE">
    <w:pPr>
      <w:pStyle w:val="HeaderEven2"/>
    </w:pPr>
    <w:r>
      <w:t>Table of 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F9F4" w14:textId="77777777" w:rsidR="00E43364" w:rsidRDefault="00E43364" w:rsidP="00810B47">
    <w:pPr>
      <w:pStyle w:val="HEADERODD1"/>
    </w:pPr>
    <w:r>
      <w:t>4416 Azusa Canyon Road INITIAL STUDY</w:t>
    </w:r>
  </w:p>
  <w:p w14:paraId="01FECF4D" w14:textId="77777777" w:rsidR="00E43364" w:rsidRDefault="00E43364" w:rsidP="00810B47">
    <w:pPr>
      <w:pStyle w:val="HEADERODD1"/>
    </w:pPr>
    <w:r>
      <w:t>CITY OF Irwindale</w:t>
    </w:r>
  </w:p>
  <w:p w14:paraId="27635F4B" w14:textId="77777777" w:rsidR="00E43364" w:rsidRDefault="00E43364" w:rsidP="00756DE2">
    <w:pPr>
      <w:pStyle w:val="Header"/>
    </w:pPr>
    <w:r w:rsidRPr="002E4BBD">
      <w:t>2. Environmental Checklist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1C36" w14:textId="77777777" w:rsidR="00E43364" w:rsidRDefault="00E43364" w:rsidP="00756DE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B685" w14:textId="77777777" w:rsidR="00E43364" w:rsidRDefault="00E43364" w:rsidP="00810B47">
    <w:pPr>
      <w:pStyle w:val="HEADEREVEN1"/>
    </w:pPr>
    <w:r>
      <w:t>4416 Azusa Canyon Road Initial Study</w:t>
    </w:r>
  </w:p>
  <w:p w14:paraId="2D33D838" w14:textId="77777777" w:rsidR="00E43364" w:rsidRDefault="00E43364" w:rsidP="00810B47">
    <w:pPr>
      <w:pStyle w:val="HEADEREVEN1"/>
    </w:pPr>
    <w:r>
      <w:t>city of Irwindale</w:t>
    </w:r>
  </w:p>
  <w:p w14:paraId="38FAB642" w14:textId="77777777" w:rsidR="00E43364" w:rsidRDefault="00E43364" w:rsidP="00756DE2">
    <w:pPr>
      <w:pStyle w:val="HeaderEven2"/>
    </w:pPr>
    <w:r>
      <w:t>3. Environmental Analysis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B4AA" w14:textId="77777777" w:rsidR="00E43364" w:rsidRDefault="00E43364" w:rsidP="00810B47">
    <w:pPr>
      <w:pStyle w:val="HEADERODD1"/>
    </w:pPr>
    <w:r>
      <w:t>4416 Azusa Canyon Road INITIAL STUDY</w:t>
    </w:r>
  </w:p>
  <w:p w14:paraId="3170D2B9" w14:textId="77777777" w:rsidR="00E43364" w:rsidRDefault="00E43364" w:rsidP="00810B47">
    <w:pPr>
      <w:pStyle w:val="HEADERODD1"/>
    </w:pPr>
    <w:r>
      <w:t>CITY OF Irwindale</w:t>
    </w:r>
  </w:p>
  <w:p w14:paraId="5050CB83" w14:textId="77777777" w:rsidR="00E43364" w:rsidRDefault="00E43364" w:rsidP="00EF25B2">
    <w:pPr>
      <w:pStyle w:val="Header"/>
    </w:pPr>
    <w:r w:rsidRPr="00EF25B2">
      <w:t>3. Environmental Analysis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8E34" w14:textId="77777777" w:rsidR="00E43364" w:rsidRDefault="00E43364" w:rsidP="00810B47">
    <w:pPr>
      <w:pStyle w:val="HEADEREVEN1"/>
    </w:pPr>
    <w:r>
      <w:t>4416 Azusa Canyon Road Initial Study</w:t>
    </w:r>
  </w:p>
  <w:p w14:paraId="41135388" w14:textId="77777777" w:rsidR="00E43364" w:rsidRDefault="00E43364" w:rsidP="00810B47">
    <w:pPr>
      <w:pStyle w:val="HEADEREVEN1"/>
    </w:pPr>
    <w:r>
      <w:t>city of Irwindale</w:t>
    </w:r>
  </w:p>
  <w:p w14:paraId="1D785EF3" w14:textId="77777777" w:rsidR="00E43364" w:rsidRDefault="00E43364" w:rsidP="00756DE2">
    <w:pPr>
      <w:pStyle w:val="HeaderEven2"/>
    </w:pPr>
    <w:r>
      <w:t>3. Environmental Analysis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0026" w14:textId="77777777" w:rsidR="00E43364" w:rsidRDefault="00E43364" w:rsidP="00810B47">
    <w:pPr>
      <w:pStyle w:val="HEADERODD1"/>
    </w:pPr>
    <w:r>
      <w:t>4416 Azusa Canyon Road INITIAL STUDY</w:t>
    </w:r>
  </w:p>
  <w:p w14:paraId="531795E8" w14:textId="77777777" w:rsidR="00E43364" w:rsidRDefault="00E43364" w:rsidP="00810B47">
    <w:pPr>
      <w:pStyle w:val="HEADERODD1"/>
    </w:pPr>
    <w:r>
      <w:t>CITY OF Irwindale</w:t>
    </w:r>
  </w:p>
  <w:p w14:paraId="4ADED8E5" w14:textId="77777777" w:rsidR="00E43364" w:rsidRDefault="00E43364" w:rsidP="00756DE2">
    <w:pPr>
      <w:pStyle w:val="Header"/>
    </w:pPr>
    <w:r>
      <w:t>3. Environmental Analysis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36F1" w14:textId="77777777" w:rsidR="00E43364" w:rsidRDefault="00E43364" w:rsidP="00756DE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EE95F" w14:textId="77777777" w:rsidR="00E43364" w:rsidRDefault="00E43364" w:rsidP="00810B47">
    <w:pPr>
      <w:pStyle w:val="HEADEREVEN1"/>
    </w:pPr>
    <w:r>
      <w:t>4416 Azusa Canyon Road Initial Study</w:t>
    </w:r>
  </w:p>
  <w:p w14:paraId="224BD25B" w14:textId="77777777" w:rsidR="00E43364" w:rsidRDefault="00E43364" w:rsidP="00810B47">
    <w:pPr>
      <w:pStyle w:val="HEADEREVEN1"/>
    </w:pPr>
    <w:r>
      <w:t>city of Irwindale</w:t>
    </w:r>
  </w:p>
  <w:p w14:paraId="51D1B5AA" w14:textId="77777777" w:rsidR="00E43364" w:rsidRDefault="00E43364" w:rsidP="00756DE2">
    <w:pPr>
      <w:pStyle w:val="HeaderEven2"/>
    </w:pPr>
    <w:r>
      <w:t>4. References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629B" w14:textId="77777777" w:rsidR="00E43364" w:rsidRDefault="00E43364" w:rsidP="00681702">
    <w:pPr>
      <w:pStyle w:val="HEADERODD1"/>
    </w:pPr>
    <w:r>
      <w:t>4416 Azusa Canyon Road INITIAL STUDY</w:t>
    </w:r>
  </w:p>
  <w:p w14:paraId="13ABBF89" w14:textId="77777777" w:rsidR="00E43364" w:rsidRDefault="00E43364" w:rsidP="00681702">
    <w:pPr>
      <w:pStyle w:val="HEADERODD1"/>
    </w:pPr>
    <w:r>
      <w:t>CITY OF Irwindale</w:t>
    </w:r>
  </w:p>
  <w:p w14:paraId="3EDF9B79" w14:textId="77777777" w:rsidR="00E43364" w:rsidRDefault="00E43364" w:rsidP="00F77095">
    <w:pPr>
      <w:pStyle w:val="Header"/>
    </w:pPr>
    <w:r>
      <w:t>4. References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00163" w14:textId="77777777" w:rsidR="00E43364" w:rsidRPr="0061474F" w:rsidRDefault="00E43364" w:rsidP="00756D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0E99" w14:textId="77777777" w:rsidR="00E43364" w:rsidRDefault="00E43364" w:rsidP="00810B47">
    <w:pPr>
      <w:pStyle w:val="HEADERODD1"/>
    </w:pPr>
    <w:bookmarkStart w:id="1" w:name="_Hlk70588656"/>
    <w:r>
      <w:t>4416 Azusa Canyon Road INITIAL STUDY</w:t>
    </w:r>
  </w:p>
  <w:p w14:paraId="4125A42D" w14:textId="77777777" w:rsidR="00E43364" w:rsidRDefault="00E43364" w:rsidP="00810B47">
    <w:pPr>
      <w:pStyle w:val="HEADERODD1"/>
    </w:pPr>
    <w:r>
      <w:t>CITY OF Irwindale</w:t>
    </w:r>
  </w:p>
  <w:bookmarkEnd w:id="1"/>
  <w:p w14:paraId="5C182CB6" w14:textId="77777777" w:rsidR="00E43364" w:rsidRDefault="00E43364" w:rsidP="00756DE2">
    <w:pPr>
      <w:pStyle w:val="Header"/>
    </w:pPr>
    <w:r>
      <w:t>Table of Contents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B87A" w14:textId="77777777" w:rsidR="00E43364" w:rsidRDefault="00E43364" w:rsidP="00EF25B2">
    <w:pPr>
      <w:pStyle w:val="HEADEREVEN1"/>
    </w:pPr>
    <w:r>
      <w:t>4416 Azusa Canyon Road Initial Study</w:t>
    </w:r>
  </w:p>
  <w:p w14:paraId="61A20DCA" w14:textId="77777777" w:rsidR="00E43364" w:rsidRDefault="00E43364" w:rsidP="00EF25B2">
    <w:pPr>
      <w:pStyle w:val="HEADEREVEN1"/>
    </w:pPr>
    <w:r>
      <w:t>city of Irwindale</w:t>
    </w:r>
  </w:p>
  <w:p w14:paraId="20F7E6AF" w14:textId="77777777" w:rsidR="00E43364" w:rsidRDefault="00E43364" w:rsidP="00756DE2">
    <w:pPr>
      <w:pStyle w:val="HeaderEven2"/>
    </w:pPr>
    <w:r>
      <w:t>5. List of Preparers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3B87" w14:textId="77777777" w:rsidR="00E43364" w:rsidRDefault="00E43364" w:rsidP="00681702">
    <w:pPr>
      <w:pStyle w:val="HEADERODD1"/>
    </w:pPr>
    <w:r>
      <w:t>4416 Azusa Canyon Road INITIAL STUDY</w:t>
    </w:r>
  </w:p>
  <w:p w14:paraId="7B7473D8" w14:textId="77777777" w:rsidR="00E43364" w:rsidRDefault="00E43364" w:rsidP="00681702">
    <w:pPr>
      <w:pStyle w:val="HEADERODD1"/>
    </w:pPr>
    <w:r>
      <w:t>CITY OF Irwindale</w:t>
    </w:r>
  </w:p>
  <w:p w14:paraId="3D8D2273" w14:textId="77777777" w:rsidR="00E43364" w:rsidRDefault="00E43364" w:rsidP="00F77095">
    <w:pPr>
      <w:pStyle w:val="Header"/>
    </w:pPr>
    <w:r>
      <w:t>5. List of Preparers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539F" w14:textId="77777777" w:rsidR="00E43364" w:rsidRPr="00A874E0" w:rsidRDefault="00E43364" w:rsidP="00756DE2">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41741" w14:textId="77777777" w:rsidR="00E43364" w:rsidRDefault="00E43364" w:rsidP="00810B47">
    <w:pPr>
      <w:pStyle w:val="HEADEREVEN1"/>
    </w:pPr>
    <w:r>
      <w:t>4416 Azusa Canyon Road Initial Study</w:t>
    </w:r>
  </w:p>
  <w:p w14:paraId="1E6CE844" w14:textId="77777777" w:rsidR="00E43364" w:rsidRDefault="00E43364" w:rsidP="00810B47">
    <w:pPr>
      <w:pStyle w:val="HEADEREVEN1"/>
    </w:pPr>
    <w:r>
      <w:t>city of Irwindale</w:t>
    </w:r>
  </w:p>
  <w:p w14:paraId="53172F66" w14:textId="77777777" w:rsidR="00E43364" w:rsidRDefault="00E43364" w:rsidP="00756DE2">
    <w:pPr>
      <w:pStyle w:val="HeaderEven2"/>
    </w:pPr>
    <w:r>
      <w:t>Appendix</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FC4B" w14:textId="77777777" w:rsidR="00E43364" w:rsidRDefault="00E43364" w:rsidP="00810B47">
    <w:pPr>
      <w:pStyle w:val="HEADERODD1"/>
    </w:pPr>
    <w:r>
      <w:t>4416 Azusa Canyon Road INITIAL STUDY</w:t>
    </w:r>
  </w:p>
  <w:p w14:paraId="2FE08138" w14:textId="77777777" w:rsidR="00E43364" w:rsidRDefault="00E43364" w:rsidP="00810B47">
    <w:pPr>
      <w:pStyle w:val="HEADERODD1"/>
    </w:pPr>
    <w:r>
      <w:t>CITY OF Irwindale</w:t>
    </w:r>
  </w:p>
  <w:p w14:paraId="52CA0F1E" w14:textId="77777777" w:rsidR="00E43364" w:rsidRPr="00A874E0" w:rsidRDefault="00E43364" w:rsidP="00756DE2">
    <w:pPr>
      <w:pStyle w:val="Header"/>
    </w:pPr>
    <w:r w:rsidRPr="00A874E0">
      <w:t>Appendix</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406F8" w14:textId="77777777" w:rsidR="00E43364" w:rsidRDefault="00E43364">
    <w:pPr>
      <w:pStyle w:val="Header"/>
    </w:pPr>
    <w:r>
      <w:rPr>
        <w:noProof/>
      </w:rPr>
      <mc:AlternateContent>
        <mc:Choice Requires="wps">
          <w:drawing>
            <wp:anchor distT="0" distB="0" distL="114300" distR="114300" simplePos="0" relativeHeight="251657728" behindDoc="0" locked="0" layoutInCell="0" allowOverlap="1" wp14:anchorId="6AE4BDD8" wp14:editId="6453EB45">
              <wp:simplePos x="0" y="0"/>
              <wp:positionH relativeFrom="column">
                <wp:posOffset>0</wp:posOffset>
              </wp:positionH>
              <wp:positionV relativeFrom="paragraph">
                <wp:posOffset>640080</wp:posOffset>
              </wp:positionV>
              <wp:extent cx="5943600" cy="0"/>
              <wp:effectExtent l="28575" t="30480" r="28575" b="361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DF4A2" id="Straight Connector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4pt" to="468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" o:allowincell="f" strokeweight="4.5pt"/>
          </w:pict>
        </mc:Fallback>
      </mc:AlternateContent>
    </w:r>
    <w:r>
      <w:t>5. Appendices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AA13" w14:textId="77777777" w:rsidR="00E43364" w:rsidRDefault="00E43364" w:rsidP="00810B47">
    <w:pPr>
      <w:pStyle w:val="HEADEREVEN1"/>
    </w:pPr>
    <w:r>
      <w:t>4416 Azusa Canyon Road Initial Study</w:t>
    </w:r>
  </w:p>
  <w:p w14:paraId="537767A1" w14:textId="77777777" w:rsidR="00E43364" w:rsidRDefault="00E43364" w:rsidP="00810B47">
    <w:pPr>
      <w:pStyle w:val="HEADEREVEN1"/>
    </w:pPr>
    <w:r>
      <w:t>city of Irwindale</w:t>
    </w:r>
  </w:p>
  <w:p w14:paraId="26CF6554" w14:textId="77777777" w:rsidR="00E43364" w:rsidRDefault="00E43364" w:rsidP="00756DE2">
    <w:pPr>
      <w:pStyle w:val="HeaderEven2"/>
    </w:pPr>
    <w:r>
      <w:t>Abbreviations and Acronyms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61FD4" w14:textId="77777777" w:rsidR="00E43364" w:rsidRDefault="00E43364" w:rsidP="00810B47">
    <w:pPr>
      <w:pStyle w:val="HEADERODD1"/>
    </w:pPr>
    <w:r>
      <w:t>4416 Azusa Canyon Road INITIAL STUDY</w:t>
    </w:r>
  </w:p>
  <w:p w14:paraId="139FD652" w14:textId="77777777" w:rsidR="00E43364" w:rsidRDefault="00E43364" w:rsidP="00810B47">
    <w:pPr>
      <w:pStyle w:val="HEADERODD1"/>
    </w:pPr>
    <w:r>
      <w:t>CITY OF Irwindale</w:t>
    </w:r>
  </w:p>
  <w:p w14:paraId="75EDB425" w14:textId="77777777" w:rsidR="00E43364" w:rsidRDefault="00E43364" w:rsidP="00756DE2">
    <w:pPr>
      <w:pStyle w:val="Header"/>
    </w:pPr>
    <w:r>
      <w:t>Abbreviations and Acronyms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87DBB" w14:textId="77777777" w:rsidR="00E43364" w:rsidRDefault="00E43364" w:rsidP="00360CA8">
    <w:pPr>
      <w:pStyle w:val="HEADERODD1"/>
    </w:pPr>
    <w:r>
      <w:t>Project Title Initial Study</w:t>
    </w:r>
  </w:p>
  <w:p w14:paraId="2DDC208A" w14:textId="77777777" w:rsidR="00E43364" w:rsidRDefault="00E43364" w:rsidP="00360CA8">
    <w:pPr>
      <w:pStyle w:val="HEADERODD1"/>
    </w:pPr>
    <w:r>
      <w:t>Client</w:t>
    </w:r>
  </w:p>
  <w:p w14:paraId="70D90B0C" w14:textId="77777777" w:rsidR="00E43364" w:rsidRDefault="00E43364" w:rsidP="00360CA8">
    <w:pPr>
      <w:pStyle w:val="Header"/>
    </w:pPr>
    <w:r>
      <w:t>Abbreviations and Acronyms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638C" w14:textId="77777777" w:rsidR="00E43364" w:rsidRDefault="00E43364" w:rsidP="00810B47">
    <w:pPr>
      <w:pStyle w:val="HEADEREVEN1"/>
    </w:pPr>
    <w:r>
      <w:t>4416 Azusa Canyon Road Initial Study</w:t>
    </w:r>
  </w:p>
  <w:p w14:paraId="09CDF0A4" w14:textId="77777777" w:rsidR="00E43364" w:rsidRDefault="00E43364" w:rsidP="00810B47">
    <w:pPr>
      <w:pStyle w:val="HEADEREVEN1"/>
    </w:pPr>
    <w:r>
      <w:t>city of Irwindale</w:t>
    </w:r>
  </w:p>
  <w:p w14:paraId="3C9583F1" w14:textId="77777777" w:rsidR="00E43364" w:rsidRDefault="00E43364" w:rsidP="00756DE2">
    <w:pPr>
      <w:pStyle w:val="HeaderEven2"/>
    </w:pPr>
    <w:r>
      <w:t>1. Introduction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820F" w14:textId="77777777" w:rsidR="00E43364" w:rsidRDefault="00E43364" w:rsidP="00810B47">
    <w:pPr>
      <w:pStyle w:val="HEADERODD1"/>
    </w:pPr>
    <w:r>
      <w:t>4416 Azusa Canyon Road INITIAL STUDY</w:t>
    </w:r>
  </w:p>
  <w:p w14:paraId="49EB61C0" w14:textId="77777777" w:rsidR="00E43364" w:rsidRDefault="00E43364" w:rsidP="00810B47">
    <w:pPr>
      <w:pStyle w:val="HEADERODD1"/>
    </w:pPr>
    <w:r>
      <w:t>CITY OF Irwindale</w:t>
    </w:r>
  </w:p>
  <w:p w14:paraId="6611D698" w14:textId="77777777" w:rsidR="00E43364" w:rsidRDefault="00E43364" w:rsidP="00756DE2">
    <w:pPr>
      <w:pStyle w:val="Header"/>
    </w:pPr>
    <w:r>
      <w:t>1. Introduction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D975" w14:textId="77777777" w:rsidR="00E43364" w:rsidRPr="00516AA7" w:rsidRDefault="00E43364" w:rsidP="00756DE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D1791" w14:textId="77777777" w:rsidR="00E43364" w:rsidRDefault="00E43364" w:rsidP="00810B47">
    <w:pPr>
      <w:pStyle w:val="HEADEREVEN1"/>
    </w:pPr>
    <w:r>
      <w:t>4416 Azusa Canyon Road Initial Study</w:t>
    </w:r>
  </w:p>
  <w:p w14:paraId="75DDCC5F" w14:textId="77777777" w:rsidR="00E43364" w:rsidRDefault="00E43364" w:rsidP="00810B47">
    <w:pPr>
      <w:pStyle w:val="HEADEREVEN1"/>
    </w:pPr>
    <w:r>
      <w:t>city of Irwindale</w:t>
    </w:r>
  </w:p>
  <w:p w14:paraId="58F64947" w14:textId="77777777" w:rsidR="00E43364" w:rsidRDefault="00E43364" w:rsidP="00756DE2">
    <w:pPr>
      <w:pStyle w:val="HeaderEven2"/>
    </w:pPr>
    <w:r>
      <w:t>2. Environmental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3A2C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52E9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AFA2D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EBA60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826A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D800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0ACB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46BF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18D9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CE2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FC4AB0"/>
    <w:multiLevelType w:val="singleLevel"/>
    <w:tmpl w:val="A4362758"/>
    <w:lvl w:ilvl="0">
      <w:start w:val="1"/>
      <w:numFmt w:val="upperLetter"/>
      <w:pStyle w:val="TOCListofAppendices"/>
      <w:lvlText w:val="%1."/>
      <w:lvlJc w:val="left"/>
      <w:pPr>
        <w:tabs>
          <w:tab w:val="num" w:pos="360"/>
        </w:tabs>
        <w:ind w:left="360" w:hanging="360"/>
      </w:pPr>
      <w:rPr>
        <w:rFonts w:hint="default"/>
      </w:rPr>
    </w:lvl>
  </w:abstractNum>
  <w:abstractNum w:abstractNumId="11" w15:restartNumberingAfterBreak="0">
    <w:nsid w:val="0E6E3AB0"/>
    <w:multiLevelType w:val="hybridMultilevel"/>
    <w:tmpl w:val="41C6CB0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14D2746C"/>
    <w:multiLevelType w:val="hybridMultilevel"/>
    <w:tmpl w:val="C6B4692C"/>
    <w:lvl w:ilvl="0" w:tplc="D9A65BEC">
      <w:start w:val="1"/>
      <w:numFmt w:val="lowerLetter"/>
      <w:pStyle w:val="MitigationTextNumbera"/>
      <w:lvlText w:val="%1)"/>
      <w:lvlJc w:val="left"/>
      <w:pPr>
        <w:ind w:left="1080" w:hanging="360"/>
      </w:pPr>
      <w:rPr>
        <w:rFont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CE2A47"/>
    <w:multiLevelType w:val="hybridMultilevel"/>
    <w:tmpl w:val="668A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385178"/>
    <w:multiLevelType w:val="multilevel"/>
    <w:tmpl w:val="F1F4C67A"/>
    <w:lvl w:ilvl="0">
      <w:start w:val="2"/>
      <w:numFmt w:val="lowerLetter"/>
      <w:lvlText w:val="%1)"/>
      <w:lvlJc w:val="left"/>
      <w:pPr>
        <w:tabs>
          <w:tab w:val="num" w:pos="360"/>
        </w:tabs>
        <w:ind w:left="360" w:hanging="360"/>
      </w:pPr>
      <w:rPr>
        <w:rFonts w:ascii="Garamond" w:hAnsi="Garamond" w:hint="default"/>
        <w:b/>
        <w:i w:val="0"/>
        <w:caps w:val="0"/>
        <w:vanish w:val="0"/>
        <w:color w:val="auto"/>
        <w:sz w:val="22"/>
        <w:szCs w:val="20"/>
      </w:rPr>
    </w:lvl>
    <w:lvl w:ilvl="1">
      <w:start w:val="1"/>
      <w:numFmt w:val="lowerRoman"/>
      <w:lvlText w:val="%2)"/>
      <w:lvlJc w:val="left"/>
      <w:pPr>
        <w:tabs>
          <w:tab w:val="num" w:pos="720"/>
        </w:tabs>
        <w:ind w:left="720" w:hanging="360"/>
      </w:pPr>
      <w:rPr>
        <w:rFonts w:ascii="Garamond" w:hAnsi="Garamond" w:hint="default"/>
        <w:b/>
        <w:i w:val="0"/>
        <w:color w:val="auto"/>
        <w:sz w:val="22"/>
        <w:szCs w:val="20"/>
      </w:rPr>
    </w:lvl>
    <w:lvl w:ilvl="2">
      <w:start w:val="1"/>
      <w:numFmt w:val="none"/>
      <w:lvlText w:val=""/>
      <w:lvlJc w:val="left"/>
      <w:pPr>
        <w:tabs>
          <w:tab w:val="num" w:pos="-360"/>
        </w:tabs>
        <w:ind w:left="-360" w:firstLine="0"/>
      </w:pPr>
      <w:rPr>
        <w:rFonts w:hint="default"/>
      </w:rPr>
    </w:lvl>
    <w:lvl w:ilvl="3">
      <w:start w:val="1"/>
      <w:numFmt w:val="decimal"/>
      <w:lvlText w:val="%1.%2.%3.%4"/>
      <w:lvlJc w:val="left"/>
      <w:pPr>
        <w:tabs>
          <w:tab w:val="num" w:pos="504"/>
        </w:tabs>
        <w:ind w:left="504" w:hanging="864"/>
      </w:pPr>
      <w:rPr>
        <w:rFonts w:hint="default"/>
      </w:rPr>
    </w:lvl>
    <w:lvl w:ilvl="4">
      <w:start w:val="1"/>
      <w:numFmt w:val="none"/>
      <w:lvlText w:val="%1"/>
      <w:lvlJc w:val="left"/>
      <w:pPr>
        <w:tabs>
          <w:tab w:val="num" w:pos="-360"/>
        </w:tabs>
        <w:ind w:left="-360" w:firstLine="0"/>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15" w15:restartNumberingAfterBreak="0">
    <w:nsid w:val="20AE62E8"/>
    <w:multiLevelType w:val="hybridMultilevel"/>
    <w:tmpl w:val="A686F480"/>
    <w:lvl w:ilvl="0" w:tplc="78329C3C">
      <w:start w:val="1"/>
      <w:numFmt w:val="bullet"/>
      <w:pStyle w:val="Bullet1"/>
      <w:lvlText w:val=""/>
      <w:lvlJc w:val="left"/>
      <w:pPr>
        <w:ind w:left="360" w:hanging="360"/>
      </w:pPr>
      <w:rPr>
        <w:rFonts w:ascii="Wingdings" w:hAnsi="Wingdings" w:hint="default"/>
        <w:position w:val="-4"/>
        <w:sz w:val="28"/>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6" w15:restartNumberingAfterBreak="0">
    <w:nsid w:val="240A447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27DC6FD9"/>
    <w:multiLevelType w:val="hybridMultilevel"/>
    <w:tmpl w:val="C406944E"/>
    <w:lvl w:ilvl="0" w:tplc="C91262CC">
      <w:numFmt w:val="bullet"/>
      <w:lvlText w:val="-"/>
      <w:lvlJc w:val="left"/>
      <w:pPr>
        <w:ind w:left="1800" w:hanging="360"/>
      </w:pPr>
      <w:rPr>
        <w:rFonts w:ascii="Garamond" w:eastAsia="Times New Roman" w:hAnsi="Garamon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983514A"/>
    <w:multiLevelType w:val="multilevel"/>
    <w:tmpl w:val="87BCD742"/>
    <w:lvl w:ilvl="0">
      <w:start w:val="1"/>
      <w:numFmt w:val="decimal"/>
      <w:pStyle w:val="Heading1"/>
      <w:lvlText w:val="%1."/>
      <w:lvlJc w:val="left"/>
      <w:pPr>
        <w:tabs>
          <w:tab w:val="num" w:pos="720"/>
        </w:tabs>
        <w:ind w:left="720" w:hanging="720"/>
      </w:pPr>
      <w:rPr>
        <w:rFonts w:ascii="Arial Narrow" w:hAnsi="Arial Narrow" w:hint="default"/>
        <w:b w:val="0"/>
        <w:i w:val="0"/>
        <w:vanish w:val="0"/>
        <w:color w:val="auto"/>
        <w:sz w:val="48"/>
        <w:szCs w:val="16"/>
      </w:rPr>
    </w:lvl>
    <w:lvl w:ilvl="1">
      <w:start w:val="1"/>
      <w:numFmt w:val="decimal"/>
      <w:pStyle w:val="Heading2"/>
      <w:lvlText w:val="%1.%2"/>
      <w:lvlJc w:val="left"/>
      <w:pPr>
        <w:tabs>
          <w:tab w:val="num" w:pos="720"/>
        </w:tabs>
        <w:ind w:left="720" w:hanging="720"/>
      </w:pPr>
      <w:rPr>
        <w:rFonts w:ascii="Arial Narrow" w:hAnsi="Arial Narrow" w:hint="default"/>
        <w:b/>
        <w:i w:val="0"/>
        <w:caps/>
        <w:sz w:val="32"/>
        <w:szCs w:val="20"/>
      </w:rPr>
    </w:lvl>
    <w:lvl w:ilvl="2">
      <w:start w:val="1"/>
      <w:numFmt w:val="decimal"/>
      <w:pStyle w:val="Heading3"/>
      <w:lvlText w:val="%1.%2.%3"/>
      <w:lvlJc w:val="left"/>
      <w:pPr>
        <w:tabs>
          <w:tab w:val="num" w:pos="864"/>
        </w:tabs>
        <w:ind w:left="864" w:hanging="864"/>
      </w:pPr>
      <w:rPr>
        <w:rFonts w:ascii="Arial Narrow" w:hAnsi="Arial Narrow" w:hint="default"/>
        <w:b/>
        <w:i w:val="0"/>
        <w:sz w:val="30"/>
        <w:szCs w:val="20"/>
      </w:rPr>
    </w:lvl>
    <w:lvl w:ilvl="3">
      <w:start w:val="1"/>
      <w:numFmt w:val="decimal"/>
      <w:pStyle w:val="Heading4"/>
      <w:lvlText w:val="%1.%2.%3.%4"/>
      <w:lvlJc w:val="left"/>
      <w:pPr>
        <w:tabs>
          <w:tab w:val="num" w:pos="1008"/>
        </w:tabs>
        <w:ind w:left="1008" w:hanging="1008"/>
      </w:pPr>
      <w:rPr>
        <w:rFonts w:ascii="Arial Narrow" w:hAnsi="Arial Narrow" w:hint="default"/>
        <w:b/>
        <w:i w:val="0"/>
        <w:sz w:val="24"/>
        <w:szCs w:val="20"/>
      </w:rPr>
    </w:lvl>
    <w:lvl w:ilvl="4">
      <w:start w:val="1"/>
      <w:numFmt w:val="none"/>
      <w:pStyle w:val="Heading5"/>
      <w:lvlText w:val=""/>
      <w:lvlJc w:val="left"/>
      <w:pPr>
        <w:tabs>
          <w:tab w:val="num" w:pos="0"/>
        </w:tabs>
        <w:ind w:left="0" w:firstLine="0"/>
      </w:pPr>
      <w:rPr>
        <w:rFonts w:ascii="Swis721 Hv BT" w:hAnsi="Swis721 Hv BT" w:hint="default"/>
        <w:sz w:val="20"/>
        <w:szCs w:val="20"/>
      </w:rPr>
    </w:lvl>
    <w:lvl w:ilvl="5">
      <w:start w:val="1"/>
      <w:numFmt w:val="none"/>
      <w:pStyle w:val="Heading6"/>
      <w:lvlText w:val=""/>
      <w:lvlJc w:val="left"/>
      <w:pPr>
        <w:tabs>
          <w:tab w:val="num" w:pos="0"/>
        </w:tabs>
        <w:ind w:left="0" w:firstLine="0"/>
      </w:pPr>
      <w:rPr>
        <w:rFonts w:ascii="Swis721 BT" w:hAnsi="Swis721 BT" w:hint="default"/>
        <w:b/>
        <w:i/>
        <w:sz w:val="20"/>
        <w:szCs w:val="20"/>
      </w:rPr>
    </w:lvl>
    <w:lvl w:ilvl="6">
      <w:start w:val="1"/>
      <w:numFmt w:val="none"/>
      <w:pStyle w:val="Heading7"/>
      <w:lvlText w:val=""/>
      <w:lvlJc w:val="left"/>
      <w:pPr>
        <w:tabs>
          <w:tab w:val="num" w:pos="0"/>
        </w:tabs>
        <w:ind w:left="0" w:firstLine="0"/>
      </w:pPr>
      <w:rPr>
        <w:rFonts w:ascii="Swis721 BT" w:hAnsi="Swis721 BT" w:hint="default"/>
        <w:b w:val="0"/>
        <w:i/>
        <w:sz w:val="20"/>
        <w:szCs w:val="20"/>
      </w:rPr>
    </w:lvl>
    <w:lvl w:ilvl="7">
      <w:start w:val="1"/>
      <w:numFmt w:val="decimal"/>
      <w:lvlText w:val="%1.%2.%3.%4.%5.%6.%7.%8"/>
      <w:lvlJc w:val="left"/>
      <w:pPr>
        <w:tabs>
          <w:tab w:val="num" w:pos="1440"/>
        </w:tabs>
        <w:ind w:left="1440" w:hanging="1440"/>
      </w:pPr>
      <w:rPr>
        <w:rFonts w:hint="default"/>
      </w:rPr>
    </w:lvl>
    <w:lvl w:ilvl="8">
      <w:start w:val="1"/>
      <w:numFmt w:val="upperLetter"/>
      <w:pStyle w:val="Heading9"/>
      <w:lvlText w:val="%9."/>
      <w:lvlJc w:val="left"/>
      <w:pPr>
        <w:tabs>
          <w:tab w:val="num" w:pos="720"/>
        </w:tabs>
        <w:ind w:left="720" w:hanging="720"/>
      </w:pPr>
      <w:rPr>
        <w:rFonts w:ascii="Swis721 Hv BT" w:hAnsi="Swis721 Hv BT" w:hint="default"/>
        <w:b w:val="0"/>
        <w:i/>
        <w:vanish w:val="0"/>
        <w:sz w:val="24"/>
      </w:rPr>
    </w:lvl>
  </w:abstractNum>
  <w:abstractNum w:abstractNumId="19" w15:restartNumberingAfterBreak="0">
    <w:nsid w:val="2AD866B2"/>
    <w:multiLevelType w:val="singleLevel"/>
    <w:tmpl w:val="A1B09004"/>
    <w:lvl w:ilvl="0">
      <w:start w:val="1"/>
      <w:numFmt w:val="lowerLetter"/>
      <w:pStyle w:val="List5"/>
      <w:lvlText w:val="%1)"/>
      <w:lvlJc w:val="left"/>
      <w:pPr>
        <w:tabs>
          <w:tab w:val="num" w:pos="1080"/>
        </w:tabs>
        <w:ind w:left="1080" w:hanging="360"/>
      </w:pPr>
      <w:rPr>
        <w:rFonts w:ascii="Garamond" w:hAnsi="Garamond" w:hint="default"/>
        <w:b w:val="0"/>
        <w:i w:val="0"/>
        <w:caps w:val="0"/>
        <w:vanish w:val="0"/>
        <w:sz w:val="22"/>
      </w:rPr>
    </w:lvl>
  </w:abstractNum>
  <w:abstractNum w:abstractNumId="20" w15:restartNumberingAfterBreak="0">
    <w:nsid w:val="2C114B5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2C2F4E99"/>
    <w:multiLevelType w:val="hybridMultilevel"/>
    <w:tmpl w:val="0B2032B4"/>
    <w:lvl w:ilvl="0" w:tplc="91BEBE58">
      <w:start w:val="1"/>
      <w:numFmt w:val="bullet"/>
      <w:pStyle w:val="ImpactBullet"/>
      <w:lvlText w:val=""/>
      <w:lvlJc w:val="left"/>
      <w:pPr>
        <w:ind w:left="720" w:hanging="360"/>
      </w:pPr>
      <w:rPr>
        <w:rFonts w:ascii="Wingdings" w:hAnsi="Wingdings" w:hint="default"/>
        <w:position w:val="-4"/>
        <w:sz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7957ECB"/>
    <w:multiLevelType w:val="hybridMultilevel"/>
    <w:tmpl w:val="EC725AD0"/>
    <w:lvl w:ilvl="0" w:tplc="7034E5F8">
      <w:start w:val="1"/>
      <w:numFmt w:val="bullet"/>
      <w:pStyle w:val="MitigationTextBullet"/>
      <w:lvlText w:val=""/>
      <w:lvlJc w:val="left"/>
      <w:pPr>
        <w:ind w:left="1800" w:hanging="360"/>
      </w:pPr>
      <w:rPr>
        <w:rFonts w:ascii="Wingdings" w:hAnsi="Wingdings" w:hint="default"/>
        <w:color w:val="auto"/>
        <w:position w:val="-4"/>
        <w:sz w:val="28"/>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99755C"/>
    <w:multiLevelType w:val="hybridMultilevel"/>
    <w:tmpl w:val="DB2CD17E"/>
    <w:lvl w:ilvl="0" w:tplc="283AA768">
      <w:start w:val="1"/>
      <w:numFmt w:val="bullet"/>
      <w:pStyle w:val="Bullet1last"/>
      <w:lvlText w:val=""/>
      <w:lvlJc w:val="left"/>
      <w:pPr>
        <w:ind w:left="360" w:hanging="360"/>
      </w:pPr>
      <w:rPr>
        <w:rFonts w:ascii="Wingdings" w:hAnsi="Wingdings" w:hint="default"/>
        <w:color w:val="auto"/>
        <w:position w:val="-4"/>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514DFC"/>
    <w:multiLevelType w:val="singleLevel"/>
    <w:tmpl w:val="12BAEB36"/>
    <w:lvl w:ilvl="0">
      <w:start w:val="1"/>
      <w:numFmt w:val="decimal"/>
      <w:pStyle w:val="BodyText3"/>
      <w:lvlText w:val="%1."/>
      <w:lvlJc w:val="left"/>
      <w:pPr>
        <w:tabs>
          <w:tab w:val="num" w:pos="360"/>
        </w:tabs>
        <w:ind w:left="360" w:hanging="360"/>
      </w:pPr>
      <w:rPr>
        <w:rFonts w:ascii="Garamond" w:hAnsi="Garamond" w:hint="default"/>
        <w:b/>
        <w:i w:val="0"/>
        <w:caps w:val="0"/>
        <w:vanish w:val="0"/>
        <w:sz w:val="22"/>
      </w:rPr>
    </w:lvl>
  </w:abstractNum>
  <w:abstractNum w:abstractNumId="25" w15:restartNumberingAfterBreak="0">
    <w:nsid w:val="43ED1A9E"/>
    <w:multiLevelType w:val="hybridMultilevel"/>
    <w:tmpl w:val="4C4C8576"/>
    <w:lvl w:ilvl="0" w:tplc="2526694E">
      <w:start w:val="1"/>
      <w:numFmt w:val="bullet"/>
      <w:pStyle w:val="Bullet2last"/>
      <w:lvlText w:val=""/>
      <w:lvlJc w:val="left"/>
      <w:pPr>
        <w:ind w:left="72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5655F9"/>
    <w:multiLevelType w:val="hybridMultilevel"/>
    <w:tmpl w:val="CD140D4E"/>
    <w:lvl w:ilvl="0" w:tplc="C0726796">
      <w:start w:val="1"/>
      <w:numFmt w:val="bullet"/>
      <w:pStyle w:val="Bullet3"/>
      <w:lvlText w:val="-"/>
      <w:lvlJc w:val="left"/>
      <w:pPr>
        <w:ind w:left="1440" w:hanging="360"/>
      </w:pPr>
      <w:rPr>
        <w:rFonts w:ascii="Arial" w:hAnsi="Arial" w:hint="default"/>
        <w:b/>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572583B"/>
    <w:multiLevelType w:val="multilevel"/>
    <w:tmpl w:val="7C2C3944"/>
    <w:styleLink w:val="ReferenceList"/>
    <w:lvl w:ilvl="0">
      <w:start w:val="1"/>
      <w:numFmt w:val="decimal"/>
      <w:lvlText w:val="%1."/>
      <w:lvlJc w:val="left"/>
      <w:pPr>
        <w:tabs>
          <w:tab w:val="num" w:pos="720"/>
        </w:tabs>
        <w:ind w:left="720" w:hanging="720"/>
      </w:pPr>
      <w:rPr>
        <w:rFonts w:ascii="Swis721 BT" w:hAnsi="Swis721 BT"/>
      </w:rPr>
    </w:lvl>
    <w:lvl w:ilvl="1">
      <w:start w:val="1"/>
      <w:numFmt w:val="decimal"/>
      <w:lvlText w:val="%1.%2"/>
      <w:lvlJc w:val="left"/>
      <w:pPr>
        <w:tabs>
          <w:tab w:val="num" w:pos="720"/>
        </w:tabs>
        <w:ind w:left="720" w:hanging="720"/>
      </w:pPr>
      <w:rPr>
        <w:rFonts w:ascii="Swis721 Hv BT" w:hAnsi="Swis721 Hv BT" w:hint="default"/>
        <w:b w:val="0"/>
        <w:i w:val="0"/>
        <w:caps/>
        <w:color w:val="auto"/>
        <w:sz w:val="20"/>
        <w:szCs w:val="20"/>
      </w:rPr>
    </w:lvl>
    <w:lvl w:ilvl="2">
      <w:start w:val="1"/>
      <w:numFmt w:val="decimal"/>
      <w:lvlText w:val="%1.%2.%3"/>
      <w:lvlJc w:val="left"/>
      <w:pPr>
        <w:tabs>
          <w:tab w:val="num" w:pos="864"/>
        </w:tabs>
        <w:ind w:left="864" w:hanging="864"/>
      </w:pPr>
      <w:rPr>
        <w:rFonts w:ascii="Swis721 Hv BT" w:hAnsi="Swis721 Hv BT" w:hint="default"/>
        <w:b w:val="0"/>
        <w:i/>
        <w:color w:val="auto"/>
        <w:sz w:val="20"/>
        <w:szCs w:val="20"/>
      </w:rPr>
    </w:lvl>
    <w:lvl w:ilvl="3">
      <w:start w:val="1"/>
      <w:numFmt w:val="decimal"/>
      <w:lvlText w:val="%1.%2.%3.%4"/>
      <w:lvlJc w:val="left"/>
      <w:pPr>
        <w:tabs>
          <w:tab w:val="num" w:pos="1008"/>
        </w:tabs>
        <w:ind w:left="1008" w:hanging="1008"/>
      </w:pPr>
      <w:rPr>
        <w:rFonts w:ascii="Swis721 BT" w:hAnsi="Swis721 BT" w:hint="default"/>
        <w:b/>
        <w:i/>
        <w:color w:val="auto"/>
        <w:sz w:val="20"/>
        <w:szCs w:val="20"/>
      </w:rPr>
    </w:lvl>
    <w:lvl w:ilvl="4">
      <w:start w:val="1"/>
      <w:numFmt w:val="none"/>
      <w:lvlText w:val=""/>
      <w:lvlJc w:val="left"/>
      <w:pPr>
        <w:tabs>
          <w:tab w:val="num" w:pos="0"/>
        </w:tabs>
        <w:ind w:left="0" w:firstLine="0"/>
      </w:pPr>
      <w:rPr>
        <w:rFonts w:ascii="Swis721 Hv BT" w:hAnsi="Swis721 Hv BT" w:hint="default"/>
        <w:b w:val="0"/>
        <w:i w:val="0"/>
        <w:color w:val="auto"/>
        <w:sz w:val="20"/>
        <w:szCs w:val="20"/>
      </w:rPr>
    </w:lvl>
    <w:lvl w:ilvl="5">
      <w:start w:val="1"/>
      <w:numFmt w:val="none"/>
      <w:lvlText w:val=""/>
      <w:lvlJc w:val="left"/>
      <w:pPr>
        <w:tabs>
          <w:tab w:val="num" w:pos="0"/>
        </w:tabs>
        <w:ind w:left="0" w:firstLine="0"/>
      </w:pPr>
      <w:rPr>
        <w:rFonts w:ascii="Swis721 BT" w:hAnsi="Swis721 BT" w:hint="default"/>
        <w:b/>
        <w:i/>
        <w:color w:val="auto"/>
        <w:sz w:val="20"/>
        <w:szCs w:val="20"/>
      </w:rPr>
    </w:lvl>
    <w:lvl w:ilvl="6">
      <w:start w:val="1"/>
      <w:numFmt w:val="none"/>
      <w:lvlText w:val=""/>
      <w:lvlJc w:val="left"/>
      <w:pPr>
        <w:tabs>
          <w:tab w:val="num" w:pos="0"/>
        </w:tabs>
        <w:ind w:left="0" w:firstLine="0"/>
      </w:pPr>
      <w:rPr>
        <w:rFonts w:ascii="Swis721 BT" w:hAnsi="Swis721 BT" w:hint="default"/>
        <w:b w:val="0"/>
        <w:i/>
        <w:color w:val="auto"/>
        <w:sz w:val="20"/>
        <w:szCs w:val="20"/>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9B56077"/>
    <w:multiLevelType w:val="hybridMultilevel"/>
    <w:tmpl w:val="B0123F7A"/>
    <w:lvl w:ilvl="0" w:tplc="79C4C6D0">
      <w:start w:val="1"/>
      <w:numFmt w:val="bullet"/>
      <w:pStyle w:val="Bullet2"/>
      <w:lvlText w:val=""/>
      <w:lvlJc w:val="left"/>
      <w:pPr>
        <w:ind w:left="1080" w:hanging="360"/>
      </w:pPr>
      <w:rPr>
        <w:rFonts w:ascii="Wingdings" w:hAnsi="Wingdings" w:hint="default"/>
        <w:sz w:val="1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ECD51C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F0C518A"/>
    <w:multiLevelType w:val="multilevel"/>
    <w:tmpl w:val="D18A4A9C"/>
    <w:lvl w:ilvl="0">
      <w:start w:val="1"/>
      <w:numFmt w:val="lowerLetter"/>
      <w:pStyle w:val="List"/>
      <w:lvlText w:val="%1)"/>
      <w:lvlJc w:val="left"/>
      <w:pPr>
        <w:tabs>
          <w:tab w:val="num" w:pos="360"/>
        </w:tabs>
        <w:ind w:left="360" w:hanging="360"/>
      </w:pPr>
      <w:rPr>
        <w:rFonts w:ascii="Garamond" w:hAnsi="Garamond" w:hint="default"/>
        <w:b/>
        <w:i w:val="0"/>
        <w:caps w:val="0"/>
        <w:vanish w:val="0"/>
        <w:color w:val="auto"/>
        <w:sz w:val="22"/>
        <w:szCs w:val="20"/>
      </w:rPr>
    </w:lvl>
    <w:lvl w:ilvl="1">
      <w:start w:val="1"/>
      <w:numFmt w:val="lowerRoman"/>
      <w:lvlText w:val="%2)"/>
      <w:lvlJc w:val="left"/>
      <w:pPr>
        <w:tabs>
          <w:tab w:val="num" w:pos="720"/>
        </w:tabs>
        <w:ind w:left="720" w:hanging="360"/>
      </w:pPr>
      <w:rPr>
        <w:rFonts w:ascii="Garamond" w:hAnsi="Garamond" w:hint="default"/>
        <w:b/>
        <w:i w:val="0"/>
        <w:color w:val="auto"/>
        <w:sz w:val="22"/>
        <w:szCs w:val="20"/>
      </w:rPr>
    </w:lvl>
    <w:lvl w:ilvl="2">
      <w:start w:val="1"/>
      <w:numFmt w:val="none"/>
      <w:lvlText w:val=""/>
      <w:lvlJc w:val="left"/>
      <w:pPr>
        <w:tabs>
          <w:tab w:val="num" w:pos="-360"/>
        </w:tabs>
        <w:ind w:left="-360" w:firstLine="0"/>
      </w:pPr>
      <w:rPr>
        <w:rFonts w:hint="default"/>
      </w:rPr>
    </w:lvl>
    <w:lvl w:ilvl="3">
      <w:start w:val="1"/>
      <w:numFmt w:val="decimal"/>
      <w:lvlText w:val="%1.%2.%3.%4"/>
      <w:lvlJc w:val="left"/>
      <w:pPr>
        <w:tabs>
          <w:tab w:val="num" w:pos="504"/>
        </w:tabs>
        <w:ind w:left="504" w:hanging="864"/>
      </w:pPr>
      <w:rPr>
        <w:rFonts w:hint="default"/>
      </w:rPr>
    </w:lvl>
    <w:lvl w:ilvl="4">
      <w:start w:val="1"/>
      <w:numFmt w:val="none"/>
      <w:lvlText w:val="%1"/>
      <w:lvlJc w:val="left"/>
      <w:pPr>
        <w:tabs>
          <w:tab w:val="num" w:pos="-360"/>
        </w:tabs>
        <w:ind w:left="-360" w:firstLine="0"/>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31" w15:restartNumberingAfterBreak="0">
    <w:nsid w:val="62424FA3"/>
    <w:multiLevelType w:val="hybridMultilevel"/>
    <w:tmpl w:val="A68A9B02"/>
    <w:lvl w:ilvl="0" w:tplc="5C4EA530">
      <w:start w:val="1"/>
      <w:numFmt w:val="bullet"/>
      <w:pStyle w:val="TblTxtbullet"/>
      <w:lvlText w:val=""/>
      <w:lvlJc w:val="left"/>
      <w:pPr>
        <w:ind w:left="108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736EFA"/>
    <w:multiLevelType w:val="hybridMultilevel"/>
    <w:tmpl w:val="EAA092A4"/>
    <w:lvl w:ilvl="0" w:tplc="F7DC6D5C">
      <w:start w:val="1"/>
      <w:numFmt w:val="bullet"/>
      <w:pStyle w:val="MitigationTextBullet2"/>
      <w:lvlText w:val=""/>
      <w:lvlJc w:val="left"/>
      <w:pPr>
        <w:ind w:left="2160" w:hanging="360"/>
      </w:pPr>
      <w:rPr>
        <w:rFonts w:ascii="Symbol" w:hAnsi="Symbol" w:hint="default"/>
        <w:b/>
        <w:i w:val="0"/>
        <w:sz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6F236E57"/>
    <w:multiLevelType w:val="hybridMultilevel"/>
    <w:tmpl w:val="00561B7A"/>
    <w:lvl w:ilvl="0" w:tplc="68E0CCBA">
      <w:start w:val="1"/>
      <w:numFmt w:val="bullet"/>
      <w:pStyle w:val="ThresholdBullet"/>
      <w:lvlText w:val=""/>
      <w:lvlJc w:val="left"/>
      <w:pPr>
        <w:ind w:left="180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F70C66"/>
    <w:multiLevelType w:val="singleLevel"/>
    <w:tmpl w:val="5EDEF4D4"/>
    <w:lvl w:ilvl="0">
      <w:start w:val="1"/>
      <w:numFmt w:val="decimal"/>
      <w:pStyle w:val="List2"/>
      <w:lvlText w:val="%1."/>
      <w:lvlJc w:val="left"/>
      <w:pPr>
        <w:ind w:left="720" w:hanging="360"/>
      </w:pPr>
      <w:rPr>
        <w:rFonts w:ascii="Garamond" w:hAnsi="Garamond" w:hint="default"/>
        <w:b w:val="0"/>
        <w:i w:val="0"/>
        <w:caps w:val="0"/>
        <w:vanish w:val="0"/>
        <w:sz w:val="22"/>
        <w:u w:val="none"/>
      </w:rPr>
    </w:lvl>
  </w:abstractNum>
  <w:num w:numId="1">
    <w:abstractNumId w:val="30"/>
  </w:num>
  <w:num w:numId="2">
    <w:abstractNumId w:val="30"/>
  </w:num>
  <w:num w:numId="3">
    <w:abstractNumId w:val="30"/>
    <w:lvlOverride w:ilvl="0">
      <w:startOverride w:val="1"/>
    </w:lvlOverride>
  </w:num>
  <w:num w:numId="4">
    <w:abstractNumId w:val="30"/>
    <w:lvlOverride w:ilvl="0">
      <w:startOverride w:val="1"/>
    </w:lvlOverride>
  </w:num>
  <w:num w:numId="5">
    <w:abstractNumId w:val="30"/>
    <w:lvlOverride w:ilvl="0">
      <w:startOverride w:val="1"/>
    </w:lvlOverride>
  </w:num>
  <w:num w:numId="6">
    <w:abstractNumId w:val="30"/>
  </w:num>
  <w:num w:numId="7">
    <w:abstractNumId w:val="30"/>
    <w:lvlOverride w:ilvl="0">
      <w:startOverride w:val="1"/>
    </w:lvlOverride>
  </w:num>
  <w:num w:numId="8">
    <w:abstractNumId w:val="30"/>
    <w:lvlOverride w:ilvl="0">
      <w:startOverride w:val="1"/>
    </w:lvlOverride>
  </w:num>
  <w:num w:numId="9">
    <w:abstractNumId w:val="30"/>
    <w:lvlOverride w:ilvl="0">
      <w:startOverride w:val="1"/>
    </w:lvlOverride>
  </w:num>
  <w:num w:numId="10">
    <w:abstractNumId w:val="30"/>
    <w:lvlOverride w:ilvl="0">
      <w:startOverride w:val="1"/>
    </w:lvlOverride>
  </w:num>
  <w:num w:numId="11">
    <w:abstractNumId w:val="30"/>
    <w:lvlOverride w:ilvl="0">
      <w:startOverride w:val="1"/>
    </w:lvlOverride>
  </w:num>
  <w:num w:numId="12">
    <w:abstractNumId w:val="30"/>
    <w:lvlOverride w:ilvl="0">
      <w:startOverride w:val="1"/>
    </w:lvlOverride>
  </w:num>
  <w:num w:numId="13">
    <w:abstractNumId w:val="30"/>
    <w:lvlOverride w:ilvl="0">
      <w:startOverride w:val="1"/>
    </w:lvlOverride>
  </w:num>
  <w:num w:numId="14">
    <w:abstractNumId w:val="30"/>
    <w:lvlOverride w:ilvl="0">
      <w:startOverride w:val="1"/>
    </w:lvlOverride>
  </w:num>
  <w:num w:numId="15">
    <w:abstractNumId w:val="19"/>
    <w:lvlOverride w:ilvl="0">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6"/>
  </w:num>
  <w:num w:numId="19">
    <w:abstractNumId w:val="29"/>
  </w:num>
  <w:num w:numId="20">
    <w:abstractNumId w:val="20"/>
  </w:num>
  <w:num w:numId="21">
    <w:abstractNumId w:val="24"/>
  </w:num>
  <w:num w:numId="22">
    <w:abstractNumId w:val="15"/>
  </w:num>
  <w:num w:numId="23">
    <w:abstractNumId w:val="23"/>
  </w:num>
  <w:num w:numId="24">
    <w:abstractNumId w:val="28"/>
  </w:num>
  <w:num w:numId="25">
    <w:abstractNumId w:val="26"/>
  </w:num>
  <w:num w:numId="26">
    <w:abstractNumId w:val="18"/>
  </w:num>
  <w:num w:numId="27">
    <w:abstractNumId w:val="21"/>
  </w:num>
  <w:num w:numId="28">
    <w:abstractNumId w:val="30"/>
  </w:num>
  <w:num w:numId="29">
    <w:abstractNumId w:val="34"/>
  </w:num>
  <w:num w:numId="30">
    <w:abstractNumId w:val="19"/>
  </w:num>
  <w:num w:numId="31">
    <w:abstractNumId w:val="22"/>
  </w:num>
  <w:num w:numId="32">
    <w:abstractNumId w:val="32"/>
  </w:num>
  <w:num w:numId="33">
    <w:abstractNumId w:val="12"/>
  </w:num>
  <w:num w:numId="34">
    <w:abstractNumId w:val="27"/>
  </w:num>
  <w:num w:numId="35">
    <w:abstractNumId w:val="31"/>
  </w:num>
  <w:num w:numId="36">
    <w:abstractNumId w:val="33"/>
  </w:num>
  <w:num w:numId="37">
    <w:abstractNumId w:val="10"/>
  </w:num>
  <w:num w:numId="38">
    <w:abstractNumId w:val="25"/>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 w:numId="50">
    <w:abstractNumId w:val="15"/>
  </w:num>
  <w:num w:numId="51">
    <w:abstractNumId w:val="11"/>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num>
  <w:num w:numId="54">
    <w:abstractNumId w:val="14"/>
  </w:num>
  <w:num w:numId="55">
    <w:abstractNumId w:val="7"/>
  </w:num>
  <w:num w:numId="56">
    <w:abstractNumId w:val="9"/>
  </w:num>
  <w:num w:numId="57">
    <w:abstractNumId w:val="6"/>
  </w:num>
  <w:num w:numId="58">
    <w:abstractNumId w:val="5"/>
  </w:num>
  <w:num w:numId="59">
    <w:abstractNumId w:val="4"/>
  </w:num>
  <w:num w:numId="60">
    <w:abstractNumId w:val="8"/>
  </w:num>
  <w:num w:numId="61">
    <w:abstractNumId w:val="3"/>
  </w:num>
  <w:num w:numId="62">
    <w:abstractNumId w:val="2"/>
  </w:num>
  <w:num w:numId="63">
    <w:abstractNumId w:val="1"/>
  </w:num>
  <w:num w:numId="64">
    <w:abstractNumId w:val="0"/>
  </w:num>
  <w:num w:numId="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0"/>
  </w:num>
  <w:num w:numId="67">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proofState w:spelling="clean"/>
  <w:stylePaneFormatFilter w:val="3824" w:allStyles="0" w:customStyles="0" w:latentStyles="1"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8D0"/>
    <w:rsid w:val="00001711"/>
    <w:rsid w:val="000030F9"/>
    <w:rsid w:val="0000427B"/>
    <w:rsid w:val="00006010"/>
    <w:rsid w:val="0001162E"/>
    <w:rsid w:val="000118BF"/>
    <w:rsid w:val="00014C43"/>
    <w:rsid w:val="0001781B"/>
    <w:rsid w:val="00022FDD"/>
    <w:rsid w:val="00024F85"/>
    <w:rsid w:val="00025239"/>
    <w:rsid w:val="0002664B"/>
    <w:rsid w:val="00026FC1"/>
    <w:rsid w:val="00027537"/>
    <w:rsid w:val="000325BF"/>
    <w:rsid w:val="00032E77"/>
    <w:rsid w:val="00032F04"/>
    <w:rsid w:val="0003415C"/>
    <w:rsid w:val="0004064E"/>
    <w:rsid w:val="0004109E"/>
    <w:rsid w:val="000415FE"/>
    <w:rsid w:val="000419FD"/>
    <w:rsid w:val="000420F5"/>
    <w:rsid w:val="0004298A"/>
    <w:rsid w:val="00043C1F"/>
    <w:rsid w:val="00045431"/>
    <w:rsid w:val="000461C3"/>
    <w:rsid w:val="00053CAC"/>
    <w:rsid w:val="0005407F"/>
    <w:rsid w:val="0005418C"/>
    <w:rsid w:val="00055E19"/>
    <w:rsid w:val="00056011"/>
    <w:rsid w:val="000567B8"/>
    <w:rsid w:val="000573F8"/>
    <w:rsid w:val="00067B03"/>
    <w:rsid w:val="00071B56"/>
    <w:rsid w:val="0007654C"/>
    <w:rsid w:val="00081999"/>
    <w:rsid w:val="000833EE"/>
    <w:rsid w:val="00090352"/>
    <w:rsid w:val="00090DB8"/>
    <w:rsid w:val="000937CC"/>
    <w:rsid w:val="000A0165"/>
    <w:rsid w:val="000A2B81"/>
    <w:rsid w:val="000B0256"/>
    <w:rsid w:val="000B03FD"/>
    <w:rsid w:val="000B11D0"/>
    <w:rsid w:val="000B558D"/>
    <w:rsid w:val="000B5AE7"/>
    <w:rsid w:val="000C1AB6"/>
    <w:rsid w:val="000C3688"/>
    <w:rsid w:val="000C4F0F"/>
    <w:rsid w:val="000C5091"/>
    <w:rsid w:val="000D1847"/>
    <w:rsid w:val="000D1B9F"/>
    <w:rsid w:val="000D2A16"/>
    <w:rsid w:val="000D40EF"/>
    <w:rsid w:val="000D5CAA"/>
    <w:rsid w:val="000D6BB5"/>
    <w:rsid w:val="000E016F"/>
    <w:rsid w:val="000E0EF1"/>
    <w:rsid w:val="000E2E83"/>
    <w:rsid w:val="000E40F4"/>
    <w:rsid w:val="000E5C35"/>
    <w:rsid w:val="000F2E55"/>
    <w:rsid w:val="000F753D"/>
    <w:rsid w:val="000F7FA5"/>
    <w:rsid w:val="00101A4A"/>
    <w:rsid w:val="001030C2"/>
    <w:rsid w:val="00103467"/>
    <w:rsid w:val="00103A2E"/>
    <w:rsid w:val="00113AE4"/>
    <w:rsid w:val="00114C61"/>
    <w:rsid w:val="00115013"/>
    <w:rsid w:val="001178B7"/>
    <w:rsid w:val="00120B59"/>
    <w:rsid w:val="00121BEC"/>
    <w:rsid w:val="00127B06"/>
    <w:rsid w:val="001336E6"/>
    <w:rsid w:val="00134ABF"/>
    <w:rsid w:val="00135002"/>
    <w:rsid w:val="001364CF"/>
    <w:rsid w:val="00145531"/>
    <w:rsid w:val="001468C5"/>
    <w:rsid w:val="00150000"/>
    <w:rsid w:val="001522EE"/>
    <w:rsid w:val="00154793"/>
    <w:rsid w:val="0015646D"/>
    <w:rsid w:val="001618E9"/>
    <w:rsid w:val="00166897"/>
    <w:rsid w:val="00167493"/>
    <w:rsid w:val="00167B6B"/>
    <w:rsid w:val="00171ADB"/>
    <w:rsid w:val="00176875"/>
    <w:rsid w:val="001773BE"/>
    <w:rsid w:val="001810C8"/>
    <w:rsid w:val="001822BB"/>
    <w:rsid w:val="00184CC5"/>
    <w:rsid w:val="00187925"/>
    <w:rsid w:val="0019053C"/>
    <w:rsid w:val="001906AF"/>
    <w:rsid w:val="00190A32"/>
    <w:rsid w:val="00194DFD"/>
    <w:rsid w:val="001978CC"/>
    <w:rsid w:val="001A177C"/>
    <w:rsid w:val="001A2A0C"/>
    <w:rsid w:val="001A3390"/>
    <w:rsid w:val="001A33F5"/>
    <w:rsid w:val="001B1721"/>
    <w:rsid w:val="001B1EED"/>
    <w:rsid w:val="001B6B2E"/>
    <w:rsid w:val="001B7EAD"/>
    <w:rsid w:val="001C052F"/>
    <w:rsid w:val="001C0F0B"/>
    <w:rsid w:val="001C1874"/>
    <w:rsid w:val="001C26E9"/>
    <w:rsid w:val="001C4C54"/>
    <w:rsid w:val="001C52AB"/>
    <w:rsid w:val="001C6C77"/>
    <w:rsid w:val="001C7EE0"/>
    <w:rsid w:val="001D145F"/>
    <w:rsid w:val="001D5ECF"/>
    <w:rsid w:val="001D6144"/>
    <w:rsid w:val="001D6C6F"/>
    <w:rsid w:val="001E2212"/>
    <w:rsid w:val="001E252E"/>
    <w:rsid w:val="001E4E71"/>
    <w:rsid w:val="001E55DE"/>
    <w:rsid w:val="001E7CA0"/>
    <w:rsid w:val="001F2DFA"/>
    <w:rsid w:val="001F2EE6"/>
    <w:rsid w:val="001F3BFD"/>
    <w:rsid w:val="001F4410"/>
    <w:rsid w:val="00201B92"/>
    <w:rsid w:val="002023E0"/>
    <w:rsid w:val="002039D6"/>
    <w:rsid w:val="00204222"/>
    <w:rsid w:val="00204E15"/>
    <w:rsid w:val="00207936"/>
    <w:rsid w:val="00215323"/>
    <w:rsid w:val="002171AD"/>
    <w:rsid w:val="002172A5"/>
    <w:rsid w:val="00222608"/>
    <w:rsid w:val="00224AC6"/>
    <w:rsid w:val="0023242A"/>
    <w:rsid w:val="00233054"/>
    <w:rsid w:val="00234E86"/>
    <w:rsid w:val="0023526D"/>
    <w:rsid w:val="00235F31"/>
    <w:rsid w:val="0024021C"/>
    <w:rsid w:val="00240B41"/>
    <w:rsid w:val="0024355F"/>
    <w:rsid w:val="002446B1"/>
    <w:rsid w:val="00251437"/>
    <w:rsid w:val="002525ED"/>
    <w:rsid w:val="00255801"/>
    <w:rsid w:val="00257D8C"/>
    <w:rsid w:val="00262D8F"/>
    <w:rsid w:val="00262F57"/>
    <w:rsid w:val="00267180"/>
    <w:rsid w:val="0027287E"/>
    <w:rsid w:val="0027495E"/>
    <w:rsid w:val="00275282"/>
    <w:rsid w:val="002811BB"/>
    <w:rsid w:val="0028138C"/>
    <w:rsid w:val="002814ED"/>
    <w:rsid w:val="002830E6"/>
    <w:rsid w:val="00283AB6"/>
    <w:rsid w:val="0028590E"/>
    <w:rsid w:val="00287CDC"/>
    <w:rsid w:val="00292EF1"/>
    <w:rsid w:val="00295F9A"/>
    <w:rsid w:val="002970D3"/>
    <w:rsid w:val="002A0EB7"/>
    <w:rsid w:val="002A283A"/>
    <w:rsid w:val="002B2540"/>
    <w:rsid w:val="002B650E"/>
    <w:rsid w:val="002C1B31"/>
    <w:rsid w:val="002C1FC9"/>
    <w:rsid w:val="002C4501"/>
    <w:rsid w:val="002C57C5"/>
    <w:rsid w:val="002C66CC"/>
    <w:rsid w:val="002C6860"/>
    <w:rsid w:val="002C77E7"/>
    <w:rsid w:val="002D0B68"/>
    <w:rsid w:val="002D1C7D"/>
    <w:rsid w:val="002D279D"/>
    <w:rsid w:val="002D2CE7"/>
    <w:rsid w:val="002D5727"/>
    <w:rsid w:val="002D6D87"/>
    <w:rsid w:val="002E025C"/>
    <w:rsid w:val="002E2001"/>
    <w:rsid w:val="002E22A3"/>
    <w:rsid w:val="002E3E7E"/>
    <w:rsid w:val="002F07A4"/>
    <w:rsid w:val="002F1791"/>
    <w:rsid w:val="002F26FF"/>
    <w:rsid w:val="002F4543"/>
    <w:rsid w:val="002F49CB"/>
    <w:rsid w:val="002F6DC7"/>
    <w:rsid w:val="003008FA"/>
    <w:rsid w:val="00300F6B"/>
    <w:rsid w:val="00302932"/>
    <w:rsid w:val="00305F41"/>
    <w:rsid w:val="00312933"/>
    <w:rsid w:val="0031534E"/>
    <w:rsid w:val="003177B1"/>
    <w:rsid w:val="003226DA"/>
    <w:rsid w:val="00322F95"/>
    <w:rsid w:val="003247A3"/>
    <w:rsid w:val="00324D02"/>
    <w:rsid w:val="0032682E"/>
    <w:rsid w:val="00327CD6"/>
    <w:rsid w:val="00330532"/>
    <w:rsid w:val="003331FA"/>
    <w:rsid w:val="003345F6"/>
    <w:rsid w:val="00335138"/>
    <w:rsid w:val="00340CD7"/>
    <w:rsid w:val="00342EDA"/>
    <w:rsid w:val="00343898"/>
    <w:rsid w:val="00344E4A"/>
    <w:rsid w:val="00345BC8"/>
    <w:rsid w:val="003465F6"/>
    <w:rsid w:val="00347195"/>
    <w:rsid w:val="00351868"/>
    <w:rsid w:val="00354BC0"/>
    <w:rsid w:val="00354C3D"/>
    <w:rsid w:val="00355347"/>
    <w:rsid w:val="003557D7"/>
    <w:rsid w:val="00355D43"/>
    <w:rsid w:val="00360CA8"/>
    <w:rsid w:val="003627C0"/>
    <w:rsid w:val="0036565B"/>
    <w:rsid w:val="00371DEC"/>
    <w:rsid w:val="00376BD8"/>
    <w:rsid w:val="0038030E"/>
    <w:rsid w:val="00380E0B"/>
    <w:rsid w:val="00382F22"/>
    <w:rsid w:val="00383DDD"/>
    <w:rsid w:val="00384AE4"/>
    <w:rsid w:val="003871D5"/>
    <w:rsid w:val="003900C1"/>
    <w:rsid w:val="00394404"/>
    <w:rsid w:val="00395CE4"/>
    <w:rsid w:val="00396969"/>
    <w:rsid w:val="003A0FCE"/>
    <w:rsid w:val="003A1A70"/>
    <w:rsid w:val="003A1EE4"/>
    <w:rsid w:val="003A20AD"/>
    <w:rsid w:val="003A266F"/>
    <w:rsid w:val="003A5303"/>
    <w:rsid w:val="003A5635"/>
    <w:rsid w:val="003A584A"/>
    <w:rsid w:val="003A7148"/>
    <w:rsid w:val="003A7698"/>
    <w:rsid w:val="003B2B41"/>
    <w:rsid w:val="003B3408"/>
    <w:rsid w:val="003B3586"/>
    <w:rsid w:val="003B488E"/>
    <w:rsid w:val="003B7768"/>
    <w:rsid w:val="003C10E4"/>
    <w:rsid w:val="003C1F30"/>
    <w:rsid w:val="003C202D"/>
    <w:rsid w:val="003C256A"/>
    <w:rsid w:val="003C3452"/>
    <w:rsid w:val="003C35DD"/>
    <w:rsid w:val="003C3D9B"/>
    <w:rsid w:val="003C5C13"/>
    <w:rsid w:val="003D1238"/>
    <w:rsid w:val="003D2EDF"/>
    <w:rsid w:val="003D51F1"/>
    <w:rsid w:val="003D5ABF"/>
    <w:rsid w:val="003D7419"/>
    <w:rsid w:val="003D7E68"/>
    <w:rsid w:val="003E05F4"/>
    <w:rsid w:val="003E0D7F"/>
    <w:rsid w:val="003E1EBC"/>
    <w:rsid w:val="003E2107"/>
    <w:rsid w:val="003E4915"/>
    <w:rsid w:val="003E5E05"/>
    <w:rsid w:val="003E7D69"/>
    <w:rsid w:val="003F3B85"/>
    <w:rsid w:val="003F47BC"/>
    <w:rsid w:val="003F4BD5"/>
    <w:rsid w:val="003F79A9"/>
    <w:rsid w:val="004023F9"/>
    <w:rsid w:val="00402582"/>
    <w:rsid w:val="00403067"/>
    <w:rsid w:val="00405CC1"/>
    <w:rsid w:val="00414E23"/>
    <w:rsid w:val="004160EC"/>
    <w:rsid w:val="004210D8"/>
    <w:rsid w:val="0042147F"/>
    <w:rsid w:val="00421E2C"/>
    <w:rsid w:val="0042568D"/>
    <w:rsid w:val="00426866"/>
    <w:rsid w:val="004304C8"/>
    <w:rsid w:val="004305C2"/>
    <w:rsid w:val="00430BC6"/>
    <w:rsid w:val="0043105E"/>
    <w:rsid w:val="00431360"/>
    <w:rsid w:val="00431617"/>
    <w:rsid w:val="0043261D"/>
    <w:rsid w:val="00432DB2"/>
    <w:rsid w:val="00433E27"/>
    <w:rsid w:val="004359C1"/>
    <w:rsid w:val="00437AA1"/>
    <w:rsid w:val="00441BB5"/>
    <w:rsid w:val="00444E3C"/>
    <w:rsid w:val="00450748"/>
    <w:rsid w:val="00452806"/>
    <w:rsid w:val="00452C93"/>
    <w:rsid w:val="00455918"/>
    <w:rsid w:val="00456344"/>
    <w:rsid w:val="00457EEF"/>
    <w:rsid w:val="00460659"/>
    <w:rsid w:val="00460C5B"/>
    <w:rsid w:val="00472058"/>
    <w:rsid w:val="0047703F"/>
    <w:rsid w:val="004812C1"/>
    <w:rsid w:val="00482F6B"/>
    <w:rsid w:val="00482FE3"/>
    <w:rsid w:val="00485695"/>
    <w:rsid w:val="00486525"/>
    <w:rsid w:val="0048729D"/>
    <w:rsid w:val="00487F2D"/>
    <w:rsid w:val="0049427C"/>
    <w:rsid w:val="0049481D"/>
    <w:rsid w:val="00495884"/>
    <w:rsid w:val="00496254"/>
    <w:rsid w:val="00497B72"/>
    <w:rsid w:val="004A04F7"/>
    <w:rsid w:val="004A48B8"/>
    <w:rsid w:val="004A5BE6"/>
    <w:rsid w:val="004B0B40"/>
    <w:rsid w:val="004B2198"/>
    <w:rsid w:val="004B2A05"/>
    <w:rsid w:val="004B3E05"/>
    <w:rsid w:val="004B591D"/>
    <w:rsid w:val="004C0886"/>
    <w:rsid w:val="004C0D38"/>
    <w:rsid w:val="004C7293"/>
    <w:rsid w:val="004D04B1"/>
    <w:rsid w:val="004D1E43"/>
    <w:rsid w:val="004D39D5"/>
    <w:rsid w:val="004D3C47"/>
    <w:rsid w:val="004D490C"/>
    <w:rsid w:val="004D5966"/>
    <w:rsid w:val="004E02BD"/>
    <w:rsid w:val="004E108B"/>
    <w:rsid w:val="004E2F89"/>
    <w:rsid w:val="004E3A04"/>
    <w:rsid w:val="004E55D7"/>
    <w:rsid w:val="004F0274"/>
    <w:rsid w:val="004F1BDE"/>
    <w:rsid w:val="004F2C94"/>
    <w:rsid w:val="004F6D0C"/>
    <w:rsid w:val="004F7603"/>
    <w:rsid w:val="0050061E"/>
    <w:rsid w:val="00501024"/>
    <w:rsid w:val="00502CA2"/>
    <w:rsid w:val="0050351F"/>
    <w:rsid w:val="00503FC1"/>
    <w:rsid w:val="00504EFD"/>
    <w:rsid w:val="0050625D"/>
    <w:rsid w:val="00506C77"/>
    <w:rsid w:val="00511380"/>
    <w:rsid w:val="00513864"/>
    <w:rsid w:val="00513C1A"/>
    <w:rsid w:val="00517702"/>
    <w:rsid w:val="00517A23"/>
    <w:rsid w:val="00517DEE"/>
    <w:rsid w:val="005228F1"/>
    <w:rsid w:val="00523A7E"/>
    <w:rsid w:val="005245CA"/>
    <w:rsid w:val="00530220"/>
    <w:rsid w:val="00530227"/>
    <w:rsid w:val="00536386"/>
    <w:rsid w:val="00536DBD"/>
    <w:rsid w:val="00536E50"/>
    <w:rsid w:val="005439AF"/>
    <w:rsid w:val="00546B79"/>
    <w:rsid w:val="00547B13"/>
    <w:rsid w:val="005537C9"/>
    <w:rsid w:val="00554B63"/>
    <w:rsid w:val="00555009"/>
    <w:rsid w:val="00555D0A"/>
    <w:rsid w:val="00556B3E"/>
    <w:rsid w:val="0056031C"/>
    <w:rsid w:val="00560ABD"/>
    <w:rsid w:val="00561213"/>
    <w:rsid w:val="0056189F"/>
    <w:rsid w:val="00567C9A"/>
    <w:rsid w:val="00571920"/>
    <w:rsid w:val="0057292D"/>
    <w:rsid w:val="005739CB"/>
    <w:rsid w:val="0057497A"/>
    <w:rsid w:val="00574983"/>
    <w:rsid w:val="00582544"/>
    <w:rsid w:val="00583C4B"/>
    <w:rsid w:val="005846CB"/>
    <w:rsid w:val="005859DF"/>
    <w:rsid w:val="005865D3"/>
    <w:rsid w:val="0059007C"/>
    <w:rsid w:val="0059007F"/>
    <w:rsid w:val="00590A97"/>
    <w:rsid w:val="00594A19"/>
    <w:rsid w:val="00596D49"/>
    <w:rsid w:val="005974CF"/>
    <w:rsid w:val="005A1EF8"/>
    <w:rsid w:val="005A308B"/>
    <w:rsid w:val="005A3822"/>
    <w:rsid w:val="005A3BC3"/>
    <w:rsid w:val="005A7713"/>
    <w:rsid w:val="005B08EE"/>
    <w:rsid w:val="005B6323"/>
    <w:rsid w:val="005B7771"/>
    <w:rsid w:val="005C07FF"/>
    <w:rsid w:val="005C2DC0"/>
    <w:rsid w:val="005C4C20"/>
    <w:rsid w:val="005E2DAA"/>
    <w:rsid w:val="005E5903"/>
    <w:rsid w:val="005F01E8"/>
    <w:rsid w:val="005F102B"/>
    <w:rsid w:val="005F10AF"/>
    <w:rsid w:val="00605AD1"/>
    <w:rsid w:val="00606A79"/>
    <w:rsid w:val="00611E7C"/>
    <w:rsid w:val="00612211"/>
    <w:rsid w:val="00612B15"/>
    <w:rsid w:val="00613EF2"/>
    <w:rsid w:val="00614287"/>
    <w:rsid w:val="00615D1E"/>
    <w:rsid w:val="0061733A"/>
    <w:rsid w:val="00620F2D"/>
    <w:rsid w:val="00624190"/>
    <w:rsid w:val="00626BC9"/>
    <w:rsid w:val="0062738D"/>
    <w:rsid w:val="00630C4F"/>
    <w:rsid w:val="00630DF9"/>
    <w:rsid w:val="00630EC9"/>
    <w:rsid w:val="0063265F"/>
    <w:rsid w:val="006337C5"/>
    <w:rsid w:val="006346DF"/>
    <w:rsid w:val="00634F35"/>
    <w:rsid w:val="0063569E"/>
    <w:rsid w:val="00641060"/>
    <w:rsid w:val="00645C18"/>
    <w:rsid w:val="006474ED"/>
    <w:rsid w:val="00652EAB"/>
    <w:rsid w:val="00654C3D"/>
    <w:rsid w:val="00655D6B"/>
    <w:rsid w:val="006567BC"/>
    <w:rsid w:val="00656823"/>
    <w:rsid w:val="006577EF"/>
    <w:rsid w:val="006619E9"/>
    <w:rsid w:val="00662F2B"/>
    <w:rsid w:val="00664BD0"/>
    <w:rsid w:val="006707F0"/>
    <w:rsid w:val="00671533"/>
    <w:rsid w:val="0067258A"/>
    <w:rsid w:val="00673427"/>
    <w:rsid w:val="006738BE"/>
    <w:rsid w:val="006779E8"/>
    <w:rsid w:val="00680B41"/>
    <w:rsid w:val="006812D7"/>
    <w:rsid w:val="00681702"/>
    <w:rsid w:val="00682D55"/>
    <w:rsid w:val="00684955"/>
    <w:rsid w:val="00696645"/>
    <w:rsid w:val="006A0E52"/>
    <w:rsid w:val="006A2BF2"/>
    <w:rsid w:val="006A4F7E"/>
    <w:rsid w:val="006A5D22"/>
    <w:rsid w:val="006B1D14"/>
    <w:rsid w:val="006B3DFD"/>
    <w:rsid w:val="006B5DB2"/>
    <w:rsid w:val="006B62C1"/>
    <w:rsid w:val="006B648D"/>
    <w:rsid w:val="006C1E7D"/>
    <w:rsid w:val="006C43A2"/>
    <w:rsid w:val="006C4D2E"/>
    <w:rsid w:val="006C4E01"/>
    <w:rsid w:val="006C50E5"/>
    <w:rsid w:val="006C56CE"/>
    <w:rsid w:val="006C6833"/>
    <w:rsid w:val="006D07F4"/>
    <w:rsid w:val="006D0E20"/>
    <w:rsid w:val="006D0F5C"/>
    <w:rsid w:val="006D3A27"/>
    <w:rsid w:val="006D4048"/>
    <w:rsid w:val="006D5652"/>
    <w:rsid w:val="006E1C07"/>
    <w:rsid w:val="006E1E69"/>
    <w:rsid w:val="006E2046"/>
    <w:rsid w:val="006E2972"/>
    <w:rsid w:val="006E3EE3"/>
    <w:rsid w:val="006E4815"/>
    <w:rsid w:val="006E4B1E"/>
    <w:rsid w:val="006E6427"/>
    <w:rsid w:val="006F03A6"/>
    <w:rsid w:val="006F132E"/>
    <w:rsid w:val="006F421B"/>
    <w:rsid w:val="006F4CAF"/>
    <w:rsid w:val="006F55B4"/>
    <w:rsid w:val="007002B8"/>
    <w:rsid w:val="00700A9D"/>
    <w:rsid w:val="007014BA"/>
    <w:rsid w:val="00707B03"/>
    <w:rsid w:val="007101A7"/>
    <w:rsid w:val="00710DE1"/>
    <w:rsid w:val="0071235B"/>
    <w:rsid w:val="007132F6"/>
    <w:rsid w:val="00713943"/>
    <w:rsid w:val="00720279"/>
    <w:rsid w:val="007222FB"/>
    <w:rsid w:val="007263A2"/>
    <w:rsid w:val="00727052"/>
    <w:rsid w:val="0073168D"/>
    <w:rsid w:val="007448DA"/>
    <w:rsid w:val="0075097A"/>
    <w:rsid w:val="00751839"/>
    <w:rsid w:val="00752559"/>
    <w:rsid w:val="00752950"/>
    <w:rsid w:val="0075426B"/>
    <w:rsid w:val="00755458"/>
    <w:rsid w:val="00756DE2"/>
    <w:rsid w:val="007608D0"/>
    <w:rsid w:val="00760E5D"/>
    <w:rsid w:val="00766D4F"/>
    <w:rsid w:val="007717E3"/>
    <w:rsid w:val="007722C5"/>
    <w:rsid w:val="00772C91"/>
    <w:rsid w:val="00777D45"/>
    <w:rsid w:val="007838AD"/>
    <w:rsid w:val="00786B43"/>
    <w:rsid w:val="00786D9A"/>
    <w:rsid w:val="00790579"/>
    <w:rsid w:val="00792E27"/>
    <w:rsid w:val="00793AF8"/>
    <w:rsid w:val="007944EE"/>
    <w:rsid w:val="007A023D"/>
    <w:rsid w:val="007A04D0"/>
    <w:rsid w:val="007A6E55"/>
    <w:rsid w:val="007B20C3"/>
    <w:rsid w:val="007B34B1"/>
    <w:rsid w:val="007B4292"/>
    <w:rsid w:val="007B6986"/>
    <w:rsid w:val="007B70A0"/>
    <w:rsid w:val="007B789F"/>
    <w:rsid w:val="007B7DB9"/>
    <w:rsid w:val="007C161D"/>
    <w:rsid w:val="007C241E"/>
    <w:rsid w:val="007C613F"/>
    <w:rsid w:val="007C619F"/>
    <w:rsid w:val="007C65C0"/>
    <w:rsid w:val="007D123F"/>
    <w:rsid w:val="007D4B53"/>
    <w:rsid w:val="007E02EE"/>
    <w:rsid w:val="007E1483"/>
    <w:rsid w:val="007E4159"/>
    <w:rsid w:val="007E5DD4"/>
    <w:rsid w:val="007F0561"/>
    <w:rsid w:val="007F0E29"/>
    <w:rsid w:val="007F1464"/>
    <w:rsid w:val="007F4118"/>
    <w:rsid w:val="007F5B7E"/>
    <w:rsid w:val="0080040A"/>
    <w:rsid w:val="008012B3"/>
    <w:rsid w:val="00801B2A"/>
    <w:rsid w:val="00803413"/>
    <w:rsid w:val="00804463"/>
    <w:rsid w:val="008105F9"/>
    <w:rsid w:val="00810B47"/>
    <w:rsid w:val="00814F46"/>
    <w:rsid w:val="00816F17"/>
    <w:rsid w:val="00817A9C"/>
    <w:rsid w:val="00821B95"/>
    <w:rsid w:val="0082260D"/>
    <w:rsid w:val="00826954"/>
    <w:rsid w:val="00826C5C"/>
    <w:rsid w:val="00831469"/>
    <w:rsid w:val="0083543E"/>
    <w:rsid w:val="00836F33"/>
    <w:rsid w:val="0083714C"/>
    <w:rsid w:val="0084275E"/>
    <w:rsid w:val="008446DF"/>
    <w:rsid w:val="00845709"/>
    <w:rsid w:val="00846E72"/>
    <w:rsid w:val="00851ABE"/>
    <w:rsid w:val="0085536B"/>
    <w:rsid w:val="008614BA"/>
    <w:rsid w:val="00861E48"/>
    <w:rsid w:val="00862720"/>
    <w:rsid w:val="008635F4"/>
    <w:rsid w:val="00864608"/>
    <w:rsid w:val="00867D58"/>
    <w:rsid w:val="008718BC"/>
    <w:rsid w:val="00872315"/>
    <w:rsid w:val="008754D0"/>
    <w:rsid w:val="00876FA6"/>
    <w:rsid w:val="008802D0"/>
    <w:rsid w:val="00880E5F"/>
    <w:rsid w:val="00882AD9"/>
    <w:rsid w:val="00883261"/>
    <w:rsid w:val="00883975"/>
    <w:rsid w:val="0088481D"/>
    <w:rsid w:val="0088709A"/>
    <w:rsid w:val="00893D28"/>
    <w:rsid w:val="00894273"/>
    <w:rsid w:val="00896132"/>
    <w:rsid w:val="00896D27"/>
    <w:rsid w:val="008979F8"/>
    <w:rsid w:val="008A1179"/>
    <w:rsid w:val="008A2159"/>
    <w:rsid w:val="008A3937"/>
    <w:rsid w:val="008A76BC"/>
    <w:rsid w:val="008B059D"/>
    <w:rsid w:val="008B1995"/>
    <w:rsid w:val="008B68F6"/>
    <w:rsid w:val="008B7539"/>
    <w:rsid w:val="008C4D69"/>
    <w:rsid w:val="008D1B8D"/>
    <w:rsid w:val="008D1D27"/>
    <w:rsid w:val="008D3013"/>
    <w:rsid w:val="008E06D8"/>
    <w:rsid w:val="008E3C2E"/>
    <w:rsid w:val="008E7E22"/>
    <w:rsid w:val="008F0406"/>
    <w:rsid w:val="008F04EB"/>
    <w:rsid w:val="008F0DEA"/>
    <w:rsid w:val="008F1D78"/>
    <w:rsid w:val="008F22FC"/>
    <w:rsid w:val="008F2A6A"/>
    <w:rsid w:val="008F3781"/>
    <w:rsid w:val="008F4E43"/>
    <w:rsid w:val="008F7573"/>
    <w:rsid w:val="009018D9"/>
    <w:rsid w:val="009024D6"/>
    <w:rsid w:val="009035E6"/>
    <w:rsid w:val="00906305"/>
    <w:rsid w:val="009102E6"/>
    <w:rsid w:val="00910B86"/>
    <w:rsid w:val="00912957"/>
    <w:rsid w:val="00912AF5"/>
    <w:rsid w:val="009133FB"/>
    <w:rsid w:val="0091379F"/>
    <w:rsid w:val="00916187"/>
    <w:rsid w:val="0091728A"/>
    <w:rsid w:val="009219E3"/>
    <w:rsid w:val="00923E9E"/>
    <w:rsid w:val="00925217"/>
    <w:rsid w:val="009253A9"/>
    <w:rsid w:val="00927144"/>
    <w:rsid w:val="009273C9"/>
    <w:rsid w:val="00931DBC"/>
    <w:rsid w:val="009326AC"/>
    <w:rsid w:val="0093384D"/>
    <w:rsid w:val="00937B12"/>
    <w:rsid w:val="0094124A"/>
    <w:rsid w:val="00943487"/>
    <w:rsid w:val="00944B91"/>
    <w:rsid w:val="00945095"/>
    <w:rsid w:val="00950281"/>
    <w:rsid w:val="009509B2"/>
    <w:rsid w:val="00951385"/>
    <w:rsid w:val="009515DC"/>
    <w:rsid w:val="00953A26"/>
    <w:rsid w:val="0095557F"/>
    <w:rsid w:val="00963231"/>
    <w:rsid w:val="00966C68"/>
    <w:rsid w:val="00967240"/>
    <w:rsid w:val="00967D0A"/>
    <w:rsid w:val="00970291"/>
    <w:rsid w:val="0097047F"/>
    <w:rsid w:val="009718C6"/>
    <w:rsid w:val="00973FAD"/>
    <w:rsid w:val="00974748"/>
    <w:rsid w:val="009757DA"/>
    <w:rsid w:val="00977768"/>
    <w:rsid w:val="0098027A"/>
    <w:rsid w:val="0098240C"/>
    <w:rsid w:val="009941A1"/>
    <w:rsid w:val="00994F62"/>
    <w:rsid w:val="009956F5"/>
    <w:rsid w:val="00996B91"/>
    <w:rsid w:val="009A138A"/>
    <w:rsid w:val="009A1D6A"/>
    <w:rsid w:val="009B1D1D"/>
    <w:rsid w:val="009B3F91"/>
    <w:rsid w:val="009B4423"/>
    <w:rsid w:val="009B4466"/>
    <w:rsid w:val="009C608B"/>
    <w:rsid w:val="009C662F"/>
    <w:rsid w:val="009D457C"/>
    <w:rsid w:val="009D6BFD"/>
    <w:rsid w:val="009D6DEE"/>
    <w:rsid w:val="009D6ECC"/>
    <w:rsid w:val="009D7D09"/>
    <w:rsid w:val="009E3ACE"/>
    <w:rsid w:val="009E3C51"/>
    <w:rsid w:val="009E6439"/>
    <w:rsid w:val="009F07C7"/>
    <w:rsid w:val="009F0833"/>
    <w:rsid w:val="009F1041"/>
    <w:rsid w:val="009F120E"/>
    <w:rsid w:val="009F2143"/>
    <w:rsid w:val="009F2936"/>
    <w:rsid w:val="009F7BDF"/>
    <w:rsid w:val="00A02DDA"/>
    <w:rsid w:val="00A0300D"/>
    <w:rsid w:val="00A046A2"/>
    <w:rsid w:val="00A22A1D"/>
    <w:rsid w:val="00A2626F"/>
    <w:rsid w:val="00A27BCA"/>
    <w:rsid w:val="00A30AF2"/>
    <w:rsid w:val="00A324D1"/>
    <w:rsid w:val="00A363B5"/>
    <w:rsid w:val="00A37F65"/>
    <w:rsid w:val="00A418B0"/>
    <w:rsid w:val="00A41F30"/>
    <w:rsid w:val="00A43CB1"/>
    <w:rsid w:val="00A43D8D"/>
    <w:rsid w:val="00A43F23"/>
    <w:rsid w:val="00A47E06"/>
    <w:rsid w:val="00A505AE"/>
    <w:rsid w:val="00A51A8F"/>
    <w:rsid w:val="00A51BEE"/>
    <w:rsid w:val="00A536B8"/>
    <w:rsid w:val="00A53F56"/>
    <w:rsid w:val="00A54A95"/>
    <w:rsid w:val="00A579CA"/>
    <w:rsid w:val="00A57CA8"/>
    <w:rsid w:val="00A62215"/>
    <w:rsid w:val="00A64748"/>
    <w:rsid w:val="00A67A8C"/>
    <w:rsid w:val="00A731CB"/>
    <w:rsid w:val="00A76ACE"/>
    <w:rsid w:val="00A81338"/>
    <w:rsid w:val="00A81B7A"/>
    <w:rsid w:val="00A81D26"/>
    <w:rsid w:val="00A86CBF"/>
    <w:rsid w:val="00A921D2"/>
    <w:rsid w:val="00A977BB"/>
    <w:rsid w:val="00AA2405"/>
    <w:rsid w:val="00AA437D"/>
    <w:rsid w:val="00AB41B6"/>
    <w:rsid w:val="00AC0FD3"/>
    <w:rsid w:val="00AC1FC7"/>
    <w:rsid w:val="00AC356F"/>
    <w:rsid w:val="00AC35CC"/>
    <w:rsid w:val="00AC6999"/>
    <w:rsid w:val="00AC7407"/>
    <w:rsid w:val="00AD1008"/>
    <w:rsid w:val="00AD2D1F"/>
    <w:rsid w:val="00AD43E7"/>
    <w:rsid w:val="00AD53C3"/>
    <w:rsid w:val="00AD53D5"/>
    <w:rsid w:val="00AD68DC"/>
    <w:rsid w:val="00AD6FE2"/>
    <w:rsid w:val="00AE1157"/>
    <w:rsid w:val="00AE1569"/>
    <w:rsid w:val="00AE239A"/>
    <w:rsid w:val="00AE3085"/>
    <w:rsid w:val="00AE398A"/>
    <w:rsid w:val="00AE6F44"/>
    <w:rsid w:val="00AF163F"/>
    <w:rsid w:val="00AF273E"/>
    <w:rsid w:val="00AF384C"/>
    <w:rsid w:val="00AF4FEC"/>
    <w:rsid w:val="00AF712A"/>
    <w:rsid w:val="00AF79A1"/>
    <w:rsid w:val="00AF7B11"/>
    <w:rsid w:val="00B0004D"/>
    <w:rsid w:val="00B02EA7"/>
    <w:rsid w:val="00B05CB8"/>
    <w:rsid w:val="00B10A22"/>
    <w:rsid w:val="00B10EA6"/>
    <w:rsid w:val="00B15794"/>
    <w:rsid w:val="00B215C1"/>
    <w:rsid w:val="00B23653"/>
    <w:rsid w:val="00B26FEE"/>
    <w:rsid w:val="00B30965"/>
    <w:rsid w:val="00B32144"/>
    <w:rsid w:val="00B3285B"/>
    <w:rsid w:val="00B32AE3"/>
    <w:rsid w:val="00B37C50"/>
    <w:rsid w:val="00B41F7A"/>
    <w:rsid w:val="00B43583"/>
    <w:rsid w:val="00B47074"/>
    <w:rsid w:val="00B53733"/>
    <w:rsid w:val="00B53A96"/>
    <w:rsid w:val="00B54534"/>
    <w:rsid w:val="00B56D8D"/>
    <w:rsid w:val="00B6005C"/>
    <w:rsid w:val="00B61E7C"/>
    <w:rsid w:val="00B62DEE"/>
    <w:rsid w:val="00B640F5"/>
    <w:rsid w:val="00B65A0D"/>
    <w:rsid w:val="00B66095"/>
    <w:rsid w:val="00B77147"/>
    <w:rsid w:val="00B776E8"/>
    <w:rsid w:val="00B80612"/>
    <w:rsid w:val="00B822EC"/>
    <w:rsid w:val="00B82EBB"/>
    <w:rsid w:val="00B83C9E"/>
    <w:rsid w:val="00B85BC9"/>
    <w:rsid w:val="00B93052"/>
    <w:rsid w:val="00B955DD"/>
    <w:rsid w:val="00B96A21"/>
    <w:rsid w:val="00BA1A86"/>
    <w:rsid w:val="00BA4F85"/>
    <w:rsid w:val="00BB0CF2"/>
    <w:rsid w:val="00BB1021"/>
    <w:rsid w:val="00BB3AF4"/>
    <w:rsid w:val="00BB3DD7"/>
    <w:rsid w:val="00BB4CA3"/>
    <w:rsid w:val="00BB507A"/>
    <w:rsid w:val="00BB660D"/>
    <w:rsid w:val="00BB67ED"/>
    <w:rsid w:val="00BB778B"/>
    <w:rsid w:val="00BC2711"/>
    <w:rsid w:val="00BC2E39"/>
    <w:rsid w:val="00BC2F40"/>
    <w:rsid w:val="00BC3CD0"/>
    <w:rsid w:val="00BC556C"/>
    <w:rsid w:val="00BD1A67"/>
    <w:rsid w:val="00BD3A46"/>
    <w:rsid w:val="00BD3AD5"/>
    <w:rsid w:val="00BD4BD3"/>
    <w:rsid w:val="00BD6E1D"/>
    <w:rsid w:val="00BE3122"/>
    <w:rsid w:val="00BE4130"/>
    <w:rsid w:val="00BE53D5"/>
    <w:rsid w:val="00BF0549"/>
    <w:rsid w:val="00C031D2"/>
    <w:rsid w:val="00C04262"/>
    <w:rsid w:val="00C04273"/>
    <w:rsid w:val="00C05601"/>
    <w:rsid w:val="00C05E6B"/>
    <w:rsid w:val="00C063C9"/>
    <w:rsid w:val="00C15931"/>
    <w:rsid w:val="00C16B64"/>
    <w:rsid w:val="00C207E4"/>
    <w:rsid w:val="00C240C0"/>
    <w:rsid w:val="00C31B7D"/>
    <w:rsid w:val="00C32D4A"/>
    <w:rsid w:val="00C35B9B"/>
    <w:rsid w:val="00C3709B"/>
    <w:rsid w:val="00C376CD"/>
    <w:rsid w:val="00C3778F"/>
    <w:rsid w:val="00C4237C"/>
    <w:rsid w:val="00C43FA9"/>
    <w:rsid w:val="00C454EE"/>
    <w:rsid w:val="00C46417"/>
    <w:rsid w:val="00C47708"/>
    <w:rsid w:val="00C50650"/>
    <w:rsid w:val="00C539A3"/>
    <w:rsid w:val="00C54DFA"/>
    <w:rsid w:val="00C55BBF"/>
    <w:rsid w:val="00C63E09"/>
    <w:rsid w:val="00C67A2F"/>
    <w:rsid w:val="00C71157"/>
    <w:rsid w:val="00C7350C"/>
    <w:rsid w:val="00C7544D"/>
    <w:rsid w:val="00C76FC8"/>
    <w:rsid w:val="00C7743B"/>
    <w:rsid w:val="00C779A1"/>
    <w:rsid w:val="00C83E81"/>
    <w:rsid w:val="00C85651"/>
    <w:rsid w:val="00C85DF8"/>
    <w:rsid w:val="00C868E9"/>
    <w:rsid w:val="00C86C00"/>
    <w:rsid w:val="00C90E4F"/>
    <w:rsid w:val="00C9306F"/>
    <w:rsid w:val="00C96EDC"/>
    <w:rsid w:val="00C9769F"/>
    <w:rsid w:val="00CA0028"/>
    <w:rsid w:val="00CA080C"/>
    <w:rsid w:val="00CA36D9"/>
    <w:rsid w:val="00CB36AA"/>
    <w:rsid w:val="00CB7DBF"/>
    <w:rsid w:val="00CC0F44"/>
    <w:rsid w:val="00CC12EF"/>
    <w:rsid w:val="00CC780C"/>
    <w:rsid w:val="00CD2897"/>
    <w:rsid w:val="00CD2BC8"/>
    <w:rsid w:val="00CD2DF4"/>
    <w:rsid w:val="00CD3441"/>
    <w:rsid w:val="00CD357E"/>
    <w:rsid w:val="00CD3CA2"/>
    <w:rsid w:val="00CD70FF"/>
    <w:rsid w:val="00CE1776"/>
    <w:rsid w:val="00CE1815"/>
    <w:rsid w:val="00CE3F83"/>
    <w:rsid w:val="00CE4E7C"/>
    <w:rsid w:val="00CE717B"/>
    <w:rsid w:val="00CF1AEE"/>
    <w:rsid w:val="00CF22E5"/>
    <w:rsid w:val="00CF50A3"/>
    <w:rsid w:val="00CF6B9B"/>
    <w:rsid w:val="00CF762C"/>
    <w:rsid w:val="00D002D6"/>
    <w:rsid w:val="00D00815"/>
    <w:rsid w:val="00D00882"/>
    <w:rsid w:val="00D00917"/>
    <w:rsid w:val="00D04288"/>
    <w:rsid w:val="00D05104"/>
    <w:rsid w:val="00D06FAC"/>
    <w:rsid w:val="00D071F8"/>
    <w:rsid w:val="00D07A61"/>
    <w:rsid w:val="00D100A3"/>
    <w:rsid w:val="00D10CF6"/>
    <w:rsid w:val="00D1392F"/>
    <w:rsid w:val="00D170F3"/>
    <w:rsid w:val="00D17536"/>
    <w:rsid w:val="00D2053A"/>
    <w:rsid w:val="00D20DBE"/>
    <w:rsid w:val="00D23371"/>
    <w:rsid w:val="00D24B10"/>
    <w:rsid w:val="00D24CA7"/>
    <w:rsid w:val="00D250C2"/>
    <w:rsid w:val="00D25C64"/>
    <w:rsid w:val="00D302A3"/>
    <w:rsid w:val="00D32735"/>
    <w:rsid w:val="00D34543"/>
    <w:rsid w:val="00D40923"/>
    <w:rsid w:val="00D4612B"/>
    <w:rsid w:val="00D47F06"/>
    <w:rsid w:val="00D50181"/>
    <w:rsid w:val="00D52379"/>
    <w:rsid w:val="00D52801"/>
    <w:rsid w:val="00D60B1A"/>
    <w:rsid w:val="00D64010"/>
    <w:rsid w:val="00D64C77"/>
    <w:rsid w:val="00D71893"/>
    <w:rsid w:val="00D71ABD"/>
    <w:rsid w:val="00D71E94"/>
    <w:rsid w:val="00D77A23"/>
    <w:rsid w:val="00D77B4E"/>
    <w:rsid w:val="00D77D6E"/>
    <w:rsid w:val="00D80314"/>
    <w:rsid w:val="00D8463A"/>
    <w:rsid w:val="00D85568"/>
    <w:rsid w:val="00D8644B"/>
    <w:rsid w:val="00D865F8"/>
    <w:rsid w:val="00D87AFC"/>
    <w:rsid w:val="00D901CB"/>
    <w:rsid w:val="00D90B11"/>
    <w:rsid w:val="00D92FD3"/>
    <w:rsid w:val="00DA1F1B"/>
    <w:rsid w:val="00DA4ACF"/>
    <w:rsid w:val="00DA5954"/>
    <w:rsid w:val="00DA765C"/>
    <w:rsid w:val="00DB2A7D"/>
    <w:rsid w:val="00DB3292"/>
    <w:rsid w:val="00DB5A35"/>
    <w:rsid w:val="00DC089C"/>
    <w:rsid w:val="00DC1377"/>
    <w:rsid w:val="00DC199D"/>
    <w:rsid w:val="00DC6061"/>
    <w:rsid w:val="00DC660A"/>
    <w:rsid w:val="00DD01C2"/>
    <w:rsid w:val="00DD18B7"/>
    <w:rsid w:val="00DD26ED"/>
    <w:rsid w:val="00DD37A0"/>
    <w:rsid w:val="00DD5CFF"/>
    <w:rsid w:val="00DD5F3D"/>
    <w:rsid w:val="00DD7ED4"/>
    <w:rsid w:val="00DE224E"/>
    <w:rsid w:val="00DE3C01"/>
    <w:rsid w:val="00DE7512"/>
    <w:rsid w:val="00DE76FF"/>
    <w:rsid w:val="00DF1541"/>
    <w:rsid w:val="00DF20D4"/>
    <w:rsid w:val="00DF673D"/>
    <w:rsid w:val="00DF755E"/>
    <w:rsid w:val="00E0163B"/>
    <w:rsid w:val="00E064E9"/>
    <w:rsid w:val="00E10913"/>
    <w:rsid w:val="00E10CDF"/>
    <w:rsid w:val="00E12FA5"/>
    <w:rsid w:val="00E13ADA"/>
    <w:rsid w:val="00E14454"/>
    <w:rsid w:val="00E15160"/>
    <w:rsid w:val="00E152AC"/>
    <w:rsid w:val="00E15612"/>
    <w:rsid w:val="00E15AF2"/>
    <w:rsid w:val="00E3025D"/>
    <w:rsid w:val="00E341D9"/>
    <w:rsid w:val="00E34D2A"/>
    <w:rsid w:val="00E352C1"/>
    <w:rsid w:val="00E35FF9"/>
    <w:rsid w:val="00E37665"/>
    <w:rsid w:val="00E4064D"/>
    <w:rsid w:val="00E4230C"/>
    <w:rsid w:val="00E43364"/>
    <w:rsid w:val="00E4350A"/>
    <w:rsid w:val="00E445AF"/>
    <w:rsid w:val="00E45473"/>
    <w:rsid w:val="00E4662A"/>
    <w:rsid w:val="00E51337"/>
    <w:rsid w:val="00E51AA0"/>
    <w:rsid w:val="00E51FD2"/>
    <w:rsid w:val="00E54534"/>
    <w:rsid w:val="00E5618D"/>
    <w:rsid w:val="00E6158F"/>
    <w:rsid w:val="00E61C0E"/>
    <w:rsid w:val="00E62F7F"/>
    <w:rsid w:val="00E63283"/>
    <w:rsid w:val="00E66A8B"/>
    <w:rsid w:val="00E675DA"/>
    <w:rsid w:val="00E67657"/>
    <w:rsid w:val="00E7003F"/>
    <w:rsid w:val="00E70740"/>
    <w:rsid w:val="00E7133B"/>
    <w:rsid w:val="00E71461"/>
    <w:rsid w:val="00E73187"/>
    <w:rsid w:val="00E73392"/>
    <w:rsid w:val="00E76985"/>
    <w:rsid w:val="00E7714D"/>
    <w:rsid w:val="00E8053F"/>
    <w:rsid w:val="00E82F6E"/>
    <w:rsid w:val="00E85631"/>
    <w:rsid w:val="00E878B8"/>
    <w:rsid w:val="00E90770"/>
    <w:rsid w:val="00E91FD2"/>
    <w:rsid w:val="00E9367F"/>
    <w:rsid w:val="00E951EF"/>
    <w:rsid w:val="00EA01D8"/>
    <w:rsid w:val="00EA0B77"/>
    <w:rsid w:val="00EA1843"/>
    <w:rsid w:val="00EA1FB6"/>
    <w:rsid w:val="00EA1FCC"/>
    <w:rsid w:val="00EA26E9"/>
    <w:rsid w:val="00EA3329"/>
    <w:rsid w:val="00EA39CA"/>
    <w:rsid w:val="00EA416A"/>
    <w:rsid w:val="00EA4D31"/>
    <w:rsid w:val="00EA56DB"/>
    <w:rsid w:val="00EA5C8E"/>
    <w:rsid w:val="00EA6582"/>
    <w:rsid w:val="00EA7E57"/>
    <w:rsid w:val="00EB1300"/>
    <w:rsid w:val="00EB390F"/>
    <w:rsid w:val="00EB50CC"/>
    <w:rsid w:val="00EB6309"/>
    <w:rsid w:val="00EC1E9B"/>
    <w:rsid w:val="00EC294C"/>
    <w:rsid w:val="00EC5734"/>
    <w:rsid w:val="00EC6A2E"/>
    <w:rsid w:val="00EC7480"/>
    <w:rsid w:val="00EC7CF0"/>
    <w:rsid w:val="00ED0AB1"/>
    <w:rsid w:val="00ED22D5"/>
    <w:rsid w:val="00ED2E07"/>
    <w:rsid w:val="00ED7E68"/>
    <w:rsid w:val="00EE3F38"/>
    <w:rsid w:val="00EE4EAA"/>
    <w:rsid w:val="00EE7C1A"/>
    <w:rsid w:val="00EF25B2"/>
    <w:rsid w:val="00EF4C28"/>
    <w:rsid w:val="00F03D97"/>
    <w:rsid w:val="00F1091F"/>
    <w:rsid w:val="00F111C5"/>
    <w:rsid w:val="00F16242"/>
    <w:rsid w:val="00F16BA2"/>
    <w:rsid w:val="00F179F1"/>
    <w:rsid w:val="00F200EA"/>
    <w:rsid w:val="00F20ABF"/>
    <w:rsid w:val="00F20E89"/>
    <w:rsid w:val="00F257FE"/>
    <w:rsid w:val="00F25E82"/>
    <w:rsid w:val="00F30F0D"/>
    <w:rsid w:val="00F32052"/>
    <w:rsid w:val="00F34174"/>
    <w:rsid w:val="00F35792"/>
    <w:rsid w:val="00F3607C"/>
    <w:rsid w:val="00F37F69"/>
    <w:rsid w:val="00F407F1"/>
    <w:rsid w:val="00F42E11"/>
    <w:rsid w:val="00F4301F"/>
    <w:rsid w:val="00F43933"/>
    <w:rsid w:val="00F43DAE"/>
    <w:rsid w:val="00F442B3"/>
    <w:rsid w:val="00F46995"/>
    <w:rsid w:val="00F64019"/>
    <w:rsid w:val="00F64A0A"/>
    <w:rsid w:val="00F65898"/>
    <w:rsid w:val="00F6787C"/>
    <w:rsid w:val="00F721B8"/>
    <w:rsid w:val="00F73E6C"/>
    <w:rsid w:val="00F7418D"/>
    <w:rsid w:val="00F767EB"/>
    <w:rsid w:val="00F77095"/>
    <w:rsid w:val="00F86479"/>
    <w:rsid w:val="00F948A9"/>
    <w:rsid w:val="00F96B51"/>
    <w:rsid w:val="00F97727"/>
    <w:rsid w:val="00F97B5A"/>
    <w:rsid w:val="00FA011F"/>
    <w:rsid w:val="00FA1515"/>
    <w:rsid w:val="00FA2525"/>
    <w:rsid w:val="00FA3728"/>
    <w:rsid w:val="00FA5005"/>
    <w:rsid w:val="00FA5236"/>
    <w:rsid w:val="00FA54BD"/>
    <w:rsid w:val="00FA55B9"/>
    <w:rsid w:val="00FA575E"/>
    <w:rsid w:val="00FA6C1F"/>
    <w:rsid w:val="00FB009B"/>
    <w:rsid w:val="00FB3851"/>
    <w:rsid w:val="00FB54FE"/>
    <w:rsid w:val="00FB604B"/>
    <w:rsid w:val="00FB6B24"/>
    <w:rsid w:val="00FC23B4"/>
    <w:rsid w:val="00FC3FA3"/>
    <w:rsid w:val="00FC44D2"/>
    <w:rsid w:val="00FC46BE"/>
    <w:rsid w:val="00FC49C3"/>
    <w:rsid w:val="00FC5F58"/>
    <w:rsid w:val="00FC62C1"/>
    <w:rsid w:val="00FD0109"/>
    <w:rsid w:val="00FD2217"/>
    <w:rsid w:val="00FD464A"/>
    <w:rsid w:val="00FD6C2A"/>
    <w:rsid w:val="00FD6D54"/>
    <w:rsid w:val="00FD7BAC"/>
    <w:rsid w:val="00FE2A9F"/>
    <w:rsid w:val="00FE5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F865E"/>
  <w15:docId w15:val="{1B5C5E8E-2345-4D6B-8866-4F97C992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35DD"/>
    <w:rPr>
      <w:rFonts w:ascii="Garamond" w:hAnsi="Garamond"/>
      <w:sz w:val="22"/>
      <w:szCs w:val="24"/>
    </w:rPr>
  </w:style>
  <w:style w:type="paragraph" w:styleId="Heading1">
    <w:name w:val="heading 1"/>
    <w:next w:val="Heading2"/>
    <w:link w:val="Heading1Char"/>
    <w:qFormat/>
    <w:rsid w:val="00D10CF6"/>
    <w:pPr>
      <w:numPr>
        <w:numId w:val="26"/>
      </w:numPr>
      <w:pBdr>
        <w:bottom w:val="single" w:sz="4" w:space="1" w:color="auto"/>
      </w:pBdr>
      <w:spacing w:before="720" w:after="360"/>
      <w:outlineLvl w:val="0"/>
    </w:pPr>
    <w:rPr>
      <w:rFonts w:ascii="Arial Narrow" w:hAnsi="Arial Narrow"/>
      <w:kern w:val="20"/>
      <w:sz w:val="48"/>
      <w:szCs w:val="16"/>
    </w:rPr>
  </w:style>
  <w:style w:type="paragraph" w:styleId="Heading2">
    <w:name w:val="heading 2"/>
    <w:next w:val="BodyText"/>
    <w:link w:val="Heading2Char"/>
    <w:qFormat/>
    <w:rsid w:val="00D10CF6"/>
    <w:pPr>
      <w:keepNext/>
      <w:numPr>
        <w:ilvl w:val="1"/>
        <w:numId w:val="26"/>
      </w:numPr>
      <w:spacing w:after="200"/>
      <w:outlineLvl w:val="1"/>
    </w:pPr>
    <w:rPr>
      <w:rFonts w:ascii="Arial Narrow" w:hAnsi="Arial Narrow"/>
      <w:b/>
      <w:caps/>
      <w:kern w:val="20"/>
      <w:sz w:val="32"/>
    </w:rPr>
  </w:style>
  <w:style w:type="paragraph" w:styleId="Heading3">
    <w:name w:val="heading 3"/>
    <w:next w:val="BodyText"/>
    <w:link w:val="Heading3Char"/>
    <w:qFormat/>
    <w:rsid w:val="00D10CF6"/>
    <w:pPr>
      <w:keepNext/>
      <w:numPr>
        <w:ilvl w:val="2"/>
        <w:numId w:val="26"/>
      </w:numPr>
      <w:spacing w:after="200"/>
      <w:outlineLvl w:val="2"/>
    </w:pPr>
    <w:rPr>
      <w:rFonts w:ascii="Arial Narrow" w:hAnsi="Arial Narrow"/>
      <w:b/>
      <w:kern w:val="20"/>
      <w:sz w:val="30"/>
    </w:rPr>
  </w:style>
  <w:style w:type="paragraph" w:styleId="Heading4">
    <w:name w:val="heading 4"/>
    <w:next w:val="BodyText"/>
    <w:link w:val="Heading4Char"/>
    <w:qFormat/>
    <w:rsid w:val="00D10CF6"/>
    <w:pPr>
      <w:keepNext/>
      <w:numPr>
        <w:ilvl w:val="3"/>
        <w:numId w:val="26"/>
      </w:numPr>
      <w:spacing w:after="200"/>
      <w:outlineLvl w:val="3"/>
    </w:pPr>
    <w:rPr>
      <w:rFonts w:ascii="Arial Narrow" w:hAnsi="Arial Narrow"/>
      <w:b/>
      <w:caps/>
      <w:kern w:val="20"/>
      <w:sz w:val="24"/>
    </w:rPr>
  </w:style>
  <w:style w:type="paragraph" w:styleId="Heading5">
    <w:name w:val="heading 5"/>
    <w:next w:val="BodyText"/>
    <w:link w:val="Heading5Char"/>
    <w:qFormat/>
    <w:rsid w:val="007838AD"/>
    <w:pPr>
      <w:keepNext/>
      <w:numPr>
        <w:ilvl w:val="4"/>
        <w:numId w:val="26"/>
      </w:numPr>
      <w:spacing w:after="200"/>
      <w:outlineLvl w:val="4"/>
    </w:pPr>
    <w:rPr>
      <w:rFonts w:ascii="Arial Narrow" w:hAnsi="Arial Narrow"/>
      <w:b/>
      <w:kern w:val="20"/>
      <w:sz w:val="24"/>
    </w:rPr>
  </w:style>
  <w:style w:type="paragraph" w:styleId="Heading6">
    <w:name w:val="heading 6"/>
    <w:next w:val="BodyText"/>
    <w:link w:val="Heading6Char"/>
    <w:qFormat/>
    <w:rsid w:val="007838AD"/>
    <w:pPr>
      <w:keepNext/>
      <w:numPr>
        <w:ilvl w:val="5"/>
        <w:numId w:val="26"/>
      </w:numPr>
      <w:spacing w:after="120"/>
      <w:outlineLvl w:val="5"/>
    </w:pPr>
    <w:rPr>
      <w:rFonts w:ascii="Arial Narrow" w:hAnsi="Arial Narrow"/>
      <w:i/>
      <w:kern w:val="20"/>
      <w:sz w:val="24"/>
    </w:rPr>
  </w:style>
  <w:style w:type="paragraph" w:styleId="Heading7">
    <w:name w:val="heading 7"/>
    <w:next w:val="BodyText"/>
    <w:link w:val="Heading7Char"/>
    <w:qFormat/>
    <w:rsid w:val="007838AD"/>
    <w:pPr>
      <w:keepNext/>
      <w:numPr>
        <w:ilvl w:val="6"/>
        <w:numId w:val="26"/>
      </w:numPr>
      <w:spacing w:after="120"/>
      <w:outlineLvl w:val="6"/>
    </w:pPr>
    <w:rPr>
      <w:rFonts w:ascii="Garamond" w:hAnsi="Garamond"/>
      <w:b/>
      <w:i/>
      <w:kern w:val="20"/>
      <w:sz w:val="21"/>
    </w:rPr>
  </w:style>
  <w:style w:type="paragraph" w:styleId="Heading8">
    <w:name w:val="heading 8"/>
    <w:next w:val="BodyText"/>
    <w:link w:val="Heading8Char"/>
    <w:qFormat/>
    <w:rsid w:val="00AD1008"/>
    <w:pPr>
      <w:spacing w:after="120"/>
      <w:outlineLvl w:val="7"/>
    </w:pPr>
    <w:rPr>
      <w:rFonts w:ascii="Garamond" w:hAnsi="Garamond"/>
      <w:i/>
      <w:kern w:val="20"/>
      <w:sz w:val="21"/>
    </w:rPr>
  </w:style>
  <w:style w:type="paragraph" w:styleId="Heading9">
    <w:name w:val="heading 9"/>
    <w:aliases w:val="Appx Title,Appx Title1,Appx Title2,Appx Title3,Appx Title4,Appx Title5,Appx Title6,Appx Title7,Appx Title8,Appx Title9,Appx Title10"/>
    <w:next w:val="BodyText"/>
    <w:link w:val="Heading9Char"/>
    <w:qFormat/>
    <w:rsid w:val="00D10CF6"/>
    <w:pPr>
      <w:numPr>
        <w:ilvl w:val="8"/>
        <w:numId w:val="26"/>
      </w:numPr>
      <w:outlineLvl w:val="8"/>
    </w:pPr>
    <w:rPr>
      <w:rFonts w:ascii="Swis721 Hv BT" w:hAnsi="Swis721 Hv BT"/>
      <w:i/>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eneralStyle">
    <w:name w:val="Table General Style"/>
    <w:basedOn w:val="TableNormal"/>
    <w:uiPriority w:val="99"/>
    <w:rsid w:val="001E4E71"/>
    <w:rPr>
      <w:rFonts w:ascii="Arial Narrow" w:hAnsi="Arial Narrow"/>
      <w:sz w:val="18"/>
    </w:rPr>
    <w:tblPr>
      <w:jc w:val="center"/>
      <w:tblBorders>
        <w:bottom w:val="single" w:sz="12" w:space="0" w:color="auto"/>
        <w:insideH w:val="single" w:sz="4" w:space="0" w:color="auto"/>
        <w:insideV w:val="single" w:sz="4" w:space="0" w:color="auto"/>
      </w:tblBorders>
    </w:tblPr>
    <w:trPr>
      <w:tblHeader/>
      <w:jc w:val="center"/>
    </w:trPr>
    <w:tcPr>
      <w:tcMar>
        <w:left w:w="86" w:type="dxa"/>
        <w:right w:w="86" w:type="dxa"/>
      </w:tcMar>
      <w:vAlign w:val="center"/>
    </w:tcPr>
  </w:style>
  <w:style w:type="paragraph" w:customStyle="1" w:styleId="DateDocType">
    <w:name w:val="Date&amp;DocType"/>
    <w:qFormat/>
    <w:rsid w:val="00D47F06"/>
    <w:pPr>
      <w:jc w:val="right"/>
    </w:pPr>
    <w:rPr>
      <w:rFonts w:ascii="Calibri Light" w:hAnsi="Calibri Light"/>
      <w:sz w:val="24"/>
      <w:szCs w:val="24"/>
    </w:rPr>
  </w:style>
  <w:style w:type="paragraph" w:customStyle="1" w:styleId="PROJECTNAME">
    <w:name w:val="PROJECT NAME"/>
    <w:qFormat/>
    <w:rsid w:val="006474ED"/>
    <w:pPr>
      <w:spacing w:before="960" w:line="269" w:lineRule="auto"/>
      <w:jc w:val="right"/>
    </w:pPr>
    <w:rPr>
      <w:rFonts w:ascii="Century Gothic" w:hAnsi="Century Gothic"/>
      <w:b/>
      <w:caps/>
      <w:sz w:val="48"/>
      <w:szCs w:val="24"/>
    </w:rPr>
  </w:style>
  <w:style w:type="paragraph" w:customStyle="1" w:styleId="ClientName">
    <w:name w:val="Client Name"/>
    <w:qFormat/>
    <w:rsid w:val="00D47F06"/>
    <w:pPr>
      <w:spacing w:after="1360"/>
      <w:jc w:val="right"/>
    </w:pPr>
    <w:rPr>
      <w:rFonts w:ascii="Calibri Light" w:hAnsi="Calibri Light"/>
      <w:sz w:val="32"/>
      <w:szCs w:val="24"/>
    </w:rPr>
  </w:style>
  <w:style w:type="paragraph" w:customStyle="1" w:styleId="Preparedforby">
    <w:name w:val="Prepared for/by"/>
    <w:basedOn w:val="ClientName"/>
    <w:qFormat/>
    <w:rsid w:val="00414E23"/>
    <w:pPr>
      <w:spacing w:after="120"/>
    </w:pPr>
    <w:rPr>
      <w:i/>
      <w:sz w:val="20"/>
    </w:rPr>
  </w:style>
  <w:style w:type="paragraph" w:customStyle="1" w:styleId="ClientPlaceWorks">
    <w:name w:val="Client/PlaceWorks"/>
    <w:qFormat/>
    <w:rsid w:val="00DC6061"/>
    <w:pPr>
      <w:jc w:val="right"/>
    </w:pPr>
    <w:rPr>
      <w:rFonts w:ascii="Calibri" w:hAnsi="Calibri"/>
      <w:b/>
      <w:color w:val="4B253E"/>
      <w:szCs w:val="24"/>
    </w:rPr>
  </w:style>
  <w:style w:type="paragraph" w:customStyle="1" w:styleId="ContactInfo">
    <w:name w:val="Contact Info"/>
    <w:basedOn w:val="ClientPlaceWorks"/>
    <w:qFormat/>
    <w:rsid w:val="00090DB8"/>
    <w:rPr>
      <w:rFonts w:ascii="Calibri Light" w:hAnsi="Calibri Light"/>
      <w:b w:val="0"/>
      <w:color w:val="auto"/>
    </w:rPr>
  </w:style>
  <w:style w:type="character" w:styleId="Hyperlink">
    <w:name w:val="Hyperlink"/>
    <w:uiPriority w:val="99"/>
    <w:unhideWhenUsed/>
    <w:rsid w:val="00D10CF6"/>
    <w:rPr>
      <w:color w:val="0000FF"/>
      <w:u w:val="single"/>
    </w:rPr>
  </w:style>
  <w:style w:type="paragraph" w:styleId="Header">
    <w:name w:val="header"/>
    <w:aliases w:val="Odd2"/>
    <w:next w:val="Normal"/>
    <w:link w:val="HeaderChar"/>
    <w:rsid w:val="00D10CF6"/>
    <w:pPr>
      <w:widowControl w:val="0"/>
      <w:spacing w:before="120"/>
      <w:jc w:val="right"/>
    </w:pPr>
    <w:rPr>
      <w:rFonts w:ascii="Arial Narrow" w:hAnsi="Arial Narrow"/>
      <w:sz w:val="28"/>
      <w:szCs w:val="24"/>
    </w:rPr>
  </w:style>
  <w:style w:type="character" w:customStyle="1" w:styleId="HeaderChar">
    <w:name w:val="Header Char"/>
    <w:aliases w:val="Odd2 Char"/>
    <w:link w:val="Header"/>
    <w:rsid w:val="00D10CF6"/>
    <w:rPr>
      <w:rFonts w:ascii="Arial Narrow" w:hAnsi="Arial Narrow"/>
      <w:sz w:val="28"/>
      <w:szCs w:val="24"/>
    </w:rPr>
  </w:style>
  <w:style w:type="character" w:customStyle="1" w:styleId="Heading1Char">
    <w:name w:val="Heading 1 Char"/>
    <w:link w:val="Heading1"/>
    <w:rsid w:val="00D10CF6"/>
    <w:rPr>
      <w:rFonts w:ascii="Arial Narrow" w:hAnsi="Arial Narrow"/>
      <w:kern w:val="20"/>
      <w:sz w:val="48"/>
      <w:szCs w:val="16"/>
    </w:rPr>
  </w:style>
  <w:style w:type="character" w:customStyle="1" w:styleId="Heading2Char">
    <w:name w:val="Heading 2 Char"/>
    <w:link w:val="Heading2"/>
    <w:rsid w:val="00D10CF6"/>
    <w:rPr>
      <w:rFonts w:ascii="Arial Narrow" w:hAnsi="Arial Narrow"/>
      <w:b/>
      <w:caps/>
      <w:kern w:val="20"/>
      <w:sz w:val="32"/>
    </w:rPr>
  </w:style>
  <w:style w:type="character" w:customStyle="1" w:styleId="Heading3Char">
    <w:name w:val="Heading 3 Char"/>
    <w:link w:val="Heading3"/>
    <w:rsid w:val="00D10CF6"/>
    <w:rPr>
      <w:rFonts w:ascii="Arial Narrow" w:hAnsi="Arial Narrow"/>
      <w:b/>
      <w:kern w:val="20"/>
      <w:sz w:val="30"/>
    </w:rPr>
  </w:style>
  <w:style w:type="character" w:customStyle="1" w:styleId="Heading4Char">
    <w:name w:val="Heading 4 Char"/>
    <w:link w:val="Heading4"/>
    <w:rsid w:val="00D10CF6"/>
    <w:rPr>
      <w:rFonts w:ascii="Arial Narrow" w:hAnsi="Arial Narrow"/>
      <w:b/>
      <w:caps/>
      <w:kern w:val="20"/>
      <w:sz w:val="24"/>
    </w:rPr>
  </w:style>
  <w:style w:type="character" w:customStyle="1" w:styleId="Heading5Char">
    <w:name w:val="Heading 5 Char"/>
    <w:link w:val="Heading5"/>
    <w:rsid w:val="007838AD"/>
    <w:rPr>
      <w:rFonts w:ascii="Arial Narrow" w:hAnsi="Arial Narrow"/>
      <w:b/>
      <w:kern w:val="20"/>
      <w:sz w:val="24"/>
    </w:rPr>
  </w:style>
  <w:style w:type="character" w:customStyle="1" w:styleId="Heading6Char">
    <w:name w:val="Heading 6 Char"/>
    <w:link w:val="Heading6"/>
    <w:rsid w:val="007838AD"/>
    <w:rPr>
      <w:rFonts w:ascii="Arial Narrow" w:hAnsi="Arial Narrow"/>
      <w:i/>
      <w:kern w:val="20"/>
      <w:sz w:val="24"/>
    </w:rPr>
  </w:style>
  <w:style w:type="character" w:customStyle="1" w:styleId="Heading7Char">
    <w:name w:val="Heading 7 Char"/>
    <w:link w:val="Heading7"/>
    <w:rsid w:val="007838AD"/>
    <w:rPr>
      <w:rFonts w:ascii="Garamond" w:hAnsi="Garamond"/>
      <w:b/>
      <w:i/>
      <w:kern w:val="20"/>
      <w:sz w:val="21"/>
    </w:rPr>
  </w:style>
  <w:style w:type="character" w:customStyle="1" w:styleId="Heading8Char">
    <w:name w:val="Heading 8 Char"/>
    <w:link w:val="Heading8"/>
    <w:rsid w:val="00AD1008"/>
    <w:rPr>
      <w:rFonts w:ascii="Garamond" w:hAnsi="Garamond"/>
      <w:i/>
      <w:kern w:val="20"/>
      <w:sz w:val="21"/>
    </w:rPr>
  </w:style>
  <w:style w:type="character" w:customStyle="1" w:styleId="Heading9Char">
    <w:name w:val="Heading 9 Char"/>
    <w:aliases w:val="Appx Title Char,Appx Title1 Char,Appx Title2 Char,Appx Title3 Char,Appx Title4 Char,Appx Title5 Char,Appx Title6 Char,Appx Title7 Char,Appx Title8 Char,Appx Title9 Char,Appx Title10 Char"/>
    <w:link w:val="Heading9"/>
    <w:rsid w:val="00D10CF6"/>
    <w:rPr>
      <w:rFonts w:ascii="Swis721 Hv BT" w:hAnsi="Swis721 Hv BT"/>
      <w:i/>
      <w:kern w:val="20"/>
      <w:sz w:val="24"/>
    </w:rPr>
  </w:style>
  <w:style w:type="paragraph" w:styleId="BodyText">
    <w:name w:val="Body Text"/>
    <w:aliases w:val="LEFT,bt,BT,SD-body,vv,Outline-1,Body text,o,BODY TEXT,body text,Bod...,Body Txt,b, bt, Char,body text--proposal,DNV-Body,Char,BODY TE... + 10 pt,Lef...,BodyText,BODY TE... + First line...,BODY TE... + Left:  0.2...,Body Text Boldt,Body Tetblxt"/>
    <w:link w:val="BodyTextChar"/>
    <w:qFormat/>
    <w:rsid w:val="00D10CF6"/>
    <w:pPr>
      <w:spacing w:after="200" w:line="276" w:lineRule="auto"/>
      <w:jc w:val="both"/>
    </w:pPr>
    <w:rPr>
      <w:rFonts w:ascii="Garamond" w:hAnsi="Garamond"/>
      <w:kern w:val="20"/>
      <w:sz w:val="22"/>
    </w:rPr>
  </w:style>
  <w:style w:type="character" w:customStyle="1" w:styleId="BodyTextChar">
    <w:name w:val="Body Text Char"/>
    <w:aliases w:val="LEFT Char,bt Char,BT Char,SD-body Char,vv Char,Outline-1 Char,Body text Char,o Char,BODY TEXT Char,body text Char,Bod... Char,Body Txt Char,b Char, bt Char, Char Char,body text--proposal Char,DNV-Body Char,Char Char,Lef... Char"/>
    <w:link w:val="BodyText"/>
    <w:rsid w:val="00D10CF6"/>
    <w:rPr>
      <w:rFonts w:ascii="Garamond" w:hAnsi="Garamond"/>
      <w:kern w:val="20"/>
      <w:sz w:val="22"/>
    </w:rPr>
  </w:style>
  <w:style w:type="paragraph" w:customStyle="1" w:styleId="BodyTextBold">
    <w:name w:val="Body Text Bold"/>
    <w:next w:val="BodyText"/>
    <w:link w:val="BodyTextBoldChar"/>
    <w:rsid w:val="00D10CF6"/>
    <w:pPr>
      <w:keepNext/>
      <w:spacing w:after="200" w:line="276" w:lineRule="auto"/>
    </w:pPr>
    <w:rPr>
      <w:rFonts w:ascii="Garamond" w:hAnsi="Garamond"/>
      <w:b/>
      <w:kern w:val="20"/>
      <w:sz w:val="22"/>
    </w:rPr>
  </w:style>
  <w:style w:type="paragraph" w:customStyle="1" w:styleId="Appendix">
    <w:name w:val="Appendix"/>
    <w:basedOn w:val="Normal"/>
    <w:rsid w:val="006A4F7E"/>
    <w:pPr>
      <w:widowControl w:val="0"/>
      <w:tabs>
        <w:tab w:val="left" w:pos="2520"/>
      </w:tabs>
      <w:ind w:left="2520" w:hanging="2520"/>
    </w:pPr>
    <w:rPr>
      <w:rFonts w:ascii="Arial Narrow" w:hAnsi="Arial Narrow"/>
      <w:kern w:val="20"/>
      <w:sz w:val="48"/>
      <w:szCs w:val="20"/>
    </w:rPr>
  </w:style>
  <w:style w:type="paragraph" w:styleId="BodyTextIndent2">
    <w:name w:val="Body Text Indent 2"/>
    <w:basedOn w:val="BodyText"/>
    <w:link w:val="BodyTextIndent2Char"/>
    <w:rsid w:val="00D10CF6"/>
    <w:pPr>
      <w:ind w:left="720" w:hanging="360"/>
    </w:pPr>
  </w:style>
  <w:style w:type="character" w:customStyle="1" w:styleId="BodyTextIndent2Char">
    <w:name w:val="Body Text Indent 2 Char"/>
    <w:basedOn w:val="DefaultParagraphFont"/>
    <w:link w:val="BodyTextIndent2"/>
    <w:rsid w:val="00D10CF6"/>
    <w:rPr>
      <w:rFonts w:ascii="Garamond" w:hAnsi="Garamond"/>
      <w:kern w:val="20"/>
      <w:sz w:val="22"/>
    </w:rPr>
  </w:style>
  <w:style w:type="paragraph" w:styleId="BodyText3">
    <w:name w:val="Body Text 3"/>
    <w:basedOn w:val="Normal"/>
    <w:next w:val="BodyTextIndent3"/>
    <w:link w:val="BodyText3Char"/>
    <w:rsid w:val="00D10CF6"/>
    <w:pPr>
      <w:numPr>
        <w:numId w:val="21"/>
      </w:numPr>
      <w:pBdr>
        <w:top w:val="single" w:sz="6" w:space="1" w:color="auto"/>
      </w:pBdr>
    </w:pPr>
  </w:style>
  <w:style w:type="character" w:customStyle="1" w:styleId="BodyText3Char">
    <w:name w:val="Body Text 3 Char"/>
    <w:basedOn w:val="DefaultParagraphFont"/>
    <w:link w:val="BodyText3"/>
    <w:rsid w:val="00D10CF6"/>
    <w:rPr>
      <w:rFonts w:ascii="Garamond" w:hAnsi="Garamond"/>
      <w:sz w:val="22"/>
      <w:szCs w:val="24"/>
    </w:rPr>
  </w:style>
  <w:style w:type="paragraph" w:styleId="List2">
    <w:name w:val="List 2"/>
    <w:basedOn w:val="Normal"/>
    <w:rsid w:val="007132F6"/>
    <w:pPr>
      <w:numPr>
        <w:numId w:val="29"/>
      </w:numPr>
      <w:spacing w:after="240"/>
      <w:jc w:val="both"/>
    </w:pPr>
  </w:style>
  <w:style w:type="paragraph" w:styleId="BodyTextIndent3">
    <w:name w:val="Body Text Indent 3"/>
    <w:basedOn w:val="Normal"/>
    <w:link w:val="BodyTextIndent3Char"/>
    <w:rsid w:val="00D10CF6"/>
    <w:pPr>
      <w:spacing w:after="120"/>
      <w:ind w:left="360"/>
    </w:pPr>
    <w:rPr>
      <w:sz w:val="16"/>
      <w:szCs w:val="16"/>
    </w:rPr>
  </w:style>
  <w:style w:type="character" w:customStyle="1" w:styleId="BodyTextIndent3Char">
    <w:name w:val="Body Text Indent 3 Char"/>
    <w:link w:val="BodyTextIndent3"/>
    <w:rsid w:val="00D10CF6"/>
    <w:rPr>
      <w:rFonts w:ascii="Garamond" w:hAnsi="Garamond"/>
      <w:sz w:val="16"/>
      <w:szCs w:val="16"/>
    </w:rPr>
  </w:style>
  <w:style w:type="paragraph" w:customStyle="1" w:styleId="BodyTextIndent5">
    <w:name w:val="Body Text Indent5"/>
    <w:basedOn w:val="BodyText2"/>
    <w:rsid w:val="00D10CF6"/>
    <w:pPr>
      <w:ind w:left="360"/>
    </w:pPr>
  </w:style>
  <w:style w:type="paragraph" w:customStyle="1" w:styleId="ImpactBulletLast">
    <w:name w:val="Impact Bullet Last"/>
    <w:basedOn w:val="ImpactBullet"/>
    <w:next w:val="ImpactBullet"/>
    <w:qFormat/>
    <w:rsid w:val="0071235B"/>
    <w:pPr>
      <w:spacing w:after="200"/>
    </w:pPr>
    <w:rPr>
      <w:color w:val="000000" w:themeColor="text1"/>
    </w:rPr>
  </w:style>
  <w:style w:type="paragraph" w:styleId="TableofFigures">
    <w:name w:val="table of figures"/>
    <w:basedOn w:val="Normal"/>
    <w:next w:val="Normal"/>
    <w:uiPriority w:val="99"/>
    <w:rsid w:val="002E3E7E"/>
    <w:pPr>
      <w:tabs>
        <w:tab w:val="left" w:pos="1440"/>
        <w:tab w:val="right" w:leader="dot" w:pos="9350"/>
      </w:tabs>
      <w:spacing w:after="60"/>
      <w:ind w:left="2304" w:hanging="2304"/>
    </w:pPr>
  </w:style>
  <w:style w:type="paragraph" w:customStyle="1" w:styleId="TableCondensed">
    <w:name w:val="Table_Condensed"/>
    <w:basedOn w:val="Normal"/>
    <w:link w:val="TableCondensedChar"/>
    <w:semiHidden/>
    <w:rsid w:val="00D10CF6"/>
    <w:pPr>
      <w:ind w:left="360" w:hanging="360"/>
      <w:jc w:val="center"/>
    </w:pPr>
    <w:rPr>
      <w:rFonts w:ascii="Swis721 Cn BT" w:hAnsi="Swis721 Cn BT"/>
      <w:sz w:val="18"/>
    </w:rPr>
  </w:style>
  <w:style w:type="paragraph" w:customStyle="1" w:styleId="Bullet3Last">
    <w:name w:val="Bullet_3 Last"/>
    <w:basedOn w:val="Bullet3"/>
    <w:next w:val="Bullet3"/>
    <w:qFormat/>
    <w:rsid w:val="00AC35CC"/>
    <w:pPr>
      <w:spacing w:after="120"/>
    </w:pPr>
  </w:style>
  <w:style w:type="paragraph" w:customStyle="1" w:styleId="TableContents">
    <w:name w:val="TableContents"/>
    <w:basedOn w:val="Normal"/>
    <w:semiHidden/>
    <w:rsid w:val="00D10CF6"/>
    <w:rPr>
      <w:b/>
      <w:i/>
    </w:rPr>
  </w:style>
  <w:style w:type="paragraph" w:styleId="TOC1">
    <w:name w:val="toc 1"/>
    <w:basedOn w:val="Normal"/>
    <w:next w:val="Normal"/>
    <w:uiPriority w:val="39"/>
    <w:rsid w:val="00D10CF6"/>
    <w:pPr>
      <w:tabs>
        <w:tab w:val="left" w:pos="720"/>
        <w:tab w:val="right" w:leader="dot" w:pos="9360"/>
      </w:tabs>
      <w:spacing w:before="60" w:after="60"/>
      <w:ind w:left="720" w:hanging="720"/>
    </w:pPr>
    <w:rPr>
      <w:rFonts w:ascii="Arial Bold" w:hAnsi="Arial Bold"/>
      <w:b/>
      <w:caps/>
      <w:kern w:val="20"/>
      <w:szCs w:val="20"/>
    </w:rPr>
  </w:style>
  <w:style w:type="paragraph" w:styleId="TOC2">
    <w:name w:val="toc 2"/>
    <w:basedOn w:val="Normal"/>
    <w:next w:val="Normal"/>
    <w:uiPriority w:val="39"/>
    <w:rsid w:val="00D10CF6"/>
    <w:pPr>
      <w:tabs>
        <w:tab w:val="left" w:pos="720"/>
        <w:tab w:val="right" w:leader="dot" w:pos="9360"/>
      </w:tabs>
      <w:ind w:left="1440" w:hanging="720"/>
    </w:pPr>
    <w:rPr>
      <w:caps/>
      <w:kern w:val="20"/>
      <w:szCs w:val="20"/>
    </w:rPr>
  </w:style>
  <w:style w:type="paragraph" w:styleId="TOC3">
    <w:name w:val="toc 3"/>
    <w:basedOn w:val="Normal"/>
    <w:next w:val="Normal"/>
    <w:uiPriority w:val="39"/>
    <w:rsid w:val="00D10CF6"/>
    <w:pPr>
      <w:tabs>
        <w:tab w:val="left" w:pos="2160"/>
        <w:tab w:val="right" w:leader="dot" w:pos="9360"/>
      </w:tabs>
      <w:ind w:left="1440"/>
    </w:pPr>
    <w:rPr>
      <w:kern w:val="20"/>
      <w:szCs w:val="20"/>
    </w:rPr>
  </w:style>
  <w:style w:type="paragraph" w:styleId="TOC4">
    <w:name w:val="toc 4"/>
    <w:basedOn w:val="Normal"/>
    <w:next w:val="Normal"/>
    <w:autoRedefine/>
    <w:rsid w:val="00D10CF6"/>
    <w:pPr>
      <w:tabs>
        <w:tab w:val="left" w:pos="720"/>
        <w:tab w:val="left" w:pos="2160"/>
        <w:tab w:val="right" w:leader="dot" w:pos="9360"/>
      </w:tabs>
      <w:ind w:left="2880" w:hanging="1440"/>
    </w:pPr>
    <w:rPr>
      <w:kern w:val="20"/>
      <w:sz w:val="18"/>
      <w:szCs w:val="18"/>
    </w:rPr>
  </w:style>
  <w:style w:type="paragraph" w:customStyle="1" w:styleId="FooterPathEven">
    <w:name w:val="Footer Path Even"/>
    <w:basedOn w:val="Normal"/>
    <w:rsid w:val="00D10CF6"/>
    <w:pPr>
      <w:tabs>
        <w:tab w:val="right" w:pos="9360"/>
      </w:tabs>
      <w:jc w:val="right"/>
    </w:pPr>
    <w:rPr>
      <w:rFonts w:ascii="Arial Narrow" w:hAnsi="Arial Narrow"/>
      <w:i/>
      <w:sz w:val="12"/>
      <w:szCs w:val="12"/>
    </w:rPr>
  </w:style>
  <w:style w:type="paragraph" w:customStyle="1" w:styleId="FooterPathOdd">
    <w:name w:val="Footer Path Odd"/>
    <w:basedOn w:val="Normal"/>
    <w:rsid w:val="00D52379"/>
    <w:pPr>
      <w:tabs>
        <w:tab w:val="center" w:pos="4680"/>
        <w:tab w:val="right" w:pos="9360"/>
      </w:tabs>
    </w:pPr>
    <w:rPr>
      <w:rFonts w:ascii="Arial Narrow" w:hAnsi="Arial Narrow"/>
      <w:sz w:val="12"/>
      <w:szCs w:val="12"/>
    </w:rPr>
  </w:style>
  <w:style w:type="character" w:styleId="FootnoteReference">
    <w:name w:val="footnote reference"/>
    <w:aliases w:val="~L Footnote,fr,R&amp;A Footnote Reference,Style 30,Char1 Char Char Char Char Char Char Char Char Char Char,Char1 Char Char Char,Footnote Number, Char1 Char Char Char Char Char Char Char Char Char Char, Char1 Char Char Char,R&amp;A"/>
    <w:qFormat/>
    <w:rsid w:val="00D10CF6"/>
    <w:rPr>
      <w:vertAlign w:val="superscript"/>
    </w:rPr>
  </w:style>
  <w:style w:type="paragraph" w:styleId="FootnoteText">
    <w:name w:val="footnote text"/>
    <w:aliases w:val="Footnote Text Char Char,-,Car,Footnote Text Char1 Char,Footnote Text],Footnote Text Rail EIS,HST_Footnote Text,Footnote Text Char2 Char1 Char Char,Footnote Text Char1 Char Char Char Char,Car Char Char Char,ft,Footnote Text Char1,FN,fnt,Ch"/>
    <w:link w:val="FootnoteTextChar"/>
    <w:qFormat/>
    <w:rsid w:val="000C1AB6"/>
    <w:pPr>
      <w:tabs>
        <w:tab w:val="left" w:pos="216"/>
      </w:tabs>
      <w:ind w:left="216" w:hanging="216"/>
    </w:pPr>
    <w:rPr>
      <w:rFonts w:ascii="Garamond" w:hAnsi="Garamond"/>
      <w:kern w:val="20"/>
      <w:sz w:val="18"/>
    </w:rPr>
  </w:style>
  <w:style w:type="character" w:customStyle="1" w:styleId="FootnoteTextChar">
    <w:name w:val="Footnote Text Char"/>
    <w:aliases w:val="Footnote Text Char Char Char,- Char,Car Char,Footnote Text Char1 Char Char,Footnote Text] Char,Footnote Text Rail EIS Char,HST_Footnote Text Char,Footnote Text Char2 Char1 Char Char Char,Footnote Text Char1 Char Char Char Char Char"/>
    <w:link w:val="FootnoteText"/>
    <w:rsid w:val="000C1AB6"/>
    <w:rPr>
      <w:rFonts w:ascii="Garamond" w:hAnsi="Garamond"/>
      <w:kern w:val="20"/>
      <w:sz w:val="18"/>
    </w:rPr>
  </w:style>
  <w:style w:type="paragraph" w:customStyle="1" w:styleId="TblTxt">
    <w:name w:val="TblTxt"/>
    <w:aliases w:val="10 pt,Centered"/>
    <w:link w:val="TblTxtChar"/>
    <w:qFormat/>
    <w:rsid w:val="00D10CF6"/>
    <w:pPr>
      <w:spacing w:before="20" w:after="20"/>
    </w:pPr>
    <w:rPr>
      <w:rFonts w:ascii="Arial Narrow" w:hAnsi="Arial Narrow"/>
      <w:kern w:val="20"/>
      <w:sz w:val="18"/>
    </w:rPr>
  </w:style>
  <w:style w:type="paragraph" w:styleId="List">
    <w:name w:val="List"/>
    <w:next w:val="BodyText"/>
    <w:rsid w:val="00D10CF6"/>
    <w:pPr>
      <w:keepNext/>
      <w:numPr>
        <w:numId w:val="66"/>
      </w:numPr>
      <w:spacing w:after="200" w:line="276" w:lineRule="auto"/>
      <w:jc w:val="both"/>
    </w:pPr>
    <w:rPr>
      <w:rFonts w:ascii="Garamond" w:hAnsi="Garamond"/>
      <w:b/>
      <w:sz w:val="22"/>
    </w:rPr>
  </w:style>
  <w:style w:type="paragraph" w:styleId="List3">
    <w:name w:val="List 3"/>
    <w:basedOn w:val="Normal"/>
    <w:rsid w:val="00D10CF6"/>
    <w:pPr>
      <w:ind w:left="1080" w:hanging="360"/>
    </w:pPr>
  </w:style>
  <w:style w:type="paragraph" w:styleId="List4">
    <w:name w:val="List 4"/>
    <w:basedOn w:val="Normal"/>
    <w:next w:val="BodyText"/>
    <w:rsid w:val="00D10CF6"/>
    <w:pPr>
      <w:tabs>
        <w:tab w:val="left" w:pos="360"/>
      </w:tabs>
      <w:spacing w:after="120"/>
      <w:jc w:val="both"/>
    </w:pPr>
    <w:rPr>
      <w:b/>
    </w:rPr>
  </w:style>
  <w:style w:type="paragraph" w:styleId="List5">
    <w:name w:val="List 5"/>
    <w:basedOn w:val="Normal"/>
    <w:rsid w:val="00D10CF6"/>
    <w:pPr>
      <w:numPr>
        <w:numId w:val="30"/>
      </w:numPr>
      <w:spacing w:after="240"/>
      <w:jc w:val="both"/>
    </w:pPr>
  </w:style>
  <w:style w:type="paragraph" w:customStyle="1" w:styleId="MitigationText">
    <w:name w:val="Mitigation Text"/>
    <w:link w:val="MitigationTextCharChar"/>
    <w:qFormat/>
    <w:rsid w:val="00D10CF6"/>
    <w:pPr>
      <w:spacing w:after="200" w:line="276" w:lineRule="auto"/>
      <w:ind w:left="1440" w:hanging="1440"/>
      <w:jc w:val="both"/>
    </w:pPr>
    <w:rPr>
      <w:rFonts w:ascii="Garamond" w:hAnsi="Garamond"/>
      <w:kern w:val="20"/>
      <w:sz w:val="22"/>
    </w:rPr>
  </w:style>
  <w:style w:type="paragraph" w:customStyle="1" w:styleId="BodyTextItalic">
    <w:name w:val="Body Text Italic"/>
    <w:basedOn w:val="Normal"/>
    <w:next w:val="BodyText"/>
    <w:link w:val="BodyTextItalicChar"/>
    <w:rsid w:val="00D10CF6"/>
    <w:pPr>
      <w:keepNext/>
      <w:spacing w:after="200" w:line="276" w:lineRule="auto"/>
    </w:pPr>
    <w:rPr>
      <w:i/>
      <w:kern w:val="20"/>
      <w:szCs w:val="20"/>
    </w:rPr>
  </w:style>
  <w:style w:type="paragraph" w:customStyle="1" w:styleId="TblTitles">
    <w:name w:val="TblTitles"/>
    <w:link w:val="TblTitlesChar"/>
    <w:qFormat/>
    <w:rsid w:val="00D10CF6"/>
    <w:pPr>
      <w:tabs>
        <w:tab w:val="left" w:pos="1080"/>
      </w:tabs>
      <w:spacing w:before="200"/>
      <w:ind w:left="1080" w:hanging="1080"/>
    </w:pPr>
    <w:rPr>
      <w:rFonts w:ascii="Arial Narrow" w:hAnsi="Arial Narrow"/>
      <w:b/>
      <w:kern w:val="20"/>
      <w:sz w:val="22"/>
    </w:rPr>
  </w:style>
  <w:style w:type="paragraph" w:customStyle="1" w:styleId="TblTxt1">
    <w:name w:val="TblTxt 1"/>
    <w:basedOn w:val="TblTxt"/>
    <w:rsid w:val="00D10CF6"/>
    <w:pPr>
      <w:ind w:left="360" w:hanging="360"/>
    </w:pPr>
  </w:style>
  <w:style w:type="paragraph" w:customStyle="1" w:styleId="TblTxt2">
    <w:name w:val="TblTxt 2"/>
    <w:basedOn w:val="TblTxt1"/>
    <w:rsid w:val="00D10CF6"/>
    <w:pPr>
      <w:ind w:left="720"/>
    </w:pPr>
  </w:style>
  <w:style w:type="paragraph" w:customStyle="1" w:styleId="TblTxtBold">
    <w:name w:val="TblTxt Bold"/>
    <w:basedOn w:val="TblTxt"/>
    <w:link w:val="TblTxtBoldChar"/>
    <w:rsid w:val="00D10CF6"/>
    <w:pPr>
      <w:keepNext/>
    </w:pPr>
    <w:rPr>
      <w:b/>
    </w:rPr>
  </w:style>
  <w:style w:type="paragraph" w:customStyle="1" w:styleId="TblTxtCenter">
    <w:name w:val="TblTxt Center"/>
    <w:basedOn w:val="TblTxt"/>
    <w:link w:val="TblTxtCenterChar"/>
    <w:rsid w:val="00D10CF6"/>
    <w:pPr>
      <w:jc w:val="center"/>
    </w:pPr>
  </w:style>
  <w:style w:type="table" w:styleId="TableGrid1">
    <w:name w:val="Table Grid 1"/>
    <w:basedOn w:val="TableNormal"/>
    <w:rsid w:val="00D10CF6"/>
    <w:rPr>
      <w:rFonts w:ascii="Swis721 BT" w:eastAsia="Batang" w:hAnsi="Swis721 BT"/>
    </w:rPr>
    <w:tblPr/>
    <w:tcPr>
      <w:shd w:val="clear" w:color="auto" w:fill="auto"/>
    </w:tcPr>
    <w:tblStylePr w:type="lastRow">
      <w:rPr>
        <w:rFonts w:ascii="Walbaum Text" w:hAnsi="Walbaum Text"/>
        <w:i w:val="0"/>
        <w:iCs/>
        <w:sz w:val="20"/>
      </w:rPr>
      <w:tblPr/>
      <w:tcPr>
        <w:tcBorders>
          <w:tl2br w:val="none" w:sz="0" w:space="0" w:color="auto"/>
          <w:tr2bl w:val="none" w:sz="0" w:space="0" w:color="auto"/>
        </w:tcBorders>
      </w:tcPr>
    </w:tblStylePr>
    <w:tblStylePr w:type="lastCol">
      <w:rPr>
        <w:rFonts w:ascii="Walbaum Text" w:hAnsi="Walbaum Text"/>
        <w:i w:val="0"/>
        <w:iCs/>
        <w:sz w:val="20"/>
      </w:rPr>
      <w:tblPr/>
      <w:tcPr>
        <w:tcBorders>
          <w:tl2br w:val="none" w:sz="0" w:space="0" w:color="auto"/>
          <w:tr2bl w:val="none" w:sz="0" w:space="0" w:color="auto"/>
        </w:tcBorders>
      </w:tcPr>
    </w:tblStylePr>
  </w:style>
  <w:style w:type="table" w:styleId="TableGrid">
    <w:name w:val="Table Grid"/>
    <w:basedOn w:val="TableNormal"/>
    <w:rsid w:val="00D10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rsid w:val="00D10CF6"/>
    <w:pPr>
      <w:ind w:left="720"/>
    </w:pPr>
  </w:style>
  <w:style w:type="character" w:customStyle="1" w:styleId="BodyText2Char">
    <w:name w:val="Body Text 2 Char"/>
    <w:basedOn w:val="DefaultParagraphFont"/>
    <w:link w:val="BodyText2"/>
    <w:rsid w:val="00D10CF6"/>
    <w:rPr>
      <w:rFonts w:ascii="Garamond" w:hAnsi="Garamond"/>
      <w:kern w:val="20"/>
      <w:sz w:val="22"/>
    </w:rPr>
  </w:style>
  <w:style w:type="paragraph" w:styleId="BodyTextFirstIndent">
    <w:name w:val="Body Text First Indent"/>
    <w:basedOn w:val="BodyText"/>
    <w:link w:val="BodyTextFirstIndentChar"/>
    <w:rsid w:val="00D10CF6"/>
    <w:pPr>
      <w:ind w:left="360"/>
      <w:jc w:val="left"/>
    </w:pPr>
    <w:rPr>
      <w:szCs w:val="24"/>
    </w:rPr>
  </w:style>
  <w:style w:type="character" w:customStyle="1" w:styleId="BodyTextFirstIndentChar">
    <w:name w:val="Body Text First Indent Char"/>
    <w:link w:val="BodyTextFirstIndent"/>
    <w:rsid w:val="00D10CF6"/>
    <w:rPr>
      <w:rFonts w:ascii="Garamond" w:hAnsi="Garamond"/>
      <w:kern w:val="20"/>
      <w:sz w:val="22"/>
      <w:szCs w:val="24"/>
    </w:rPr>
  </w:style>
  <w:style w:type="paragraph" w:styleId="BodyTextFirstIndent2">
    <w:name w:val="Body Text First Indent 2"/>
    <w:basedOn w:val="Normal"/>
    <w:link w:val="BodyTextFirstIndent2Char"/>
    <w:rsid w:val="0098240C"/>
    <w:pPr>
      <w:spacing w:after="200" w:line="276" w:lineRule="auto"/>
      <w:ind w:left="360" w:firstLine="216"/>
      <w:jc w:val="both"/>
    </w:pPr>
    <w:rPr>
      <w:kern w:val="20"/>
      <w:szCs w:val="20"/>
    </w:rPr>
  </w:style>
  <w:style w:type="character" w:customStyle="1" w:styleId="BodyTextFirstIndent2Char">
    <w:name w:val="Body Text First Indent 2 Char"/>
    <w:basedOn w:val="DefaultParagraphFont"/>
    <w:link w:val="BodyTextFirstIndent2"/>
    <w:rsid w:val="0098240C"/>
    <w:rPr>
      <w:rFonts w:ascii="Garamond" w:hAnsi="Garamond"/>
      <w:kern w:val="20"/>
      <w:sz w:val="22"/>
    </w:rPr>
  </w:style>
  <w:style w:type="paragraph" w:customStyle="1" w:styleId="BodyTextIndent6">
    <w:name w:val="Body Text Indent6"/>
    <w:basedOn w:val="Normal"/>
    <w:next w:val="BodyText"/>
    <w:rsid w:val="00D10CF6"/>
    <w:pPr>
      <w:spacing w:after="240"/>
      <w:ind w:left="720"/>
      <w:jc w:val="both"/>
    </w:pPr>
  </w:style>
  <w:style w:type="numbering" w:styleId="111111">
    <w:name w:val="Outline List 2"/>
    <w:basedOn w:val="NoList"/>
    <w:rsid w:val="00D10CF6"/>
    <w:pPr>
      <w:numPr>
        <w:numId w:val="18"/>
      </w:numPr>
    </w:pPr>
  </w:style>
  <w:style w:type="numbering" w:styleId="1ai">
    <w:name w:val="Outline List 1"/>
    <w:basedOn w:val="NoList"/>
    <w:rsid w:val="00D10CF6"/>
    <w:pPr>
      <w:numPr>
        <w:numId w:val="19"/>
      </w:numPr>
    </w:pPr>
  </w:style>
  <w:style w:type="numbering" w:styleId="ArticleSection">
    <w:name w:val="Outline List 3"/>
    <w:basedOn w:val="NoList"/>
    <w:rsid w:val="00D10CF6"/>
    <w:pPr>
      <w:numPr>
        <w:numId w:val="20"/>
      </w:numPr>
    </w:pPr>
  </w:style>
  <w:style w:type="character" w:styleId="Emphasis">
    <w:name w:val="Emphasis"/>
    <w:qFormat/>
    <w:rsid w:val="00D10CF6"/>
    <w:rPr>
      <w:rFonts w:ascii="Garamond" w:hAnsi="Garamond"/>
      <w:i/>
      <w:iCs/>
      <w:sz w:val="22"/>
    </w:rPr>
  </w:style>
  <w:style w:type="table" w:styleId="Table3Deffects1">
    <w:name w:val="Table 3D effects 1"/>
    <w:basedOn w:val="TableNormal"/>
    <w:rsid w:val="00D10CF6"/>
    <w:pPr>
      <w:widowControl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10CF6"/>
    <w:pPr>
      <w:widowControl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10CF6"/>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10CF6"/>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10CF6"/>
    <w:pPr>
      <w:widowControl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10CF6"/>
    <w:pPr>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10CF6"/>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10CF6"/>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10CF6"/>
    <w:pPr>
      <w:widowControl w:val="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10CF6"/>
    <w:pPr>
      <w:widowControl w:val="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10CF6"/>
    <w:pPr>
      <w:widowControl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10CF6"/>
    <w:pPr>
      <w:widowControl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10CF6"/>
    <w:pPr>
      <w:widowControl w:val="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10CF6"/>
    <w:pPr>
      <w:widowControl w:val="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10CF6"/>
    <w:pPr>
      <w:widowControl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10CF6"/>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10CF6"/>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rsid w:val="00D10CF6"/>
    <w:pPr>
      <w:widowControl w:val="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10CF6"/>
    <w:pPr>
      <w:widowControl w:val="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10CF6"/>
    <w:pPr>
      <w:widowControl w:val="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10CF6"/>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10CF6"/>
    <w:pPr>
      <w:widowControl w:val="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10CF6"/>
    <w:pPr>
      <w:widowControl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10CF6"/>
    <w:pPr>
      <w:widowControl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10CF6"/>
    <w:pPr>
      <w:widowControl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10CF6"/>
    <w:pPr>
      <w:widowControl w:val="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10CF6"/>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10CF6"/>
    <w:pPr>
      <w:widowControl w:val="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10CF6"/>
    <w:pPr>
      <w:widowControl w:val="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10CF6"/>
    <w:pPr>
      <w:widowControl w:val="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10CF6"/>
    <w:pPr>
      <w:widowControl w:val="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10CF6"/>
    <w:pPr>
      <w:widowControl w:val="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10CF6"/>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10CF6"/>
    <w:pPr>
      <w:widowControl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10CF6"/>
    <w:pPr>
      <w:widowControl w:val="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10CF6"/>
    <w:pPr>
      <w:widowControl w:val="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10CF6"/>
    <w:pPr>
      <w:widowControl w:val="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10CF6"/>
    <w:pPr>
      <w:widowControl w:val="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10CF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10CF6"/>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10CF6"/>
    <w:pPr>
      <w:widowControl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10CF6"/>
    <w:pPr>
      <w:widowControl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ofFigsTblsTitle">
    <w:name w:val="List of Figs/Tbls Title"/>
    <w:basedOn w:val="BodyText"/>
    <w:rsid w:val="00D10CF6"/>
    <w:pPr>
      <w:jc w:val="center"/>
    </w:pPr>
    <w:rPr>
      <w:b/>
      <w:bCs/>
      <w:i/>
      <w:iCs/>
      <w:sz w:val="24"/>
    </w:rPr>
  </w:style>
  <w:style w:type="paragraph" w:customStyle="1" w:styleId="TOCHeading2">
    <w:name w:val="TOC Heading 2"/>
    <w:basedOn w:val="BodyText"/>
    <w:rsid w:val="00D10CF6"/>
    <w:pPr>
      <w:tabs>
        <w:tab w:val="right" w:pos="9360"/>
      </w:tabs>
    </w:pPr>
    <w:rPr>
      <w:b/>
      <w:bCs/>
      <w:u w:val="single"/>
    </w:rPr>
  </w:style>
  <w:style w:type="paragraph" w:customStyle="1" w:styleId="EnvChecklistBoxes">
    <w:name w:val="Env Checklist Boxes"/>
    <w:basedOn w:val="BodyText"/>
    <w:link w:val="EnvChecklistBoxesChar"/>
    <w:rsid w:val="00D10CF6"/>
    <w:pPr>
      <w:spacing w:after="0"/>
      <w:jc w:val="center"/>
    </w:pPr>
    <w:rPr>
      <w:b/>
      <w:bCs/>
      <w:sz w:val="18"/>
    </w:rPr>
  </w:style>
  <w:style w:type="character" w:customStyle="1" w:styleId="TblTxtChar">
    <w:name w:val="TblTxt Char"/>
    <w:link w:val="TblTxt"/>
    <w:rsid w:val="00D10CF6"/>
    <w:rPr>
      <w:rFonts w:ascii="Arial Narrow" w:hAnsi="Arial Narrow"/>
      <w:kern w:val="20"/>
      <w:sz w:val="18"/>
    </w:rPr>
  </w:style>
  <w:style w:type="character" w:customStyle="1" w:styleId="TblTxtCenterChar">
    <w:name w:val="TblTxt Center Char"/>
    <w:link w:val="TblTxtCenter"/>
    <w:rsid w:val="00D10CF6"/>
    <w:rPr>
      <w:rFonts w:ascii="Arial Narrow" w:hAnsi="Arial Narrow"/>
      <w:kern w:val="20"/>
      <w:sz w:val="18"/>
    </w:rPr>
  </w:style>
  <w:style w:type="character" w:customStyle="1" w:styleId="TableCondensedChar">
    <w:name w:val="Table_Condensed Char"/>
    <w:link w:val="TableCondensed"/>
    <w:semiHidden/>
    <w:rsid w:val="00D10CF6"/>
    <w:rPr>
      <w:rFonts w:ascii="Swis721 Cn BT" w:hAnsi="Swis721 Cn BT"/>
      <w:sz w:val="18"/>
      <w:szCs w:val="24"/>
    </w:rPr>
  </w:style>
  <w:style w:type="character" w:customStyle="1" w:styleId="ChecklistSubText">
    <w:name w:val="Checklist Sub Text"/>
    <w:rsid w:val="00D10CF6"/>
    <w:rPr>
      <w:rFonts w:ascii="Arial Narrow" w:hAnsi="Arial Narrow"/>
      <w:b/>
      <w:sz w:val="18"/>
    </w:rPr>
  </w:style>
  <w:style w:type="paragraph" w:customStyle="1" w:styleId="TOCListofAppendices">
    <w:name w:val="TOC List of Appendices"/>
    <w:rsid w:val="00D10CF6"/>
    <w:pPr>
      <w:numPr>
        <w:numId w:val="37"/>
      </w:numPr>
    </w:pPr>
    <w:rPr>
      <w:rFonts w:ascii="Swis721 BT" w:hAnsi="Swis721 BT"/>
    </w:rPr>
  </w:style>
  <w:style w:type="numbering" w:customStyle="1" w:styleId="ReferenceList">
    <w:name w:val="Reference List"/>
    <w:basedOn w:val="NoList"/>
    <w:rsid w:val="00D10CF6"/>
    <w:pPr>
      <w:numPr>
        <w:numId w:val="34"/>
      </w:numPr>
    </w:pPr>
  </w:style>
  <w:style w:type="character" w:customStyle="1" w:styleId="BodyTextBoldChar">
    <w:name w:val="Body Text Bold Char"/>
    <w:link w:val="BodyTextBold"/>
    <w:rsid w:val="00D10CF6"/>
    <w:rPr>
      <w:rFonts w:ascii="Garamond" w:hAnsi="Garamond"/>
      <w:b/>
      <w:kern w:val="20"/>
      <w:sz w:val="22"/>
    </w:rPr>
  </w:style>
  <w:style w:type="character" w:customStyle="1" w:styleId="InsertText">
    <w:name w:val="Insert Text"/>
    <w:rsid w:val="00D10CF6"/>
    <w:rPr>
      <w:rFonts w:ascii="Garamond" w:hAnsi="Garamond"/>
      <w:color w:val="0000FF"/>
      <w:sz w:val="22"/>
    </w:rPr>
  </w:style>
  <w:style w:type="paragraph" w:customStyle="1" w:styleId="Z-Logo">
    <w:name w:val="Z-Logo"/>
    <w:basedOn w:val="Normal"/>
    <w:semiHidden/>
    <w:rsid w:val="00D10CF6"/>
    <w:pPr>
      <w:jc w:val="right"/>
    </w:pPr>
  </w:style>
  <w:style w:type="paragraph" w:customStyle="1" w:styleId="TOCAppendixHead">
    <w:name w:val="TOC Appendix Head"/>
    <w:rsid w:val="00D10CF6"/>
    <w:pPr>
      <w:keepNext/>
      <w:spacing w:after="240"/>
    </w:pPr>
    <w:rPr>
      <w:rFonts w:ascii="Swis721 BT" w:hAnsi="Swis721 BT"/>
      <w:b/>
      <w:caps/>
      <w:sz w:val="22"/>
      <w:szCs w:val="24"/>
    </w:rPr>
  </w:style>
  <w:style w:type="paragraph" w:customStyle="1" w:styleId="TOCHead-SectPage">
    <w:name w:val="TOC Head-Sect/Page"/>
    <w:basedOn w:val="BodyText"/>
    <w:rsid w:val="00D10CF6"/>
    <w:pPr>
      <w:keepNext/>
      <w:tabs>
        <w:tab w:val="right" w:pos="9360"/>
      </w:tabs>
    </w:pPr>
    <w:rPr>
      <w:b/>
      <w:u w:val="single"/>
    </w:rPr>
  </w:style>
  <w:style w:type="paragraph" w:customStyle="1" w:styleId="TOCListofAbbrevs">
    <w:name w:val="TOC List of Abbrevs"/>
    <w:basedOn w:val="Normal"/>
    <w:rsid w:val="00D10CF6"/>
    <w:pPr>
      <w:tabs>
        <w:tab w:val="left" w:pos="1440"/>
      </w:tabs>
      <w:spacing w:after="120"/>
      <w:ind w:left="1440" w:hanging="1440"/>
    </w:pPr>
  </w:style>
  <w:style w:type="paragraph" w:customStyle="1" w:styleId="TOC-AppendixList">
    <w:name w:val="TOC-Appendix List"/>
    <w:basedOn w:val="Normal"/>
    <w:rsid w:val="00D10CF6"/>
    <w:pPr>
      <w:tabs>
        <w:tab w:val="left" w:pos="720"/>
      </w:tabs>
      <w:spacing w:after="240"/>
    </w:pPr>
    <w:rPr>
      <w:caps/>
      <w:szCs w:val="22"/>
    </w:rPr>
  </w:style>
  <w:style w:type="paragraph" w:customStyle="1" w:styleId="TblTxtbullet">
    <w:name w:val="TblTxt bullet"/>
    <w:rsid w:val="004F7603"/>
    <w:pPr>
      <w:numPr>
        <w:numId w:val="35"/>
      </w:numPr>
      <w:spacing w:after="40"/>
    </w:pPr>
    <w:rPr>
      <w:rFonts w:ascii="Arial Narrow" w:hAnsi="Arial Narrow"/>
      <w:sz w:val="18"/>
    </w:rPr>
  </w:style>
  <w:style w:type="paragraph" w:styleId="Bibliography">
    <w:name w:val="Bibliography"/>
    <w:basedOn w:val="Normal"/>
    <w:rsid w:val="00994F62"/>
    <w:pPr>
      <w:tabs>
        <w:tab w:val="left" w:pos="1152"/>
      </w:tabs>
      <w:spacing w:after="200" w:line="276" w:lineRule="auto"/>
      <w:ind w:left="720" w:hanging="720"/>
    </w:pPr>
  </w:style>
  <w:style w:type="paragraph" w:customStyle="1" w:styleId="ChecklistXs">
    <w:name w:val="Checklist Xs"/>
    <w:basedOn w:val="TableCondensed"/>
    <w:link w:val="ChecklistXsChar"/>
    <w:rsid w:val="00D10CF6"/>
    <w:rPr>
      <w:rFonts w:ascii="Arial Bold" w:hAnsi="Arial Bold"/>
      <w:b/>
      <w:sz w:val="24"/>
    </w:rPr>
  </w:style>
  <w:style w:type="paragraph" w:customStyle="1" w:styleId="ChecklistSubhead">
    <w:name w:val="Checklist Subhead"/>
    <w:basedOn w:val="Normal"/>
    <w:link w:val="ChecklistSubheadCharChar"/>
    <w:rsid w:val="00D10CF6"/>
    <w:pPr>
      <w:keepNext/>
      <w:ind w:left="360" w:hanging="360"/>
      <w:jc w:val="both"/>
    </w:pPr>
    <w:rPr>
      <w:rFonts w:ascii="Arial Narrow" w:hAnsi="Arial Narrow"/>
      <w:b/>
      <w:sz w:val="24"/>
    </w:rPr>
  </w:style>
  <w:style w:type="character" w:customStyle="1" w:styleId="ChecklistSubheadCharChar">
    <w:name w:val="Checklist Subhead Char Char"/>
    <w:link w:val="ChecklistSubhead"/>
    <w:rsid w:val="00D10CF6"/>
    <w:rPr>
      <w:rFonts w:ascii="Arial Narrow" w:hAnsi="Arial Narrow"/>
      <w:b/>
      <w:sz w:val="24"/>
      <w:szCs w:val="24"/>
    </w:rPr>
  </w:style>
  <w:style w:type="character" w:customStyle="1" w:styleId="ChecklistXsChar">
    <w:name w:val="Checklist Xs Char"/>
    <w:link w:val="ChecklistXs"/>
    <w:rsid w:val="00D10CF6"/>
    <w:rPr>
      <w:rFonts w:ascii="Arial Bold" w:hAnsi="Arial Bold"/>
      <w:b/>
      <w:sz w:val="24"/>
      <w:szCs w:val="24"/>
    </w:rPr>
  </w:style>
  <w:style w:type="character" w:customStyle="1" w:styleId="EnvChecklistBoxesChar">
    <w:name w:val="Env Checklist Boxes Char"/>
    <w:link w:val="EnvChecklistBoxes"/>
    <w:rsid w:val="00D10CF6"/>
    <w:rPr>
      <w:rFonts w:ascii="Garamond" w:hAnsi="Garamond"/>
      <w:b/>
      <w:bCs/>
      <w:kern w:val="20"/>
      <w:sz w:val="18"/>
    </w:rPr>
  </w:style>
  <w:style w:type="paragraph" w:customStyle="1" w:styleId="Reference">
    <w:name w:val="Reference"/>
    <w:basedOn w:val="BodyText"/>
    <w:qFormat/>
    <w:rsid w:val="00994F62"/>
    <w:pPr>
      <w:tabs>
        <w:tab w:val="left" w:pos="720"/>
      </w:tabs>
      <w:ind w:left="720" w:hanging="720"/>
      <w:jc w:val="left"/>
    </w:pPr>
  </w:style>
  <w:style w:type="paragraph" w:customStyle="1" w:styleId="ListofPreparers">
    <w:name w:val="List of Preparers"/>
    <w:basedOn w:val="BodyText"/>
    <w:rsid w:val="00D10CF6"/>
    <w:pPr>
      <w:tabs>
        <w:tab w:val="left" w:pos="3960"/>
      </w:tabs>
      <w:ind w:left="3960" w:hanging="3960"/>
    </w:pPr>
  </w:style>
  <w:style w:type="character" w:customStyle="1" w:styleId="BodyTextItalicChar">
    <w:name w:val="Body Text Italic Char"/>
    <w:link w:val="BodyTextItalic"/>
    <w:rsid w:val="00D10CF6"/>
    <w:rPr>
      <w:rFonts w:ascii="Garamond" w:hAnsi="Garamond"/>
      <w:i/>
      <w:kern w:val="20"/>
      <w:sz w:val="22"/>
    </w:rPr>
  </w:style>
  <w:style w:type="paragraph" w:customStyle="1" w:styleId="Bullet1">
    <w:name w:val="Bullet_1"/>
    <w:qFormat/>
    <w:rsid w:val="00D10CF6"/>
    <w:pPr>
      <w:numPr>
        <w:numId w:val="22"/>
      </w:numPr>
      <w:spacing w:line="276" w:lineRule="auto"/>
      <w:jc w:val="both"/>
    </w:pPr>
    <w:rPr>
      <w:rFonts w:ascii="Garamond" w:hAnsi="Garamond"/>
      <w:kern w:val="20"/>
      <w:sz w:val="22"/>
      <w:szCs w:val="24"/>
    </w:rPr>
  </w:style>
  <w:style w:type="paragraph" w:customStyle="1" w:styleId="Bullet1last">
    <w:name w:val="Bullet_1 last"/>
    <w:basedOn w:val="Bullet1"/>
    <w:link w:val="Bullet1lastChar"/>
    <w:qFormat/>
    <w:rsid w:val="00755458"/>
    <w:pPr>
      <w:numPr>
        <w:numId w:val="23"/>
      </w:numPr>
      <w:spacing w:after="200"/>
    </w:pPr>
  </w:style>
  <w:style w:type="paragraph" w:customStyle="1" w:styleId="Bullet2">
    <w:name w:val="Bullet_2"/>
    <w:basedOn w:val="Bullet1"/>
    <w:rsid w:val="00655D6B"/>
    <w:pPr>
      <w:numPr>
        <w:numId w:val="24"/>
      </w:numPr>
      <w:spacing w:after="60"/>
      <w:ind w:left="720"/>
    </w:pPr>
  </w:style>
  <w:style w:type="paragraph" w:customStyle="1" w:styleId="Bullet2last">
    <w:name w:val="Bullet_2 last"/>
    <w:basedOn w:val="Bullet2"/>
    <w:qFormat/>
    <w:rsid w:val="0024355F"/>
    <w:pPr>
      <w:numPr>
        <w:numId w:val="38"/>
      </w:numPr>
      <w:spacing w:after="200"/>
    </w:pPr>
  </w:style>
  <w:style w:type="paragraph" w:customStyle="1" w:styleId="Bullet3">
    <w:name w:val="Bullet_3"/>
    <w:basedOn w:val="Bullet2"/>
    <w:rsid w:val="00D10CF6"/>
    <w:pPr>
      <w:numPr>
        <w:numId w:val="25"/>
      </w:numPr>
      <w:spacing w:line="240" w:lineRule="auto"/>
    </w:pPr>
  </w:style>
  <w:style w:type="paragraph" w:styleId="EndnoteText">
    <w:name w:val="endnote text"/>
    <w:link w:val="EndnoteTextChar"/>
    <w:rsid w:val="00D10CF6"/>
    <w:rPr>
      <w:rFonts w:ascii="Garamond" w:hAnsi="Garamond"/>
      <w:kern w:val="20"/>
      <w:sz w:val="18"/>
    </w:rPr>
  </w:style>
  <w:style w:type="character" w:customStyle="1" w:styleId="EndnoteTextChar">
    <w:name w:val="Endnote Text Char"/>
    <w:link w:val="EndnoteText"/>
    <w:rsid w:val="00D10CF6"/>
    <w:rPr>
      <w:rFonts w:ascii="Garamond" w:hAnsi="Garamond"/>
      <w:kern w:val="20"/>
      <w:sz w:val="18"/>
    </w:rPr>
  </w:style>
  <w:style w:type="paragraph" w:customStyle="1" w:styleId="FigureTitle">
    <w:name w:val="Figure Title"/>
    <w:next w:val="BodyText"/>
    <w:rsid w:val="001773BE"/>
    <w:pPr>
      <w:tabs>
        <w:tab w:val="left" w:pos="1440"/>
      </w:tabs>
      <w:spacing w:after="180" w:line="276" w:lineRule="auto"/>
      <w:ind w:left="1440" w:hanging="1440"/>
    </w:pPr>
    <w:rPr>
      <w:rFonts w:ascii="Arial Narrow" w:hAnsi="Arial Narrow"/>
      <w:b/>
      <w:kern w:val="20"/>
      <w:sz w:val="22"/>
    </w:rPr>
  </w:style>
  <w:style w:type="paragraph" w:customStyle="1" w:styleId="FooterEven">
    <w:name w:val="Footer Even"/>
    <w:next w:val="Normal"/>
    <w:qFormat/>
    <w:rsid w:val="00D10CF6"/>
    <w:pPr>
      <w:pBdr>
        <w:top w:val="single" w:sz="2" w:space="1" w:color="auto"/>
      </w:pBdr>
      <w:tabs>
        <w:tab w:val="right" w:pos="9360"/>
      </w:tabs>
    </w:pPr>
    <w:rPr>
      <w:rFonts w:ascii="Garamond" w:hAnsi="Garamond"/>
      <w:i/>
      <w:kern w:val="20"/>
      <w:szCs w:val="24"/>
    </w:rPr>
  </w:style>
  <w:style w:type="paragraph" w:customStyle="1" w:styleId="FooterEvenPath">
    <w:name w:val="Footer Even  Path"/>
    <w:rsid w:val="00D10CF6"/>
    <w:pPr>
      <w:tabs>
        <w:tab w:val="right" w:pos="9360"/>
      </w:tabs>
    </w:pPr>
    <w:rPr>
      <w:rFonts w:ascii="Arial Narrow" w:hAnsi="Arial Narrow"/>
      <w:sz w:val="11"/>
      <w:szCs w:val="12"/>
    </w:rPr>
  </w:style>
  <w:style w:type="paragraph" w:customStyle="1" w:styleId="FooterOdd">
    <w:name w:val="Footer Odd"/>
    <w:next w:val="FooterEvenPath"/>
    <w:qFormat/>
    <w:rsid w:val="00D10CF6"/>
    <w:pPr>
      <w:pBdr>
        <w:top w:val="single" w:sz="2" w:space="1" w:color="auto"/>
      </w:pBdr>
      <w:tabs>
        <w:tab w:val="right" w:pos="9360"/>
      </w:tabs>
      <w:jc w:val="right"/>
    </w:pPr>
    <w:rPr>
      <w:rFonts w:ascii="Garamond" w:hAnsi="Garamond"/>
      <w:i/>
      <w:kern w:val="20"/>
      <w:szCs w:val="24"/>
    </w:rPr>
  </w:style>
  <w:style w:type="paragraph" w:customStyle="1" w:styleId="FooterOddPath">
    <w:name w:val="Footer Odd Path"/>
    <w:rsid w:val="00D10CF6"/>
    <w:pPr>
      <w:jc w:val="right"/>
    </w:pPr>
    <w:rPr>
      <w:rFonts w:ascii="Arial Narrow" w:hAnsi="Arial Narrow"/>
      <w:sz w:val="11"/>
      <w:szCs w:val="12"/>
    </w:rPr>
  </w:style>
  <w:style w:type="paragraph" w:customStyle="1" w:styleId="HEADEREVEN1">
    <w:name w:val="HEADER EVEN1"/>
    <w:qFormat/>
    <w:rsid w:val="00D10CF6"/>
    <w:pPr>
      <w:pBdr>
        <w:bottom w:val="single" w:sz="2" w:space="4" w:color="auto"/>
      </w:pBdr>
    </w:pPr>
    <w:rPr>
      <w:rFonts w:ascii="Arial Narrow" w:hAnsi="Arial Narrow"/>
      <w:caps/>
      <w:spacing w:val="30"/>
      <w:sz w:val="14"/>
      <w:szCs w:val="14"/>
    </w:rPr>
  </w:style>
  <w:style w:type="paragraph" w:customStyle="1" w:styleId="HeaderEven2">
    <w:name w:val="Header Even2"/>
    <w:qFormat/>
    <w:rsid w:val="00D10CF6"/>
    <w:pPr>
      <w:tabs>
        <w:tab w:val="left" w:pos="9360"/>
      </w:tabs>
      <w:spacing w:before="120"/>
    </w:pPr>
    <w:rPr>
      <w:rFonts w:ascii="Arial Narrow" w:hAnsi="Arial Narrow"/>
      <w:sz w:val="28"/>
      <w:szCs w:val="24"/>
    </w:rPr>
  </w:style>
  <w:style w:type="paragraph" w:customStyle="1" w:styleId="HeaderEven3">
    <w:name w:val="Header Even3"/>
    <w:qFormat/>
    <w:rsid w:val="00D10CF6"/>
    <w:pPr>
      <w:ind w:left="274"/>
    </w:pPr>
    <w:rPr>
      <w:rFonts w:ascii="Arial Narrow" w:hAnsi="Arial Narrow"/>
      <w:b/>
      <w:caps/>
      <w:szCs w:val="21"/>
    </w:rPr>
  </w:style>
  <w:style w:type="paragraph" w:customStyle="1" w:styleId="HEADERODD1">
    <w:name w:val="HEADER ODD1"/>
    <w:qFormat/>
    <w:rsid w:val="00D10CF6"/>
    <w:pPr>
      <w:pBdr>
        <w:bottom w:val="single" w:sz="2" w:space="4" w:color="auto"/>
      </w:pBdr>
      <w:jc w:val="right"/>
    </w:pPr>
    <w:rPr>
      <w:rFonts w:ascii="Arial Narrow" w:hAnsi="Arial Narrow"/>
      <w:caps/>
      <w:spacing w:val="30"/>
      <w:sz w:val="14"/>
      <w:szCs w:val="14"/>
    </w:rPr>
  </w:style>
  <w:style w:type="paragraph" w:customStyle="1" w:styleId="HeaderOdd3">
    <w:name w:val="Header Odd3"/>
    <w:rsid w:val="00D10CF6"/>
    <w:pPr>
      <w:spacing w:after="240"/>
      <w:jc w:val="right"/>
    </w:pPr>
    <w:rPr>
      <w:rFonts w:ascii="Arial Narrow" w:hAnsi="Arial Narrow"/>
      <w:b/>
      <w:caps/>
      <w:szCs w:val="21"/>
    </w:rPr>
  </w:style>
  <w:style w:type="paragraph" w:customStyle="1" w:styleId="Impact">
    <w:name w:val="Impact"/>
    <w:next w:val="BodyText"/>
    <w:rsid w:val="00D10CF6"/>
    <w:pPr>
      <w:keepNext/>
      <w:keepLines/>
      <w:pBdr>
        <w:top w:val="single" w:sz="4" w:space="1" w:color="auto"/>
        <w:bottom w:val="single" w:sz="4" w:space="1" w:color="auto"/>
      </w:pBdr>
      <w:tabs>
        <w:tab w:val="left" w:pos="1440"/>
      </w:tabs>
      <w:spacing w:before="240" w:after="240"/>
      <w:ind w:left="1440" w:hanging="1440"/>
      <w:jc w:val="both"/>
    </w:pPr>
    <w:rPr>
      <w:rFonts w:ascii="Arial Narrow" w:hAnsi="Arial Narrow"/>
      <w:b/>
      <w:kern w:val="20"/>
      <w:sz w:val="22"/>
    </w:rPr>
  </w:style>
  <w:style w:type="paragraph" w:customStyle="1" w:styleId="Impact2">
    <w:name w:val="Impact 2"/>
    <w:rsid w:val="00D10CF6"/>
    <w:pPr>
      <w:tabs>
        <w:tab w:val="num" w:pos="360"/>
        <w:tab w:val="left" w:pos="2160"/>
      </w:tabs>
      <w:spacing w:after="240"/>
      <w:ind w:left="2160" w:hanging="1800"/>
      <w:jc w:val="both"/>
    </w:pPr>
    <w:rPr>
      <w:rFonts w:ascii="Swis721 BT" w:hAnsi="Swis721 BT"/>
      <w:kern w:val="20"/>
    </w:rPr>
  </w:style>
  <w:style w:type="paragraph" w:customStyle="1" w:styleId="ImpactBullet">
    <w:name w:val="Impact Bullet"/>
    <w:rsid w:val="00D10CF6"/>
    <w:pPr>
      <w:numPr>
        <w:numId w:val="27"/>
      </w:numPr>
      <w:tabs>
        <w:tab w:val="left" w:pos="2160"/>
      </w:tabs>
      <w:spacing w:line="276" w:lineRule="auto"/>
      <w:jc w:val="both"/>
    </w:pPr>
    <w:rPr>
      <w:rFonts w:ascii="Garamond" w:hAnsi="Garamond"/>
      <w:kern w:val="20"/>
      <w:sz w:val="22"/>
    </w:rPr>
  </w:style>
  <w:style w:type="paragraph" w:customStyle="1" w:styleId="Impactindent">
    <w:name w:val="Impact indent"/>
    <w:qFormat/>
    <w:rsid w:val="00D10CF6"/>
    <w:pPr>
      <w:spacing w:after="200"/>
      <w:ind w:left="360"/>
    </w:pPr>
    <w:rPr>
      <w:rFonts w:ascii="Garamond" w:hAnsi="Garamond"/>
      <w:sz w:val="22"/>
      <w:szCs w:val="24"/>
    </w:rPr>
  </w:style>
  <w:style w:type="paragraph" w:customStyle="1" w:styleId="MitigationTextBullet">
    <w:name w:val="Mitigation Text Bullet"/>
    <w:qFormat/>
    <w:rsid w:val="00D10CF6"/>
    <w:pPr>
      <w:numPr>
        <w:numId w:val="31"/>
      </w:numPr>
      <w:spacing w:after="120" w:line="276" w:lineRule="auto"/>
      <w:jc w:val="both"/>
    </w:pPr>
    <w:rPr>
      <w:rFonts w:ascii="Garamond" w:hAnsi="Garamond"/>
      <w:kern w:val="20"/>
      <w:sz w:val="22"/>
    </w:rPr>
  </w:style>
  <w:style w:type="paragraph" w:customStyle="1" w:styleId="MitigationTextBullet2">
    <w:name w:val="Mitigation Text Bullet 2"/>
    <w:basedOn w:val="MitigationTextBullet"/>
    <w:qFormat/>
    <w:rsid w:val="00D10CF6"/>
    <w:pPr>
      <w:numPr>
        <w:numId w:val="32"/>
      </w:numPr>
    </w:pPr>
  </w:style>
  <w:style w:type="paragraph" w:customStyle="1" w:styleId="MitigationTextIndent">
    <w:name w:val="Mitigation Text Indent"/>
    <w:basedOn w:val="MitigationText"/>
    <w:rsid w:val="00D10CF6"/>
    <w:pPr>
      <w:ind w:firstLine="0"/>
    </w:pPr>
  </w:style>
  <w:style w:type="paragraph" w:customStyle="1" w:styleId="MitigationTextNumbera">
    <w:name w:val="Mitigation Text Number a)"/>
    <w:rsid w:val="00D10CF6"/>
    <w:pPr>
      <w:numPr>
        <w:numId w:val="33"/>
      </w:numPr>
      <w:spacing w:after="240"/>
    </w:pPr>
    <w:rPr>
      <w:rFonts w:ascii="Garamond" w:hAnsi="Garamond"/>
      <w:kern w:val="20"/>
      <w:sz w:val="21"/>
    </w:rPr>
  </w:style>
  <w:style w:type="paragraph" w:customStyle="1" w:styleId="Quotes">
    <w:name w:val="Quotes"/>
    <w:rsid w:val="006619E9"/>
    <w:pPr>
      <w:spacing w:after="120" w:line="276" w:lineRule="auto"/>
      <w:ind w:left="720" w:right="720"/>
      <w:jc w:val="both"/>
    </w:pPr>
    <w:rPr>
      <w:rFonts w:ascii="Garamond" w:hAnsi="Garamond"/>
      <w:kern w:val="20"/>
    </w:rPr>
  </w:style>
  <w:style w:type="paragraph" w:customStyle="1" w:styleId="Quotesindent">
    <w:name w:val="Quotes indent"/>
    <w:basedOn w:val="Quotes"/>
    <w:rsid w:val="00D10CF6"/>
    <w:pPr>
      <w:ind w:left="1440" w:hanging="720"/>
    </w:pPr>
  </w:style>
  <w:style w:type="paragraph" w:customStyle="1" w:styleId="Tblnote">
    <w:name w:val="Tbl note"/>
    <w:qFormat/>
    <w:rsid w:val="00D10CF6"/>
    <w:pPr>
      <w:tabs>
        <w:tab w:val="left" w:pos="144"/>
      </w:tabs>
      <w:ind w:left="144" w:hanging="144"/>
    </w:pPr>
    <w:rPr>
      <w:rFonts w:ascii="Arial Narrow" w:hAnsi="Arial Narrow"/>
      <w:kern w:val="20"/>
      <w:sz w:val="15"/>
    </w:rPr>
  </w:style>
  <w:style w:type="paragraph" w:customStyle="1" w:styleId="Tblsource">
    <w:name w:val="Tbl source"/>
    <w:link w:val="TblsourceChar"/>
    <w:rsid w:val="00D10CF6"/>
    <w:rPr>
      <w:rFonts w:ascii="Arial Narrow" w:hAnsi="Arial Narrow"/>
      <w:kern w:val="20"/>
      <w:sz w:val="15"/>
    </w:rPr>
  </w:style>
  <w:style w:type="character" w:customStyle="1" w:styleId="TblsourceChar">
    <w:name w:val="Tbl source Char"/>
    <w:link w:val="Tblsource"/>
    <w:locked/>
    <w:rsid w:val="00D10CF6"/>
    <w:rPr>
      <w:rFonts w:ascii="Arial Narrow" w:hAnsi="Arial Narrow"/>
      <w:kern w:val="20"/>
      <w:sz w:val="15"/>
    </w:rPr>
  </w:style>
  <w:style w:type="paragraph" w:customStyle="1" w:styleId="TblColumnHeads">
    <w:name w:val="TblColumnHeads"/>
    <w:link w:val="TblColumnHeadsChar"/>
    <w:qFormat/>
    <w:rsid w:val="00D10CF6"/>
    <w:pPr>
      <w:jc w:val="center"/>
    </w:pPr>
    <w:rPr>
      <w:rFonts w:ascii="Arial Narrow" w:hAnsi="Arial Narrow"/>
      <w:b/>
      <w:kern w:val="20"/>
      <w:sz w:val="16"/>
    </w:rPr>
  </w:style>
  <w:style w:type="character" w:customStyle="1" w:styleId="TblColumnHeadsChar">
    <w:name w:val="TblColumnHeads Char"/>
    <w:link w:val="TblColumnHeads"/>
    <w:locked/>
    <w:rsid w:val="00D10CF6"/>
    <w:rPr>
      <w:rFonts w:ascii="Arial Narrow" w:hAnsi="Arial Narrow"/>
      <w:b/>
      <w:kern w:val="20"/>
      <w:sz w:val="16"/>
    </w:rPr>
  </w:style>
  <w:style w:type="character" w:customStyle="1" w:styleId="TblTitlesChar">
    <w:name w:val="TblTitles Char"/>
    <w:link w:val="TblTitles"/>
    <w:locked/>
    <w:rsid w:val="00D10CF6"/>
    <w:rPr>
      <w:rFonts w:ascii="Arial Narrow" w:hAnsi="Arial Narrow"/>
      <w:b/>
      <w:kern w:val="20"/>
      <w:sz w:val="22"/>
    </w:rPr>
  </w:style>
  <w:style w:type="character" w:customStyle="1" w:styleId="TblTxtBoldChar">
    <w:name w:val="TblTxt Bold Char"/>
    <w:link w:val="TblTxtBold"/>
    <w:rsid w:val="00D10CF6"/>
    <w:rPr>
      <w:rFonts w:ascii="Arial Narrow" w:hAnsi="Arial Narrow"/>
      <w:b/>
      <w:kern w:val="20"/>
      <w:sz w:val="18"/>
    </w:rPr>
  </w:style>
  <w:style w:type="paragraph" w:customStyle="1" w:styleId="TblTxtMitigation">
    <w:name w:val="TblTxt Mitigation"/>
    <w:basedOn w:val="TblTxt"/>
    <w:rsid w:val="00D10CF6"/>
    <w:pPr>
      <w:ind w:left="720" w:hanging="720"/>
    </w:pPr>
  </w:style>
  <w:style w:type="paragraph" w:customStyle="1" w:styleId="TblTxtUnderline">
    <w:name w:val="TblTxt Underline"/>
    <w:basedOn w:val="TblTxt"/>
    <w:qFormat/>
    <w:rsid w:val="00D10CF6"/>
    <w:rPr>
      <w:u w:val="single"/>
    </w:rPr>
  </w:style>
  <w:style w:type="paragraph" w:customStyle="1" w:styleId="ThresholdBullet">
    <w:name w:val="Threshold Bullet"/>
    <w:autoRedefine/>
    <w:rsid w:val="00D10CF6"/>
    <w:pPr>
      <w:numPr>
        <w:numId w:val="36"/>
      </w:numPr>
      <w:spacing w:after="120" w:line="276" w:lineRule="auto"/>
      <w:jc w:val="both"/>
    </w:pPr>
    <w:rPr>
      <w:rFonts w:ascii="Garamond" w:hAnsi="Garamond"/>
      <w:kern w:val="20"/>
      <w:sz w:val="22"/>
    </w:rPr>
  </w:style>
  <w:style w:type="paragraph" w:customStyle="1" w:styleId="ThresholdIndent">
    <w:name w:val="Threshold Indent"/>
    <w:rsid w:val="00D10CF6"/>
    <w:pPr>
      <w:spacing w:after="200" w:line="276" w:lineRule="auto"/>
      <w:ind w:left="720"/>
      <w:jc w:val="both"/>
    </w:pPr>
    <w:rPr>
      <w:rFonts w:ascii="Garamond" w:hAnsi="Garamond"/>
      <w:sz w:val="22"/>
    </w:rPr>
  </w:style>
  <w:style w:type="paragraph" w:customStyle="1" w:styleId="ThresholdStatement">
    <w:name w:val="Threshold Statement"/>
    <w:rsid w:val="00D10CF6"/>
    <w:pPr>
      <w:spacing w:after="200" w:line="276" w:lineRule="auto"/>
      <w:ind w:left="720" w:hanging="720"/>
      <w:jc w:val="both"/>
    </w:pPr>
    <w:rPr>
      <w:rFonts w:ascii="Garamond" w:hAnsi="Garamond"/>
      <w:kern w:val="20"/>
      <w:sz w:val="22"/>
    </w:rPr>
  </w:style>
  <w:style w:type="paragraph" w:customStyle="1" w:styleId="ThresholdText">
    <w:name w:val="Threshold Text"/>
    <w:rsid w:val="00D10CF6"/>
    <w:pPr>
      <w:spacing w:after="200"/>
      <w:ind w:left="1080" w:hanging="720"/>
    </w:pPr>
    <w:rPr>
      <w:rFonts w:ascii="Garamond" w:hAnsi="Garamond"/>
      <w:kern w:val="20"/>
      <w:sz w:val="22"/>
    </w:rPr>
  </w:style>
  <w:style w:type="paragraph" w:styleId="TOCHeading">
    <w:name w:val="TOC Heading"/>
    <w:basedOn w:val="Heading1"/>
    <w:next w:val="Normal"/>
    <w:uiPriority w:val="39"/>
    <w:semiHidden/>
    <w:unhideWhenUsed/>
    <w:qFormat/>
    <w:rsid w:val="00D10CF6"/>
    <w:pPr>
      <w:keepNext/>
      <w:keepLines/>
      <w:numPr>
        <w:numId w:val="0"/>
      </w:numPr>
      <w:pBdr>
        <w:bottom w:val="none" w:sz="0" w:space="0" w:color="auto"/>
      </w:pBdr>
      <w:spacing w:before="480" w:after="0" w:line="276" w:lineRule="auto"/>
      <w:outlineLvl w:val="9"/>
    </w:pPr>
    <w:rPr>
      <w:rFonts w:ascii="Cambria" w:hAnsi="Cambria"/>
      <w:bCs/>
      <w:i/>
      <w:color w:val="365F91"/>
      <w:kern w:val="0"/>
      <w:sz w:val="28"/>
      <w:szCs w:val="28"/>
      <w:lang w:eastAsia="ja-JP"/>
    </w:rPr>
  </w:style>
  <w:style w:type="paragraph" w:styleId="BalloonText">
    <w:name w:val="Balloon Text"/>
    <w:basedOn w:val="Normal"/>
    <w:link w:val="BalloonTextChar"/>
    <w:rsid w:val="00360CA8"/>
    <w:rPr>
      <w:rFonts w:ascii="Tahoma" w:hAnsi="Tahoma" w:cs="Tahoma"/>
      <w:sz w:val="16"/>
      <w:szCs w:val="16"/>
    </w:rPr>
  </w:style>
  <w:style w:type="character" w:customStyle="1" w:styleId="BalloonTextChar">
    <w:name w:val="Balloon Text Char"/>
    <w:basedOn w:val="DefaultParagraphFont"/>
    <w:link w:val="BalloonText"/>
    <w:rsid w:val="00360CA8"/>
    <w:rPr>
      <w:rFonts w:ascii="Tahoma" w:hAnsi="Tahoma" w:cs="Tahoma"/>
      <w:sz w:val="16"/>
      <w:szCs w:val="16"/>
    </w:rPr>
  </w:style>
  <w:style w:type="paragraph" w:styleId="Footer">
    <w:name w:val="footer"/>
    <w:basedOn w:val="Normal"/>
    <w:link w:val="FooterChar"/>
    <w:rsid w:val="00A505AE"/>
    <w:pPr>
      <w:tabs>
        <w:tab w:val="center" w:pos="4680"/>
        <w:tab w:val="right" w:pos="9360"/>
      </w:tabs>
    </w:pPr>
  </w:style>
  <w:style w:type="character" w:customStyle="1" w:styleId="FooterChar">
    <w:name w:val="Footer Char"/>
    <w:basedOn w:val="DefaultParagraphFont"/>
    <w:link w:val="Footer"/>
    <w:rsid w:val="00A505AE"/>
    <w:rPr>
      <w:rFonts w:ascii="Garamond" w:hAnsi="Garamond"/>
      <w:sz w:val="22"/>
      <w:szCs w:val="24"/>
    </w:rPr>
  </w:style>
  <w:style w:type="paragraph" w:customStyle="1" w:styleId="StyleDateDocTypeBold">
    <w:name w:val="Style Date&amp;DocType + Bold"/>
    <w:basedOn w:val="DateDocType"/>
    <w:rsid w:val="007C241E"/>
    <w:rPr>
      <w:b/>
      <w:bCs/>
      <w:sz w:val="28"/>
    </w:rPr>
  </w:style>
  <w:style w:type="character" w:styleId="CommentReference">
    <w:name w:val="annotation reference"/>
    <w:basedOn w:val="DefaultParagraphFont"/>
    <w:rsid w:val="002C77E7"/>
    <w:rPr>
      <w:sz w:val="16"/>
      <w:szCs w:val="16"/>
    </w:rPr>
  </w:style>
  <w:style w:type="paragraph" w:styleId="CommentText">
    <w:name w:val="annotation text"/>
    <w:basedOn w:val="Normal"/>
    <w:link w:val="CommentTextChar"/>
    <w:rsid w:val="002C77E7"/>
    <w:rPr>
      <w:sz w:val="20"/>
      <w:szCs w:val="20"/>
    </w:rPr>
  </w:style>
  <w:style w:type="character" w:customStyle="1" w:styleId="CommentTextChar">
    <w:name w:val="Comment Text Char"/>
    <w:basedOn w:val="DefaultParagraphFont"/>
    <w:link w:val="CommentText"/>
    <w:rsid w:val="002C77E7"/>
    <w:rPr>
      <w:rFonts w:ascii="Garamond" w:hAnsi="Garamond"/>
    </w:rPr>
  </w:style>
  <w:style w:type="paragraph" w:styleId="CommentSubject">
    <w:name w:val="annotation subject"/>
    <w:basedOn w:val="CommentText"/>
    <w:next w:val="CommentText"/>
    <w:link w:val="CommentSubjectChar"/>
    <w:rsid w:val="002C77E7"/>
    <w:rPr>
      <w:b/>
      <w:bCs/>
    </w:rPr>
  </w:style>
  <w:style w:type="character" w:customStyle="1" w:styleId="CommentSubjectChar">
    <w:name w:val="Comment Subject Char"/>
    <w:basedOn w:val="CommentTextChar"/>
    <w:link w:val="CommentSubject"/>
    <w:rsid w:val="002C77E7"/>
    <w:rPr>
      <w:rFonts w:ascii="Garamond" w:hAnsi="Garamond"/>
      <w:b/>
      <w:bCs/>
    </w:rPr>
  </w:style>
  <w:style w:type="paragraph" w:customStyle="1" w:styleId="BodyChklistTableIndent1">
    <w:name w:val="Body_ChklistTableIndent1"/>
    <w:basedOn w:val="Normal"/>
    <w:qFormat/>
    <w:rsid w:val="00A41F30"/>
    <w:pPr>
      <w:ind w:left="360" w:hanging="360"/>
    </w:pPr>
    <w:rPr>
      <w:rFonts w:ascii="Segoe UI Semilight" w:eastAsiaTheme="majorEastAsia" w:hAnsi="Segoe UI Semilight" w:cstheme="majorBidi"/>
      <w:bCs/>
      <w:sz w:val="20"/>
      <w:szCs w:val="20"/>
    </w:rPr>
  </w:style>
  <w:style w:type="character" w:customStyle="1" w:styleId="UnresolvedMention1">
    <w:name w:val="Unresolved Mention1"/>
    <w:basedOn w:val="DefaultParagraphFont"/>
    <w:uiPriority w:val="99"/>
    <w:semiHidden/>
    <w:unhideWhenUsed/>
    <w:rsid w:val="00C779A1"/>
    <w:rPr>
      <w:color w:val="605E5C"/>
      <w:shd w:val="clear" w:color="auto" w:fill="E1DFDD"/>
    </w:rPr>
  </w:style>
  <w:style w:type="table" w:customStyle="1" w:styleId="TableGrid20">
    <w:name w:val="Table Grid2"/>
    <w:basedOn w:val="TableNormal"/>
    <w:next w:val="TableGrid"/>
    <w:uiPriority w:val="59"/>
    <w:rsid w:val="00D77B4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786D9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SourcesNotes">
    <w:name w:val="Tbl Sources/Notes"/>
    <w:qFormat/>
    <w:rsid w:val="00D32735"/>
    <w:pPr>
      <w:tabs>
        <w:tab w:val="left" w:pos="144"/>
      </w:tabs>
      <w:ind w:left="144" w:hanging="144"/>
    </w:pPr>
    <w:rPr>
      <w:rFonts w:ascii="Arial Narrow" w:hAnsi="Arial Narrow"/>
      <w:kern w:val="20"/>
      <w:sz w:val="15"/>
    </w:rPr>
  </w:style>
  <w:style w:type="paragraph" w:customStyle="1" w:styleId="runin">
    <w:name w:val="runin"/>
    <w:basedOn w:val="Normal"/>
    <w:rsid w:val="00EC5734"/>
    <w:pPr>
      <w:spacing w:before="100" w:beforeAutospacing="1" w:after="100" w:afterAutospacing="1"/>
    </w:pPr>
    <w:rPr>
      <w:rFonts w:ascii="Times New Roman" w:hAnsi="Times New Roman"/>
      <w:sz w:val="24"/>
    </w:rPr>
  </w:style>
  <w:style w:type="paragraph" w:customStyle="1" w:styleId="incr0">
    <w:name w:val="incr0"/>
    <w:basedOn w:val="Normal"/>
    <w:rsid w:val="00EC5734"/>
    <w:pPr>
      <w:spacing w:before="100" w:beforeAutospacing="1" w:after="100" w:afterAutospacing="1"/>
    </w:pPr>
    <w:rPr>
      <w:rFonts w:ascii="Times New Roman" w:hAnsi="Times New Roman"/>
      <w:sz w:val="24"/>
    </w:rPr>
  </w:style>
  <w:style w:type="paragraph" w:customStyle="1" w:styleId="content1">
    <w:name w:val="content1"/>
    <w:basedOn w:val="Normal"/>
    <w:rsid w:val="00EC5734"/>
    <w:pPr>
      <w:spacing w:before="100" w:beforeAutospacing="1" w:after="100" w:afterAutospacing="1"/>
    </w:pPr>
    <w:rPr>
      <w:rFonts w:ascii="Times New Roman" w:hAnsi="Times New Roman"/>
      <w:sz w:val="24"/>
    </w:rPr>
  </w:style>
  <w:style w:type="paragraph" w:customStyle="1" w:styleId="Default">
    <w:name w:val="Default"/>
    <w:rsid w:val="009133FB"/>
    <w:pPr>
      <w:autoSpaceDE w:val="0"/>
      <w:autoSpaceDN w:val="0"/>
      <w:adjustRightInd w:val="0"/>
    </w:pPr>
    <w:rPr>
      <w:color w:val="000000"/>
      <w:sz w:val="24"/>
      <w:szCs w:val="24"/>
    </w:rPr>
  </w:style>
  <w:style w:type="character" w:customStyle="1" w:styleId="MitigationTextCharChar">
    <w:name w:val="Mitigation Text Char Char"/>
    <w:basedOn w:val="DefaultParagraphFont"/>
    <w:link w:val="MitigationText"/>
    <w:rsid w:val="00E341D9"/>
    <w:rPr>
      <w:rFonts w:ascii="Garamond" w:hAnsi="Garamond"/>
      <w:kern w:val="20"/>
      <w:sz w:val="22"/>
    </w:rPr>
  </w:style>
  <w:style w:type="paragraph" w:customStyle="1" w:styleId="TableSourceFootnote">
    <w:name w:val="Table Source/Footnote"/>
    <w:rsid w:val="00103467"/>
    <w:pPr>
      <w:tabs>
        <w:tab w:val="left" w:pos="216"/>
      </w:tabs>
      <w:spacing w:before="40" w:after="40"/>
      <w:ind w:left="216" w:hanging="216"/>
      <w:jc w:val="both"/>
    </w:pPr>
    <w:rPr>
      <w:rFonts w:ascii="Calibri Light" w:hAnsi="Calibri Light"/>
      <w:sz w:val="14"/>
    </w:rPr>
  </w:style>
  <w:style w:type="paragraph" w:customStyle="1" w:styleId="References">
    <w:name w:val="References"/>
    <w:basedOn w:val="BodyText"/>
    <w:qFormat/>
    <w:rsid w:val="007B20C3"/>
    <w:pPr>
      <w:tabs>
        <w:tab w:val="left" w:pos="720"/>
      </w:tabs>
      <w:spacing w:before="100" w:after="100"/>
      <w:ind w:left="720" w:hanging="720"/>
    </w:pPr>
  </w:style>
  <w:style w:type="character" w:styleId="FollowedHyperlink">
    <w:name w:val="FollowedHyperlink"/>
    <w:basedOn w:val="DefaultParagraphFont"/>
    <w:semiHidden/>
    <w:unhideWhenUsed/>
    <w:rsid w:val="000E40F4"/>
    <w:rPr>
      <w:color w:val="800080" w:themeColor="followedHyperlink"/>
      <w:u w:val="single"/>
    </w:rPr>
  </w:style>
  <w:style w:type="paragraph" w:styleId="Revision">
    <w:name w:val="Revision"/>
    <w:hidden/>
    <w:uiPriority w:val="99"/>
    <w:semiHidden/>
    <w:rsid w:val="000E40F4"/>
    <w:rPr>
      <w:rFonts w:ascii="Garamond" w:hAnsi="Garamond"/>
      <w:sz w:val="22"/>
      <w:szCs w:val="24"/>
    </w:rPr>
  </w:style>
  <w:style w:type="character" w:customStyle="1" w:styleId="Bullet1lastChar">
    <w:name w:val="Bullet_1 last Char"/>
    <w:basedOn w:val="DefaultParagraphFont"/>
    <w:link w:val="Bullet1last"/>
    <w:rsid w:val="000E40F4"/>
    <w:rPr>
      <w:rFonts w:ascii="Garamond" w:hAnsi="Garamond"/>
      <w:kern w:val="20"/>
      <w:sz w:val="22"/>
      <w:szCs w:val="24"/>
    </w:rPr>
  </w:style>
  <w:style w:type="character" w:customStyle="1" w:styleId="FootnoteChar">
    <w:name w:val="Footnote Char"/>
    <w:link w:val="Footnote"/>
    <w:rsid w:val="000E40F4"/>
    <w:rPr>
      <w:rFonts w:ascii="Garamond" w:hAnsi="Garamond"/>
      <w:kern w:val="20"/>
      <w:sz w:val="18"/>
    </w:rPr>
  </w:style>
  <w:style w:type="paragraph" w:customStyle="1" w:styleId="Footnote">
    <w:name w:val="Footnote"/>
    <w:basedOn w:val="Normal"/>
    <w:link w:val="FootnoteChar"/>
    <w:autoRedefine/>
    <w:rsid w:val="000E40F4"/>
    <w:pPr>
      <w:ind w:left="270" w:hanging="270"/>
    </w:pPr>
    <w:rPr>
      <w:kern w:val="20"/>
      <w:sz w:val="18"/>
      <w:szCs w:val="20"/>
    </w:rPr>
  </w:style>
  <w:style w:type="paragraph" w:customStyle="1" w:styleId="TblTxthanging">
    <w:name w:val="TblTxt hanging"/>
    <w:basedOn w:val="TblTxt"/>
    <w:qFormat/>
    <w:rsid w:val="000E40F4"/>
    <w:pPr>
      <w:ind w:left="360" w:hanging="360"/>
    </w:pPr>
  </w:style>
  <w:style w:type="table" w:customStyle="1" w:styleId="TableGrid40">
    <w:name w:val="Table Grid4"/>
    <w:basedOn w:val="TableNormal"/>
    <w:next w:val="TableGrid"/>
    <w:uiPriority w:val="59"/>
    <w:rsid w:val="000E40F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Source0">
    <w:name w:val="Tbl Source"/>
    <w:link w:val="TblSourceChar0"/>
    <w:qFormat/>
    <w:rsid w:val="000E40F4"/>
    <w:rPr>
      <w:rFonts w:ascii="Arial Narrow" w:hAnsi="Arial Narrow"/>
      <w:kern w:val="20"/>
      <w:sz w:val="15"/>
    </w:rPr>
  </w:style>
  <w:style w:type="character" w:customStyle="1" w:styleId="TblSourceChar0">
    <w:name w:val="Tbl Source Char"/>
    <w:link w:val="TblSource0"/>
    <w:locked/>
    <w:rsid w:val="000E40F4"/>
    <w:rPr>
      <w:rFonts w:ascii="Arial Narrow" w:hAnsi="Arial Narrow"/>
      <w:kern w:val="20"/>
      <w:sz w:val="15"/>
    </w:rPr>
  </w:style>
  <w:style w:type="paragraph" w:styleId="BodyTextIndent">
    <w:name w:val="Body Text Indent"/>
    <w:basedOn w:val="Normal"/>
    <w:link w:val="BodyTextIndentChar"/>
    <w:uiPriority w:val="99"/>
    <w:semiHidden/>
    <w:unhideWhenUsed/>
    <w:rsid w:val="000E40F4"/>
    <w:pPr>
      <w:spacing w:after="120"/>
      <w:ind w:left="360"/>
    </w:pPr>
  </w:style>
  <w:style w:type="character" w:customStyle="1" w:styleId="BodyTextIndentChar">
    <w:name w:val="Body Text Indent Char"/>
    <w:basedOn w:val="DefaultParagraphFont"/>
    <w:link w:val="BodyTextIndent"/>
    <w:uiPriority w:val="99"/>
    <w:semiHidden/>
    <w:rsid w:val="000E40F4"/>
    <w:rPr>
      <w:rFonts w:ascii="Garamond" w:hAnsi="Garamond"/>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214">
      <w:bodyDiv w:val="1"/>
      <w:marLeft w:val="0"/>
      <w:marRight w:val="0"/>
      <w:marTop w:val="0"/>
      <w:marBottom w:val="0"/>
      <w:divBdr>
        <w:top w:val="none" w:sz="0" w:space="0" w:color="auto"/>
        <w:left w:val="none" w:sz="0" w:space="0" w:color="auto"/>
        <w:bottom w:val="none" w:sz="0" w:space="0" w:color="auto"/>
        <w:right w:val="none" w:sz="0" w:space="0" w:color="auto"/>
      </w:divBdr>
    </w:div>
    <w:div w:id="135151720">
      <w:bodyDiv w:val="1"/>
      <w:marLeft w:val="0"/>
      <w:marRight w:val="0"/>
      <w:marTop w:val="0"/>
      <w:marBottom w:val="0"/>
      <w:divBdr>
        <w:top w:val="none" w:sz="0" w:space="0" w:color="auto"/>
        <w:left w:val="none" w:sz="0" w:space="0" w:color="auto"/>
        <w:bottom w:val="none" w:sz="0" w:space="0" w:color="auto"/>
        <w:right w:val="none" w:sz="0" w:space="0" w:color="auto"/>
      </w:divBdr>
    </w:div>
    <w:div w:id="145126492">
      <w:bodyDiv w:val="1"/>
      <w:marLeft w:val="0"/>
      <w:marRight w:val="0"/>
      <w:marTop w:val="0"/>
      <w:marBottom w:val="0"/>
      <w:divBdr>
        <w:top w:val="none" w:sz="0" w:space="0" w:color="auto"/>
        <w:left w:val="none" w:sz="0" w:space="0" w:color="auto"/>
        <w:bottom w:val="none" w:sz="0" w:space="0" w:color="auto"/>
        <w:right w:val="none" w:sz="0" w:space="0" w:color="auto"/>
      </w:divBdr>
    </w:div>
    <w:div w:id="182594496">
      <w:bodyDiv w:val="1"/>
      <w:marLeft w:val="0"/>
      <w:marRight w:val="0"/>
      <w:marTop w:val="0"/>
      <w:marBottom w:val="0"/>
      <w:divBdr>
        <w:top w:val="none" w:sz="0" w:space="0" w:color="auto"/>
        <w:left w:val="none" w:sz="0" w:space="0" w:color="auto"/>
        <w:bottom w:val="none" w:sz="0" w:space="0" w:color="auto"/>
        <w:right w:val="none" w:sz="0" w:space="0" w:color="auto"/>
      </w:divBdr>
    </w:div>
    <w:div w:id="314652171">
      <w:bodyDiv w:val="1"/>
      <w:marLeft w:val="0"/>
      <w:marRight w:val="0"/>
      <w:marTop w:val="0"/>
      <w:marBottom w:val="0"/>
      <w:divBdr>
        <w:top w:val="none" w:sz="0" w:space="0" w:color="auto"/>
        <w:left w:val="none" w:sz="0" w:space="0" w:color="auto"/>
        <w:bottom w:val="none" w:sz="0" w:space="0" w:color="auto"/>
        <w:right w:val="none" w:sz="0" w:space="0" w:color="auto"/>
      </w:divBdr>
    </w:div>
    <w:div w:id="339090178">
      <w:bodyDiv w:val="1"/>
      <w:marLeft w:val="0"/>
      <w:marRight w:val="0"/>
      <w:marTop w:val="0"/>
      <w:marBottom w:val="0"/>
      <w:divBdr>
        <w:top w:val="none" w:sz="0" w:space="0" w:color="auto"/>
        <w:left w:val="none" w:sz="0" w:space="0" w:color="auto"/>
        <w:bottom w:val="none" w:sz="0" w:space="0" w:color="auto"/>
        <w:right w:val="none" w:sz="0" w:space="0" w:color="auto"/>
      </w:divBdr>
    </w:div>
    <w:div w:id="368534555">
      <w:bodyDiv w:val="1"/>
      <w:marLeft w:val="0"/>
      <w:marRight w:val="0"/>
      <w:marTop w:val="0"/>
      <w:marBottom w:val="0"/>
      <w:divBdr>
        <w:top w:val="none" w:sz="0" w:space="0" w:color="auto"/>
        <w:left w:val="none" w:sz="0" w:space="0" w:color="auto"/>
        <w:bottom w:val="none" w:sz="0" w:space="0" w:color="auto"/>
        <w:right w:val="none" w:sz="0" w:space="0" w:color="auto"/>
      </w:divBdr>
    </w:div>
    <w:div w:id="575357920">
      <w:bodyDiv w:val="1"/>
      <w:marLeft w:val="0"/>
      <w:marRight w:val="0"/>
      <w:marTop w:val="0"/>
      <w:marBottom w:val="0"/>
      <w:divBdr>
        <w:top w:val="none" w:sz="0" w:space="0" w:color="auto"/>
        <w:left w:val="none" w:sz="0" w:space="0" w:color="auto"/>
        <w:bottom w:val="none" w:sz="0" w:space="0" w:color="auto"/>
        <w:right w:val="none" w:sz="0" w:space="0" w:color="auto"/>
      </w:divBdr>
    </w:div>
    <w:div w:id="606888856">
      <w:bodyDiv w:val="1"/>
      <w:marLeft w:val="0"/>
      <w:marRight w:val="0"/>
      <w:marTop w:val="0"/>
      <w:marBottom w:val="0"/>
      <w:divBdr>
        <w:top w:val="none" w:sz="0" w:space="0" w:color="auto"/>
        <w:left w:val="none" w:sz="0" w:space="0" w:color="auto"/>
        <w:bottom w:val="none" w:sz="0" w:space="0" w:color="auto"/>
        <w:right w:val="none" w:sz="0" w:space="0" w:color="auto"/>
      </w:divBdr>
    </w:div>
    <w:div w:id="792794618">
      <w:bodyDiv w:val="1"/>
      <w:marLeft w:val="0"/>
      <w:marRight w:val="0"/>
      <w:marTop w:val="0"/>
      <w:marBottom w:val="0"/>
      <w:divBdr>
        <w:top w:val="none" w:sz="0" w:space="0" w:color="auto"/>
        <w:left w:val="none" w:sz="0" w:space="0" w:color="auto"/>
        <w:bottom w:val="none" w:sz="0" w:space="0" w:color="auto"/>
        <w:right w:val="none" w:sz="0" w:space="0" w:color="auto"/>
      </w:divBdr>
    </w:div>
    <w:div w:id="1052540534">
      <w:bodyDiv w:val="1"/>
      <w:marLeft w:val="0"/>
      <w:marRight w:val="0"/>
      <w:marTop w:val="0"/>
      <w:marBottom w:val="0"/>
      <w:divBdr>
        <w:top w:val="none" w:sz="0" w:space="0" w:color="auto"/>
        <w:left w:val="none" w:sz="0" w:space="0" w:color="auto"/>
        <w:bottom w:val="none" w:sz="0" w:space="0" w:color="auto"/>
        <w:right w:val="none" w:sz="0" w:space="0" w:color="auto"/>
      </w:divBdr>
    </w:div>
    <w:div w:id="1086262828">
      <w:bodyDiv w:val="1"/>
      <w:marLeft w:val="0"/>
      <w:marRight w:val="0"/>
      <w:marTop w:val="0"/>
      <w:marBottom w:val="0"/>
      <w:divBdr>
        <w:top w:val="none" w:sz="0" w:space="0" w:color="auto"/>
        <w:left w:val="none" w:sz="0" w:space="0" w:color="auto"/>
        <w:bottom w:val="none" w:sz="0" w:space="0" w:color="auto"/>
        <w:right w:val="none" w:sz="0" w:space="0" w:color="auto"/>
      </w:divBdr>
    </w:div>
    <w:div w:id="1168323706">
      <w:bodyDiv w:val="1"/>
      <w:marLeft w:val="0"/>
      <w:marRight w:val="0"/>
      <w:marTop w:val="0"/>
      <w:marBottom w:val="0"/>
      <w:divBdr>
        <w:top w:val="none" w:sz="0" w:space="0" w:color="auto"/>
        <w:left w:val="none" w:sz="0" w:space="0" w:color="auto"/>
        <w:bottom w:val="none" w:sz="0" w:space="0" w:color="auto"/>
        <w:right w:val="none" w:sz="0" w:space="0" w:color="auto"/>
      </w:divBdr>
    </w:div>
    <w:div w:id="1205560409">
      <w:bodyDiv w:val="1"/>
      <w:marLeft w:val="0"/>
      <w:marRight w:val="0"/>
      <w:marTop w:val="0"/>
      <w:marBottom w:val="0"/>
      <w:divBdr>
        <w:top w:val="none" w:sz="0" w:space="0" w:color="auto"/>
        <w:left w:val="none" w:sz="0" w:space="0" w:color="auto"/>
        <w:bottom w:val="none" w:sz="0" w:space="0" w:color="auto"/>
        <w:right w:val="none" w:sz="0" w:space="0" w:color="auto"/>
      </w:divBdr>
    </w:div>
    <w:div w:id="1236551090">
      <w:bodyDiv w:val="1"/>
      <w:marLeft w:val="0"/>
      <w:marRight w:val="0"/>
      <w:marTop w:val="0"/>
      <w:marBottom w:val="0"/>
      <w:divBdr>
        <w:top w:val="none" w:sz="0" w:space="0" w:color="auto"/>
        <w:left w:val="none" w:sz="0" w:space="0" w:color="auto"/>
        <w:bottom w:val="none" w:sz="0" w:space="0" w:color="auto"/>
        <w:right w:val="none" w:sz="0" w:space="0" w:color="auto"/>
      </w:divBdr>
    </w:div>
    <w:div w:id="1315184313">
      <w:bodyDiv w:val="1"/>
      <w:marLeft w:val="0"/>
      <w:marRight w:val="0"/>
      <w:marTop w:val="0"/>
      <w:marBottom w:val="0"/>
      <w:divBdr>
        <w:top w:val="none" w:sz="0" w:space="0" w:color="auto"/>
        <w:left w:val="none" w:sz="0" w:space="0" w:color="auto"/>
        <w:bottom w:val="none" w:sz="0" w:space="0" w:color="auto"/>
        <w:right w:val="none" w:sz="0" w:space="0" w:color="auto"/>
      </w:divBdr>
    </w:div>
    <w:div w:id="1323047662">
      <w:bodyDiv w:val="1"/>
      <w:marLeft w:val="0"/>
      <w:marRight w:val="0"/>
      <w:marTop w:val="0"/>
      <w:marBottom w:val="0"/>
      <w:divBdr>
        <w:top w:val="none" w:sz="0" w:space="0" w:color="auto"/>
        <w:left w:val="none" w:sz="0" w:space="0" w:color="auto"/>
        <w:bottom w:val="none" w:sz="0" w:space="0" w:color="auto"/>
        <w:right w:val="none" w:sz="0" w:space="0" w:color="auto"/>
      </w:divBdr>
    </w:div>
    <w:div w:id="1370838810">
      <w:bodyDiv w:val="1"/>
      <w:marLeft w:val="0"/>
      <w:marRight w:val="0"/>
      <w:marTop w:val="0"/>
      <w:marBottom w:val="0"/>
      <w:divBdr>
        <w:top w:val="none" w:sz="0" w:space="0" w:color="auto"/>
        <w:left w:val="none" w:sz="0" w:space="0" w:color="auto"/>
        <w:bottom w:val="none" w:sz="0" w:space="0" w:color="auto"/>
        <w:right w:val="none" w:sz="0" w:space="0" w:color="auto"/>
      </w:divBdr>
    </w:div>
    <w:div w:id="1470826637">
      <w:bodyDiv w:val="1"/>
      <w:marLeft w:val="0"/>
      <w:marRight w:val="0"/>
      <w:marTop w:val="0"/>
      <w:marBottom w:val="0"/>
      <w:divBdr>
        <w:top w:val="none" w:sz="0" w:space="0" w:color="auto"/>
        <w:left w:val="none" w:sz="0" w:space="0" w:color="auto"/>
        <w:bottom w:val="none" w:sz="0" w:space="0" w:color="auto"/>
        <w:right w:val="none" w:sz="0" w:space="0" w:color="auto"/>
      </w:divBdr>
    </w:div>
    <w:div w:id="1505121480">
      <w:bodyDiv w:val="1"/>
      <w:marLeft w:val="0"/>
      <w:marRight w:val="0"/>
      <w:marTop w:val="0"/>
      <w:marBottom w:val="0"/>
      <w:divBdr>
        <w:top w:val="none" w:sz="0" w:space="0" w:color="auto"/>
        <w:left w:val="none" w:sz="0" w:space="0" w:color="auto"/>
        <w:bottom w:val="none" w:sz="0" w:space="0" w:color="auto"/>
        <w:right w:val="none" w:sz="0" w:space="0" w:color="auto"/>
      </w:divBdr>
    </w:div>
    <w:div w:id="1618439992">
      <w:bodyDiv w:val="1"/>
      <w:marLeft w:val="0"/>
      <w:marRight w:val="0"/>
      <w:marTop w:val="0"/>
      <w:marBottom w:val="0"/>
      <w:divBdr>
        <w:top w:val="none" w:sz="0" w:space="0" w:color="auto"/>
        <w:left w:val="none" w:sz="0" w:space="0" w:color="auto"/>
        <w:bottom w:val="none" w:sz="0" w:space="0" w:color="auto"/>
        <w:right w:val="none" w:sz="0" w:space="0" w:color="auto"/>
      </w:divBdr>
    </w:div>
    <w:div w:id="1688553800">
      <w:bodyDiv w:val="1"/>
      <w:marLeft w:val="0"/>
      <w:marRight w:val="0"/>
      <w:marTop w:val="0"/>
      <w:marBottom w:val="0"/>
      <w:divBdr>
        <w:top w:val="none" w:sz="0" w:space="0" w:color="auto"/>
        <w:left w:val="none" w:sz="0" w:space="0" w:color="auto"/>
        <w:bottom w:val="none" w:sz="0" w:space="0" w:color="auto"/>
        <w:right w:val="none" w:sz="0" w:space="0" w:color="auto"/>
      </w:divBdr>
    </w:div>
    <w:div w:id="1707635849">
      <w:bodyDiv w:val="1"/>
      <w:marLeft w:val="0"/>
      <w:marRight w:val="0"/>
      <w:marTop w:val="0"/>
      <w:marBottom w:val="0"/>
      <w:divBdr>
        <w:top w:val="none" w:sz="0" w:space="0" w:color="auto"/>
        <w:left w:val="none" w:sz="0" w:space="0" w:color="auto"/>
        <w:bottom w:val="none" w:sz="0" w:space="0" w:color="auto"/>
        <w:right w:val="none" w:sz="0" w:space="0" w:color="auto"/>
      </w:divBdr>
    </w:div>
    <w:div w:id="1727754636">
      <w:bodyDiv w:val="1"/>
      <w:marLeft w:val="0"/>
      <w:marRight w:val="0"/>
      <w:marTop w:val="0"/>
      <w:marBottom w:val="0"/>
      <w:divBdr>
        <w:top w:val="none" w:sz="0" w:space="0" w:color="auto"/>
        <w:left w:val="none" w:sz="0" w:space="0" w:color="auto"/>
        <w:bottom w:val="none" w:sz="0" w:space="0" w:color="auto"/>
        <w:right w:val="none" w:sz="0" w:space="0" w:color="auto"/>
      </w:divBdr>
    </w:div>
    <w:div w:id="1855722573">
      <w:bodyDiv w:val="1"/>
      <w:marLeft w:val="0"/>
      <w:marRight w:val="0"/>
      <w:marTop w:val="0"/>
      <w:marBottom w:val="0"/>
      <w:divBdr>
        <w:top w:val="none" w:sz="0" w:space="0" w:color="auto"/>
        <w:left w:val="none" w:sz="0" w:space="0" w:color="auto"/>
        <w:bottom w:val="none" w:sz="0" w:space="0" w:color="auto"/>
        <w:right w:val="none" w:sz="0" w:space="0" w:color="auto"/>
      </w:divBdr>
    </w:div>
    <w:div w:id="208201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header" Target="header22.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4.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footer" Target="footer11.xml"/><Relationship Id="rId45" Type="http://schemas.openxmlformats.org/officeDocument/2006/relationships/header" Target="header2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9.xml"/><Relationship Id="rId44"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header" Target="header15.xml"/><Relationship Id="rId35" Type="http://schemas.openxmlformats.org/officeDocument/2006/relationships/header" Target="header18.xml"/><Relationship Id="rId43" Type="http://schemas.openxmlformats.org/officeDocument/2006/relationships/footer" Target="footer12.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footer" Target="footer10.xml"/><Relationship Id="rId38" Type="http://schemas.openxmlformats.org/officeDocument/2006/relationships/header" Target="header21.xml"/><Relationship Id="rId46" Type="http://schemas.openxmlformats.org/officeDocument/2006/relationships/fontTable" Target="fontTable.xml"/><Relationship Id="rId20" Type="http://schemas.openxmlformats.org/officeDocument/2006/relationships/header" Target="header8.xml"/><Relationship Id="rId41" Type="http://schemas.openxmlformats.org/officeDocument/2006/relationships/header" Target="header2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7547F-69D3-4391-BEE4-E026815E1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186</Pages>
  <Words>58050</Words>
  <Characters>330890</Characters>
  <Application>Microsoft Office Word</Application>
  <DocSecurity>0</DocSecurity>
  <Lines>2757</Lines>
  <Paragraphs>776</Paragraphs>
  <ScaleCrop>false</ScaleCrop>
  <HeadingPairs>
    <vt:vector size="2" baseType="variant">
      <vt:variant>
        <vt:lpstr>Title</vt:lpstr>
      </vt:variant>
      <vt:variant>
        <vt:i4>1</vt:i4>
      </vt:variant>
    </vt:vector>
  </HeadingPairs>
  <TitlesOfParts>
    <vt:vector size="1" baseType="lpstr">
      <vt:lpstr/>
    </vt:vector>
  </TitlesOfParts>
  <Company>The Planning Center</Company>
  <LinksUpToDate>false</LinksUpToDate>
  <CharactersWithSpaces>388164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Munoz</dc:creator>
  <cp:keywords/>
  <dc:description/>
  <cp:lastModifiedBy>Laura Munoz</cp:lastModifiedBy>
  <cp:revision>13</cp:revision>
  <cp:lastPrinted>2021-10-12T17:28:00Z</cp:lastPrinted>
  <dcterms:created xsi:type="dcterms:W3CDTF">2021-12-02T19:27:00Z</dcterms:created>
  <dcterms:modified xsi:type="dcterms:W3CDTF">2021-12-20T16:44:00Z</dcterms:modified>
  <cp:contentStatus/>
</cp:coreProperties>
</file>