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76F9" w14:textId="77777777" w:rsidR="009E53C2" w:rsidRDefault="009E53C2" w:rsidP="009E53C2">
      <w:pPr>
        <w:tabs>
          <w:tab w:val="left" w:pos="720"/>
          <w:tab w:val="right" w:pos="10170"/>
        </w:tabs>
      </w:pPr>
      <w:r>
        <w:rPr>
          <w:noProof/>
        </w:rPr>
        <w:drawing>
          <wp:anchor distT="0" distB="0" distL="114300" distR="114300" simplePos="0" relativeHeight="251659264" behindDoc="1" locked="0" layoutInCell="1" allowOverlap="1" wp14:anchorId="6BE0B809" wp14:editId="270126AF">
            <wp:simplePos x="0" y="0"/>
            <wp:positionH relativeFrom="column">
              <wp:posOffset>1990</wp:posOffset>
            </wp:positionH>
            <wp:positionV relativeFrom="paragraph">
              <wp:posOffset>-9383</wp:posOffset>
            </wp:positionV>
            <wp:extent cx="1484555" cy="749725"/>
            <wp:effectExtent l="19050" t="0" r="13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484555" cy="749725"/>
                    </a:xfrm>
                    <a:prstGeom prst="rect">
                      <a:avLst/>
                    </a:prstGeom>
                    <a:noFill/>
                    <a:ln w="9525">
                      <a:noFill/>
                      <a:miter lim="800000"/>
                      <a:headEnd/>
                      <a:tailEnd/>
                    </a:ln>
                  </pic:spPr>
                </pic:pic>
              </a:graphicData>
            </a:graphic>
          </wp:anchor>
        </w:drawing>
      </w:r>
      <w:r>
        <w:fldChar w:fldCharType="begin"/>
      </w:r>
      <w:r>
        <w:instrText xml:space="preserve"> SEQ CHAPTER \h \r 1</w:instrText>
      </w:r>
      <w:r>
        <w:fldChar w:fldCharType="end"/>
      </w:r>
      <w:r>
        <w:tab/>
        <w:t xml:space="preserve"> </w:t>
      </w:r>
      <w:r>
        <w:tab/>
      </w:r>
    </w:p>
    <w:p w14:paraId="29241795" w14:textId="77777777" w:rsidR="009E53C2" w:rsidRPr="008A3A97" w:rsidRDefault="009E53C2" w:rsidP="009E53C2">
      <w:pPr>
        <w:tabs>
          <w:tab w:val="left" w:pos="720"/>
          <w:tab w:val="right" w:pos="10170"/>
        </w:tabs>
        <w:rPr>
          <w:sz w:val="20"/>
          <w:szCs w:val="20"/>
        </w:rPr>
      </w:pPr>
      <w:r>
        <w:tab/>
      </w:r>
      <w:r>
        <w:tab/>
        <w:t xml:space="preserve">  </w:t>
      </w:r>
      <w:r w:rsidRPr="008A3A97">
        <w:rPr>
          <w:sz w:val="20"/>
          <w:szCs w:val="20"/>
        </w:rPr>
        <w:t>17575 Peak Avenue</w:t>
      </w:r>
    </w:p>
    <w:p w14:paraId="68A982E6" w14:textId="77777777" w:rsidR="009E53C2" w:rsidRPr="008A3A97" w:rsidRDefault="009E53C2" w:rsidP="009E53C2">
      <w:pPr>
        <w:tabs>
          <w:tab w:val="left" w:pos="720"/>
          <w:tab w:val="right" w:pos="9720"/>
        </w:tabs>
        <w:jc w:val="right"/>
        <w:rPr>
          <w:sz w:val="20"/>
          <w:szCs w:val="20"/>
        </w:rPr>
      </w:pPr>
      <w:r w:rsidRPr="008A3A97">
        <w:rPr>
          <w:sz w:val="20"/>
          <w:szCs w:val="20"/>
        </w:rPr>
        <w:t>Morgan Hill, CA 95037-4128</w:t>
      </w:r>
    </w:p>
    <w:p w14:paraId="4A0F8E3E" w14:textId="77777777" w:rsidR="009E53C2" w:rsidRPr="008A3A97" w:rsidRDefault="009E53C2" w:rsidP="009E53C2">
      <w:pPr>
        <w:tabs>
          <w:tab w:val="left" w:pos="720"/>
          <w:tab w:val="right" w:pos="9720"/>
        </w:tabs>
        <w:jc w:val="right"/>
        <w:rPr>
          <w:sz w:val="20"/>
          <w:szCs w:val="20"/>
        </w:rPr>
      </w:pPr>
      <w:r w:rsidRPr="008A3A97">
        <w:rPr>
          <w:sz w:val="20"/>
          <w:szCs w:val="20"/>
        </w:rPr>
        <w:t>TEL: (408) 77</w:t>
      </w:r>
      <w:r>
        <w:rPr>
          <w:sz w:val="20"/>
          <w:szCs w:val="20"/>
        </w:rPr>
        <w:t>8-6480</w:t>
      </w:r>
    </w:p>
    <w:p w14:paraId="51D0AE73" w14:textId="77777777" w:rsidR="009E53C2" w:rsidRPr="008A3A97" w:rsidRDefault="009E53C2" w:rsidP="009E53C2">
      <w:pPr>
        <w:tabs>
          <w:tab w:val="left" w:pos="720"/>
          <w:tab w:val="right" w:pos="9720"/>
        </w:tabs>
        <w:jc w:val="right"/>
        <w:rPr>
          <w:sz w:val="20"/>
          <w:szCs w:val="20"/>
        </w:rPr>
      </w:pPr>
      <w:r w:rsidRPr="008A3A97">
        <w:rPr>
          <w:sz w:val="20"/>
          <w:szCs w:val="20"/>
        </w:rPr>
        <w:t>FAX: (408) 779-</w:t>
      </w:r>
      <w:r>
        <w:rPr>
          <w:sz w:val="20"/>
          <w:szCs w:val="20"/>
        </w:rPr>
        <w:t>7236</w:t>
      </w:r>
    </w:p>
    <w:p w14:paraId="4DC14805" w14:textId="77777777" w:rsidR="009E53C2" w:rsidRPr="008A3A97" w:rsidRDefault="009E53C2" w:rsidP="009E53C2">
      <w:pPr>
        <w:pBdr>
          <w:bottom w:val="single" w:sz="12" w:space="1" w:color="auto"/>
        </w:pBdr>
        <w:tabs>
          <w:tab w:val="left" w:pos="720"/>
          <w:tab w:val="right" w:pos="9720"/>
        </w:tabs>
        <w:jc w:val="right"/>
        <w:rPr>
          <w:sz w:val="20"/>
          <w:szCs w:val="20"/>
        </w:rPr>
      </w:pPr>
      <w:r w:rsidRPr="008A3A97">
        <w:rPr>
          <w:sz w:val="20"/>
          <w:szCs w:val="20"/>
        </w:rPr>
        <w:t>www.morganhill.ca.gov</w:t>
      </w:r>
    </w:p>
    <w:p w14:paraId="0AF4C448" w14:textId="09498ECA" w:rsidR="009E53C2" w:rsidRDefault="009E53C2" w:rsidP="009E53C2">
      <w:pPr>
        <w:tabs>
          <w:tab w:val="left" w:pos="720"/>
          <w:tab w:val="right" w:pos="9720"/>
        </w:tabs>
        <w:jc w:val="right"/>
      </w:pPr>
    </w:p>
    <w:p w14:paraId="3BC1EB23" w14:textId="77777777" w:rsidR="00535134" w:rsidRPr="00535134" w:rsidRDefault="00535134" w:rsidP="00535134">
      <w:pPr>
        <w:jc w:val="left"/>
        <w:rPr>
          <w:rFonts w:ascii="Arial" w:eastAsia="Times New Roman" w:hAnsi="Arial" w:cs="Arial"/>
          <w:b/>
          <w:bCs/>
          <w:sz w:val="24"/>
          <w:szCs w:val="24"/>
        </w:rPr>
      </w:pPr>
      <w:r w:rsidRPr="00535134">
        <w:rPr>
          <w:rFonts w:ascii="Arial" w:eastAsia="Times New Roman" w:hAnsi="Arial" w:cs="Arial"/>
          <w:b/>
          <w:bCs/>
          <w:sz w:val="24"/>
          <w:szCs w:val="24"/>
        </w:rPr>
        <w:t>NOTICE OF INTENT TO ADOPT</w:t>
      </w:r>
    </w:p>
    <w:p w14:paraId="196681F9" w14:textId="77777777" w:rsidR="00535134" w:rsidRPr="00535134" w:rsidRDefault="00535134" w:rsidP="00535134">
      <w:pPr>
        <w:jc w:val="left"/>
        <w:rPr>
          <w:rFonts w:ascii="Arial" w:eastAsia="Times New Roman" w:hAnsi="Arial" w:cs="Arial"/>
          <w:b/>
          <w:bCs/>
          <w:sz w:val="24"/>
          <w:szCs w:val="24"/>
        </w:rPr>
      </w:pPr>
      <w:r w:rsidRPr="00535134">
        <w:rPr>
          <w:rFonts w:ascii="Arial" w:eastAsia="Times New Roman" w:hAnsi="Arial" w:cs="Arial"/>
          <w:b/>
          <w:bCs/>
          <w:sz w:val="24"/>
          <w:szCs w:val="24"/>
        </w:rPr>
        <w:t>INITIAL STUDY/MITIGATED NEGATIVE DECLARATION</w:t>
      </w:r>
    </w:p>
    <w:p w14:paraId="0C94E249" w14:textId="77777777" w:rsidR="00535134" w:rsidRPr="00535134" w:rsidRDefault="00535134" w:rsidP="00535134">
      <w:pPr>
        <w:jc w:val="left"/>
        <w:rPr>
          <w:rFonts w:ascii="Times" w:eastAsia="Times New Roman" w:hAnsi="Times" w:cs="Times New Roman"/>
          <w:szCs w:val="24"/>
          <w:u w:val="single"/>
        </w:rPr>
      </w:pPr>
      <w:r w:rsidRPr="00535134">
        <w:rPr>
          <w:rFonts w:ascii="Times" w:eastAsia="Times New Roman" w:hAnsi="Times" w:cs="Times New Roman"/>
          <w:noProof/>
          <w:szCs w:val="24"/>
          <w:u w:val="single"/>
        </w:rPr>
        <mc:AlternateContent>
          <mc:Choice Requires="wps">
            <w:drawing>
              <wp:inline distT="0" distB="0" distL="0" distR="0" wp14:anchorId="3B98BA56" wp14:editId="35014C5C">
                <wp:extent cx="6448425" cy="0"/>
                <wp:effectExtent l="0" t="0" r="0" b="0"/>
                <wp:docPr id="1" name="Straight Connector 1"/>
                <wp:cNvGraphicFramePr/>
                <a:graphic xmlns:a="http://schemas.openxmlformats.org/drawingml/2006/main">
                  <a:graphicData uri="http://schemas.microsoft.com/office/word/2010/wordprocessingShape">
                    <wps:wsp>
                      <wps:cNvCnPr/>
                      <wps:spPr>
                        <a:xfrm>
                          <a:off x="0" y="0"/>
                          <a:ext cx="6448425" cy="0"/>
                        </a:xfrm>
                        <a:prstGeom prst="line">
                          <a:avLst/>
                        </a:prstGeom>
                        <a:noFill/>
                        <a:ln w="12700" cap="flat" cmpd="sng" algn="ctr">
                          <a:solidFill>
                            <a:sysClr val="windowText" lastClr="000000"/>
                          </a:solidFill>
                          <a:prstDash val="solid"/>
                          <a:miter lim="800000"/>
                        </a:ln>
                        <a:effectLst/>
                      </wps:spPr>
                      <wps:bodyPr/>
                    </wps:wsp>
                  </a:graphicData>
                </a:graphic>
              </wp:inline>
            </w:drawing>
          </mc:Choice>
          <mc:Fallback xmlns:w16="http://schemas.microsoft.com/office/word/2018/wordml" xmlns:w16cex="http://schemas.microsoft.com/office/word/2018/wordml/cex">
            <w:pict>
              <v:line w14:anchorId="30BD1EBF"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0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" strokecolor="windowText" strokeweight="1pt">
                <v:stroke joinstyle="miter"/>
                <w10:anchorlock/>
              </v:line>
            </w:pict>
          </mc:Fallback>
        </mc:AlternateContent>
      </w:r>
    </w:p>
    <w:p w14:paraId="46B9C02B" w14:textId="77777777" w:rsidR="00535134" w:rsidRPr="00535134" w:rsidRDefault="00535134" w:rsidP="00535134">
      <w:pPr>
        <w:autoSpaceDE w:val="0"/>
        <w:autoSpaceDN w:val="0"/>
        <w:adjustRightInd w:val="0"/>
        <w:jc w:val="left"/>
        <w:rPr>
          <w:rFonts w:ascii="Arial" w:eastAsia="Times New Roman" w:hAnsi="Arial" w:cs="Arial"/>
          <w:color w:val="000000"/>
          <w:sz w:val="24"/>
          <w:szCs w:val="24"/>
        </w:rPr>
      </w:pPr>
    </w:p>
    <w:p w14:paraId="5F0E0D8E" w14:textId="6EF2D580" w:rsidR="00535134" w:rsidRPr="00535134" w:rsidRDefault="00535134" w:rsidP="00535134">
      <w:pPr>
        <w:jc w:val="left"/>
        <w:rPr>
          <w:rFonts w:ascii="Arial" w:eastAsia="Times New Roman" w:hAnsi="Arial" w:cs="Arial"/>
          <w:sz w:val="24"/>
          <w:szCs w:val="24"/>
        </w:rPr>
      </w:pPr>
      <w:r w:rsidRPr="00535134">
        <w:rPr>
          <w:rFonts w:ascii="Arial" w:eastAsia="Times New Roman" w:hAnsi="Arial" w:cs="Arial"/>
          <w:sz w:val="24"/>
          <w:szCs w:val="24"/>
        </w:rPr>
        <w:t xml:space="preserve"> </w:t>
      </w:r>
      <w:r w:rsidRPr="00535134">
        <w:rPr>
          <w:rFonts w:ascii="Arial" w:eastAsia="Times New Roman" w:hAnsi="Arial" w:cs="Arial"/>
          <w:b/>
          <w:bCs/>
          <w:sz w:val="24"/>
          <w:szCs w:val="24"/>
        </w:rPr>
        <w:t xml:space="preserve">DATE: </w:t>
      </w:r>
      <w:r w:rsidR="00477020">
        <w:rPr>
          <w:rFonts w:ascii="Arial" w:eastAsia="Times New Roman" w:hAnsi="Arial" w:cs="Arial"/>
          <w:b/>
          <w:bCs/>
          <w:sz w:val="24"/>
          <w:szCs w:val="24"/>
        </w:rPr>
        <w:t>May</w:t>
      </w:r>
      <w:r w:rsidR="00DF6B2F" w:rsidRPr="004D3983">
        <w:rPr>
          <w:rFonts w:ascii="Arial" w:eastAsia="Times New Roman" w:hAnsi="Arial" w:cs="Arial"/>
          <w:b/>
          <w:bCs/>
          <w:sz w:val="24"/>
          <w:szCs w:val="24"/>
        </w:rPr>
        <w:t xml:space="preserve"> </w:t>
      </w:r>
      <w:r w:rsidR="00E37A84">
        <w:rPr>
          <w:rFonts w:ascii="Arial" w:eastAsia="Times New Roman" w:hAnsi="Arial" w:cs="Arial"/>
          <w:b/>
          <w:bCs/>
          <w:sz w:val="24"/>
          <w:szCs w:val="24"/>
        </w:rPr>
        <w:t>6</w:t>
      </w:r>
      <w:r w:rsidR="00DF6B2F" w:rsidRPr="004D3983">
        <w:rPr>
          <w:rFonts w:ascii="Arial" w:eastAsia="Times New Roman" w:hAnsi="Arial" w:cs="Arial"/>
          <w:b/>
          <w:bCs/>
          <w:sz w:val="24"/>
          <w:szCs w:val="24"/>
        </w:rPr>
        <w:t>, 2020</w:t>
      </w:r>
    </w:p>
    <w:p w14:paraId="392AFBEB" w14:textId="77777777" w:rsidR="00535134" w:rsidRPr="00535134" w:rsidRDefault="00535134" w:rsidP="00535134">
      <w:pPr>
        <w:jc w:val="left"/>
        <w:rPr>
          <w:rFonts w:ascii="Arial" w:eastAsia="Times New Roman" w:hAnsi="Arial" w:cs="Arial"/>
          <w:sz w:val="24"/>
          <w:szCs w:val="24"/>
        </w:rPr>
      </w:pPr>
    </w:p>
    <w:p w14:paraId="410F3F76" w14:textId="77777777" w:rsidR="00535134" w:rsidRPr="00535134" w:rsidRDefault="00535134" w:rsidP="002C2266">
      <w:pPr>
        <w:rPr>
          <w:rFonts w:ascii="Arial" w:eastAsia="Times New Roman" w:hAnsi="Arial" w:cs="Arial"/>
          <w:sz w:val="24"/>
          <w:szCs w:val="24"/>
        </w:rPr>
      </w:pPr>
      <w:r w:rsidRPr="00535134">
        <w:rPr>
          <w:rFonts w:ascii="Arial" w:eastAsia="Times New Roman" w:hAnsi="Arial" w:cs="Arial"/>
          <w:sz w:val="24"/>
          <w:szCs w:val="24"/>
        </w:rPr>
        <w:t>Based upon the conclusions set forth in the Initial Study, the CEQA Lead Agency finds that the proposed Project, which includes measures and mitigations designed to minimize environmental impacts, would not result in significant adverse effects on the environment. The CEQA Lead Agency has prepared this Notice of Intent to adopt the Initial Study/Mitigated Negative Declaration pursuant to 14 CCR Section 15072.</w:t>
      </w:r>
    </w:p>
    <w:p w14:paraId="01026A96" w14:textId="77777777" w:rsidR="00535134" w:rsidRPr="00535134" w:rsidRDefault="00535134" w:rsidP="002C2266">
      <w:pPr>
        <w:rPr>
          <w:rFonts w:ascii="Arial" w:eastAsia="Times New Roman"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36"/>
      </w:tblGrid>
      <w:tr w:rsidR="00535134" w:rsidRPr="00535134" w14:paraId="592A8AA1" w14:textId="77777777" w:rsidTr="00C14DD3">
        <w:tc>
          <w:tcPr>
            <w:tcW w:w="10136" w:type="dxa"/>
            <w:shd w:val="pct10" w:color="auto" w:fill="auto"/>
          </w:tcPr>
          <w:p w14:paraId="54BFB25D" w14:textId="77777777" w:rsidR="00535134" w:rsidRPr="00535134" w:rsidRDefault="00535134" w:rsidP="002C2266">
            <w:pPr>
              <w:jc w:val="both"/>
              <w:rPr>
                <w:rFonts w:ascii="Arial" w:hAnsi="Arial" w:cs="Arial"/>
                <w:b/>
                <w:bCs/>
                <w:sz w:val="24"/>
                <w:szCs w:val="24"/>
              </w:rPr>
            </w:pPr>
            <w:r w:rsidRPr="00535134">
              <w:rPr>
                <w:rFonts w:ascii="Arial" w:hAnsi="Arial" w:cs="Arial"/>
                <w:b/>
                <w:bCs/>
                <w:sz w:val="24"/>
                <w:szCs w:val="24"/>
              </w:rPr>
              <w:t>Project Title:</w:t>
            </w:r>
          </w:p>
        </w:tc>
      </w:tr>
      <w:tr w:rsidR="00535134" w:rsidRPr="00535134" w14:paraId="540F3E25" w14:textId="77777777" w:rsidTr="00C14DD3">
        <w:tc>
          <w:tcPr>
            <w:tcW w:w="10136" w:type="dxa"/>
          </w:tcPr>
          <w:p w14:paraId="1FC39B93" w14:textId="74784543" w:rsidR="00C90F28" w:rsidRDefault="00477020" w:rsidP="002C2266">
            <w:pPr>
              <w:jc w:val="both"/>
              <w:rPr>
                <w:rFonts w:ascii="Arial" w:hAnsi="Arial" w:cs="Arial"/>
                <w:sz w:val="24"/>
                <w:szCs w:val="24"/>
              </w:rPr>
            </w:pPr>
            <w:proofErr w:type="spellStart"/>
            <w:r>
              <w:rPr>
                <w:rFonts w:ascii="Arial" w:hAnsi="Arial" w:cs="Arial"/>
                <w:sz w:val="24"/>
                <w:szCs w:val="24"/>
              </w:rPr>
              <w:t>Llagas</w:t>
            </w:r>
            <w:proofErr w:type="spellEnd"/>
            <w:r>
              <w:rPr>
                <w:rFonts w:ascii="Arial" w:hAnsi="Arial" w:cs="Arial"/>
                <w:sz w:val="24"/>
                <w:szCs w:val="24"/>
              </w:rPr>
              <w:t xml:space="preserve"> - </w:t>
            </w:r>
            <w:proofErr w:type="spellStart"/>
            <w:r>
              <w:rPr>
                <w:rFonts w:ascii="Arial" w:hAnsi="Arial" w:cs="Arial"/>
                <w:sz w:val="24"/>
                <w:szCs w:val="24"/>
              </w:rPr>
              <w:t>Stralata</w:t>
            </w:r>
            <w:proofErr w:type="spellEnd"/>
            <w:r w:rsidR="00B41EA7">
              <w:rPr>
                <w:rFonts w:ascii="Arial" w:hAnsi="Arial" w:cs="Arial"/>
                <w:sz w:val="24"/>
                <w:szCs w:val="24"/>
              </w:rPr>
              <w:t xml:space="preserve"> Project</w:t>
            </w:r>
          </w:p>
          <w:p w14:paraId="5015168F" w14:textId="2B6D6B8C" w:rsidR="00C90F28" w:rsidRPr="00535134" w:rsidRDefault="00C90F28" w:rsidP="002C2266">
            <w:pPr>
              <w:jc w:val="both"/>
              <w:rPr>
                <w:rFonts w:ascii="Arial" w:hAnsi="Arial" w:cs="Arial"/>
                <w:sz w:val="24"/>
                <w:szCs w:val="24"/>
              </w:rPr>
            </w:pPr>
          </w:p>
        </w:tc>
      </w:tr>
      <w:tr w:rsidR="00C14DD3" w:rsidRPr="00535134" w14:paraId="1C269E48" w14:textId="77777777" w:rsidTr="00C14DD3">
        <w:tc>
          <w:tcPr>
            <w:tcW w:w="10136" w:type="dxa"/>
            <w:shd w:val="pct10" w:color="auto" w:fill="auto"/>
          </w:tcPr>
          <w:p w14:paraId="495D522F" w14:textId="77777777" w:rsidR="00C14DD3" w:rsidRPr="00535134" w:rsidRDefault="00C14DD3" w:rsidP="002C2266">
            <w:pPr>
              <w:jc w:val="both"/>
              <w:rPr>
                <w:rFonts w:ascii="Arial" w:hAnsi="Arial" w:cs="Arial"/>
                <w:b/>
                <w:bCs/>
                <w:sz w:val="24"/>
                <w:szCs w:val="24"/>
              </w:rPr>
            </w:pPr>
            <w:r w:rsidRPr="00535134">
              <w:rPr>
                <w:rFonts w:ascii="Arial" w:hAnsi="Arial" w:cs="Arial"/>
                <w:b/>
                <w:bCs/>
                <w:sz w:val="24"/>
                <w:szCs w:val="24"/>
              </w:rPr>
              <w:t>Project Description:</w:t>
            </w:r>
          </w:p>
        </w:tc>
      </w:tr>
      <w:tr w:rsidR="00C14DD3" w:rsidRPr="00535134" w14:paraId="77176813" w14:textId="77777777" w:rsidTr="00C14DD3">
        <w:tc>
          <w:tcPr>
            <w:tcW w:w="10136" w:type="dxa"/>
          </w:tcPr>
          <w:p w14:paraId="5A62209E" w14:textId="199C692A" w:rsidR="00477020" w:rsidRPr="00477020" w:rsidRDefault="00477020" w:rsidP="00477020">
            <w:pPr>
              <w:jc w:val="both"/>
              <w:rPr>
                <w:rFonts w:ascii="Arial" w:hAnsi="Arial" w:cs="Arial"/>
                <w:sz w:val="24"/>
                <w:szCs w:val="24"/>
              </w:rPr>
            </w:pPr>
            <w:bookmarkStart w:id="0" w:name="_Hlk30589710"/>
            <w:r w:rsidRPr="00477020">
              <w:rPr>
                <w:rFonts w:ascii="Arial" w:hAnsi="Arial" w:cs="Arial"/>
                <w:sz w:val="24"/>
                <w:szCs w:val="24"/>
              </w:rPr>
              <w:t xml:space="preserve">The proposed project would include a </w:t>
            </w:r>
            <w:bookmarkStart w:id="1" w:name="_Hlk38619013"/>
            <w:r w:rsidRPr="00477020">
              <w:rPr>
                <w:rFonts w:ascii="Arial" w:hAnsi="Arial" w:cs="Arial"/>
                <w:sz w:val="24"/>
                <w:szCs w:val="24"/>
              </w:rPr>
              <w:t xml:space="preserve">Design Permit and Amended Tentative Map to add a fourth lot into an approved three lot residential subdivision along </w:t>
            </w:r>
            <w:proofErr w:type="spellStart"/>
            <w:r w:rsidRPr="00477020">
              <w:rPr>
                <w:rFonts w:ascii="Arial" w:hAnsi="Arial" w:cs="Arial"/>
                <w:sz w:val="24"/>
                <w:szCs w:val="24"/>
              </w:rPr>
              <w:t>Sabini</w:t>
            </w:r>
            <w:proofErr w:type="spellEnd"/>
            <w:r w:rsidRPr="00477020">
              <w:rPr>
                <w:rFonts w:ascii="Arial" w:hAnsi="Arial" w:cs="Arial"/>
                <w:sz w:val="24"/>
                <w:szCs w:val="24"/>
              </w:rPr>
              <w:t xml:space="preserve"> Court. The project would be developed consistent with the site’s General Plan land use and zoning designations.</w:t>
            </w:r>
            <w:r>
              <w:rPr>
                <w:rFonts w:ascii="Arial" w:hAnsi="Arial" w:cs="Arial"/>
                <w:sz w:val="24"/>
                <w:szCs w:val="24"/>
              </w:rPr>
              <w:t xml:space="preserve"> </w:t>
            </w:r>
            <w:r w:rsidRPr="00477020">
              <w:rPr>
                <w:rFonts w:ascii="Arial" w:hAnsi="Arial" w:cs="Arial"/>
                <w:sz w:val="24"/>
                <w:szCs w:val="24"/>
              </w:rPr>
              <w:t>The map also include</w:t>
            </w:r>
            <w:r>
              <w:rPr>
                <w:rFonts w:ascii="Arial" w:hAnsi="Arial" w:cs="Arial"/>
                <w:sz w:val="24"/>
                <w:szCs w:val="24"/>
              </w:rPr>
              <w:t>s</w:t>
            </w:r>
            <w:r w:rsidRPr="00477020">
              <w:rPr>
                <w:rFonts w:ascii="Arial" w:hAnsi="Arial" w:cs="Arial"/>
                <w:sz w:val="24"/>
                <w:szCs w:val="24"/>
              </w:rPr>
              <w:t xml:space="preserve"> a right-of-way dedication of 22,700 square feet for future access improvements along </w:t>
            </w:r>
            <w:proofErr w:type="spellStart"/>
            <w:r w:rsidRPr="00477020">
              <w:rPr>
                <w:rFonts w:ascii="Arial" w:hAnsi="Arial" w:cs="Arial"/>
                <w:sz w:val="24"/>
                <w:szCs w:val="24"/>
              </w:rPr>
              <w:t>Sabini</w:t>
            </w:r>
            <w:proofErr w:type="spellEnd"/>
            <w:r w:rsidRPr="00477020">
              <w:rPr>
                <w:rFonts w:ascii="Arial" w:hAnsi="Arial" w:cs="Arial"/>
                <w:sz w:val="24"/>
                <w:szCs w:val="24"/>
              </w:rPr>
              <w:t xml:space="preserve"> Court and 16-foot right-of-way vacation by the City of Morgan Hill along the project frontage on the northern edge of </w:t>
            </w:r>
            <w:proofErr w:type="spellStart"/>
            <w:r w:rsidRPr="00477020">
              <w:rPr>
                <w:rFonts w:ascii="Arial" w:hAnsi="Arial" w:cs="Arial"/>
                <w:sz w:val="24"/>
                <w:szCs w:val="24"/>
              </w:rPr>
              <w:t>Sabini</w:t>
            </w:r>
            <w:proofErr w:type="spellEnd"/>
            <w:r w:rsidRPr="00477020">
              <w:rPr>
                <w:rFonts w:ascii="Arial" w:hAnsi="Arial" w:cs="Arial"/>
                <w:sz w:val="24"/>
                <w:szCs w:val="24"/>
              </w:rPr>
              <w:t xml:space="preserve"> Court.  </w:t>
            </w:r>
          </w:p>
          <w:bookmarkEnd w:id="0"/>
          <w:bookmarkEnd w:id="1"/>
          <w:p w14:paraId="70DCD0DF" w14:textId="77777777" w:rsidR="00C14DD3" w:rsidRDefault="00C14DD3" w:rsidP="002C2266">
            <w:pPr>
              <w:jc w:val="both"/>
              <w:rPr>
                <w:rFonts w:ascii="Arial" w:hAnsi="Arial" w:cs="Arial"/>
                <w:sz w:val="24"/>
                <w:szCs w:val="24"/>
              </w:rPr>
            </w:pPr>
          </w:p>
          <w:p w14:paraId="6245E928" w14:textId="77777777" w:rsidR="00C14DD3" w:rsidRPr="00633C15" w:rsidRDefault="00C14DD3" w:rsidP="002C2266">
            <w:pPr>
              <w:jc w:val="both"/>
              <w:rPr>
                <w:rFonts w:ascii="Arial" w:hAnsi="Arial" w:cs="Arial"/>
                <w:b/>
                <w:bCs/>
                <w:sz w:val="24"/>
                <w:szCs w:val="24"/>
              </w:rPr>
            </w:pPr>
            <w:r w:rsidRPr="00633C15">
              <w:rPr>
                <w:rFonts w:ascii="Arial" w:hAnsi="Arial" w:cs="Arial"/>
                <w:b/>
                <w:bCs/>
                <w:sz w:val="24"/>
                <w:szCs w:val="24"/>
              </w:rPr>
              <w:t>HAZARDOUS WASTE AND SUBSTANCES STATEMENT</w:t>
            </w:r>
          </w:p>
          <w:p w14:paraId="2F0E7DF9" w14:textId="77777777" w:rsidR="00C14DD3" w:rsidRPr="00633C15" w:rsidRDefault="00C14DD3" w:rsidP="002C2266">
            <w:pPr>
              <w:jc w:val="both"/>
              <w:rPr>
                <w:rFonts w:ascii="Arial" w:hAnsi="Arial" w:cs="Arial"/>
                <w:sz w:val="24"/>
                <w:szCs w:val="24"/>
              </w:rPr>
            </w:pPr>
            <w:r w:rsidRPr="00633C15">
              <w:rPr>
                <w:rFonts w:ascii="Arial" w:hAnsi="Arial" w:cs="Arial"/>
                <w:sz w:val="24"/>
                <w:szCs w:val="24"/>
              </w:rPr>
              <w:t> </w:t>
            </w:r>
          </w:p>
          <w:p w14:paraId="15EF947E" w14:textId="77777777" w:rsidR="00C14DD3" w:rsidRDefault="00C14DD3" w:rsidP="002C2266">
            <w:pPr>
              <w:jc w:val="both"/>
              <w:rPr>
                <w:rFonts w:ascii="Arial" w:hAnsi="Arial" w:cs="Arial"/>
                <w:sz w:val="24"/>
                <w:szCs w:val="24"/>
              </w:rPr>
            </w:pPr>
            <w:r w:rsidRPr="00633C15">
              <w:rPr>
                <w:rFonts w:ascii="Arial" w:hAnsi="Arial" w:cs="Arial"/>
                <w:sz w:val="24"/>
                <w:szCs w:val="24"/>
              </w:rPr>
              <w:t xml:space="preserve">CEQA requires this notice to disclose whether any listed toxic sites are present. The development project proposed in this application </w:t>
            </w:r>
            <w:r w:rsidR="00477020">
              <w:rPr>
                <w:rFonts w:ascii="Arial" w:hAnsi="Arial" w:cs="Arial"/>
                <w:sz w:val="24"/>
                <w:szCs w:val="24"/>
              </w:rPr>
              <w:t>is</w:t>
            </w:r>
            <w:r w:rsidRPr="00633C15">
              <w:rPr>
                <w:rFonts w:ascii="Arial" w:hAnsi="Arial" w:cs="Arial"/>
                <w:sz w:val="24"/>
                <w:szCs w:val="24"/>
              </w:rPr>
              <w:t xml:space="preserve"> not contained on the lists compiled pursuant to Section 65962.5 of the Government Code.   </w:t>
            </w:r>
          </w:p>
          <w:p w14:paraId="51D86E97" w14:textId="36A29309" w:rsidR="00477020" w:rsidRPr="00535134" w:rsidRDefault="00477020" w:rsidP="002C2266">
            <w:pPr>
              <w:jc w:val="both"/>
              <w:rPr>
                <w:rFonts w:ascii="Arial" w:hAnsi="Arial" w:cs="Arial"/>
                <w:sz w:val="24"/>
                <w:szCs w:val="24"/>
              </w:rPr>
            </w:pPr>
          </w:p>
        </w:tc>
      </w:tr>
      <w:tr w:rsidR="00C14DD3" w:rsidRPr="00535134" w14:paraId="6464B89A" w14:textId="77777777" w:rsidTr="006605BA">
        <w:tc>
          <w:tcPr>
            <w:tcW w:w="10136" w:type="dxa"/>
            <w:shd w:val="pct10" w:color="auto" w:fill="auto"/>
          </w:tcPr>
          <w:p w14:paraId="5E830BB3" w14:textId="77777777" w:rsidR="00C14DD3" w:rsidRPr="00535134" w:rsidRDefault="00C14DD3" w:rsidP="002C2266">
            <w:pPr>
              <w:jc w:val="both"/>
              <w:rPr>
                <w:rFonts w:ascii="Arial" w:hAnsi="Arial" w:cs="Arial"/>
                <w:b/>
                <w:bCs/>
                <w:sz w:val="24"/>
                <w:szCs w:val="24"/>
              </w:rPr>
            </w:pPr>
            <w:r w:rsidRPr="00535134">
              <w:rPr>
                <w:rFonts w:ascii="Arial" w:hAnsi="Arial" w:cs="Arial"/>
                <w:b/>
                <w:bCs/>
                <w:sz w:val="24"/>
                <w:szCs w:val="24"/>
              </w:rPr>
              <w:t>Project Location:</w:t>
            </w:r>
          </w:p>
        </w:tc>
      </w:tr>
      <w:tr w:rsidR="00C14DD3" w:rsidRPr="00535134" w14:paraId="33114968" w14:textId="77777777" w:rsidTr="006605BA">
        <w:tc>
          <w:tcPr>
            <w:tcW w:w="10136" w:type="dxa"/>
          </w:tcPr>
          <w:p w14:paraId="2BFE330F" w14:textId="77777777" w:rsidR="00B41EA7" w:rsidRDefault="00477020" w:rsidP="002C2266">
            <w:pPr>
              <w:jc w:val="both"/>
              <w:rPr>
                <w:rFonts w:ascii="Arial" w:hAnsi="Arial" w:cs="Arial"/>
                <w:color w:val="000000"/>
                <w:sz w:val="22"/>
              </w:rPr>
            </w:pPr>
            <w:r w:rsidRPr="00477020">
              <w:rPr>
                <w:rFonts w:ascii="Arial" w:hAnsi="Arial" w:cs="Arial"/>
                <w:sz w:val="24"/>
                <w:szCs w:val="24"/>
              </w:rPr>
              <w:t xml:space="preserve">The project site consists of a 4.48-acre parcel located at 1110 </w:t>
            </w:r>
            <w:proofErr w:type="spellStart"/>
            <w:r w:rsidRPr="00477020">
              <w:rPr>
                <w:rFonts w:ascii="Arial" w:hAnsi="Arial" w:cs="Arial"/>
                <w:sz w:val="24"/>
                <w:szCs w:val="24"/>
              </w:rPr>
              <w:t>Llagas</w:t>
            </w:r>
            <w:proofErr w:type="spellEnd"/>
            <w:r w:rsidRPr="00477020">
              <w:rPr>
                <w:rFonts w:ascii="Arial" w:hAnsi="Arial" w:cs="Arial"/>
                <w:sz w:val="24"/>
                <w:szCs w:val="24"/>
              </w:rPr>
              <w:t xml:space="preserve"> Road in the City of Morgan Hill, California. The site is identified by APN 773-32-013.</w:t>
            </w:r>
            <w:r w:rsidRPr="005169CB">
              <w:rPr>
                <w:rFonts w:ascii="Arial" w:hAnsi="Arial" w:cs="Arial"/>
                <w:color w:val="000000"/>
                <w:sz w:val="22"/>
              </w:rPr>
              <w:t xml:space="preserve"> </w:t>
            </w:r>
          </w:p>
          <w:p w14:paraId="4726B597" w14:textId="23205F8C" w:rsidR="00477020" w:rsidRPr="00535134" w:rsidRDefault="00477020" w:rsidP="002C2266">
            <w:pPr>
              <w:jc w:val="both"/>
              <w:rPr>
                <w:rFonts w:ascii="Arial" w:hAnsi="Arial" w:cs="Arial"/>
                <w:sz w:val="24"/>
                <w:szCs w:val="24"/>
              </w:rPr>
            </w:pPr>
          </w:p>
        </w:tc>
      </w:tr>
      <w:tr w:rsidR="00535134" w:rsidRPr="00535134" w14:paraId="300049A1" w14:textId="77777777" w:rsidTr="00C14DD3">
        <w:tc>
          <w:tcPr>
            <w:tcW w:w="10136" w:type="dxa"/>
            <w:shd w:val="pct10" w:color="auto" w:fill="auto"/>
          </w:tcPr>
          <w:p w14:paraId="67CFF53E" w14:textId="77777777" w:rsidR="00535134" w:rsidRPr="00535134" w:rsidRDefault="00535134" w:rsidP="002C2266">
            <w:pPr>
              <w:jc w:val="both"/>
              <w:rPr>
                <w:rFonts w:ascii="Arial" w:hAnsi="Arial" w:cs="Arial"/>
                <w:b/>
                <w:bCs/>
                <w:sz w:val="24"/>
                <w:szCs w:val="24"/>
              </w:rPr>
            </w:pPr>
            <w:r w:rsidRPr="00535134">
              <w:rPr>
                <w:rFonts w:ascii="Arial" w:hAnsi="Arial" w:cs="Arial"/>
                <w:b/>
                <w:bCs/>
                <w:sz w:val="24"/>
                <w:szCs w:val="24"/>
              </w:rPr>
              <w:t>Project Proponent:</w:t>
            </w:r>
          </w:p>
        </w:tc>
      </w:tr>
      <w:tr w:rsidR="00535134" w:rsidRPr="00535134" w14:paraId="500ABEF9" w14:textId="77777777" w:rsidTr="00C14DD3">
        <w:tc>
          <w:tcPr>
            <w:tcW w:w="10136" w:type="dxa"/>
          </w:tcPr>
          <w:p w14:paraId="37BA2866" w14:textId="1EF3AE84" w:rsidR="004A1AED" w:rsidRDefault="00477020" w:rsidP="002C2266">
            <w:pPr>
              <w:jc w:val="both"/>
              <w:rPr>
                <w:rFonts w:ascii="Arial" w:hAnsi="Arial" w:cs="Arial"/>
                <w:sz w:val="24"/>
                <w:szCs w:val="24"/>
              </w:rPr>
            </w:pPr>
            <w:r>
              <w:rPr>
                <w:rFonts w:ascii="Arial" w:hAnsi="Arial" w:cs="Arial"/>
                <w:sz w:val="24"/>
                <w:szCs w:val="24"/>
              </w:rPr>
              <w:t>Latala Homes</w:t>
            </w:r>
          </w:p>
          <w:p w14:paraId="161573DE" w14:textId="3F22DE62" w:rsidR="00633C15" w:rsidRPr="00535134" w:rsidRDefault="00633C15" w:rsidP="002C2266">
            <w:pPr>
              <w:jc w:val="both"/>
              <w:rPr>
                <w:rFonts w:ascii="Arial" w:hAnsi="Arial" w:cs="Arial"/>
                <w:sz w:val="24"/>
                <w:szCs w:val="24"/>
              </w:rPr>
            </w:pPr>
          </w:p>
        </w:tc>
      </w:tr>
      <w:tr w:rsidR="00535134" w:rsidRPr="00535134" w14:paraId="79B26937" w14:textId="77777777" w:rsidTr="00C14DD3">
        <w:tc>
          <w:tcPr>
            <w:tcW w:w="10136" w:type="dxa"/>
            <w:shd w:val="pct10" w:color="auto" w:fill="auto"/>
          </w:tcPr>
          <w:p w14:paraId="474D408E" w14:textId="77777777" w:rsidR="00535134" w:rsidRPr="00535134" w:rsidRDefault="00535134" w:rsidP="002C2266">
            <w:pPr>
              <w:jc w:val="both"/>
              <w:rPr>
                <w:rFonts w:ascii="Arial" w:hAnsi="Arial" w:cs="Arial"/>
                <w:b/>
                <w:bCs/>
                <w:sz w:val="24"/>
                <w:szCs w:val="24"/>
              </w:rPr>
            </w:pPr>
            <w:r w:rsidRPr="00535134">
              <w:rPr>
                <w:rFonts w:ascii="Arial" w:hAnsi="Arial" w:cs="Arial"/>
                <w:b/>
                <w:bCs/>
                <w:sz w:val="24"/>
                <w:szCs w:val="24"/>
              </w:rPr>
              <w:t>Lead Agency:</w:t>
            </w:r>
          </w:p>
        </w:tc>
      </w:tr>
      <w:tr w:rsidR="00535134" w:rsidRPr="00535134" w14:paraId="32BE893C" w14:textId="77777777" w:rsidTr="00C14DD3">
        <w:tc>
          <w:tcPr>
            <w:tcW w:w="10136" w:type="dxa"/>
          </w:tcPr>
          <w:p w14:paraId="044C02FC" w14:textId="645FBAF5" w:rsidR="00535134" w:rsidRDefault="004A1AED" w:rsidP="002C2266">
            <w:pPr>
              <w:jc w:val="both"/>
              <w:rPr>
                <w:rFonts w:ascii="Arial" w:hAnsi="Arial" w:cs="Arial"/>
                <w:sz w:val="24"/>
                <w:szCs w:val="24"/>
              </w:rPr>
            </w:pPr>
            <w:r>
              <w:rPr>
                <w:rFonts w:ascii="Arial" w:hAnsi="Arial" w:cs="Arial"/>
                <w:sz w:val="24"/>
                <w:szCs w:val="24"/>
              </w:rPr>
              <w:t>City of Morgan Hill</w:t>
            </w:r>
          </w:p>
          <w:p w14:paraId="4C7B56D2" w14:textId="2DA3E9C5" w:rsidR="004A1AED" w:rsidRPr="00535134" w:rsidRDefault="004A1AED" w:rsidP="002C2266">
            <w:pPr>
              <w:jc w:val="both"/>
              <w:rPr>
                <w:rFonts w:ascii="Arial" w:hAnsi="Arial" w:cs="Arial"/>
                <w:sz w:val="24"/>
                <w:szCs w:val="24"/>
              </w:rPr>
            </w:pPr>
          </w:p>
        </w:tc>
      </w:tr>
      <w:tr w:rsidR="00535134" w:rsidRPr="00535134" w14:paraId="6A2D05D7" w14:textId="77777777" w:rsidTr="00C14DD3">
        <w:tc>
          <w:tcPr>
            <w:tcW w:w="10136" w:type="dxa"/>
            <w:shd w:val="pct10" w:color="auto" w:fill="auto"/>
          </w:tcPr>
          <w:p w14:paraId="52A39F8F" w14:textId="77777777" w:rsidR="00535134" w:rsidRPr="00535134" w:rsidRDefault="00535134" w:rsidP="002C2266">
            <w:pPr>
              <w:jc w:val="both"/>
              <w:rPr>
                <w:rFonts w:ascii="Arial" w:hAnsi="Arial" w:cs="Arial"/>
                <w:b/>
                <w:bCs/>
                <w:sz w:val="24"/>
                <w:szCs w:val="24"/>
              </w:rPr>
            </w:pPr>
            <w:r w:rsidRPr="00535134">
              <w:rPr>
                <w:rFonts w:ascii="Arial" w:hAnsi="Arial" w:cs="Arial"/>
                <w:b/>
                <w:bCs/>
                <w:sz w:val="24"/>
                <w:szCs w:val="24"/>
              </w:rPr>
              <w:t>Public Review Period:</w:t>
            </w:r>
          </w:p>
        </w:tc>
      </w:tr>
      <w:tr w:rsidR="00535134" w:rsidRPr="00535134" w14:paraId="04B7DAB2" w14:textId="77777777" w:rsidTr="00C14DD3">
        <w:tc>
          <w:tcPr>
            <w:tcW w:w="10136" w:type="dxa"/>
          </w:tcPr>
          <w:p w14:paraId="08C32B1A" w14:textId="277EB2FE" w:rsidR="004A1AED" w:rsidRDefault="004A1AED" w:rsidP="002C2266">
            <w:pPr>
              <w:jc w:val="both"/>
              <w:rPr>
                <w:rFonts w:ascii="Arial" w:hAnsi="Arial" w:cs="Arial"/>
                <w:sz w:val="24"/>
                <w:szCs w:val="24"/>
              </w:rPr>
            </w:pPr>
            <w:r w:rsidRPr="004A1AED">
              <w:rPr>
                <w:rFonts w:ascii="Arial" w:hAnsi="Arial" w:cs="Arial"/>
                <w:sz w:val="24"/>
                <w:szCs w:val="24"/>
              </w:rPr>
              <w:t xml:space="preserve">A 30-day public review period will begin </w:t>
            </w:r>
            <w:r w:rsidRPr="007972BA">
              <w:rPr>
                <w:rFonts w:ascii="Arial" w:hAnsi="Arial" w:cs="Arial"/>
                <w:sz w:val="24"/>
                <w:szCs w:val="24"/>
              </w:rPr>
              <w:t xml:space="preserve">on </w:t>
            </w:r>
            <w:r w:rsidR="00477020" w:rsidRPr="00477020">
              <w:rPr>
                <w:rFonts w:ascii="Arial" w:hAnsi="Arial" w:cs="Arial"/>
                <w:b/>
                <w:bCs/>
                <w:sz w:val="24"/>
                <w:szCs w:val="24"/>
                <w:u w:val="single"/>
              </w:rPr>
              <w:t>May</w:t>
            </w:r>
            <w:r w:rsidR="00DF6B2F" w:rsidRPr="007972BA">
              <w:rPr>
                <w:rFonts w:ascii="Arial" w:hAnsi="Arial" w:cs="Arial"/>
                <w:b/>
                <w:bCs/>
                <w:sz w:val="24"/>
                <w:szCs w:val="24"/>
                <w:u w:val="single"/>
              </w:rPr>
              <w:t xml:space="preserve"> </w:t>
            </w:r>
            <w:r w:rsidR="00E37A84">
              <w:rPr>
                <w:rFonts w:ascii="Arial" w:hAnsi="Arial" w:cs="Arial"/>
                <w:b/>
                <w:bCs/>
                <w:sz w:val="24"/>
                <w:szCs w:val="24"/>
                <w:u w:val="single"/>
              </w:rPr>
              <w:t>8</w:t>
            </w:r>
            <w:r w:rsidR="00DF6B2F" w:rsidRPr="007972BA">
              <w:rPr>
                <w:rFonts w:ascii="Arial" w:hAnsi="Arial" w:cs="Arial"/>
                <w:b/>
                <w:bCs/>
                <w:sz w:val="24"/>
                <w:szCs w:val="24"/>
                <w:u w:val="single"/>
              </w:rPr>
              <w:t>, 2020</w:t>
            </w:r>
            <w:r w:rsidRPr="007972BA">
              <w:rPr>
                <w:rFonts w:ascii="Arial" w:hAnsi="Arial" w:cs="Arial"/>
                <w:sz w:val="24"/>
                <w:szCs w:val="24"/>
              </w:rPr>
              <w:t>. Written</w:t>
            </w:r>
            <w:r w:rsidRPr="004D3983">
              <w:rPr>
                <w:rFonts w:ascii="Arial" w:hAnsi="Arial" w:cs="Arial"/>
                <w:sz w:val="24"/>
                <w:szCs w:val="24"/>
              </w:rPr>
              <w:t xml:space="preserve"> comments must be submitted to the Lead Agency no later than 5:</w:t>
            </w:r>
            <w:r w:rsidRPr="008D5FED">
              <w:rPr>
                <w:rFonts w:ascii="Arial" w:hAnsi="Arial" w:cs="Arial"/>
                <w:sz w:val="24"/>
                <w:szCs w:val="24"/>
              </w:rPr>
              <w:t xml:space="preserve">00 PM on </w:t>
            </w:r>
            <w:r w:rsidR="00477020" w:rsidRPr="00477020">
              <w:rPr>
                <w:rFonts w:ascii="Arial" w:hAnsi="Arial" w:cs="Arial"/>
                <w:b/>
                <w:bCs/>
                <w:sz w:val="24"/>
                <w:szCs w:val="24"/>
                <w:u w:val="single"/>
              </w:rPr>
              <w:t>June</w:t>
            </w:r>
            <w:r w:rsidR="00DF6B2F" w:rsidRPr="00477020">
              <w:rPr>
                <w:rFonts w:ascii="Arial" w:hAnsi="Arial" w:cs="Arial"/>
                <w:b/>
                <w:bCs/>
                <w:sz w:val="24"/>
                <w:szCs w:val="24"/>
                <w:u w:val="single"/>
              </w:rPr>
              <w:t xml:space="preserve"> </w:t>
            </w:r>
            <w:r w:rsidR="00E37A84">
              <w:rPr>
                <w:rFonts w:ascii="Arial" w:hAnsi="Arial" w:cs="Arial"/>
                <w:b/>
                <w:bCs/>
                <w:sz w:val="24"/>
                <w:szCs w:val="24"/>
                <w:u w:val="single"/>
              </w:rPr>
              <w:t>8</w:t>
            </w:r>
            <w:r w:rsidR="00DF6B2F" w:rsidRPr="008D5FED">
              <w:rPr>
                <w:rFonts w:ascii="Arial" w:hAnsi="Arial" w:cs="Arial"/>
                <w:b/>
                <w:bCs/>
                <w:sz w:val="24"/>
                <w:szCs w:val="24"/>
                <w:u w:val="single"/>
              </w:rPr>
              <w:t>, 2020</w:t>
            </w:r>
            <w:r w:rsidRPr="008D5FED">
              <w:rPr>
                <w:rFonts w:ascii="Arial" w:hAnsi="Arial" w:cs="Arial"/>
                <w:sz w:val="24"/>
                <w:szCs w:val="24"/>
              </w:rPr>
              <w:t>.</w:t>
            </w:r>
            <w:r w:rsidRPr="004A1AED">
              <w:rPr>
                <w:rFonts w:ascii="Arial" w:hAnsi="Arial" w:cs="Arial"/>
                <w:sz w:val="24"/>
                <w:szCs w:val="24"/>
              </w:rPr>
              <w:t xml:space="preserve"> </w:t>
            </w:r>
          </w:p>
          <w:p w14:paraId="73E2C8FB" w14:textId="77777777" w:rsidR="004A1AED" w:rsidRDefault="004A1AED" w:rsidP="002C2266">
            <w:pPr>
              <w:jc w:val="both"/>
              <w:rPr>
                <w:rFonts w:ascii="Arial" w:hAnsi="Arial" w:cs="Arial"/>
                <w:sz w:val="24"/>
                <w:szCs w:val="24"/>
              </w:rPr>
            </w:pPr>
          </w:p>
          <w:p w14:paraId="586FAA1A" w14:textId="36D5F3D8" w:rsidR="004A1AED" w:rsidRDefault="0068516F" w:rsidP="002C2266">
            <w:pPr>
              <w:jc w:val="both"/>
              <w:rPr>
                <w:rFonts w:ascii="Arial" w:hAnsi="Arial" w:cs="Arial"/>
                <w:sz w:val="24"/>
                <w:szCs w:val="24"/>
              </w:rPr>
            </w:pPr>
            <w:r>
              <w:rPr>
                <w:rFonts w:ascii="Arial" w:hAnsi="Arial" w:cs="Arial"/>
                <w:sz w:val="24"/>
                <w:szCs w:val="24"/>
              </w:rPr>
              <w:lastRenderedPageBreak/>
              <w:t>Tentative date for public hearing</w:t>
            </w:r>
            <w:r w:rsidR="004A1AED">
              <w:rPr>
                <w:rFonts w:ascii="Arial" w:hAnsi="Arial" w:cs="Arial"/>
                <w:sz w:val="24"/>
                <w:szCs w:val="24"/>
              </w:rPr>
              <w:t>:</w:t>
            </w:r>
          </w:p>
          <w:p w14:paraId="4D43037F" w14:textId="79110E29" w:rsidR="004A1AED" w:rsidRDefault="00E37A84" w:rsidP="002C2266">
            <w:pPr>
              <w:jc w:val="both"/>
              <w:rPr>
                <w:rFonts w:ascii="Arial" w:hAnsi="Arial" w:cs="Arial"/>
                <w:sz w:val="24"/>
                <w:szCs w:val="24"/>
              </w:rPr>
            </w:pPr>
            <w:r w:rsidRPr="00E37A84">
              <w:rPr>
                <w:rFonts w:ascii="Arial" w:hAnsi="Arial" w:cs="Arial"/>
                <w:sz w:val="24"/>
                <w:szCs w:val="24"/>
              </w:rPr>
              <w:t>June</w:t>
            </w:r>
            <w:r w:rsidR="0068516F" w:rsidRPr="00E37A84">
              <w:rPr>
                <w:rFonts w:ascii="Arial" w:hAnsi="Arial" w:cs="Arial"/>
                <w:sz w:val="24"/>
                <w:szCs w:val="24"/>
              </w:rPr>
              <w:t xml:space="preserve"> </w:t>
            </w:r>
            <w:r w:rsidRPr="00E37A84">
              <w:rPr>
                <w:rFonts w:ascii="Arial" w:hAnsi="Arial" w:cs="Arial"/>
                <w:sz w:val="24"/>
                <w:szCs w:val="24"/>
              </w:rPr>
              <w:t>16</w:t>
            </w:r>
            <w:r w:rsidR="0068516F" w:rsidRPr="00E37A84">
              <w:rPr>
                <w:rFonts w:ascii="Arial" w:hAnsi="Arial" w:cs="Arial"/>
                <w:sz w:val="24"/>
                <w:szCs w:val="24"/>
              </w:rPr>
              <w:t>, 2020</w:t>
            </w:r>
            <w:r w:rsidR="004A1AED" w:rsidRPr="00E37A84">
              <w:rPr>
                <w:rFonts w:ascii="Arial" w:hAnsi="Arial" w:cs="Arial"/>
                <w:sz w:val="24"/>
                <w:szCs w:val="24"/>
              </w:rPr>
              <w:t xml:space="preserve"> at 7:00 PM</w:t>
            </w:r>
          </w:p>
          <w:p w14:paraId="1E593A5A" w14:textId="77777777" w:rsidR="00AF0169" w:rsidRPr="00E37A84" w:rsidRDefault="00AF0169" w:rsidP="002C2266">
            <w:pPr>
              <w:jc w:val="both"/>
              <w:rPr>
                <w:rFonts w:ascii="Arial" w:hAnsi="Arial" w:cs="Arial"/>
                <w:sz w:val="24"/>
                <w:szCs w:val="24"/>
              </w:rPr>
            </w:pPr>
            <w:bookmarkStart w:id="2" w:name="_GoBack"/>
            <w:bookmarkEnd w:id="2"/>
          </w:p>
          <w:p w14:paraId="7C2AF0C3" w14:textId="1A5CE6DB" w:rsidR="00AF0169" w:rsidRDefault="00AF0169" w:rsidP="002C2266">
            <w:pPr>
              <w:jc w:val="both"/>
              <w:rPr>
                <w:rFonts w:ascii="Arial" w:hAnsi="Arial" w:cs="Arial"/>
                <w:sz w:val="24"/>
                <w:szCs w:val="24"/>
              </w:rPr>
            </w:pPr>
            <w:r>
              <w:rPr>
                <w:rFonts w:ascii="Arial" w:hAnsi="Arial" w:cs="Arial"/>
                <w:sz w:val="24"/>
                <w:szCs w:val="24"/>
              </w:rPr>
              <w:t xml:space="preserve">Due to COVID19, the City office is closed to the public until May 31, 2020.  If you have questions please contact Tiffany Brown by email at </w:t>
            </w:r>
            <w:hyperlink r:id="rId9" w:history="1">
              <w:r w:rsidRPr="00637D9B">
                <w:rPr>
                  <w:rStyle w:val="Hyperlink"/>
                  <w:rFonts w:ascii="Arial" w:hAnsi="Arial" w:cs="Arial"/>
                  <w:sz w:val="24"/>
                  <w:szCs w:val="24"/>
                </w:rPr>
                <w:t>Tiffany.Brown@MorganHill.CA.Gov</w:t>
              </w:r>
            </w:hyperlink>
            <w:r>
              <w:rPr>
                <w:rFonts w:ascii="Arial" w:hAnsi="Arial" w:cs="Arial"/>
                <w:sz w:val="24"/>
                <w:szCs w:val="24"/>
              </w:rPr>
              <w:t>.  We will make sure you can view the plans and answer any questions you may have.</w:t>
            </w:r>
          </w:p>
          <w:p w14:paraId="5C460197" w14:textId="5EA08F19" w:rsidR="004A1AED" w:rsidRPr="00535134" w:rsidRDefault="004A1AED" w:rsidP="002C2266">
            <w:pPr>
              <w:jc w:val="both"/>
              <w:rPr>
                <w:rFonts w:ascii="Arial" w:hAnsi="Arial" w:cs="Arial"/>
                <w:sz w:val="24"/>
                <w:szCs w:val="24"/>
              </w:rPr>
            </w:pPr>
          </w:p>
        </w:tc>
      </w:tr>
      <w:tr w:rsidR="00535134" w:rsidRPr="00535134" w14:paraId="6739DD42" w14:textId="77777777" w:rsidTr="00C14DD3">
        <w:tc>
          <w:tcPr>
            <w:tcW w:w="10136" w:type="dxa"/>
            <w:shd w:val="pct10" w:color="auto" w:fill="auto"/>
          </w:tcPr>
          <w:p w14:paraId="1C4D942A" w14:textId="77777777" w:rsidR="00535134" w:rsidRPr="00535134" w:rsidRDefault="00535134" w:rsidP="002C2266">
            <w:pPr>
              <w:jc w:val="both"/>
              <w:rPr>
                <w:rFonts w:ascii="Arial" w:hAnsi="Arial" w:cs="Arial"/>
                <w:b/>
                <w:bCs/>
                <w:sz w:val="24"/>
                <w:szCs w:val="24"/>
              </w:rPr>
            </w:pPr>
            <w:r w:rsidRPr="00535134">
              <w:rPr>
                <w:rFonts w:ascii="Arial" w:hAnsi="Arial" w:cs="Arial"/>
                <w:b/>
                <w:bCs/>
                <w:sz w:val="24"/>
                <w:szCs w:val="24"/>
              </w:rPr>
              <w:lastRenderedPageBreak/>
              <w:t>Available Material:</w:t>
            </w:r>
          </w:p>
        </w:tc>
      </w:tr>
      <w:tr w:rsidR="00535134" w:rsidRPr="00535134" w14:paraId="7A95ABC6" w14:textId="77777777" w:rsidTr="00C14DD3">
        <w:tc>
          <w:tcPr>
            <w:tcW w:w="10136" w:type="dxa"/>
          </w:tcPr>
          <w:p w14:paraId="4048DE81" w14:textId="7A6D0FBC" w:rsidR="00C90F28" w:rsidRPr="0068516F" w:rsidRDefault="004A1AED" w:rsidP="00477020">
            <w:pPr>
              <w:jc w:val="both"/>
              <w:rPr>
                <w:rFonts w:ascii="Arial" w:hAnsi="Arial" w:cs="Arial"/>
                <w:sz w:val="24"/>
                <w:szCs w:val="24"/>
              </w:rPr>
            </w:pPr>
            <w:r w:rsidRPr="004A1AED">
              <w:rPr>
                <w:rFonts w:ascii="Arial" w:hAnsi="Arial" w:cs="Arial"/>
                <w:sz w:val="24"/>
                <w:szCs w:val="24"/>
              </w:rPr>
              <w:t>A copy of the draft Initial Study/Mitigated Negative Declaration (IS/MND) and supporting material</w:t>
            </w:r>
            <w:r w:rsidR="00423C2A">
              <w:rPr>
                <w:rFonts w:ascii="Arial" w:hAnsi="Arial" w:cs="Arial"/>
                <w:sz w:val="24"/>
                <w:szCs w:val="24"/>
              </w:rPr>
              <w:t>s</w:t>
            </w:r>
            <w:r w:rsidRPr="004A1AED">
              <w:rPr>
                <w:rFonts w:ascii="Arial" w:hAnsi="Arial" w:cs="Arial"/>
                <w:sz w:val="24"/>
                <w:szCs w:val="24"/>
              </w:rPr>
              <w:t xml:space="preserve"> are available at the</w:t>
            </w:r>
            <w:r w:rsidR="00423C2A">
              <w:rPr>
                <w:rFonts w:ascii="Arial" w:hAnsi="Arial" w:cs="Arial"/>
                <w:sz w:val="24"/>
                <w:szCs w:val="24"/>
              </w:rPr>
              <w:t xml:space="preserve"> City of Morgan Hill, Development Services Department, 17575 Peak Avenue, </w:t>
            </w:r>
            <w:r w:rsidR="00423C2A" w:rsidRPr="0068516F">
              <w:rPr>
                <w:rFonts w:ascii="Arial" w:hAnsi="Arial" w:cs="Arial"/>
                <w:sz w:val="24"/>
                <w:szCs w:val="24"/>
              </w:rPr>
              <w:t xml:space="preserve">Morgan Hill, CA 95037. </w:t>
            </w:r>
            <w:r w:rsidR="00477020" w:rsidRPr="00477020">
              <w:rPr>
                <w:rFonts w:ascii="Arial" w:hAnsi="Arial" w:cs="Arial"/>
                <w:sz w:val="24"/>
                <w:szCs w:val="24"/>
              </w:rPr>
              <w:t xml:space="preserve">However, given the shelter in place order currently in effect throughout Santa Clara County in response to COVID-19, the City of Morgan Hill is closed to the public for </w:t>
            </w:r>
            <w:proofErr w:type="spellStart"/>
            <w:r w:rsidR="00477020" w:rsidRPr="00477020">
              <w:rPr>
                <w:rFonts w:ascii="Arial" w:hAnsi="Arial" w:cs="Arial"/>
                <w:sz w:val="24"/>
                <w:szCs w:val="24"/>
              </w:rPr>
              <w:t>non essential</w:t>
            </w:r>
            <w:proofErr w:type="spellEnd"/>
            <w:r w:rsidR="00477020" w:rsidRPr="00477020">
              <w:rPr>
                <w:rFonts w:ascii="Arial" w:hAnsi="Arial" w:cs="Arial"/>
                <w:sz w:val="24"/>
                <w:szCs w:val="24"/>
              </w:rPr>
              <w:t xml:space="preserve"> services. As a result, the Initial Study/Mitigated Negative Declaration and supporting technical studies should be accessed online for the time being at: </w:t>
            </w:r>
            <w:bookmarkStart w:id="3" w:name="_Hlk14704057"/>
          </w:p>
          <w:bookmarkEnd w:id="3"/>
          <w:p w14:paraId="026E939D" w14:textId="2EE28AE5" w:rsidR="00423C2A" w:rsidRPr="0068516F" w:rsidRDefault="0068516F" w:rsidP="002C2266">
            <w:pPr>
              <w:jc w:val="both"/>
              <w:rPr>
                <w:rFonts w:ascii="Arial" w:hAnsi="Arial" w:cs="Arial"/>
                <w:sz w:val="24"/>
                <w:szCs w:val="24"/>
              </w:rPr>
            </w:pPr>
            <w:r w:rsidRPr="0068516F">
              <w:rPr>
                <w:rFonts w:ascii="Arial" w:hAnsi="Arial" w:cs="Arial"/>
                <w:sz w:val="24"/>
                <w:szCs w:val="24"/>
              </w:rPr>
              <w:fldChar w:fldCharType="begin"/>
            </w:r>
            <w:r w:rsidRPr="0068516F">
              <w:rPr>
                <w:rFonts w:ascii="Arial" w:hAnsi="Arial" w:cs="Arial"/>
                <w:sz w:val="24"/>
                <w:szCs w:val="24"/>
              </w:rPr>
              <w:instrText xml:space="preserve"> HYPERLINK "https://www.morgan-hill.ca.gov/1815/Residential-Projects" </w:instrText>
            </w:r>
            <w:r w:rsidRPr="0068516F">
              <w:rPr>
                <w:rFonts w:ascii="Arial" w:hAnsi="Arial" w:cs="Arial"/>
                <w:sz w:val="24"/>
                <w:szCs w:val="24"/>
              </w:rPr>
              <w:fldChar w:fldCharType="separate"/>
            </w:r>
            <w:r w:rsidRPr="0068516F">
              <w:rPr>
                <w:rStyle w:val="Hyperlink"/>
                <w:rFonts w:ascii="Arial" w:hAnsi="Arial" w:cs="Arial"/>
                <w:sz w:val="24"/>
                <w:szCs w:val="24"/>
              </w:rPr>
              <w:t>https://www.morgan-hill.ca.gov/1815/Residential-Projects</w:t>
            </w:r>
            <w:r w:rsidRPr="0068516F">
              <w:rPr>
                <w:rFonts w:ascii="Arial" w:hAnsi="Arial" w:cs="Arial"/>
                <w:sz w:val="24"/>
                <w:szCs w:val="24"/>
              </w:rPr>
              <w:fldChar w:fldCharType="end"/>
            </w:r>
          </w:p>
          <w:p w14:paraId="43F749E2" w14:textId="77777777" w:rsidR="0068516F" w:rsidRDefault="0068516F" w:rsidP="002C2266">
            <w:pPr>
              <w:jc w:val="both"/>
              <w:rPr>
                <w:rFonts w:ascii="Arial" w:hAnsi="Arial" w:cs="Arial"/>
                <w:sz w:val="24"/>
                <w:szCs w:val="24"/>
              </w:rPr>
            </w:pPr>
          </w:p>
          <w:p w14:paraId="1126C5CB" w14:textId="20ED2EC8" w:rsidR="00423C2A" w:rsidRDefault="00423C2A" w:rsidP="002C2266">
            <w:pPr>
              <w:jc w:val="both"/>
              <w:rPr>
                <w:rFonts w:ascii="Arial" w:hAnsi="Arial" w:cs="Arial"/>
                <w:sz w:val="24"/>
                <w:szCs w:val="24"/>
              </w:rPr>
            </w:pPr>
            <w:r>
              <w:rPr>
                <w:rFonts w:ascii="Arial" w:hAnsi="Arial" w:cs="Arial"/>
                <w:sz w:val="24"/>
                <w:szCs w:val="24"/>
              </w:rPr>
              <w:t xml:space="preserve">A copy of the IS/MND will be posted to the State Clearinghouse: </w:t>
            </w:r>
            <w:hyperlink r:id="rId10" w:history="1">
              <w:r w:rsidRPr="00486A71">
                <w:rPr>
                  <w:rStyle w:val="Hyperlink"/>
                  <w:rFonts w:ascii="Arial" w:hAnsi="Arial" w:cs="Arial"/>
                  <w:sz w:val="24"/>
                  <w:szCs w:val="24"/>
                </w:rPr>
                <w:t>https://ceqanet.opr.ca.gov/</w:t>
              </w:r>
            </w:hyperlink>
          </w:p>
          <w:p w14:paraId="31EA0A30" w14:textId="43786E97" w:rsidR="004A1AED" w:rsidRPr="00535134" w:rsidRDefault="004A1AED" w:rsidP="002C2266">
            <w:pPr>
              <w:jc w:val="both"/>
              <w:rPr>
                <w:rFonts w:ascii="Arial" w:hAnsi="Arial" w:cs="Arial"/>
                <w:sz w:val="24"/>
                <w:szCs w:val="24"/>
              </w:rPr>
            </w:pPr>
          </w:p>
        </w:tc>
      </w:tr>
      <w:tr w:rsidR="00535134" w:rsidRPr="00535134" w14:paraId="23BFBEF5" w14:textId="77777777" w:rsidTr="00C14DD3">
        <w:tc>
          <w:tcPr>
            <w:tcW w:w="10136" w:type="dxa"/>
            <w:shd w:val="pct10" w:color="auto" w:fill="auto"/>
          </w:tcPr>
          <w:p w14:paraId="5AEBD10D" w14:textId="77777777" w:rsidR="00535134" w:rsidRPr="00535134" w:rsidRDefault="00535134" w:rsidP="002C2266">
            <w:pPr>
              <w:jc w:val="both"/>
              <w:rPr>
                <w:rFonts w:ascii="Arial" w:hAnsi="Arial" w:cs="Arial"/>
                <w:b/>
                <w:bCs/>
                <w:sz w:val="24"/>
                <w:szCs w:val="24"/>
              </w:rPr>
            </w:pPr>
            <w:r w:rsidRPr="00535134">
              <w:rPr>
                <w:rFonts w:ascii="Arial" w:hAnsi="Arial" w:cs="Arial"/>
                <w:b/>
                <w:bCs/>
                <w:sz w:val="24"/>
                <w:szCs w:val="24"/>
              </w:rPr>
              <w:t>Contact for Public Comments:</w:t>
            </w:r>
          </w:p>
        </w:tc>
      </w:tr>
      <w:tr w:rsidR="00535134" w:rsidRPr="00535134" w14:paraId="399A5711" w14:textId="77777777" w:rsidTr="00C14DD3">
        <w:tc>
          <w:tcPr>
            <w:tcW w:w="10136" w:type="dxa"/>
          </w:tcPr>
          <w:p w14:paraId="19CA5BAD" w14:textId="2C8AB18F" w:rsidR="00535134" w:rsidRDefault="00423C2A" w:rsidP="002C2266">
            <w:pPr>
              <w:jc w:val="both"/>
              <w:rPr>
                <w:rFonts w:ascii="Arial" w:hAnsi="Arial" w:cs="Arial"/>
                <w:sz w:val="24"/>
                <w:szCs w:val="24"/>
              </w:rPr>
            </w:pPr>
            <w:r w:rsidRPr="00423C2A">
              <w:rPr>
                <w:rFonts w:ascii="Arial" w:hAnsi="Arial" w:cs="Arial"/>
                <w:sz w:val="24"/>
                <w:szCs w:val="24"/>
              </w:rPr>
              <w:t>Written comments on the draft Initial Study/Mitigated Negative Declaration may be addressed to:</w:t>
            </w:r>
            <w:r>
              <w:rPr>
                <w:rFonts w:ascii="Arial" w:hAnsi="Arial" w:cs="Arial"/>
                <w:sz w:val="24"/>
                <w:szCs w:val="24"/>
              </w:rPr>
              <w:t xml:space="preserve"> </w:t>
            </w:r>
            <w:r w:rsidRPr="00423C2A">
              <w:rPr>
                <w:rFonts w:ascii="Arial" w:hAnsi="Arial" w:cs="Arial"/>
                <w:sz w:val="24"/>
                <w:szCs w:val="24"/>
              </w:rPr>
              <w:t>City of Morgan Hill</w:t>
            </w:r>
            <w:r>
              <w:rPr>
                <w:rFonts w:ascii="Arial" w:hAnsi="Arial" w:cs="Arial"/>
                <w:sz w:val="24"/>
                <w:szCs w:val="24"/>
              </w:rPr>
              <w:t xml:space="preserve">, </w:t>
            </w:r>
            <w:r w:rsidRPr="00423C2A">
              <w:rPr>
                <w:rFonts w:ascii="Arial" w:hAnsi="Arial" w:cs="Arial"/>
                <w:sz w:val="24"/>
                <w:szCs w:val="24"/>
              </w:rPr>
              <w:t>Development Services Department</w:t>
            </w:r>
            <w:r>
              <w:rPr>
                <w:rFonts w:ascii="Arial" w:hAnsi="Arial" w:cs="Arial"/>
                <w:sz w:val="24"/>
                <w:szCs w:val="24"/>
              </w:rPr>
              <w:t>,</w:t>
            </w:r>
            <w:r w:rsidRPr="00423C2A">
              <w:rPr>
                <w:rFonts w:ascii="Arial" w:hAnsi="Arial" w:cs="Arial"/>
                <w:sz w:val="24"/>
                <w:szCs w:val="24"/>
              </w:rPr>
              <w:t>17575 Peak Avenue</w:t>
            </w:r>
            <w:r>
              <w:rPr>
                <w:rFonts w:ascii="Arial" w:hAnsi="Arial" w:cs="Arial"/>
                <w:sz w:val="24"/>
                <w:szCs w:val="24"/>
              </w:rPr>
              <w:t xml:space="preserve">, </w:t>
            </w:r>
            <w:r w:rsidRPr="00423C2A">
              <w:rPr>
                <w:rFonts w:ascii="Arial" w:hAnsi="Arial" w:cs="Arial"/>
                <w:sz w:val="24"/>
                <w:szCs w:val="24"/>
              </w:rPr>
              <w:t>Morgan Hill, CA 95037</w:t>
            </w:r>
          </w:p>
          <w:p w14:paraId="5FCA8281" w14:textId="76FD7A9B" w:rsidR="00423C2A" w:rsidRDefault="00423C2A" w:rsidP="002C2266">
            <w:pPr>
              <w:jc w:val="both"/>
              <w:rPr>
                <w:rFonts w:ascii="Arial" w:hAnsi="Arial" w:cs="Arial"/>
                <w:sz w:val="24"/>
                <w:szCs w:val="24"/>
              </w:rPr>
            </w:pPr>
          </w:p>
          <w:p w14:paraId="75559427" w14:textId="47572239" w:rsidR="00423C2A" w:rsidRDefault="00423C2A" w:rsidP="002C2266">
            <w:pPr>
              <w:jc w:val="both"/>
              <w:rPr>
                <w:rFonts w:ascii="Arial" w:hAnsi="Arial" w:cs="Arial"/>
                <w:sz w:val="24"/>
                <w:szCs w:val="24"/>
              </w:rPr>
            </w:pPr>
            <w:r>
              <w:rPr>
                <w:rFonts w:ascii="Arial" w:hAnsi="Arial" w:cs="Arial"/>
                <w:sz w:val="24"/>
                <w:szCs w:val="24"/>
              </w:rPr>
              <w:t xml:space="preserve">Attn: </w:t>
            </w:r>
            <w:r w:rsidR="0068516F">
              <w:rPr>
                <w:rFonts w:ascii="Arial" w:hAnsi="Arial" w:cs="Arial"/>
                <w:sz w:val="24"/>
                <w:szCs w:val="24"/>
              </w:rPr>
              <w:t xml:space="preserve">Tiffany Brown, </w:t>
            </w:r>
            <w:hyperlink r:id="rId11" w:history="1">
              <w:r w:rsidR="0068516F" w:rsidRPr="00547818">
                <w:rPr>
                  <w:rStyle w:val="Hyperlink"/>
                  <w:rFonts w:ascii="Arial" w:hAnsi="Arial" w:cs="Arial"/>
                  <w:sz w:val="24"/>
                  <w:szCs w:val="24"/>
                </w:rPr>
                <w:t>Tiffany.Brown@morganhill.ca.gov</w:t>
              </w:r>
            </w:hyperlink>
            <w:r w:rsidR="0068516F">
              <w:rPr>
                <w:rFonts w:ascii="Arial" w:hAnsi="Arial" w:cs="Arial"/>
                <w:sz w:val="24"/>
                <w:szCs w:val="24"/>
              </w:rPr>
              <w:t xml:space="preserve"> or (408) 310-4655</w:t>
            </w:r>
          </w:p>
          <w:p w14:paraId="0E0D91AD" w14:textId="032BC176" w:rsidR="00423C2A" w:rsidRPr="00535134" w:rsidRDefault="00423C2A" w:rsidP="002C2266">
            <w:pPr>
              <w:jc w:val="both"/>
              <w:rPr>
                <w:rFonts w:ascii="Arial" w:hAnsi="Arial" w:cs="Arial"/>
                <w:sz w:val="24"/>
                <w:szCs w:val="24"/>
              </w:rPr>
            </w:pPr>
          </w:p>
        </w:tc>
      </w:tr>
    </w:tbl>
    <w:p w14:paraId="68E5D408" w14:textId="77777777" w:rsidR="00535134" w:rsidRPr="00535134" w:rsidRDefault="00535134" w:rsidP="00535134">
      <w:pPr>
        <w:jc w:val="left"/>
        <w:rPr>
          <w:rFonts w:ascii="Arial" w:eastAsia="Times New Roman" w:hAnsi="Arial" w:cs="Arial"/>
          <w:sz w:val="24"/>
          <w:szCs w:val="24"/>
        </w:rPr>
      </w:pPr>
    </w:p>
    <w:p w14:paraId="540414A4" w14:textId="77777777" w:rsidR="00535134" w:rsidRPr="00535134" w:rsidRDefault="00535134" w:rsidP="00535134">
      <w:pPr>
        <w:jc w:val="left"/>
        <w:rPr>
          <w:rFonts w:ascii="Arial" w:eastAsia="Times New Roman" w:hAnsi="Arial" w:cs="Arial"/>
          <w:sz w:val="24"/>
          <w:szCs w:val="24"/>
          <w:u w:val="single"/>
        </w:rPr>
      </w:pPr>
    </w:p>
    <w:p w14:paraId="65F79321" w14:textId="7082F7C2" w:rsidR="00535134" w:rsidRPr="008A3A97" w:rsidRDefault="00FD3C21" w:rsidP="00535134">
      <w:pPr>
        <w:tabs>
          <w:tab w:val="left" w:pos="720"/>
          <w:tab w:val="right" w:pos="9720"/>
        </w:tabs>
        <w:jc w:val="left"/>
      </w:pPr>
      <w:r>
        <w:fldChar w:fldCharType="begin"/>
      </w:r>
      <w:r>
        <w:instrText xml:space="preserve"> FILENAME  \p  \* MERGEFORMAT </w:instrText>
      </w:r>
      <w:r>
        <w:fldChar w:fldCharType="separate"/>
      </w:r>
      <w:r w:rsidR="00C14DD3">
        <w:rPr>
          <w:noProof/>
        </w:rPr>
        <w:t>R:\PLANNING\WP51\NOTICE\New NOI Template-7-23-2019.docx</w:t>
      </w:r>
      <w:r>
        <w:rPr>
          <w:noProof/>
        </w:rPr>
        <w:fldChar w:fldCharType="end"/>
      </w:r>
    </w:p>
    <w:sectPr w:rsidR="00535134" w:rsidRPr="008A3A97" w:rsidSect="009E53C2">
      <w:pgSz w:w="12240" w:h="15840"/>
      <w:pgMar w:top="806" w:right="994"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C2894" w14:textId="77777777" w:rsidR="00FD3C21" w:rsidRDefault="00FD3C21" w:rsidP="009E53C2">
      <w:r>
        <w:separator/>
      </w:r>
    </w:p>
  </w:endnote>
  <w:endnote w:type="continuationSeparator" w:id="0">
    <w:p w14:paraId="3863D481" w14:textId="77777777" w:rsidR="00FD3C21" w:rsidRDefault="00FD3C21" w:rsidP="009E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6BC60" w14:textId="77777777" w:rsidR="00FD3C21" w:rsidRDefault="00FD3C21" w:rsidP="009E53C2">
      <w:r>
        <w:separator/>
      </w:r>
    </w:p>
  </w:footnote>
  <w:footnote w:type="continuationSeparator" w:id="0">
    <w:p w14:paraId="1A60F114" w14:textId="77777777" w:rsidR="00FD3C21" w:rsidRDefault="00FD3C21" w:rsidP="009E5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E0C"/>
    <w:multiLevelType w:val="hybridMultilevel"/>
    <w:tmpl w:val="12F00474"/>
    <w:lvl w:ilvl="0" w:tplc="581240A2">
      <w:start w:val="4"/>
      <w:numFmt w:val="decimal"/>
      <w:lvlText w:val="%1."/>
      <w:lvlJc w:val="left"/>
      <w:pPr>
        <w:tabs>
          <w:tab w:val="num" w:pos="2520"/>
        </w:tabs>
        <w:ind w:left="2520" w:hanging="72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7E16483"/>
    <w:multiLevelType w:val="hybridMultilevel"/>
    <w:tmpl w:val="12269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15713C"/>
    <w:multiLevelType w:val="hybridMultilevel"/>
    <w:tmpl w:val="1BDC5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65"/>
    <w:rsid w:val="00015B50"/>
    <w:rsid w:val="00031020"/>
    <w:rsid w:val="001C4165"/>
    <w:rsid w:val="001F6F09"/>
    <w:rsid w:val="00226AEC"/>
    <w:rsid w:val="00244481"/>
    <w:rsid w:val="002765A3"/>
    <w:rsid w:val="002C2266"/>
    <w:rsid w:val="003021B0"/>
    <w:rsid w:val="003603A8"/>
    <w:rsid w:val="003705C8"/>
    <w:rsid w:val="00394273"/>
    <w:rsid w:val="003A5CFA"/>
    <w:rsid w:val="003C2282"/>
    <w:rsid w:val="003C2516"/>
    <w:rsid w:val="00423C2A"/>
    <w:rsid w:val="00477020"/>
    <w:rsid w:val="0049479D"/>
    <w:rsid w:val="004A1AED"/>
    <w:rsid w:val="004D178B"/>
    <w:rsid w:val="004D3983"/>
    <w:rsid w:val="00535134"/>
    <w:rsid w:val="00581421"/>
    <w:rsid w:val="00581D7D"/>
    <w:rsid w:val="005C0AA0"/>
    <w:rsid w:val="00633C15"/>
    <w:rsid w:val="0064102D"/>
    <w:rsid w:val="00643276"/>
    <w:rsid w:val="00650AD3"/>
    <w:rsid w:val="006513A2"/>
    <w:rsid w:val="0068516F"/>
    <w:rsid w:val="0072015A"/>
    <w:rsid w:val="00764871"/>
    <w:rsid w:val="007972BA"/>
    <w:rsid w:val="00816BD8"/>
    <w:rsid w:val="00824177"/>
    <w:rsid w:val="008C347E"/>
    <w:rsid w:val="008D5FED"/>
    <w:rsid w:val="008E4BAC"/>
    <w:rsid w:val="0090647B"/>
    <w:rsid w:val="009145F6"/>
    <w:rsid w:val="009613DD"/>
    <w:rsid w:val="009C0B50"/>
    <w:rsid w:val="009D6888"/>
    <w:rsid w:val="009E53C2"/>
    <w:rsid w:val="00A2547E"/>
    <w:rsid w:val="00A257B7"/>
    <w:rsid w:val="00A43935"/>
    <w:rsid w:val="00AD4197"/>
    <w:rsid w:val="00AF0169"/>
    <w:rsid w:val="00B22774"/>
    <w:rsid w:val="00B411A5"/>
    <w:rsid w:val="00B41EA7"/>
    <w:rsid w:val="00BB0B09"/>
    <w:rsid w:val="00BD7C73"/>
    <w:rsid w:val="00C054A5"/>
    <w:rsid w:val="00C14DD3"/>
    <w:rsid w:val="00C90F28"/>
    <w:rsid w:val="00CF731D"/>
    <w:rsid w:val="00D61F1C"/>
    <w:rsid w:val="00DF6B2F"/>
    <w:rsid w:val="00E37A84"/>
    <w:rsid w:val="00E41F7F"/>
    <w:rsid w:val="00E42816"/>
    <w:rsid w:val="00E56810"/>
    <w:rsid w:val="00EC032C"/>
    <w:rsid w:val="00F3263E"/>
    <w:rsid w:val="00F70073"/>
    <w:rsid w:val="00F802BC"/>
    <w:rsid w:val="00FD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0EAA"/>
  <w15:chartTrackingRefBased/>
  <w15:docId w15:val="{1C07ED32-A1CB-44CC-97C6-D0999418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65"/>
    <w:pPr>
      <w:ind w:left="720"/>
      <w:contextualSpacing/>
    </w:pPr>
  </w:style>
  <w:style w:type="character" w:styleId="CommentReference">
    <w:name w:val="annotation reference"/>
    <w:basedOn w:val="DefaultParagraphFont"/>
    <w:uiPriority w:val="99"/>
    <w:semiHidden/>
    <w:unhideWhenUsed/>
    <w:rsid w:val="001C4165"/>
    <w:rPr>
      <w:sz w:val="16"/>
      <w:szCs w:val="16"/>
    </w:rPr>
  </w:style>
  <w:style w:type="character" w:styleId="Hyperlink">
    <w:name w:val="Hyperlink"/>
    <w:basedOn w:val="DefaultParagraphFont"/>
    <w:unhideWhenUsed/>
    <w:rsid w:val="008C347E"/>
    <w:rPr>
      <w:color w:val="0000FF"/>
      <w:u w:val="single"/>
    </w:rPr>
  </w:style>
  <w:style w:type="character" w:styleId="UnresolvedMention">
    <w:name w:val="Unresolved Mention"/>
    <w:basedOn w:val="DefaultParagraphFont"/>
    <w:uiPriority w:val="99"/>
    <w:semiHidden/>
    <w:unhideWhenUsed/>
    <w:rsid w:val="008C347E"/>
    <w:rPr>
      <w:color w:val="808080"/>
      <w:shd w:val="clear" w:color="auto" w:fill="E6E6E6"/>
    </w:rPr>
  </w:style>
  <w:style w:type="character" w:styleId="FollowedHyperlink">
    <w:name w:val="FollowedHyperlink"/>
    <w:basedOn w:val="DefaultParagraphFont"/>
    <w:uiPriority w:val="99"/>
    <w:semiHidden/>
    <w:unhideWhenUsed/>
    <w:rsid w:val="00015B50"/>
    <w:rPr>
      <w:color w:val="800080" w:themeColor="followedHyperlink"/>
      <w:u w:val="single"/>
    </w:rPr>
  </w:style>
  <w:style w:type="paragraph" w:styleId="Header">
    <w:name w:val="header"/>
    <w:basedOn w:val="Normal"/>
    <w:link w:val="HeaderChar"/>
    <w:uiPriority w:val="99"/>
    <w:unhideWhenUsed/>
    <w:rsid w:val="009E53C2"/>
    <w:pPr>
      <w:tabs>
        <w:tab w:val="center" w:pos="4680"/>
        <w:tab w:val="right" w:pos="9360"/>
      </w:tabs>
    </w:pPr>
  </w:style>
  <w:style w:type="character" w:customStyle="1" w:styleId="HeaderChar">
    <w:name w:val="Header Char"/>
    <w:basedOn w:val="DefaultParagraphFont"/>
    <w:link w:val="Header"/>
    <w:uiPriority w:val="99"/>
    <w:rsid w:val="009E53C2"/>
  </w:style>
  <w:style w:type="paragraph" w:styleId="Footer">
    <w:name w:val="footer"/>
    <w:basedOn w:val="Normal"/>
    <w:link w:val="FooterChar"/>
    <w:uiPriority w:val="99"/>
    <w:unhideWhenUsed/>
    <w:rsid w:val="009E53C2"/>
    <w:pPr>
      <w:tabs>
        <w:tab w:val="center" w:pos="4680"/>
        <w:tab w:val="right" w:pos="9360"/>
      </w:tabs>
    </w:pPr>
  </w:style>
  <w:style w:type="character" w:customStyle="1" w:styleId="FooterChar">
    <w:name w:val="Footer Char"/>
    <w:basedOn w:val="DefaultParagraphFont"/>
    <w:link w:val="Footer"/>
    <w:uiPriority w:val="99"/>
    <w:rsid w:val="009E53C2"/>
  </w:style>
  <w:style w:type="paragraph" w:styleId="NoSpacing">
    <w:name w:val="No Spacing"/>
    <w:uiPriority w:val="1"/>
    <w:qFormat/>
    <w:rsid w:val="008E4BAC"/>
    <w:pPr>
      <w:jc w:val="left"/>
    </w:pPr>
  </w:style>
  <w:style w:type="table" w:styleId="TableGrid">
    <w:name w:val="Table Grid"/>
    <w:basedOn w:val="TableNormal"/>
    <w:rsid w:val="0053513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ffany.Brown@morganhill.ca.gov" TargetMode="External"/><Relationship Id="rId5" Type="http://schemas.openxmlformats.org/officeDocument/2006/relationships/webSettings" Target="webSettings.xml"/><Relationship Id="rId10" Type="http://schemas.openxmlformats.org/officeDocument/2006/relationships/hyperlink" Target="https://ceqanet.opr.ca.gov/" TargetMode="External"/><Relationship Id="rId4" Type="http://schemas.openxmlformats.org/officeDocument/2006/relationships/settings" Target="settings.xml"/><Relationship Id="rId9" Type="http://schemas.openxmlformats.org/officeDocument/2006/relationships/hyperlink" Target="mailto:Tiffany.Brown@MorganHill.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6779C-AB18-43DC-96D2-6D17C0E3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Little</dc:creator>
  <cp:keywords/>
  <dc:description/>
  <cp:lastModifiedBy>Tiffany Brown</cp:lastModifiedBy>
  <cp:revision>2</cp:revision>
  <dcterms:created xsi:type="dcterms:W3CDTF">2020-05-08T18:41:00Z</dcterms:created>
  <dcterms:modified xsi:type="dcterms:W3CDTF">2020-05-08T18:41:00Z</dcterms:modified>
</cp:coreProperties>
</file>