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B104" w14:textId="4D396723" w:rsidR="4D0B7516" w:rsidRPr="00115056" w:rsidRDefault="4D0B7516" w:rsidP="4D0B7516">
      <w:pPr>
        <w:pStyle w:val="Heading1"/>
        <w:spacing w:before="0"/>
        <w:rPr>
          <w:rFonts w:ascii="Segoe UI" w:hAnsi="Segoe UI" w:cs="Segoe UI"/>
        </w:rPr>
      </w:pPr>
    </w:p>
    <w:p w14:paraId="08994EBB" w14:textId="373A070B" w:rsidR="4D0B7516" w:rsidRPr="00F7596C" w:rsidRDefault="4D0B7516" w:rsidP="4D0B7516">
      <w:pPr>
        <w:pStyle w:val="Heading1"/>
        <w:spacing w:before="0"/>
        <w:rPr>
          <w:b/>
        </w:rPr>
      </w:pPr>
      <w:r w:rsidRPr="00F7596C">
        <w:rPr>
          <w:b/>
        </w:rPr>
        <w:t>NOTICE OF INTENT</w:t>
      </w:r>
    </w:p>
    <w:p w14:paraId="2C078E63" w14:textId="7BDD536F" w:rsidR="00D66097" w:rsidRPr="00F7596C" w:rsidRDefault="00AB3E52" w:rsidP="4D0B7516">
      <w:pPr>
        <w:pStyle w:val="Heading1"/>
        <w:spacing w:before="0"/>
        <w:rPr>
          <w:b/>
        </w:rPr>
      </w:pPr>
      <w:r>
        <w:rPr>
          <w:b/>
        </w:rPr>
        <w:t>Initial Study/</w:t>
      </w:r>
      <w:r w:rsidR="4D0B7516" w:rsidRPr="00F7596C">
        <w:rPr>
          <w:b/>
        </w:rPr>
        <w:t xml:space="preserve">Mitigated Negative Declaration </w:t>
      </w:r>
    </w:p>
    <w:p w14:paraId="35F31CC1" w14:textId="77777777" w:rsidR="00F7596C" w:rsidRPr="00F7596C" w:rsidRDefault="4D0B7516" w:rsidP="00F7596C">
      <w:pPr>
        <w:pStyle w:val="Heading1"/>
        <w:spacing w:before="0"/>
        <w:rPr>
          <w:rFonts w:ascii="Segoe UI" w:eastAsia="Segoe UI" w:hAnsi="Segoe UI" w:cs="Segoe UI"/>
          <w:b/>
        </w:rPr>
      </w:pPr>
      <w:r w:rsidRPr="00F7596C">
        <w:rPr>
          <w:b/>
        </w:rPr>
        <w:t xml:space="preserve">  For</w:t>
      </w:r>
    </w:p>
    <w:p w14:paraId="2BA2E1A6" w14:textId="500048BB" w:rsidR="20519E6C" w:rsidRPr="00F7596C" w:rsidRDefault="4D0B7516" w:rsidP="00F7596C">
      <w:pPr>
        <w:pStyle w:val="Heading1"/>
        <w:spacing w:before="0"/>
        <w:rPr>
          <w:rFonts w:ascii="Segoe UI" w:eastAsia="Segoe UI" w:hAnsi="Segoe UI" w:cs="Segoe UI"/>
          <w:b/>
        </w:rPr>
      </w:pPr>
      <w:r w:rsidRPr="00F7596C">
        <w:rPr>
          <w:b/>
        </w:rPr>
        <w:t>Town of Discovery Bay - Diffuser Outfall Repairs</w:t>
      </w:r>
    </w:p>
    <w:p w14:paraId="45CF6A01" w14:textId="435BFD5E" w:rsidR="4D0B7516" w:rsidRPr="00506D8B" w:rsidRDefault="00837651" w:rsidP="4D0B7516">
      <w:pPr>
        <w:pStyle w:val="Heading3"/>
        <w:rPr>
          <w:rFonts w:ascii="Segoe UI" w:eastAsia="Segoe UI" w:hAnsi="Segoe UI" w:cs="Segoe UI"/>
          <w:sz w:val="22"/>
          <w:szCs w:val="22"/>
        </w:rPr>
      </w:pPr>
      <w:r>
        <w:rPr>
          <w:rFonts w:ascii="Segoe UI" w:eastAsia="Segoe UI" w:hAnsi="Segoe UI" w:cs="Segoe UI"/>
          <w:sz w:val="22"/>
          <w:szCs w:val="22"/>
        </w:rPr>
        <w:t>(</w:t>
      </w:r>
      <w:r w:rsidR="4D0B7516" w:rsidRPr="00506D8B">
        <w:rPr>
          <w:rFonts w:ascii="Segoe UI" w:eastAsia="Segoe UI" w:hAnsi="Segoe UI" w:cs="Segoe UI"/>
          <w:sz w:val="22"/>
          <w:szCs w:val="22"/>
        </w:rPr>
        <w:t>According to Title 14, California Code of Regulations; chapter 3. Guidelines for Implementation of the California Environmental Quality Act</w:t>
      </w:r>
    </w:p>
    <w:p w14:paraId="32266A47" w14:textId="3B13D2D8" w:rsidR="4D0B7516" w:rsidRPr="00506D8B" w:rsidRDefault="4D0B7516" w:rsidP="4D0B7516">
      <w:pPr>
        <w:pStyle w:val="Heading3"/>
        <w:rPr>
          <w:rFonts w:ascii="Segoe UI" w:eastAsia="Segoe UI" w:hAnsi="Segoe UI" w:cs="Segoe UI"/>
          <w:sz w:val="22"/>
          <w:szCs w:val="22"/>
        </w:rPr>
      </w:pPr>
      <w:r w:rsidRPr="00506D8B">
        <w:rPr>
          <w:rFonts w:ascii="Segoe UI" w:eastAsia="Segoe UI" w:hAnsi="Segoe UI" w:cs="Segoe UI"/>
          <w:sz w:val="22"/>
          <w:szCs w:val="22"/>
        </w:rPr>
        <w:t>Article 6. Negative Declaration Process, Sections 15070 to 15075</w:t>
      </w:r>
      <w:r w:rsidR="00837651">
        <w:rPr>
          <w:rFonts w:ascii="Segoe UI" w:eastAsia="Segoe UI" w:hAnsi="Segoe UI" w:cs="Segoe UI"/>
          <w:sz w:val="22"/>
          <w:szCs w:val="22"/>
        </w:rPr>
        <w:t>)</w:t>
      </w:r>
    </w:p>
    <w:p w14:paraId="7F16DDF7" w14:textId="64B48606" w:rsidR="4D0B7516" w:rsidRPr="00837651" w:rsidRDefault="4D0B7516" w:rsidP="00837651">
      <w:pPr>
        <w:rPr>
          <w:rFonts w:ascii="Segoe UI" w:hAnsi="Segoe UI" w:cs="Segoe UI"/>
        </w:rPr>
      </w:pPr>
    </w:p>
    <w:p w14:paraId="69B5E9F9" w14:textId="552EAEB1" w:rsidR="00810116" w:rsidRDefault="00810116" w:rsidP="00687B06">
      <w:pPr>
        <w:pStyle w:val="Heading3"/>
        <w:numPr>
          <w:ilvl w:val="0"/>
          <w:numId w:val="4"/>
        </w:numPr>
        <w:rPr>
          <w:rFonts w:ascii="Segoe UI" w:hAnsi="Segoe UI" w:cs="Segoe UI"/>
        </w:rPr>
      </w:pPr>
      <w:r w:rsidRPr="00810116">
        <w:rPr>
          <w:rFonts w:ascii="Segoe UI" w:hAnsi="Segoe UI" w:cs="Segoe UI"/>
        </w:rPr>
        <w:t>Proposed Project and Location</w:t>
      </w:r>
    </w:p>
    <w:p w14:paraId="444CE65F" w14:textId="3494B716" w:rsidR="00687B06" w:rsidRPr="00687B06" w:rsidRDefault="00687B06" w:rsidP="00687B06">
      <w:pPr>
        <w:rPr>
          <w:rFonts w:ascii="Segoe UI" w:hAnsi="Segoe UI" w:cs="Segoe UI"/>
        </w:rPr>
      </w:pPr>
      <w:r w:rsidRPr="00687B06">
        <w:rPr>
          <w:rFonts w:ascii="Segoe UI" w:hAnsi="Segoe UI" w:cs="Segoe UI"/>
        </w:rPr>
        <w:t xml:space="preserve">The </w:t>
      </w:r>
      <w:r w:rsidR="00115056">
        <w:rPr>
          <w:rFonts w:ascii="Segoe UI" w:hAnsi="Segoe UI" w:cs="Segoe UI"/>
        </w:rPr>
        <w:t xml:space="preserve">purpose of the </w:t>
      </w:r>
      <w:r w:rsidRPr="00687B06">
        <w:rPr>
          <w:rFonts w:ascii="Segoe UI" w:hAnsi="Segoe UI" w:cs="Segoe UI"/>
        </w:rPr>
        <w:t>proposed project is to up-grade Plant 2 of the Town of Discovery Bay’s waste water treatment plant, and specifically, the plant 2 diffuser system. This plant is located diagonally across State Highway 4 from Plant 1. State Highway 4 forms the north boundary of the site, separating it from open agricultural land. The R D-800 drainage canal forms the west and south boundary of the Plant 2 site, separating it from open agricultural land. There is open agricultural land to the east of the plant. The site is nearly flat at about 10 feet below sea level. Plant 2 consists of an oxidation ditch, secondary clarifier with lift station, pump station, ultraviolet disinfection system, modified flow splitter box, and two sludge lagoons.</w:t>
      </w:r>
    </w:p>
    <w:p w14:paraId="230394CF" w14:textId="29EDA3E2" w:rsidR="00810116" w:rsidRPr="00687B06" w:rsidRDefault="00810116" w:rsidP="00810116">
      <w:pPr>
        <w:pStyle w:val="ADBodyText"/>
        <w:rPr>
          <w:rFonts w:cs="Segoe UI"/>
          <w:sz w:val="22"/>
          <w:szCs w:val="22"/>
        </w:rPr>
      </w:pPr>
      <w:r w:rsidRPr="00687B06">
        <w:rPr>
          <w:rFonts w:cs="Segoe UI"/>
          <w:sz w:val="22"/>
          <w:szCs w:val="22"/>
        </w:rPr>
        <w:t>This existing outfall</w:t>
      </w:r>
      <w:r w:rsidR="00687B06" w:rsidRPr="00687B06">
        <w:rPr>
          <w:rFonts w:cs="Segoe UI"/>
          <w:sz w:val="22"/>
          <w:szCs w:val="22"/>
        </w:rPr>
        <w:t xml:space="preserve"> of plant 2</w:t>
      </w:r>
      <w:r w:rsidRPr="00687B06">
        <w:rPr>
          <w:rFonts w:cs="Segoe UI"/>
          <w:sz w:val="22"/>
          <w:szCs w:val="22"/>
        </w:rPr>
        <w:t>, constructed in May 2004, is comprised of a multi-port diffuser structure developed by Flow Science</w:t>
      </w:r>
      <w:r w:rsidR="00115056">
        <w:rPr>
          <w:rFonts w:cs="Segoe UI"/>
          <w:sz w:val="22"/>
          <w:szCs w:val="22"/>
        </w:rPr>
        <w:t>,</w:t>
      </w:r>
      <w:r w:rsidRPr="00687B06">
        <w:rPr>
          <w:rFonts w:cs="Segoe UI"/>
          <w:sz w:val="22"/>
          <w:szCs w:val="22"/>
        </w:rPr>
        <w:t xml:space="preserve"> Inc. After operating the outfall for approximately 9 years, the T</w:t>
      </w:r>
      <w:r w:rsidR="00C26CC4" w:rsidRPr="00687B06">
        <w:rPr>
          <w:rFonts w:cs="Segoe UI"/>
          <w:sz w:val="22"/>
          <w:szCs w:val="22"/>
        </w:rPr>
        <w:t>own of Discovery Bay</w:t>
      </w:r>
      <w:r w:rsidRPr="00687B06">
        <w:rPr>
          <w:rFonts w:cs="Segoe UI"/>
          <w:sz w:val="22"/>
          <w:szCs w:val="22"/>
        </w:rPr>
        <w:t xml:space="preserve"> noticed a gradual performance degradation of the effluent pumping system. The pumps were not able to discharge the design flow through the outfall</w:t>
      </w:r>
      <w:r w:rsidR="00115056">
        <w:rPr>
          <w:rFonts w:cs="Segoe UI"/>
          <w:sz w:val="22"/>
          <w:szCs w:val="22"/>
        </w:rPr>
        <w:t>,</w:t>
      </w:r>
      <w:r w:rsidRPr="00687B06">
        <w:rPr>
          <w:rFonts w:cs="Segoe UI"/>
          <w:sz w:val="22"/>
          <w:szCs w:val="22"/>
        </w:rPr>
        <w:t xml:space="preserve"> and operators suspected that it was plugged with sediment. On May 15, 2013 an underwater visual inspection of the outfall</w:t>
      </w:r>
      <w:r w:rsidR="00C26CC4" w:rsidRPr="00687B06">
        <w:rPr>
          <w:rFonts w:cs="Segoe UI"/>
          <w:sz w:val="22"/>
          <w:szCs w:val="22"/>
        </w:rPr>
        <w:t xml:space="preserve"> was conducted,</w:t>
      </w:r>
      <w:r w:rsidRPr="00687B06">
        <w:rPr>
          <w:rFonts w:cs="Segoe UI"/>
          <w:sz w:val="22"/>
          <w:szCs w:val="22"/>
        </w:rPr>
        <w:t xml:space="preserve"> including 123 ft of </w:t>
      </w:r>
      <w:r w:rsidR="00AB3E52" w:rsidRPr="00AB3E52">
        <w:rPr>
          <w:rFonts w:cs="Segoe UI"/>
          <w:sz w:val="22"/>
          <w:szCs w:val="22"/>
        </w:rPr>
        <w:t>High-density polyethylene</w:t>
      </w:r>
      <w:r w:rsidR="00AB3E52">
        <w:rPr>
          <w:rFonts w:cs="Segoe UI"/>
          <w:sz w:val="22"/>
          <w:szCs w:val="22"/>
        </w:rPr>
        <w:t xml:space="preserve"> (</w:t>
      </w:r>
      <w:r w:rsidRPr="00687B06">
        <w:rPr>
          <w:rFonts w:cs="Segoe UI"/>
          <w:sz w:val="22"/>
          <w:szCs w:val="22"/>
        </w:rPr>
        <w:t>HDPE</w:t>
      </w:r>
      <w:r w:rsidR="00AB3E52">
        <w:rPr>
          <w:rFonts w:cs="Segoe UI"/>
          <w:sz w:val="22"/>
          <w:szCs w:val="22"/>
        </w:rPr>
        <w:t>)</w:t>
      </w:r>
      <w:r w:rsidRPr="00687B06">
        <w:rPr>
          <w:rFonts w:cs="Segoe UI"/>
          <w:sz w:val="22"/>
          <w:szCs w:val="22"/>
        </w:rPr>
        <w:t xml:space="preserve"> pipe comprised of 18-in, 10-in and 6-in pipe </w:t>
      </w:r>
      <w:r w:rsidRPr="00687B06">
        <w:rPr>
          <w:sz w:val="22"/>
          <w:szCs w:val="22"/>
        </w:rPr>
        <w:t>segments</w:t>
      </w:r>
      <w:r w:rsidRPr="00687B06">
        <w:rPr>
          <w:rFonts w:cs="Segoe UI"/>
          <w:sz w:val="22"/>
          <w:szCs w:val="22"/>
        </w:rPr>
        <w:t>. The result of the inspection revealed that, out of the 36 diffuser ports, two of them were missing and no flow (except for one port) was observed in the downstream-most 6-in segment.</w:t>
      </w:r>
    </w:p>
    <w:p w14:paraId="18E04A9B" w14:textId="7977D82F" w:rsidR="00810116" w:rsidRDefault="00C26CC4" w:rsidP="00810116">
      <w:pPr>
        <w:pStyle w:val="ADBodyText"/>
        <w:rPr>
          <w:rFonts w:cs="Segoe UI"/>
          <w:sz w:val="22"/>
          <w:szCs w:val="22"/>
        </w:rPr>
      </w:pPr>
      <w:r w:rsidRPr="00687B06">
        <w:rPr>
          <w:rFonts w:cs="Segoe UI"/>
          <w:sz w:val="22"/>
          <w:szCs w:val="22"/>
        </w:rPr>
        <w:t>Subsequent test</w:t>
      </w:r>
      <w:r w:rsidR="00A0004B" w:rsidRPr="00687B06">
        <w:rPr>
          <w:rFonts w:cs="Segoe UI"/>
          <w:sz w:val="22"/>
          <w:szCs w:val="22"/>
        </w:rPr>
        <w:t xml:space="preserve">s </w:t>
      </w:r>
      <w:r w:rsidRPr="00687B06">
        <w:rPr>
          <w:rFonts w:cs="Segoe UI"/>
          <w:sz w:val="22"/>
          <w:szCs w:val="22"/>
        </w:rPr>
        <w:t>and inspections</w:t>
      </w:r>
      <w:r w:rsidR="00A0004B" w:rsidRPr="00687B06">
        <w:rPr>
          <w:rFonts w:cs="Segoe UI"/>
          <w:sz w:val="22"/>
          <w:szCs w:val="22"/>
        </w:rPr>
        <w:t xml:space="preserve"> in 2013 and 2017</w:t>
      </w:r>
      <w:r w:rsidRPr="00687B06">
        <w:rPr>
          <w:rFonts w:cs="Segoe UI"/>
          <w:sz w:val="22"/>
          <w:szCs w:val="22"/>
        </w:rPr>
        <w:t xml:space="preserve"> confirmed that</w:t>
      </w:r>
      <w:r w:rsidR="00A0004B" w:rsidRPr="00687B06">
        <w:rPr>
          <w:rFonts w:cs="Segoe UI"/>
          <w:sz w:val="22"/>
          <w:szCs w:val="22"/>
        </w:rPr>
        <w:t xml:space="preserve"> the diffuser was damaged and/or obstructed with sediment. </w:t>
      </w:r>
      <w:r w:rsidR="00810116" w:rsidRPr="00687B06">
        <w:rPr>
          <w:rFonts w:cs="Segoe UI"/>
          <w:sz w:val="22"/>
          <w:szCs w:val="22"/>
        </w:rPr>
        <w:t>The proposed replacement outfall diffuser is necessary to comply with the</w:t>
      </w:r>
      <w:r w:rsidR="00CB5CB5">
        <w:rPr>
          <w:rFonts w:cs="Segoe UI"/>
          <w:sz w:val="22"/>
          <w:szCs w:val="22"/>
        </w:rPr>
        <w:t xml:space="preserve"> Regional Water Quality Control Board, Region 5 – Central Valley</w:t>
      </w:r>
      <w:r w:rsidR="00C328EF">
        <w:rPr>
          <w:rFonts w:cs="Segoe UI"/>
          <w:sz w:val="22"/>
          <w:szCs w:val="22"/>
        </w:rPr>
        <w:t xml:space="preserve"> Region</w:t>
      </w:r>
      <w:r w:rsidR="00810116" w:rsidRPr="00687B06">
        <w:rPr>
          <w:rFonts w:cs="Segoe UI"/>
          <w:sz w:val="22"/>
          <w:szCs w:val="22"/>
        </w:rPr>
        <w:t xml:space="preserve"> </w:t>
      </w:r>
      <w:r w:rsidR="00CB5CB5">
        <w:rPr>
          <w:rFonts w:cs="Segoe UI"/>
          <w:sz w:val="22"/>
          <w:szCs w:val="22"/>
        </w:rPr>
        <w:t>(</w:t>
      </w:r>
      <w:r w:rsidR="00810116" w:rsidRPr="00687B06">
        <w:rPr>
          <w:rFonts w:cs="Segoe UI"/>
          <w:sz w:val="22"/>
          <w:szCs w:val="22"/>
        </w:rPr>
        <w:t>RWQCB5</w:t>
      </w:r>
      <w:r w:rsidR="00C328EF">
        <w:rPr>
          <w:rFonts w:cs="Segoe UI"/>
          <w:sz w:val="22"/>
          <w:szCs w:val="22"/>
        </w:rPr>
        <w:t>)</w:t>
      </w:r>
      <w:r w:rsidR="00810116" w:rsidRPr="00687B06">
        <w:rPr>
          <w:sz w:val="22"/>
          <w:szCs w:val="22"/>
        </w:rPr>
        <w:t xml:space="preserve"> </w:t>
      </w:r>
      <w:r w:rsidR="00810116" w:rsidRPr="00687B06">
        <w:rPr>
          <w:rFonts w:cs="Segoe UI"/>
          <w:sz w:val="22"/>
          <w:szCs w:val="22"/>
        </w:rPr>
        <w:t xml:space="preserve">Water Discharge </w:t>
      </w:r>
      <w:r w:rsidR="00810116" w:rsidRPr="00687B06">
        <w:rPr>
          <w:sz w:val="22"/>
          <w:szCs w:val="22"/>
        </w:rPr>
        <w:t>Requirements</w:t>
      </w:r>
      <w:r w:rsidR="00810116" w:rsidRPr="00687B06">
        <w:rPr>
          <w:rFonts w:cs="Segoe UI"/>
          <w:sz w:val="22"/>
          <w:szCs w:val="22"/>
        </w:rPr>
        <w:t xml:space="preserve"> Order No. R5-2003-0067 and </w:t>
      </w:r>
      <w:r w:rsidR="00AB3E52">
        <w:rPr>
          <w:rFonts w:cs="Segoe UI"/>
          <w:sz w:val="22"/>
          <w:szCs w:val="22"/>
        </w:rPr>
        <w:t xml:space="preserve">National </w:t>
      </w:r>
      <w:r w:rsidR="00AB3E52" w:rsidRPr="00AB3E52">
        <w:rPr>
          <w:rFonts w:cs="Segoe UI"/>
          <w:sz w:val="22"/>
          <w:szCs w:val="22"/>
        </w:rPr>
        <w:t xml:space="preserve">Pollutant Discharge Elimination System </w:t>
      </w:r>
      <w:r w:rsidR="00AB3E52">
        <w:rPr>
          <w:rFonts w:cs="Segoe UI"/>
          <w:sz w:val="22"/>
          <w:szCs w:val="22"/>
        </w:rPr>
        <w:t>(</w:t>
      </w:r>
      <w:r w:rsidR="00810116" w:rsidRPr="00687B06">
        <w:rPr>
          <w:rFonts w:cs="Segoe UI"/>
          <w:sz w:val="22"/>
          <w:szCs w:val="22"/>
        </w:rPr>
        <w:t>NPDES</w:t>
      </w:r>
      <w:r w:rsidR="00AB3E52">
        <w:rPr>
          <w:rFonts w:cs="Segoe UI"/>
          <w:sz w:val="22"/>
          <w:szCs w:val="22"/>
        </w:rPr>
        <w:t>)</w:t>
      </w:r>
      <w:r w:rsidR="00810116" w:rsidRPr="00687B06">
        <w:rPr>
          <w:rFonts w:cs="Segoe UI"/>
          <w:sz w:val="22"/>
          <w:szCs w:val="22"/>
        </w:rPr>
        <w:t xml:space="preserve"> Permit No. CA0078590. The repairs and replacement sections planned for the outfall structure would restore the original dispersion functionality to comply with the RWQCB5 requirements. It would consist of the originally</w:t>
      </w:r>
      <w:r w:rsidR="00115056">
        <w:rPr>
          <w:rFonts w:cs="Segoe UI"/>
          <w:sz w:val="22"/>
          <w:szCs w:val="22"/>
        </w:rPr>
        <w:t xml:space="preserve"> </w:t>
      </w:r>
      <w:r w:rsidR="00810116" w:rsidRPr="00687B06">
        <w:rPr>
          <w:rFonts w:cs="Segoe UI"/>
          <w:sz w:val="22"/>
          <w:szCs w:val="22"/>
        </w:rPr>
        <w:t>designed 36 ports within a constant 18-in diameter HDPE pipe segment that would release treated effluent into Old River at a non-erosive rate while effectively dispersing effluent to dilute concentrations of listed pollutant parameters</w:t>
      </w:r>
      <w:r w:rsidR="00EE1DFB">
        <w:rPr>
          <w:rFonts w:cs="Segoe UI"/>
          <w:sz w:val="22"/>
          <w:szCs w:val="22"/>
        </w:rPr>
        <w:t xml:space="preserve"> (Figure 1)</w:t>
      </w:r>
      <w:r w:rsidR="00810116" w:rsidRPr="00687B06">
        <w:rPr>
          <w:rFonts w:cs="Segoe UI"/>
          <w:sz w:val="22"/>
          <w:szCs w:val="22"/>
        </w:rPr>
        <w:t xml:space="preserve">. </w:t>
      </w:r>
    </w:p>
    <w:p w14:paraId="22B6C258" w14:textId="0D7DD8CC" w:rsidR="00115056" w:rsidRPr="00EE1DFB" w:rsidRDefault="00115056" w:rsidP="00810116">
      <w:pPr>
        <w:pStyle w:val="ADBodyText"/>
        <w:rPr>
          <w:rFonts w:cs="Segoe UI"/>
          <w:sz w:val="22"/>
          <w:szCs w:val="22"/>
        </w:rPr>
      </w:pPr>
      <w:r w:rsidRPr="00EE1DFB">
        <w:rPr>
          <w:rFonts w:cs="Segoe UI"/>
          <w:sz w:val="22"/>
          <w:szCs w:val="22"/>
        </w:rPr>
        <w:t>The specific objectives of the proposed project are as follows:</w:t>
      </w:r>
    </w:p>
    <w:p w14:paraId="6F9ADB2C" w14:textId="38D9B31B" w:rsidR="00810116" w:rsidRDefault="00810116" w:rsidP="00115056">
      <w:pPr>
        <w:pStyle w:val="Heading2"/>
        <w:keepLines w:val="0"/>
        <w:numPr>
          <w:ilvl w:val="1"/>
          <w:numId w:val="0"/>
        </w:numPr>
        <w:tabs>
          <w:tab w:val="left" w:pos="1134"/>
        </w:tabs>
        <w:spacing w:before="240" w:after="180" w:line="240" w:lineRule="auto"/>
        <w:rPr>
          <w:rFonts w:cs="Segoe UI"/>
        </w:rPr>
      </w:pPr>
    </w:p>
    <w:p w14:paraId="22D71009" w14:textId="369FB40D" w:rsidR="00810116" w:rsidRPr="00115056" w:rsidRDefault="00810116" w:rsidP="00810116">
      <w:pPr>
        <w:pStyle w:val="ADListNumber1"/>
        <w:rPr>
          <w:sz w:val="22"/>
          <w:szCs w:val="22"/>
        </w:rPr>
      </w:pPr>
      <w:r w:rsidRPr="00115056">
        <w:rPr>
          <w:sz w:val="22"/>
          <w:szCs w:val="22"/>
        </w:rPr>
        <w:t xml:space="preserve">Restore original operational performance capability to the outfall </w:t>
      </w:r>
      <w:r w:rsidR="00EE1DFB" w:rsidRPr="00115056">
        <w:rPr>
          <w:sz w:val="22"/>
          <w:szCs w:val="22"/>
        </w:rPr>
        <w:t>to</w:t>
      </w:r>
      <w:r w:rsidRPr="00115056">
        <w:rPr>
          <w:sz w:val="22"/>
          <w:szCs w:val="22"/>
        </w:rPr>
        <w:t xml:space="preserve"> meet dilution requirements for copper, ammonia, nitrate/nitrite and other parameters listed in the NPDES permit issued by the RWQCB5. </w:t>
      </w:r>
    </w:p>
    <w:p w14:paraId="2F8EF639" w14:textId="77777777" w:rsidR="00810116" w:rsidRPr="00115056" w:rsidRDefault="00810116" w:rsidP="00810116">
      <w:pPr>
        <w:pStyle w:val="ADListNumber1"/>
        <w:rPr>
          <w:rFonts w:cs="Segoe UI"/>
          <w:sz w:val="22"/>
          <w:szCs w:val="22"/>
        </w:rPr>
      </w:pPr>
      <w:r w:rsidRPr="00115056">
        <w:rPr>
          <w:sz w:val="22"/>
          <w:szCs w:val="22"/>
        </w:rPr>
        <w:t>Make</w:t>
      </w:r>
      <w:r w:rsidRPr="00115056">
        <w:rPr>
          <w:rFonts w:cs="Segoe UI"/>
          <w:sz w:val="22"/>
          <w:szCs w:val="22"/>
        </w:rPr>
        <w:t xml:space="preserve"> improvements to the outfall that would facilitate maintenance and improve the operational performance between maintenance cycles. </w:t>
      </w:r>
    </w:p>
    <w:p w14:paraId="1A88B117" w14:textId="77777777" w:rsidR="00810116" w:rsidRPr="00115056" w:rsidRDefault="00810116" w:rsidP="00810116">
      <w:pPr>
        <w:pStyle w:val="ADListNumber1"/>
        <w:rPr>
          <w:rFonts w:cs="Segoe UI"/>
          <w:sz w:val="22"/>
          <w:szCs w:val="22"/>
        </w:rPr>
      </w:pPr>
      <w:r w:rsidRPr="00115056">
        <w:rPr>
          <w:sz w:val="22"/>
          <w:szCs w:val="22"/>
        </w:rPr>
        <w:t>Include</w:t>
      </w:r>
      <w:r w:rsidRPr="00115056">
        <w:rPr>
          <w:rFonts w:cs="Segoe UI"/>
          <w:sz w:val="22"/>
          <w:szCs w:val="22"/>
        </w:rPr>
        <w:t xml:space="preserve"> a means for flushing sediment trapped within the outfall as it impedes hydraulic performance and reduces effluent dilution effectiveness.</w:t>
      </w:r>
    </w:p>
    <w:p w14:paraId="08FE84AB" w14:textId="61A1B81D" w:rsidR="00810116" w:rsidRDefault="00810116" w:rsidP="00810116">
      <w:pPr>
        <w:pStyle w:val="ADListNumber1"/>
        <w:rPr>
          <w:rFonts w:cs="Segoe UI"/>
          <w:sz w:val="22"/>
          <w:szCs w:val="22"/>
        </w:rPr>
      </w:pPr>
      <w:r w:rsidRPr="00115056">
        <w:rPr>
          <w:sz w:val="22"/>
          <w:szCs w:val="22"/>
        </w:rPr>
        <w:t>Install</w:t>
      </w:r>
      <w:r w:rsidRPr="00115056">
        <w:rPr>
          <w:rFonts w:cs="Segoe UI"/>
          <w:sz w:val="22"/>
          <w:szCs w:val="22"/>
        </w:rPr>
        <w:t xml:space="preserve"> an onshore valve or coupling connection downstream of the existing Harris syphon breaker to enable operators to isolate the outfall pipeline from the plant.</w:t>
      </w:r>
    </w:p>
    <w:p w14:paraId="14211A56" w14:textId="77777777" w:rsidR="00F858A1" w:rsidRDefault="00F858A1" w:rsidP="00F858A1">
      <w:pPr>
        <w:pStyle w:val="ADListNumber1"/>
        <w:numPr>
          <w:ilvl w:val="0"/>
          <w:numId w:val="0"/>
        </w:numPr>
        <w:ind w:left="357"/>
        <w:rPr>
          <w:rFonts w:cs="Segoe UI"/>
          <w:sz w:val="22"/>
          <w:szCs w:val="22"/>
        </w:rPr>
      </w:pPr>
    </w:p>
    <w:p w14:paraId="7009CFE1" w14:textId="26591E34" w:rsidR="005B6809" w:rsidRPr="00115056" w:rsidRDefault="00D56A12" w:rsidP="005B6809">
      <w:pPr>
        <w:pStyle w:val="ADListNumber1"/>
        <w:numPr>
          <w:ilvl w:val="0"/>
          <w:numId w:val="0"/>
        </w:numPr>
        <w:ind w:left="357"/>
        <w:rPr>
          <w:rFonts w:cs="Segoe UI"/>
          <w:sz w:val="22"/>
          <w:szCs w:val="22"/>
        </w:rPr>
      </w:pPr>
      <w:r>
        <w:rPr>
          <w:rFonts w:cs="Segoe UI"/>
          <w:noProof/>
        </w:rPr>
        <w:drawing>
          <wp:inline distT="0" distB="0" distL="0" distR="0" wp14:anchorId="43E88197" wp14:editId="46E99548">
            <wp:extent cx="5943600" cy="3109096"/>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09096"/>
                    </a:xfrm>
                    <a:prstGeom prst="rect">
                      <a:avLst/>
                    </a:prstGeom>
                    <a:noFill/>
                    <a:ln>
                      <a:solidFill>
                        <a:schemeClr val="tx1"/>
                      </a:solidFill>
                    </a:ln>
                  </pic:spPr>
                </pic:pic>
              </a:graphicData>
            </a:graphic>
          </wp:inline>
        </w:drawing>
      </w:r>
    </w:p>
    <w:p w14:paraId="04B18E66" w14:textId="466CC818" w:rsidR="00810116" w:rsidRPr="00810116" w:rsidRDefault="00810116" w:rsidP="00810116">
      <w:pPr>
        <w:rPr>
          <w:rFonts w:ascii="Segoe UI" w:hAnsi="Segoe UI" w:cs="Segoe UI"/>
        </w:rPr>
      </w:pPr>
      <w:bookmarkStart w:id="0" w:name="_Toc26868015"/>
      <w:bookmarkStart w:id="1" w:name="_Toc26868275"/>
      <w:bookmarkStart w:id="2" w:name="_Toc26868738"/>
      <w:bookmarkStart w:id="3" w:name="_Toc26868016"/>
      <w:bookmarkStart w:id="4" w:name="_Toc26868276"/>
      <w:bookmarkStart w:id="5" w:name="_Toc26868739"/>
      <w:bookmarkEnd w:id="0"/>
      <w:bookmarkEnd w:id="1"/>
      <w:bookmarkEnd w:id="2"/>
      <w:bookmarkEnd w:id="3"/>
      <w:bookmarkEnd w:id="4"/>
      <w:bookmarkEnd w:id="5"/>
    </w:p>
    <w:p w14:paraId="6515BA30" w14:textId="383F60C1" w:rsidR="005B6809" w:rsidRDefault="005B6809" w:rsidP="005B6809">
      <w:pPr>
        <w:pStyle w:val="ListParagraph"/>
        <w:rPr>
          <w:rFonts w:ascii="Segoe UI" w:hAnsi="Segoe UI" w:cs="Segoe UI"/>
        </w:rPr>
      </w:pPr>
      <w:r>
        <w:rPr>
          <w:rFonts w:ascii="Segoe UI" w:hAnsi="Segoe UI" w:cs="Segoe UI"/>
        </w:rPr>
        <w:t xml:space="preserve">Figure 1. Schematic of </w:t>
      </w:r>
      <w:r w:rsidR="00C328EF">
        <w:rPr>
          <w:rFonts w:ascii="Segoe UI" w:hAnsi="Segoe UI" w:cs="Segoe UI"/>
        </w:rPr>
        <w:t xml:space="preserve">Existing Outfall and Diffuser and </w:t>
      </w:r>
      <w:r>
        <w:rPr>
          <w:rFonts w:ascii="Segoe UI" w:hAnsi="Segoe UI" w:cs="Segoe UI"/>
        </w:rPr>
        <w:t>Proposed Project</w:t>
      </w:r>
    </w:p>
    <w:p w14:paraId="574AA707" w14:textId="059453F9" w:rsidR="000A67FB" w:rsidRPr="000A67FB" w:rsidRDefault="000A67FB" w:rsidP="000A67FB">
      <w:pPr>
        <w:pStyle w:val="ADBodyText"/>
        <w:rPr>
          <w:rFonts w:cs="Segoe UI"/>
          <w:sz w:val="22"/>
          <w:szCs w:val="22"/>
        </w:rPr>
      </w:pPr>
      <w:r w:rsidRPr="000A67FB">
        <w:rPr>
          <w:rFonts w:cs="Segoe UI"/>
          <w:sz w:val="22"/>
          <w:szCs w:val="22"/>
        </w:rPr>
        <w:t xml:space="preserve">Construction work is projected to </w:t>
      </w:r>
      <w:r w:rsidR="00C131F2">
        <w:rPr>
          <w:rFonts w:cs="Segoe UI"/>
          <w:sz w:val="22"/>
          <w:szCs w:val="22"/>
        </w:rPr>
        <w:t xml:space="preserve">be conducted between </w:t>
      </w:r>
      <w:r w:rsidRPr="00C131F2">
        <w:rPr>
          <w:rFonts w:cs="Segoe UI"/>
          <w:sz w:val="22"/>
          <w:szCs w:val="22"/>
        </w:rPr>
        <w:t>June</w:t>
      </w:r>
      <w:r w:rsidR="00C131F2" w:rsidRPr="00C131F2">
        <w:rPr>
          <w:rFonts w:cs="Segoe UI"/>
          <w:sz w:val="22"/>
          <w:szCs w:val="22"/>
        </w:rPr>
        <w:t xml:space="preserve"> and </w:t>
      </w:r>
      <w:r w:rsidR="00AB3E52" w:rsidRPr="00C131F2">
        <w:rPr>
          <w:rFonts w:cs="Segoe UI"/>
          <w:sz w:val="22"/>
          <w:szCs w:val="22"/>
        </w:rPr>
        <w:t>August 2020</w:t>
      </w:r>
      <w:r w:rsidR="00AB3E52" w:rsidRPr="000A67FB">
        <w:rPr>
          <w:rFonts w:cs="Segoe UI"/>
          <w:sz w:val="22"/>
          <w:szCs w:val="22"/>
        </w:rPr>
        <w:t xml:space="preserve"> and</w:t>
      </w:r>
      <w:r w:rsidRPr="000A67FB">
        <w:rPr>
          <w:rFonts w:cs="Segoe UI"/>
          <w:sz w:val="22"/>
          <w:szCs w:val="22"/>
        </w:rPr>
        <w:t xml:space="preserve"> continue for approximately 2</w:t>
      </w:r>
      <w:r w:rsidRPr="000A67FB">
        <w:rPr>
          <w:rFonts w:cs="Segoe UI"/>
          <w:sz w:val="22"/>
          <w:szCs w:val="22"/>
        </w:rPr>
        <w:noBreakHyphen/>
        <w:t xml:space="preserve">3 weeks. Work would occur only during daylight hours and not during weekends or on State Holidays to avoid unnecessary impact; however, weekend or holiday work could be implemented to address emergencies or unforeseen circumstances impacting construction or delays in the mobilization schedule. </w:t>
      </w:r>
    </w:p>
    <w:p w14:paraId="7B28FEE2" w14:textId="5AD605F7" w:rsidR="005B6809" w:rsidRDefault="005B6809" w:rsidP="005B6809">
      <w:pPr>
        <w:pStyle w:val="ListParagraph"/>
        <w:rPr>
          <w:rFonts w:ascii="Segoe UI" w:hAnsi="Segoe UI" w:cs="Segoe UI"/>
        </w:rPr>
      </w:pPr>
    </w:p>
    <w:p w14:paraId="5FAFADF8" w14:textId="71B1E9BE" w:rsidR="000A67FB" w:rsidRDefault="000A67FB" w:rsidP="005B6809">
      <w:pPr>
        <w:pStyle w:val="ListParagraph"/>
        <w:rPr>
          <w:rFonts w:ascii="Segoe UI" w:hAnsi="Segoe UI" w:cs="Segoe UI"/>
        </w:rPr>
      </w:pPr>
    </w:p>
    <w:p w14:paraId="51611861" w14:textId="77777777" w:rsidR="000A67FB" w:rsidRDefault="000A67FB" w:rsidP="005B6809">
      <w:pPr>
        <w:pStyle w:val="ListParagraph"/>
        <w:rPr>
          <w:rFonts w:ascii="Segoe UI" w:hAnsi="Segoe UI" w:cs="Segoe UI"/>
        </w:rPr>
      </w:pPr>
    </w:p>
    <w:p w14:paraId="6A18E6E0" w14:textId="77777777" w:rsidR="005B6809" w:rsidRPr="005B6809" w:rsidRDefault="005B6809" w:rsidP="005B6809">
      <w:pPr>
        <w:pStyle w:val="ListParagraph"/>
        <w:rPr>
          <w:rFonts w:ascii="Segoe UI" w:hAnsi="Segoe UI" w:cs="Segoe UI"/>
        </w:rPr>
      </w:pPr>
    </w:p>
    <w:p w14:paraId="10D71181" w14:textId="2D5BBF88" w:rsidR="005B6809" w:rsidRPr="005B6809" w:rsidRDefault="00C131F2" w:rsidP="005B6809">
      <w:pPr>
        <w:pStyle w:val="ListParagraph"/>
        <w:numPr>
          <w:ilvl w:val="0"/>
          <w:numId w:val="5"/>
        </w:numPr>
        <w:rPr>
          <w:rFonts w:ascii="Segoe UI" w:hAnsi="Segoe UI" w:cs="Segoe UI"/>
        </w:rPr>
      </w:pPr>
      <w:r>
        <w:rPr>
          <w:rFonts w:ascii="Segoe UI" w:eastAsia="Segoe UI" w:hAnsi="Segoe UI" w:cs="Segoe UI"/>
        </w:rPr>
        <w:lastRenderedPageBreak/>
        <w:t>Thursday, December 19, 2019 through Wednesday, January 8, 2020 open period</w:t>
      </w:r>
      <w:r w:rsidR="4D0B7516" w:rsidRPr="005B6809">
        <w:rPr>
          <w:rFonts w:ascii="Segoe UI" w:eastAsia="Segoe UI" w:hAnsi="Segoe UI" w:cs="Segoe UI"/>
        </w:rPr>
        <w:t xml:space="preserve"> to receive comments</w:t>
      </w:r>
    </w:p>
    <w:p w14:paraId="6E881D77" w14:textId="5CC4273E" w:rsidR="00C131F2" w:rsidRPr="00C131F2" w:rsidRDefault="00331FA2" w:rsidP="005B6809">
      <w:pPr>
        <w:pStyle w:val="ListParagraph"/>
        <w:numPr>
          <w:ilvl w:val="0"/>
          <w:numId w:val="5"/>
        </w:numPr>
        <w:rPr>
          <w:rFonts w:ascii="Segoe UI" w:hAnsi="Segoe UI" w:cs="Segoe UI"/>
        </w:rPr>
      </w:pPr>
      <w:r>
        <w:rPr>
          <w:rFonts w:ascii="Segoe UI" w:hAnsi="Segoe UI" w:cs="Segoe UI"/>
        </w:rPr>
        <w:t>Public Meetings have or will be scheduled for the public to review the project as follows:</w:t>
      </w:r>
    </w:p>
    <w:p w14:paraId="18D4C7CE" w14:textId="76DF4A0D" w:rsidR="4D0B7516" w:rsidRPr="00C131F2" w:rsidRDefault="00C131F2" w:rsidP="00C131F2">
      <w:pPr>
        <w:pStyle w:val="ListParagraph"/>
        <w:numPr>
          <w:ilvl w:val="1"/>
          <w:numId w:val="5"/>
        </w:numPr>
        <w:rPr>
          <w:rFonts w:ascii="Segoe UI" w:hAnsi="Segoe UI" w:cs="Segoe UI"/>
        </w:rPr>
      </w:pPr>
      <w:r>
        <w:rPr>
          <w:rFonts w:ascii="Segoe UI" w:eastAsia="Segoe UI" w:hAnsi="Segoe UI" w:cs="Segoe UI"/>
        </w:rPr>
        <w:t>Town of Discovery Bay Board Meeting, Notice of Intent to Adopt Mitigated Negative Declaration, Wednesday, December 18, 2019</w:t>
      </w:r>
    </w:p>
    <w:p w14:paraId="6F28BD3F" w14:textId="139C6CEE" w:rsidR="00C131F2" w:rsidRPr="00331FA2" w:rsidRDefault="00C131F2" w:rsidP="00C131F2">
      <w:pPr>
        <w:pStyle w:val="ListParagraph"/>
        <w:numPr>
          <w:ilvl w:val="1"/>
          <w:numId w:val="5"/>
        </w:numPr>
        <w:rPr>
          <w:rFonts w:ascii="Segoe UI" w:hAnsi="Segoe UI" w:cs="Segoe UI"/>
        </w:rPr>
      </w:pPr>
      <w:r w:rsidRPr="00331FA2">
        <w:rPr>
          <w:rFonts w:ascii="Segoe UI" w:eastAsia="Segoe UI" w:hAnsi="Segoe UI" w:cs="Segoe UI"/>
        </w:rPr>
        <w:t>Town of Discovery Bay Board Meeting</w:t>
      </w:r>
      <w:r w:rsidRPr="00331FA2">
        <w:rPr>
          <w:rFonts w:ascii="Segoe UI" w:eastAsia="Segoe UI" w:hAnsi="Segoe UI" w:cs="Segoe UI"/>
        </w:rPr>
        <w:t>, Adoption of Mitigated Negative Declaration, Date TBD</w:t>
      </w:r>
    </w:p>
    <w:p w14:paraId="1ABE3B99" w14:textId="5C6D5995" w:rsidR="4D0B7516" w:rsidRPr="00331FA2" w:rsidRDefault="00331FA2" w:rsidP="005B6809">
      <w:pPr>
        <w:pStyle w:val="ListParagraph"/>
        <w:numPr>
          <w:ilvl w:val="0"/>
          <w:numId w:val="5"/>
        </w:numPr>
        <w:rPr>
          <w:rFonts w:ascii="Segoe UI" w:hAnsi="Segoe UI" w:cs="Segoe UI"/>
        </w:rPr>
      </w:pPr>
      <w:r w:rsidRPr="00331FA2">
        <w:rPr>
          <w:rFonts w:ascii="Segoe UI" w:eastAsia="Segoe UI" w:hAnsi="Segoe UI" w:cs="Segoe UI"/>
        </w:rPr>
        <w:t xml:space="preserve">A Draft </w:t>
      </w:r>
      <w:r w:rsidR="00AB3E52">
        <w:rPr>
          <w:rFonts w:ascii="Segoe UI" w:eastAsia="Segoe UI" w:hAnsi="Segoe UI" w:cs="Segoe UI"/>
        </w:rPr>
        <w:t>Initial Study/Mitigated Negative Declaration (</w:t>
      </w:r>
      <w:r w:rsidRPr="00331FA2">
        <w:rPr>
          <w:rFonts w:ascii="Segoe UI" w:eastAsia="Segoe UI" w:hAnsi="Segoe UI" w:cs="Segoe UI"/>
        </w:rPr>
        <w:t>IS/MND</w:t>
      </w:r>
      <w:r w:rsidR="00AB3E52">
        <w:rPr>
          <w:rFonts w:ascii="Segoe UI" w:eastAsia="Segoe UI" w:hAnsi="Segoe UI" w:cs="Segoe UI"/>
        </w:rPr>
        <w:t>)</w:t>
      </w:r>
      <w:r w:rsidRPr="00331FA2">
        <w:rPr>
          <w:rFonts w:ascii="Segoe UI" w:eastAsia="Segoe UI" w:hAnsi="Segoe UI" w:cs="Segoe UI"/>
        </w:rPr>
        <w:t xml:space="preserve"> has been prepared for this project pursuant to the provisions of </w:t>
      </w:r>
      <w:r w:rsidR="00AB3E52" w:rsidRPr="00AB3E52">
        <w:rPr>
          <w:rFonts w:ascii="Segoe UI" w:eastAsia="Segoe UI" w:hAnsi="Segoe UI" w:cs="Segoe UI"/>
        </w:rPr>
        <w:t>California Environmental Quality Act</w:t>
      </w:r>
      <w:r w:rsidR="00AB3E52">
        <w:rPr>
          <w:rFonts w:ascii="Segoe UI" w:eastAsia="Segoe UI" w:hAnsi="Segoe UI" w:cs="Segoe UI"/>
        </w:rPr>
        <w:t xml:space="preserve"> (</w:t>
      </w:r>
      <w:r w:rsidRPr="00331FA2">
        <w:rPr>
          <w:rFonts w:ascii="Segoe UI" w:eastAsia="Segoe UI" w:hAnsi="Segoe UI" w:cs="Segoe UI"/>
        </w:rPr>
        <w:t>CEQA</w:t>
      </w:r>
      <w:r w:rsidR="00AB3E52">
        <w:rPr>
          <w:rFonts w:ascii="Segoe UI" w:eastAsia="Segoe UI" w:hAnsi="Segoe UI" w:cs="Segoe UI"/>
        </w:rPr>
        <w:t>)</w:t>
      </w:r>
      <w:bookmarkStart w:id="6" w:name="_GoBack"/>
      <w:bookmarkEnd w:id="6"/>
      <w:r w:rsidRPr="00331FA2">
        <w:rPr>
          <w:rFonts w:ascii="Segoe UI" w:eastAsia="Segoe UI" w:hAnsi="Segoe UI" w:cs="Segoe UI"/>
        </w:rPr>
        <w:t xml:space="preserve">.    The Draft IS/MND prepared for this project demonstrates that the proposed project will not have any significant or </w:t>
      </w:r>
      <w:proofErr w:type="spellStart"/>
      <w:r w:rsidRPr="00331FA2">
        <w:rPr>
          <w:rFonts w:ascii="Segoe UI" w:eastAsia="Segoe UI" w:hAnsi="Segoe UI" w:cs="Segoe UI"/>
        </w:rPr>
        <w:t>unmitigatable</w:t>
      </w:r>
      <w:proofErr w:type="spellEnd"/>
      <w:r w:rsidRPr="00331FA2">
        <w:rPr>
          <w:rFonts w:ascii="Segoe UI" w:eastAsia="Segoe UI" w:hAnsi="Segoe UI" w:cs="Segoe UI"/>
        </w:rPr>
        <w:t xml:space="preserve"> effects on the environment.  </w:t>
      </w:r>
      <w:proofErr w:type="gramStart"/>
      <w:r w:rsidRPr="00331FA2">
        <w:rPr>
          <w:rFonts w:ascii="Segoe UI" w:eastAsia="Segoe UI" w:hAnsi="Segoe UI" w:cs="Segoe UI"/>
        </w:rPr>
        <w:t>As a result of</w:t>
      </w:r>
      <w:proofErr w:type="gramEnd"/>
      <w:r w:rsidRPr="00331FA2">
        <w:rPr>
          <w:rFonts w:ascii="Segoe UI" w:eastAsia="Segoe UI" w:hAnsi="Segoe UI" w:cs="Segoe UI"/>
        </w:rPr>
        <w:t xml:space="preserve"> the adoption of this document and the implementation of the proposed mitigation measures, the proposed project will not have any significant or </w:t>
      </w:r>
      <w:proofErr w:type="spellStart"/>
      <w:r w:rsidRPr="00331FA2">
        <w:rPr>
          <w:rFonts w:ascii="Segoe UI" w:eastAsia="Segoe UI" w:hAnsi="Segoe UI" w:cs="Segoe UI"/>
        </w:rPr>
        <w:t>unmitigatable</w:t>
      </w:r>
      <w:proofErr w:type="spellEnd"/>
      <w:r w:rsidRPr="00331FA2">
        <w:rPr>
          <w:rFonts w:ascii="Segoe UI" w:eastAsia="Segoe UI" w:hAnsi="Segoe UI" w:cs="Segoe UI"/>
        </w:rPr>
        <w:t xml:space="preserve"> effects on the environment.  The Draft IS/MND and all related analysis are available to the General Public in the following locations:</w:t>
      </w:r>
    </w:p>
    <w:p w14:paraId="418A670D" w14:textId="77777777" w:rsidR="00331FA2" w:rsidRPr="00331FA2" w:rsidRDefault="00331FA2" w:rsidP="00331FA2">
      <w:pPr>
        <w:pStyle w:val="ListParagraph"/>
        <w:rPr>
          <w:rFonts w:ascii="Segoe UI" w:hAnsi="Segoe UI" w:cs="Segoe UI"/>
          <w:b/>
        </w:rPr>
      </w:pPr>
    </w:p>
    <w:p w14:paraId="224D50B6" w14:textId="5A0D0BCC" w:rsidR="00331FA2" w:rsidRPr="00331FA2" w:rsidRDefault="00331FA2" w:rsidP="00331FA2">
      <w:pPr>
        <w:pStyle w:val="ListParagraph"/>
        <w:rPr>
          <w:rFonts w:ascii="Segoe UI" w:hAnsi="Segoe UI" w:cs="Segoe UI"/>
          <w:b/>
        </w:rPr>
      </w:pPr>
      <w:r w:rsidRPr="00331FA2">
        <w:rPr>
          <w:rFonts w:ascii="Segoe UI" w:hAnsi="Segoe UI" w:cs="Segoe UI"/>
          <w:b/>
          <w:highlight w:val="yellow"/>
        </w:rPr>
        <w:t>Online:</w:t>
      </w:r>
    </w:p>
    <w:p w14:paraId="4EEDE7E2" w14:textId="77777777" w:rsidR="00331FA2" w:rsidRPr="00331FA2" w:rsidRDefault="00331FA2" w:rsidP="00331FA2">
      <w:pPr>
        <w:pStyle w:val="ListParagraph"/>
        <w:rPr>
          <w:rFonts w:ascii="Segoe UI" w:hAnsi="Segoe UI" w:cs="Segoe UI"/>
          <w:b/>
          <w:highlight w:val="yellow"/>
        </w:rPr>
      </w:pPr>
    </w:p>
    <w:p w14:paraId="58343001" w14:textId="529E6458" w:rsidR="00331FA2" w:rsidRPr="00331FA2" w:rsidRDefault="00331FA2" w:rsidP="00331FA2">
      <w:pPr>
        <w:pStyle w:val="ListParagraph"/>
        <w:rPr>
          <w:rFonts w:ascii="Segoe UI" w:hAnsi="Segoe UI" w:cs="Segoe UI"/>
          <w:b/>
        </w:rPr>
      </w:pPr>
      <w:r w:rsidRPr="00331FA2">
        <w:rPr>
          <w:rFonts w:ascii="Segoe UI" w:hAnsi="Segoe UI" w:cs="Segoe UI"/>
          <w:b/>
        </w:rPr>
        <w:t>Public Location:</w:t>
      </w:r>
    </w:p>
    <w:p w14:paraId="6046E21C" w14:textId="788376EE" w:rsidR="00331FA2" w:rsidRPr="00331FA2" w:rsidRDefault="00331FA2" w:rsidP="00331FA2">
      <w:pPr>
        <w:pStyle w:val="ListParagraph"/>
        <w:rPr>
          <w:rFonts w:ascii="Segoe UI" w:hAnsi="Segoe UI" w:cs="Segoe UI"/>
        </w:rPr>
      </w:pPr>
      <w:r w:rsidRPr="00331FA2">
        <w:rPr>
          <w:rFonts w:ascii="Segoe UI" w:hAnsi="Segoe UI" w:cs="Segoe UI"/>
        </w:rPr>
        <w:tab/>
        <w:t>1601 Discovery Bay Blvd, Discovery Bay, CA 94505</w:t>
      </w:r>
    </w:p>
    <w:p w14:paraId="2A03272F" w14:textId="2023D38A" w:rsidR="00331FA2" w:rsidRPr="00331FA2" w:rsidRDefault="00331FA2" w:rsidP="00331FA2">
      <w:pPr>
        <w:pStyle w:val="ListParagraph"/>
        <w:ind w:firstLine="720"/>
        <w:rPr>
          <w:rFonts w:ascii="Segoe UI" w:hAnsi="Segoe UI" w:cs="Segoe UI"/>
        </w:rPr>
      </w:pPr>
      <w:r w:rsidRPr="00331FA2">
        <w:rPr>
          <w:rFonts w:ascii="Segoe UI" w:hAnsi="Segoe UI" w:cs="Segoe UI"/>
        </w:rPr>
        <w:t>Monday thru Friday, 8am to 5</w:t>
      </w:r>
      <w:r w:rsidRPr="00331FA2">
        <w:rPr>
          <w:rFonts w:ascii="Segoe UI" w:hAnsi="Segoe UI" w:cs="Segoe UI"/>
        </w:rPr>
        <w:t>:30</w:t>
      </w:r>
      <w:r w:rsidRPr="00331FA2">
        <w:rPr>
          <w:rFonts w:ascii="Segoe UI" w:hAnsi="Segoe UI" w:cs="Segoe UI"/>
        </w:rPr>
        <w:t>pm</w:t>
      </w:r>
    </w:p>
    <w:p w14:paraId="66768165" w14:textId="2D6925BB" w:rsidR="00331FA2" w:rsidRPr="00331FA2" w:rsidRDefault="00331FA2" w:rsidP="00331FA2">
      <w:pPr>
        <w:pStyle w:val="ListParagraph"/>
        <w:ind w:firstLine="720"/>
        <w:rPr>
          <w:rFonts w:ascii="Segoe UI" w:hAnsi="Segoe UI" w:cs="Segoe UI"/>
          <w:b/>
        </w:rPr>
      </w:pPr>
      <w:r w:rsidRPr="00331FA2">
        <w:rPr>
          <w:rFonts w:ascii="Segoe UI" w:hAnsi="Segoe UI" w:cs="Segoe UI"/>
        </w:rPr>
        <w:t>Saturday, 9:30am to 5pm</w:t>
      </w:r>
    </w:p>
    <w:p w14:paraId="217C763D" w14:textId="17E5A710" w:rsidR="00331FA2" w:rsidRPr="00331FA2" w:rsidRDefault="00331FA2" w:rsidP="00331FA2">
      <w:pPr>
        <w:pStyle w:val="ListParagraph"/>
        <w:rPr>
          <w:rFonts w:ascii="Segoe UI" w:hAnsi="Segoe UI" w:cs="Segoe UI"/>
          <w:b/>
          <w:highlight w:val="yellow"/>
        </w:rPr>
      </w:pPr>
      <w:r w:rsidRPr="00331FA2">
        <w:rPr>
          <w:rFonts w:ascii="Segoe UI" w:hAnsi="Segoe UI" w:cs="Segoe UI"/>
          <w:b/>
        </w:rPr>
        <w:t xml:space="preserve">Town of Discovery Bay: </w:t>
      </w:r>
    </w:p>
    <w:p w14:paraId="0CF906FB" w14:textId="1F6329FA" w:rsidR="00331FA2" w:rsidRDefault="00331FA2" w:rsidP="00331FA2">
      <w:pPr>
        <w:pStyle w:val="ListParagraph"/>
        <w:ind w:firstLine="720"/>
        <w:rPr>
          <w:rFonts w:ascii="Segoe UI" w:hAnsi="Segoe UI" w:cs="Segoe UI"/>
        </w:rPr>
      </w:pPr>
      <w:r w:rsidRPr="00331FA2">
        <w:rPr>
          <w:rFonts w:ascii="Segoe UI" w:hAnsi="Segoe UI" w:cs="Segoe UI"/>
        </w:rPr>
        <w:t>1601 Discovery Bay Blvd, Discovery Bay, CA 9450</w:t>
      </w:r>
      <w:r>
        <w:rPr>
          <w:rFonts w:ascii="Segoe UI" w:hAnsi="Segoe UI" w:cs="Segoe UI"/>
        </w:rPr>
        <w:t>5</w:t>
      </w:r>
    </w:p>
    <w:p w14:paraId="3A4E2148" w14:textId="53820373" w:rsidR="00331FA2" w:rsidRPr="00331FA2" w:rsidRDefault="00331FA2" w:rsidP="00331FA2">
      <w:pPr>
        <w:pStyle w:val="ListParagraph"/>
        <w:ind w:firstLine="720"/>
        <w:rPr>
          <w:rFonts w:ascii="Segoe UI" w:hAnsi="Segoe UI" w:cs="Segoe UI"/>
          <w:highlight w:val="yellow"/>
        </w:rPr>
      </w:pPr>
      <w:r w:rsidRPr="00331FA2">
        <w:rPr>
          <w:rFonts w:ascii="Segoe UI" w:hAnsi="Segoe UI" w:cs="Segoe UI"/>
        </w:rPr>
        <w:t>Monday thru Friday, 8:30am to 5pm</w:t>
      </w:r>
    </w:p>
    <w:p w14:paraId="1D298DFC" w14:textId="429E09CE" w:rsidR="4D0B7516" w:rsidRPr="00371A94" w:rsidRDefault="4D0B7516" w:rsidP="005B6809">
      <w:pPr>
        <w:pStyle w:val="ListParagraph"/>
        <w:numPr>
          <w:ilvl w:val="0"/>
          <w:numId w:val="5"/>
        </w:numPr>
        <w:rPr>
          <w:rFonts w:ascii="Segoe UI" w:hAnsi="Segoe UI" w:cs="Segoe UI"/>
        </w:rPr>
      </w:pPr>
      <w:r w:rsidRPr="00506D8B">
        <w:rPr>
          <w:rFonts w:ascii="Segoe UI" w:eastAsia="Segoe UI" w:hAnsi="Segoe UI" w:cs="Segoe UI"/>
        </w:rPr>
        <w:t xml:space="preserve">The </w:t>
      </w:r>
      <w:r w:rsidR="00371A94">
        <w:rPr>
          <w:rFonts w:ascii="Segoe UI" w:eastAsia="Segoe UI" w:hAnsi="Segoe UI" w:cs="Segoe UI"/>
        </w:rPr>
        <w:t xml:space="preserve">project is not identified on any of the lists enumerated under </w:t>
      </w:r>
      <w:r w:rsidR="00AB3E52" w:rsidRPr="00506D8B">
        <w:rPr>
          <w:rFonts w:ascii="Segoe UI" w:eastAsia="Segoe UI" w:hAnsi="Segoe UI" w:cs="Segoe UI"/>
        </w:rPr>
        <w:t>Section 65962.5 of Government Code</w:t>
      </w:r>
      <w:r w:rsidR="00AB3E52">
        <w:rPr>
          <w:rFonts w:ascii="Segoe UI" w:eastAsia="Segoe UI" w:hAnsi="Segoe UI" w:cs="Segoe UI"/>
        </w:rPr>
        <w:t xml:space="preserve"> as co</w:t>
      </w:r>
      <w:r w:rsidRPr="00506D8B">
        <w:rPr>
          <w:rFonts w:ascii="Segoe UI" w:eastAsia="Segoe UI" w:hAnsi="Segoe UI" w:cs="Segoe UI"/>
        </w:rPr>
        <w:t>ntaining hazardous waste</w:t>
      </w:r>
      <w:r w:rsidR="00AB3E52">
        <w:rPr>
          <w:rFonts w:ascii="Segoe UI" w:eastAsia="Segoe UI" w:hAnsi="Segoe UI" w:cs="Segoe UI"/>
        </w:rPr>
        <w:t>.</w:t>
      </w:r>
    </w:p>
    <w:p w14:paraId="0A0942CF" w14:textId="646C569C" w:rsidR="00AB3E52" w:rsidRDefault="00AB3E52" w:rsidP="00AB3E52">
      <w:pPr>
        <w:pStyle w:val="ListParagraph"/>
        <w:numPr>
          <w:ilvl w:val="0"/>
          <w:numId w:val="5"/>
        </w:numPr>
        <w:rPr>
          <w:rFonts w:ascii="Segoe UI" w:hAnsi="Segoe UI" w:cs="Segoe UI"/>
        </w:rPr>
      </w:pPr>
      <w:r w:rsidRPr="00AB3E52">
        <w:rPr>
          <w:rFonts w:ascii="Segoe UI" w:hAnsi="Segoe UI" w:cs="Segoe UI"/>
        </w:rPr>
        <w:t>A</w:t>
      </w:r>
      <w:r>
        <w:rPr>
          <w:rFonts w:ascii="Segoe UI" w:hAnsi="Segoe UI" w:cs="Segoe UI"/>
        </w:rPr>
        <w:t>ttachments included with this noticing:</w:t>
      </w:r>
    </w:p>
    <w:p w14:paraId="04DBFCD6" w14:textId="332E2A90" w:rsidR="4D0B7516" w:rsidRPr="00AB3E52" w:rsidRDefault="00AB3E52" w:rsidP="00AB3E52">
      <w:pPr>
        <w:pStyle w:val="ListParagraph"/>
        <w:numPr>
          <w:ilvl w:val="1"/>
          <w:numId w:val="5"/>
        </w:numPr>
        <w:rPr>
          <w:rFonts w:ascii="Segoe UI" w:hAnsi="Segoe UI" w:cs="Segoe UI"/>
        </w:rPr>
      </w:pPr>
      <w:r w:rsidRPr="00AB3E52">
        <w:rPr>
          <w:rFonts w:ascii="Segoe UI" w:hAnsi="Segoe UI" w:cs="Segoe UI"/>
          <w:b/>
        </w:rPr>
        <w:t>Exhibit A</w:t>
      </w:r>
      <w:r w:rsidRPr="00AB3E52">
        <w:rPr>
          <w:rFonts w:ascii="Segoe UI" w:hAnsi="Segoe UI" w:cs="Segoe UI"/>
        </w:rPr>
        <w:t xml:space="preserve"> </w:t>
      </w:r>
      <w:r>
        <w:rPr>
          <w:rFonts w:ascii="Segoe UI" w:hAnsi="Segoe UI" w:cs="Segoe UI"/>
        </w:rPr>
        <w:t>–</w:t>
      </w:r>
      <w:r w:rsidRPr="00AB3E52">
        <w:rPr>
          <w:rFonts w:ascii="Segoe UI" w:hAnsi="Segoe UI" w:cs="Segoe UI"/>
        </w:rPr>
        <w:t xml:space="preserve"> </w:t>
      </w:r>
      <w:r>
        <w:rPr>
          <w:rFonts w:ascii="Segoe UI" w:hAnsi="Segoe UI" w:cs="Segoe UI"/>
        </w:rPr>
        <w:t xml:space="preserve">Mitigated </w:t>
      </w:r>
      <w:r w:rsidRPr="00AB3E52">
        <w:rPr>
          <w:rFonts w:ascii="Segoe UI" w:hAnsi="Segoe UI" w:cs="Segoe UI"/>
        </w:rPr>
        <w:t>Negative Declaration and Initial Environmental Impact Analysis</w:t>
      </w:r>
    </w:p>
    <w:p w14:paraId="1F2B431A" w14:textId="4A09949D" w:rsidR="4D0B7516" w:rsidRPr="00506D8B" w:rsidRDefault="4D0B7516" w:rsidP="4D0B7516">
      <w:pPr>
        <w:rPr>
          <w:rFonts w:ascii="Segoe UI" w:hAnsi="Segoe UI" w:cs="Segoe UI"/>
        </w:rPr>
      </w:pPr>
    </w:p>
    <w:sectPr w:rsidR="4D0B7516" w:rsidRPr="0050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PSegoe UI">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511B1"/>
    <w:multiLevelType w:val="multilevel"/>
    <w:tmpl w:val="E7821DE8"/>
    <w:lvl w:ilvl="0">
      <w:start w:val="1"/>
      <w:numFmt w:val="decimal"/>
      <w:pStyle w:val="ADListNumber1"/>
      <w:lvlText w:val="%1."/>
      <w:lvlJc w:val="left"/>
      <w:pPr>
        <w:ind w:left="357" w:hanging="357"/>
      </w:pPr>
    </w:lvl>
    <w:lvl w:ilvl="1">
      <w:start w:val="1"/>
      <w:numFmt w:val="lowerLetter"/>
      <w:pStyle w:val="ADListNumber2"/>
      <w:lvlText w:val="%2."/>
      <w:lvlJc w:val="left"/>
      <w:pPr>
        <w:ind w:left="754" w:hanging="357"/>
      </w:pPr>
    </w:lvl>
    <w:lvl w:ilvl="2">
      <w:start w:val="1"/>
      <w:numFmt w:val="lowerRoman"/>
      <w:pStyle w:val="ADListNumber3"/>
      <w:lvlText w:val="%3."/>
      <w:lvlJc w:val="left"/>
      <w:pPr>
        <w:ind w:left="1151" w:hanging="3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A32885"/>
    <w:multiLevelType w:val="hybridMultilevel"/>
    <w:tmpl w:val="50DCA0DA"/>
    <w:lvl w:ilvl="0" w:tplc="A476DFDA">
      <w:start w:val="2"/>
      <w:numFmt w:val="decimal"/>
      <w:lvlText w:val="%1."/>
      <w:lvlJc w:val="left"/>
      <w:pPr>
        <w:ind w:left="720" w:hanging="360"/>
      </w:pPr>
      <w:rPr>
        <w:rFonts w:eastAsia="Segoe U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158A4"/>
    <w:multiLevelType w:val="multilevel"/>
    <w:tmpl w:val="4148C826"/>
    <w:lvl w:ilvl="0">
      <w:start w:val="1"/>
      <w:numFmt w:val="bullet"/>
      <w:pStyle w:val="ADListBullet1"/>
      <w:lvlText w:val=""/>
      <w:lvlJc w:val="left"/>
      <w:pPr>
        <w:ind w:left="360" w:hanging="360"/>
      </w:pPr>
      <w:rPr>
        <w:rFonts w:ascii="Symbol" w:hAnsi="Symbol" w:hint="default"/>
        <w:color w:val="000000" w:themeColor="text1"/>
      </w:rPr>
    </w:lvl>
    <w:lvl w:ilvl="1">
      <w:start w:val="1"/>
      <w:numFmt w:val="bullet"/>
      <w:pStyle w:val="ADListBullet2"/>
      <w:lvlText w:val=""/>
      <w:lvlJc w:val="left"/>
      <w:pPr>
        <w:ind w:left="754" w:hanging="357"/>
      </w:pPr>
      <w:rPr>
        <w:rFonts w:ascii="Symbol" w:hAnsi="Symbol" w:hint="default"/>
      </w:rPr>
    </w:lvl>
    <w:lvl w:ilvl="2">
      <w:start w:val="1"/>
      <w:numFmt w:val="bullet"/>
      <w:pStyle w:val="ADListBullet3"/>
      <w:lvlText w:val=""/>
      <w:lvlJc w:val="left"/>
      <w:pPr>
        <w:ind w:left="1151" w:hanging="357"/>
      </w:pPr>
      <w:rPr>
        <w:rFonts w:ascii="Wingdings" w:hAnsi="Wingdings" w:hint="default"/>
        <w:color w:val="000000" w:themeColor="text1"/>
      </w:rPr>
    </w:lvl>
    <w:lvl w:ilvl="3">
      <w:start w:val="1"/>
      <w:numFmt w:val="bullet"/>
      <w:lvlText w:val="o"/>
      <w:lvlJc w:val="left"/>
      <w:pPr>
        <w:ind w:left="1548" w:hanging="357"/>
      </w:pPr>
      <w:rPr>
        <w:rFonts w:ascii="Courier New" w:hAnsi="Courier New" w:cs="Times New Roman" w:hint="default"/>
      </w:rPr>
    </w:lvl>
    <w:lvl w:ilvl="4">
      <w:start w:val="1"/>
      <w:numFmt w:val="bullet"/>
      <w:lvlText w:val=""/>
      <w:lvlJc w:val="left"/>
      <w:pPr>
        <w:ind w:left="1945" w:hanging="357"/>
      </w:pPr>
      <w:rPr>
        <w:rFonts w:ascii="Symbol" w:hAnsi="Symbol" w:hint="default"/>
        <w:color w:val="000000" w:themeColor="text1"/>
      </w:rPr>
    </w:lvl>
    <w:lvl w:ilvl="5">
      <w:start w:val="1"/>
      <w:numFmt w:val="bullet"/>
      <w:lvlText w:val=""/>
      <w:lvlJc w:val="left"/>
      <w:pPr>
        <w:ind w:left="2342" w:hanging="357"/>
      </w:pPr>
      <w:rPr>
        <w:rFonts w:ascii="Symbol" w:hAnsi="Symbol" w:hint="default"/>
      </w:rPr>
    </w:lvl>
    <w:lvl w:ilvl="6">
      <w:start w:val="1"/>
      <w:numFmt w:val="bullet"/>
      <w:lvlText w:val=""/>
      <w:lvlJc w:val="left"/>
      <w:pPr>
        <w:ind w:left="2739" w:hanging="358"/>
      </w:pPr>
      <w:rPr>
        <w:rFonts w:ascii="Wingdings" w:hAnsi="Wingdings" w:hint="default"/>
      </w:rPr>
    </w:lvl>
    <w:lvl w:ilvl="7">
      <w:start w:val="1"/>
      <w:numFmt w:val="bullet"/>
      <w:lvlText w:val="o"/>
      <w:lvlJc w:val="left"/>
      <w:pPr>
        <w:ind w:left="3136" w:hanging="358"/>
      </w:pPr>
      <w:rPr>
        <w:rFonts w:ascii="Courier New" w:hAnsi="Courier New" w:cs="Times New Roman" w:hint="default"/>
      </w:rPr>
    </w:lvl>
    <w:lvl w:ilvl="8">
      <w:start w:val="1"/>
      <w:numFmt w:val="bullet"/>
      <w:lvlText w:val=""/>
      <w:lvlJc w:val="left"/>
      <w:pPr>
        <w:ind w:left="3532" w:hanging="357"/>
      </w:pPr>
      <w:rPr>
        <w:rFonts w:ascii="Symbol" w:hAnsi="Symbol" w:hint="default"/>
        <w:color w:val="000000" w:themeColor="text1"/>
      </w:rPr>
    </w:lvl>
  </w:abstractNum>
  <w:abstractNum w:abstractNumId="3" w15:restartNumberingAfterBreak="0">
    <w:nsid w:val="78F07170"/>
    <w:multiLevelType w:val="hybridMultilevel"/>
    <w:tmpl w:val="50924F3C"/>
    <w:lvl w:ilvl="0" w:tplc="380C7F3C">
      <w:start w:val="1"/>
      <w:numFmt w:val="decimal"/>
      <w:lvlText w:val="%1."/>
      <w:lvlJc w:val="left"/>
      <w:pPr>
        <w:ind w:left="720" w:hanging="360"/>
      </w:pPr>
    </w:lvl>
    <w:lvl w:ilvl="1" w:tplc="A366F9D0">
      <w:start w:val="1"/>
      <w:numFmt w:val="lowerLetter"/>
      <w:lvlText w:val="%2."/>
      <w:lvlJc w:val="left"/>
      <w:pPr>
        <w:ind w:left="1440" w:hanging="360"/>
      </w:pPr>
    </w:lvl>
    <w:lvl w:ilvl="2" w:tplc="24E4AD34">
      <w:start w:val="1"/>
      <w:numFmt w:val="lowerRoman"/>
      <w:lvlText w:val="%3."/>
      <w:lvlJc w:val="right"/>
      <w:pPr>
        <w:ind w:left="2160" w:hanging="180"/>
      </w:pPr>
    </w:lvl>
    <w:lvl w:ilvl="3" w:tplc="534E5D30">
      <w:start w:val="1"/>
      <w:numFmt w:val="decimal"/>
      <w:lvlText w:val="%4."/>
      <w:lvlJc w:val="left"/>
      <w:pPr>
        <w:ind w:left="2880" w:hanging="360"/>
      </w:pPr>
    </w:lvl>
    <w:lvl w:ilvl="4" w:tplc="655CE752">
      <w:start w:val="1"/>
      <w:numFmt w:val="lowerLetter"/>
      <w:lvlText w:val="%5."/>
      <w:lvlJc w:val="left"/>
      <w:pPr>
        <w:ind w:left="3600" w:hanging="360"/>
      </w:pPr>
    </w:lvl>
    <w:lvl w:ilvl="5" w:tplc="F508D36A">
      <w:start w:val="1"/>
      <w:numFmt w:val="lowerRoman"/>
      <w:lvlText w:val="%6."/>
      <w:lvlJc w:val="right"/>
      <w:pPr>
        <w:ind w:left="4320" w:hanging="180"/>
      </w:pPr>
    </w:lvl>
    <w:lvl w:ilvl="6" w:tplc="4B14B554">
      <w:start w:val="1"/>
      <w:numFmt w:val="decimal"/>
      <w:lvlText w:val="%7."/>
      <w:lvlJc w:val="left"/>
      <w:pPr>
        <w:ind w:left="5040" w:hanging="360"/>
      </w:pPr>
    </w:lvl>
    <w:lvl w:ilvl="7" w:tplc="0EBCACBA">
      <w:start w:val="1"/>
      <w:numFmt w:val="lowerLetter"/>
      <w:lvlText w:val="%8."/>
      <w:lvlJc w:val="left"/>
      <w:pPr>
        <w:ind w:left="5760" w:hanging="360"/>
      </w:pPr>
    </w:lvl>
    <w:lvl w:ilvl="8" w:tplc="111A6796">
      <w:start w:val="1"/>
      <w:numFmt w:val="lowerRoman"/>
      <w:lvlText w:val="%9."/>
      <w:lvlJc w:val="right"/>
      <w:pPr>
        <w:ind w:left="6480" w:hanging="180"/>
      </w:pPr>
    </w:lvl>
  </w:abstractNum>
  <w:abstractNum w:abstractNumId="4" w15:restartNumberingAfterBreak="0">
    <w:nsid w:val="7AEF79E4"/>
    <w:multiLevelType w:val="multilevel"/>
    <w:tmpl w:val="CB9A54FE"/>
    <w:lvl w:ilvl="0">
      <w:start w:val="1"/>
      <w:numFmt w:val="decimal"/>
      <w:lvlText w:val="%1.0"/>
      <w:lvlJc w:val="left"/>
      <w:pPr>
        <w:ind w:left="375" w:hanging="375"/>
      </w:pPr>
      <w:rPr>
        <w:rFonts w:ascii="PPSegoe UI" w:hAnsi="PPSegoe UI" w:hint="default"/>
      </w:rPr>
    </w:lvl>
    <w:lvl w:ilvl="1">
      <w:start w:val="1"/>
      <w:numFmt w:val="decimal"/>
      <w:lvlText w:val="%1.%2"/>
      <w:lvlJc w:val="left"/>
      <w:pPr>
        <w:ind w:left="1095" w:hanging="375"/>
      </w:pPr>
      <w:rPr>
        <w:rFonts w:ascii="PPSegoe UI" w:hAnsi="PPSegoe UI" w:hint="default"/>
      </w:rPr>
    </w:lvl>
    <w:lvl w:ilvl="2">
      <w:start w:val="1"/>
      <w:numFmt w:val="decimal"/>
      <w:lvlText w:val="%1.%2.%3"/>
      <w:lvlJc w:val="left"/>
      <w:pPr>
        <w:ind w:left="2160" w:hanging="720"/>
      </w:pPr>
      <w:rPr>
        <w:rFonts w:ascii="PPSegoe UI" w:hAnsi="PPSegoe UI" w:hint="default"/>
      </w:rPr>
    </w:lvl>
    <w:lvl w:ilvl="3">
      <w:start w:val="1"/>
      <w:numFmt w:val="decimal"/>
      <w:lvlText w:val="%1.%2.%3.%4"/>
      <w:lvlJc w:val="left"/>
      <w:pPr>
        <w:ind w:left="2880" w:hanging="720"/>
      </w:pPr>
      <w:rPr>
        <w:rFonts w:ascii="PPSegoe UI" w:hAnsi="PPSegoe UI" w:hint="default"/>
      </w:rPr>
    </w:lvl>
    <w:lvl w:ilvl="4">
      <w:start w:val="1"/>
      <w:numFmt w:val="decimal"/>
      <w:lvlText w:val="%1.%2.%3.%4.%5"/>
      <w:lvlJc w:val="left"/>
      <w:pPr>
        <w:ind w:left="3960" w:hanging="1080"/>
      </w:pPr>
      <w:rPr>
        <w:rFonts w:ascii="PPSegoe UI" w:hAnsi="PPSegoe UI" w:hint="default"/>
      </w:rPr>
    </w:lvl>
    <w:lvl w:ilvl="5">
      <w:start w:val="1"/>
      <w:numFmt w:val="decimal"/>
      <w:lvlText w:val="%1.%2.%3.%4.%5.%6"/>
      <w:lvlJc w:val="left"/>
      <w:pPr>
        <w:ind w:left="4680" w:hanging="1080"/>
      </w:pPr>
      <w:rPr>
        <w:rFonts w:ascii="PPSegoe UI" w:hAnsi="PPSegoe UI" w:hint="default"/>
      </w:rPr>
    </w:lvl>
    <w:lvl w:ilvl="6">
      <w:start w:val="1"/>
      <w:numFmt w:val="decimal"/>
      <w:lvlText w:val="%1.%2.%3.%4.%5.%6.%7"/>
      <w:lvlJc w:val="left"/>
      <w:pPr>
        <w:ind w:left="5760" w:hanging="1440"/>
      </w:pPr>
      <w:rPr>
        <w:rFonts w:ascii="PPSegoe UI" w:hAnsi="PPSegoe UI" w:hint="default"/>
      </w:rPr>
    </w:lvl>
    <w:lvl w:ilvl="7">
      <w:start w:val="1"/>
      <w:numFmt w:val="decimal"/>
      <w:lvlText w:val="%1.%2.%3.%4.%5.%6.%7.%8"/>
      <w:lvlJc w:val="left"/>
      <w:pPr>
        <w:ind w:left="6480" w:hanging="1440"/>
      </w:pPr>
      <w:rPr>
        <w:rFonts w:ascii="PPSegoe UI" w:hAnsi="PPSegoe UI" w:hint="default"/>
      </w:rPr>
    </w:lvl>
    <w:lvl w:ilvl="8">
      <w:start w:val="1"/>
      <w:numFmt w:val="decimal"/>
      <w:lvlText w:val="%1.%2.%3.%4.%5.%6.%7.%8.%9"/>
      <w:lvlJc w:val="left"/>
      <w:pPr>
        <w:ind w:left="7200" w:hanging="1440"/>
      </w:pPr>
      <w:rPr>
        <w:rFonts w:ascii="PPSegoe UI" w:hAnsi="PPSegoe UI"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A50F9D"/>
    <w:rsid w:val="000A67FB"/>
    <w:rsid w:val="00115056"/>
    <w:rsid w:val="00331FA2"/>
    <w:rsid w:val="00371A94"/>
    <w:rsid w:val="00506D8B"/>
    <w:rsid w:val="005B6809"/>
    <w:rsid w:val="00687B06"/>
    <w:rsid w:val="00772FAC"/>
    <w:rsid w:val="00810116"/>
    <w:rsid w:val="00837651"/>
    <w:rsid w:val="00A0004B"/>
    <w:rsid w:val="00A81F89"/>
    <w:rsid w:val="00AB3E52"/>
    <w:rsid w:val="00C131F2"/>
    <w:rsid w:val="00C26CC4"/>
    <w:rsid w:val="00C328EF"/>
    <w:rsid w:val="00CB5CB5"/>
    <w:rsid w:val="00CC1566"/>
    <w:rsid w:val="00D56A12"/>
    <w:rsid w:val="00D66097"/>
    <w:rsid w:val="00EE1DFB"/>
    <w:rsid w:val="00F7596C"/>
    <w:rsid w:val="00F858A1"/>
    <w:rsid w:val="20519E6C"/>
    <w:rsid w:val="42A50F9D"/>
    <w:rsid w:val="4D0B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0F9D"/>
  <w15:chartTrackingRefBased/>
  <w15:docId w15:val="{51271919-D679-499E-89A1-B92E00F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01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sid w:val="00810116"/>
    <w:rPr>
      <w:rFonts w:asciiTheme="majorHAnsi" w:eastAsiaTheme="majorEastAsia" w:hAnsiTheme="majorHAnsi" w:cstheme="majorBidi"/>
      <w:color w:val="2F5496" w:themeColor="accent1" w:themeShade="BF"/>
      <w:sz w:val="26"/>
      <w:szCs w:val="26"/>
    </w:rPr>
  </w:style>
  <w:style w:type="paragraph" w:customStyle="1" w:styleId="ADBodyText">
    <w:name w:val="AD Body Text"/>
    <w:qFormat/>
    <w:rsid w:val="00810116"/>
    <w:pPr>
      <w:spacing w:before="180" w:after="180" w:line="240" w:lineRule="auto"/>
    </w:pPr>
    <w:rPr>
      <w:rFonts w:ascii="Segoe UI" w:eastAsia="MS Mincho" w:hAnsi="Segoe UI" w:cstheme="minorHAnsi"/>
      <w:sz w:val="20"/>
      <w:szCs w:val="20"/>
      <w:lang w:val="en-AU" w:eastAsia="en-AU"/>
    </w:rPr>
  </w:style>
  <w:style w:type="paragraph" w:customStyle="1" w:styleId="ADListBullet1">
    <w:name w:val="AD List Bullet 1"/>
    <w:basedOn w:val="Normal"/>
    <w:uiPriority w:val="1"/>
    <w:qFormat/>
    <w:rsid w:val="00810116"/>
    <w:pPr>
      <w:numPr>
        <w:numId w:val="2"/>
      </w:numPr>
      <w:tabs>
        <w:tab w:val="left" w:pos="364"/>
      </w:tabs>
      <w:spacing w:before="80" w:after="80" w:line="240" w:lineRule="auto"/>
    </w:pPr>
    <w:rPr>
      <w:rFonts w:ascii="Segoe UI" w:eastAsia="MS Mincho" w:hAnsi="Segoe UI" w:cstheme="minorHAnsi"/>
      <w:color w:val="000000" w:themeColor="text1"/>
      <w:sz w:val="20"/>
      <w:szCs w:val="20"/>
      <w:lang w:val="en-AU" w:eastAsia="en-AU"/>
    </w:rPr>
  </w:style>
  <w:style w:type="paragraph" w:customStyle="1" w:styleId="ADListBullet2">
    <w:name w:val="AD List Bullet 2"/>
    <w:basedOn w:val="ADListBullet1"/>
    <w:uiPriority w:val="1"/>
    <w:qFormat/>
    <w:rsid w:val="00810116"/>
    <w:pPr>
      <w:numPr>
        <w:ilvl w:val="1"/>
      </w:numPr>
    </w:pPr>
  </w:style>
  <w:style w:type="paragraph" w:customStyle="1" w:styleId="ADListBullet3">
    <w:name w:val="AD List Bullet 3"/>
    <w:basedOn w:val="ADListBullet1"/>
    <w:uiPriority w:val="1"/>
    <w:qFormat/>
    <w:rsid w:val="00810116"/>
    <w:pPr>
      <w:numPr>
        <w:ilvl w:val="2"/>
      </w:numPr>
    </w:pPr>
  </w:style>
  <w:style w:type="paragraph" w:customStyle="1" w:styleId="ADListNumber1">
    <w:name w:val="AD List Number 1"/>
    <w:basedOn w:val="ADBodyText"/>
    <w:uiPriority w:val="2"/>
    <w:qFormat/>
    <w:rsid w:val="00810116"/>
    <w:pPr>
      <w:numPr>
        <w:numId w:val="3"/>
      </w:numPr>
      <w:spacing w:before="80" w:after="80"/>
    </w:pPr>
  </w:style>
  <w:style w:type="paragraph" w:customStyle="1" w:styleId="ADListNumber2">
    <w:name w:val="AD List Number 2"/>
    <w:basedOn w:val="Normal"/>
    <w:uiPriority w:val="2"/>
    <w:qFormat/>
    <w:rsid w:val="00810116"/>
    <w:pPr>
      <w:numPr>
        <w:ilvl w:val="1"/>
        <w:numId w:val="3"/>
      </w:numPr>
      <w:tabs>
        <w:tab w:val="left" w:pos="742"/>
      </w:tabs>
      <w:spacing w:before="80" w:after="80" w:line="240" w:lineRule="atLeast"/>
    </w:pPr>
    <w:rPr>
      <w:rFonts w:ascii="Segoe UI" w:eastAsia="MS Mincho" w:hAnsi="Segoe UI" w:cs="Calibri"/>
      <w:color w:val="000000" w:themeColor="text1"/>
      <w:sz w:val="20"/>
      <w:szCs w:val="20"/>
      <w:lang w:val="en-AU" w:eastAsia="en-AU"/>
    </w:rPr>
  </w:style>
  <w:style w:type="paragraph" w:customStyle="1" w:styleId="ADListNumber3">
    <w:name w:val="AD List Number 3"/>
    <w:basedOn w:val="ADBodyText"/>
    <w:uiPriority w:val="3"/>
    <w:qFormat/>
    <w:rsid w:val="00810116"/>
    <w:pPr>
      <w:numPr>
        <w:ilvl w:val="2"/>
        <w:numId w:val="3"/>
      </w:numPr>
      <w:tabs>
        <w:tab w:val="left" w:pos="1134"/>
      </w:tabs>
      <w:spacing w:before="80" w:after="8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Hettinger, Loren (Denver)</dc:creator>
  <cp:keywords/>
  <dc:description/>
  <cp:lastModifiedBy>Santangelo, Michele (Sacramento)</cp:lastModifiedBy>
  <cp:revision>3</cp:revision>
  <dcterms:created xsi:type="dcterms:W3CDTF">2019-12-17T18:57:00Z</dcterms:created>
  <dcterms:modified xsi:type="dcterms:W3CDTF">2019-12-17T19:07:00Z</dcterms:modified>
</cp:coreProperties>
</file>