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AB72" w14:textId="77777777" w:rsidR="000213BA" w:rsidRDefault="000213BA" w:rsidP="000213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</w:pPr>
      <w:r w:rsidRPr="005A491D"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  <w:t>Notice of Determinatio</w:t>
      </w:r>
      <w:r w:rsidR="0064668D"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  <w:t>n</w:t>
      </w:r>
    </w:p>
    <w:p w14:paraId="59250C01" w14:textId="77777777" w:rsidR="0047106C" w:rsidRPr="005A491D" w:rsidRDefault="0047106C" w:rsidP="000213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</w:pPr>
    </w:p>
    <w:p w14:paraId="7D4A6929" w14:textId="77777777" w:rsidR="000213BA" w:rsidRPr="0047106C" w:rsidRDefault="000213BA" w:rsidP="000213B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31F20"/>
          <w:szCs w:val="24"/>
        </w:rPr>
      </w:pPr>
      <w:r w:rsidRPr="0047106C">
        <w:rPr>
          <w:rFonts w:ascii="Arial,Bold" w:hAnsi="Arial,Bold" w:cs="Arial,Bold"/>
          <w:b/>
          <w:bCs/>
          <w:color w:val="231F20"/>
          <w:szCs w:val="24"/>
        </w:rPr>
        <w:t>To:</w:t>
      </w:r>
    </w:p>
    <w:p w14:paraId="2AB15231" w14:textId="77777777" w:rsidR="000213BA" w:rsidRPr="0047106C" w:rsidRDefault="003C11E2" w:rsidP="000213BA">
      <w:pPr>
        <w:autoSpaceDE w:val="0"/>
        <w:autoSpaceDN w:val="0"/>
        <w:adjustRightInd w:val="0"/>
        <w:rPr>
          <w:color w:val="231F20"/>
          <w:szCs w:val="24"/>
        </w:rPr>
      </w:pPr>
      <w:r>
        <w:rPr>
          <w:color w:val="231F2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6"/>
      <w:r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>
        <w:rPr>
          <w:color w:val="231F20"/>
          <w:szCs w:val="24"/>
        </w:rPr>
        <w:fldChar w:fldCharType="end"/>
      </w:r>
      <w:bookmarkEnd w:id="0"/>
      <w:r w:rsidR="000213BA" w:rsidRPr="0047106C">
        <w:rPr>
          <w:color w:val="231F20"/>
          <w:szCs w:val="24"/>
        </w:rPr>
        <w:t xml:space="preserve"> Office of Planning and Research</w:t>
      </w:r>
    </w:p>
    <w:p w14:paraId="6FAAE4DC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i/>
          <w:iCs/>
          <w:color w:val="231F20"/>
          <w:szCs w:val="24"/>
        </w:rPr>
        <w:t>For U.S. Mail:</w:t>
      </w:r>
      <w:r w:rsidR="00190274">
        <w:rPr>
          <w:i/>
          <w:iCs/>
          <w:color w:val="231F20"/>
          <w:szCs w:val="24"/>
        </w:rPr>
        <w:tab/>
      </w:r>
      <w:r w:rsidR="00B867BC" w:rsidRPr="0047106C">
        <w:rPr>
          <w:i/>
          <w:iCs/>
          <w:color w:val="231F20"/>
          <w:szCs w:val="24"/>
        </w:rPr>
        <w:t xml:space="preserve"> </w:t>
      </w:r>
      <w:r w:rsidR="00190274">
        <w:rPr>
          <w:i/>
          <w:iCs/>
          <w:color w:val="231F20"/>
          <w:szCs w:val="24"/>
        </w:rPr>
        <w:t xml:space="preserve"> </w:t>
      </w:r>
      <w:r w:rsidRPr="0047106C">
        <w:rPr>
          <w:color w:val="231F20"/>
          <w:szCs w:val="24"/>
        </w:rPr>
        <w:t>P.O. Box 3044</w:t>
      </w:r>
      <w:r w:rsidR="00B867BC" w:rsidRPr="0047106C">
        <w:rPr>
          <w:color w:val="231F20"/>
          <w:szCs w:val="24"/>
        </w:rPr>
        <w:t xml:space="preserve">, </w:t>
      </w:r>
      <w:r w:rsidRPr="0047106C">
        <w:rPr>
          <w:color w:val="231F20"/>
          <w:szCs w:val="24"/>
        </w:rPr>
        <w:t xml:space="preserve">Sacramento, CA 95812-3044 </w:t>
      </w:r>
      <w:r w:rsidRPr="0047106C">
        <w:rPr>
          <w:color w:val="231F20"/>
          <w:szCs w:val="24"/>
        </w:rPr>
        <w:tab/>
      </w:r>
      <w:r w:rsidRPr="0047106C">
        <w:rPr>
          <w:color w:val="231F20"/>
          <w:szCs w:val="24"/>
        </w:rPr>
        <w:tab/>
      </w:r>
    </w:p>
    <w:p w14:paraId="0A1ABB92" w14:textId="77777777" w:rsidR="000213BA" w:rsidRDefault="00B867BC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i/>
          <w:iCs/>
          <w:color w:val="231F20"/>
          <w:szCs w:val="24"/>
        </w:rPr>
        <w:t xml:space="preserve">Street Address: </w:t>
      </w:r>
      <w:r w:rsidRPr="0047106C">
        <w:rPr>
          <w:color w:val="231F20"/>
          <w:szCs w:val="24"/>
        </w:rPr>
        <w:t>1400 Tenth Street, Sacramento, CA 95814</w:t>
      </w:r>
    </w:p>
    <w:p w14:paraId="3E9A7607" w14:textId="77777777" w:rsidR="0047106C" w:rsidRPr="0047106C" w:rsidRDefault="0047106C" w:rsidP="000213BA">
      <w:pPr>
        <w:autoSpaceDE w:val="0"/>
        <w:autoSpaceDN w:val="0"/>
        <w:adjustRightInd w:val="0"/>
        <w:rPr>
          <w:i/>
          <w:iCs/>
          <w:color w:val="231F20"/>
          <w:szCs w:val="24"/>
        </w:rPr>
      </w:pPr>
    </w:p>
    <w:p w14:paraId="46AEC7E7" w14:textId="77777777" w:rsidR="000213BA" w:rsidRPr="0047106C" w:rsidRDefault="00611265" w:rsidP="000213BA">
      <w:pPr>
        <w:tabs>
          <w:tab w:val="left" w:pos="5040"/>
        </w:tabs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>
        <w:rPr>
          <w:color w:val="231F2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5"/>
      <w:r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>
        <w:rPr>
          <w:color w:val="231F20"/>
          <w:szCs w:val="24"/>
        </w:rPr>
        <w:fldChar w:fldCharType="end"/>
      </w:r>
      <w:bookmarkEnd w:id="1"/>
      <w:r w:rsidR="000213BA" w:rsidRPr="0047106C">
        <w:rPr>
          <w:rFonts w:ascii="Wingdings-Regular" w:hAnsi="Wingdings-Regular" w:cs="Wingdings-Regular"/>
          <w:color w:val="231F20"/>
          <w:szCs w:val="24"/>
        </w:rPr>
        <w:t xml:space="preserve"> </w:t>
      </w:r>
      <w:r w:rsidR="000213BA" w:rsidRPr="0047106C">
        <w:rPr>
          <w:rFonts w:ascii="TimesNewRoman" w:hAnsi="TimesNewRoman" w:cs="TimesNewRoman"/>
          <w:color w:val="231F20"/>
          <w:szCs w:val="24"/>
        </w:rPr>
        <w:t>County Clerk</w:t>
      </w:r>
    </w:p>
    <w:p w14:paraId="3A37CF32" w14:textId="77777777" w:rsidR="000213BA" w:rsidRPr="0047106C" w:rsidRDefault="000213BA" w:rsidP="000213BA">
      <w:pPr>
        <w:autoSpaceDE w:val="0"/>
        <w:autoSpaceDN w:val="0"/>
        <w:adjustRightInd w:val="0"/>
        <w:rPr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County of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="00B867BC" w:rsidRPr="0047106C">
        <w:rPr>
          <w:rFonts w:ascii="TimesNewRoman" w:hAnsi="TimesNewRoman" w:cs="TimesNewRoman"/>
          <w:color w:val="231F20"/>
          <w:szCs w:val="24"/>
        </w:rPr>
        <w:t xml:space="preserve"> </w:t>
      </w:r>
      <w:r w:rsidR="00190274"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szCs w:val="24"/>
        </w:rPr>
        <w:t>Los Angeles</w:t>
      </w:r>
    </w:p>
    <w:p w14:paraId="0A1488AF" w14:textId="77777777" w:rsidR="000213BA" w:rsidRPr="0047106C" w:rsidRDefault="000213BA" w:rsidP="000213BA">
      <w:pPr>
        <w:autoSpaceDE w:val="0"/>
        <w:autoSpaceDN w:val="0"/>
        <w:adjustRightInd w:val="0"/>
        <w:jc w:val="left"/>
        <w:rPr>
          <w:szCs w:val="24"/>
        </w:rPr>
      </w:pPr>
      <w:r w:rsidRPr="0047106C">
        <w:rPr>
          <w:i/>
          <w:szCs w:val="24"/>
        </w:rPr>
        <w:t>Address</w:t>
      </w:r>
      <w:r w:rsidRPr="0047106C">
        <w:rPr>
          <w:szCs w:val="24"/>
        </w:rPr>
        <w:t xml:space="preserve">: </w:t>
      </w:r>
      <w:r w:rsidR="00B867BC" w:rsidRPr="0047106C">
        <w:rPr>
          <w:szCs w:val="24"/>
        </w:rPr>
        <w:t xml:space="preserve">   </w:t>
      </w:r>
      <w:r w:rsidR="00190274">
        <w:rPr>
          <w:szCs w:val="24"/>
        </w:rPr>
        <w:tab/>
      </w:r>
      <w:r w:rsidRPr="0047106C">
        <w:rPr>
          <w:szCs w:val="24"/>
        </w:rPr>
        <w:t>12400 Imperial Highway</w:t>
      </w:r>
      <w:r w:rsidR="00B867BC" w:rsidRPr="0047106C">
        <w:rPr>
          <w:szCs w:val="24"/>
        </w:rPr>
        <w:t>, N</w:t>
      </w:r>
      <w:r w:rsidRPr="0047106C">
        <w:rPr>
          <w:szCs w:val="24"/>
        </w:rPr>
        <w:t>orwalk, CA 90650</w:t>
      </w:r>
    </w:p>
    <w:p w14:paraId="50CC5B0B" w14:textId="77777777" w:rsidR="0047106C" w:rsidRDefault="0047106C" w:rsidP="000213B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31F20"/>
          <w:szCs w:val="24"/>
        </w:rPr>
      </w:pPr>
    </w:p>
    <w:p w14:paraId="4ACD9B0C" w14:textId="77777777" w:rsidR="000213BA" w:rsidRPr="0047106C" w:rsidRDefault="000213BA" w:rsidP="000213BA">
      <w:pPr>
        <w:autoSpaceDE w:val="0"/>
        <w:autoSpaceDN w:val="0"/>
        <w:adjustRightInd w:val="0"/>
        <w:jc w:val="left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Arial,Bold" w:hAnsi="Arial,Bold" w:cs="Arial,Bold"/>
          <w:b/>
          <w:bCs/>
          <w:color w:val="231F20"/>
          <w:szCs w:val="24"/>
        </w:rPr>
        <w:t>From:</w:t>
      </w:r>
    </w:p>
    <w:p w14:paraId="4CC20455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Lead Agency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Pr="0047106C">
        <w:rPr>
          <w:rFonts w:ascii="TimesNewRoman" w:hAnsi="TimesNewRoman" w:cs="TimesNewRoman"/>
          <w:color w:val="231F20"/>
          <w:szCs w:val="24"/>
        </w:rPr>
        <w:tab/>
        <w:t>City of Irwindale</w:t>
      </w:r>
    </w:p>
    <w:p w14:paraId="4A2D1D13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Address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Pr="0047106C"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rFonts w:ascii="TimesNewRoman" w:hAnsi="TimesNewRoman" w:cs="TimesNewRoman"/>
          <w:szCs w:val="24"/>
        </w:rPr>
        <w:t>5050 North Irwindale Avenue</w:t>
      </w:r>
      <w:r w:rsidR="00B867BC" w:rsidRPr="0047106C">
        <w:rPr>
          <w:rFonts w:ascii="TimesNewRoman" w:hAnsi="TimesNewRoman" w:cs="TimesNewRoman"/>
          <w:szCs w:val="24"/>
        </w:rPr>
        <w:t xml:space="preserve">, </w:t>
      </w:r>
      <w:r w:rsidRPr="0047106C">
        <w:rPr>
          <w:rFonts w:ascii="TimesNewRoman" w:hAnsi="TimesNewRoman" w:cs="TimesNewRoman"/>
          <w:szCs w:val="24"/>
        </w:rPr>
        <w:t>Irwindale, CA 91706</w:t>
      </w:r>
    </w:p>
    <w:p w14:paraId="3FC146D5" w14:textId="77777777" w:rsidR="0064578D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i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Contact</w:t>
      </w:r>
      <w:r w:rsidRPr="0047106C">
        <w:rPr>
          <w:rFonts w:ascii="TimesNewRoman" w:hAnsi="TimesNewRoman" w:cs="TimesNewRoman"/>
          <w:color w:val="231F20"/>
          <w:szCs w:val="24"/>
        </w:rPr>
        <w:t xml:space="preserve">:   </w:t>
      </w:r>
      <w:r w:rsidRPr="0047106C">
        <w:rPr>
          <w:rFonts w:ascii="TimesNewRoman" w:hAnsi="TimesNewRoman" w:cs="TimesNewRoman"/>
          <w:color w:val="231F20"/>
          <w:szCs w:val="24"/>
        </w:rPr>
        <w:tab/>
      </w:r>
      <w:r w:rsidR="000716DF" w:rsidRPr="0047106C">
        <w:rPr>
          <w:rFonts w:ascii="TimesNewRoman" w:hAnsi="TimesNewRoman" w:cs="TimesNewRoman"/>
          <w:color w:val="231F20"/>
          <w:szCs w:val="24"/>
        </w:rPr>
        <w:t>Marilyn Simpson, AICP</w:t>
      </w:r>
      <w:r w:rsidRPr="0047106C">
        <w:rPr>
          <w:rFonts w:ascii="TimesNewRoman" w:hAnsi="TimesNewRoman" w:cs="TimesNewRoman"/>
          <w:color w:val="231F20"/>
          <w:szCs w:val="24"/>
        </w:rPr>
        <w:t xml:space="preserve">, </w:t>
      </w:r>
      <w:r w:rsidR="0064578D">
        <w:rPr>
          <w:rFonts w:ascii="TimesNewRoman" w:hAnsi="TimesNewRoman" w:cs="TimesNewRoman"/>
          <w:color w:val="231F20"/>
          <w:szCs w:val="24"/>
        </w:rPr>
        <w:t>Community Development Manager / City Planner</w:t>
      </w:r>
    </w:p>
    <w:p w14:paraId="74C7268D" w14:textId="77777777" w:rsidR="000213BA" w:rsidRPr="0047106C" w:rsidRDefault="000716DF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Phone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="0064578D">
        <w:rPr>
          <w:rFonts w:ascii="TimesNewRoman" w:hAnsi="TimesNewRoman" w:cs="TimesNewRoman"/>
          <w:color w:val="231F20"/>
          <w:szCs w:val="24"/>
        </w:rPr>
        <w:tab/>
      </w:r>
      <w:r w:rsidR="0064578D"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rFonts w:ascii="TimesNewRoman" w:hAnsi="TimesNewRoman" w:cs="TimesNewRoman"/>
          <w:color w:val="231F20"/>
          <w:szCs w:val="24"/>
        </w:rPr>
        <w:t>(626) 430-2209</w:t>
      </w:r>
    </w:p>
    <w:p w14:paraId="171EF2E0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color w:val="231F20"/>
          <w:szCs w:val="24"/>
        </w:rPr>
        <w:tab/>
      </w:r>
    </w:p>
    <w:p w14:paraId="19583466" w14:textId="77777777" w:rsidR="000213BA" w:rsidRPr="0047106C" w:rsidRDefault="000213BA" w:rsidP="000213B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231F20"/>
          <w:szCs w:val="24"/>
        </w:rPr>
      </w:pPr>
      <w:r w:rsidRPr="0047106C">
        <w:rPr>
          <w:rFonts w:ascii="Arial,BoldItalic" w:hAnsi="Arial,BoldItalic" w:cs="Arial,BoldItalic"/>
          <w:b/>
          <w:bCs/>
          <w:i/>
          <w:iCs/>
          <w:color w:val="231F20"/>
          <w:szCs w:val="24"/>
        </w:rPr>
        <w:t>SUBJECT: Filing of Notice of Determination in compliance with Section 21108 or 21152 of the Public Resources Code.</w:t>
      </w:r>
    </w:p>
    <w:p w14:paraId="67DEE94C" w14:textId="77777777" w:rsidR="000213BA" w:rsidRPr="0047106C" w:rsidRDefault="000213BA" w:rsidP="004B56D0">
      <w:pPr>
        <w:autoSpaceDE w:val="0"/>
        <w:autoSpaceDN w:val="0"/>
        <w:adjustRightInd w:val="0"/>
        <w:rPr>
          <w:rFonts w:ascii="Arial" w:hAnsi="Arial" w:cs="Arial"/>
          <w:color w:val="231F20"/>
          <w:szCs w:val="24"/>
        </w:rPr>
      </w:pPr>
    </w:p>
    <w:p w14:paraId="6DA8E3F2" w14:textId="77777777" w:rsidR="000213BA" w:rsidRDefault="00734317" w:rsidP="004B56D0">
      <w:pPr>
        <w:autoSpaceDE w:val="0"/>
        <w:autoSpaceDN w:val="0"/>
        <w:adjustRightInd w:val="0"/>
        <w:rPr>
          <w:color w:val="231F20"/>
          <w:szCs w:val="24"/>
          <w:u w:val="single"/>
        </w:rPr>
      </w:pPr>
      <w:r w:rsidRPr="0047106C">
        <w:rPr>
          <w:b/>
          <w:color w:val="231F20"/>
          <w:szCs w:val="24"/>
        </w:rPr>
        <w:t>STATE CLEARINGHOUSE NUMBER</w:t>
      </w:r>
      <w:r w:rsidRPr="0047106C">
        <w:rPr>
          <w:color w:val="231F20"/>
          <w:szCs w:val="24"/>
        </w:rPr>
        <w:t xml:space="preserve"> </w:t>
      </w:r>
      <w:r w:rsidR="000213BA" w:rsidRPr="0047106C">
        <w:rPr>
          <w:color w:val="231F20"/>
          <w:szCs w:val="24"/>
        </w:rPr>
        <w:t xml:space="preserve">(if submitted to State Clearinghouse): </w:t>
      </w:r>
      <w:r w:rsidR="002619DA" w:rsidRPr="002619DA">
        <w:rPr>
          <w:color w:val="231F20"/>
          <w:szCs w:val="24"/>
          <w:u w:val="single"/>
        </w:rPr>
        <w:t>2019080276</w:t>
      </w:r>
    </w:p>
    <w:p w14:paraId="033DA4DE" w14:textId="77777777" w:rsidR="002619DA" w:rsidRPr="0047106C" w:rsidRDefault="002619DA" w:rsidP="004B56D0">
      <w:pPr>
        <w:autoSpaceDE w:val="0"/>
        <w:autoSpaceDN w:val="0"/>
        <w:adjustRightInd w:val="0"/>
        <w:rPr>
          <w:color w:val="231F20"/>
          <w:szCs w:val="24"/>
        </w:rPr>
      </w:pPr>
    </w:p>
    <w:p w14:paraId="6EEA8621" w14:textId="77777777" w:rsidR="000213BA" w:rsidRPr="006751D3" w:rsidRDefault="000213BA" w:rsidP="006751D3">
      <w:pPr>
        <w:pStyle w:val="Heading2"/>
        <w:spacing w:before="0"/>
        <w:rPr>
          <w:rFonts w:ascii="Times New Roman" w:hAnsi="Times New Roman" w:cs="Times New Roman"/>
          <w:b w:val="0"/>
          <w:color w:val="231F20"/>
          <w:sz w:val="24"/>
          <w:szCs w:val="24"/>
        </w:rPr>
      </w:pPr>
      <w:r w:rsidRPr="0047106C">
        <w:rPr>
          <w:rFonts w:ascii="Times New Roman" w:hAnsi="Times New Roman" w:cs="Times New Roman"/>
          <w:caps/>
          <w:color w:val="231F20"/>
          <w:sz w:val="24"/>
          <w:szCs w:val="24"/>
        </w:rPr>
        <w:t>Project Title</w:t>
      </w:r>
      <w:r w:rsidRPr="0047106C">
        <w:rPr>
          <w:rFonts w:ascii="Times New Roman" w:hAnsi="Times New Roman" w:cs="Times New Roman"/>
          <w:b w:val="0"/>
          <w:color w:val="231F20"/>
          <w:sz w:val="24"/>
          <w:szCs w:val="24"/>
        </w:rPr>
        <w:t>:</w:t>
      </w:r>
      <w:r w:rsidR="00A85379" w:rsidRPr="0047106C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="002619DA">
        <w:rPr>
          <w:rFonts w:ascii="Times New Roman" w:hAnsi="Times New Roman" w:cs="Times New Roman"/>
          <w:b w:val="0"/>
          <w:color w:val="231F20"/>
          <w:sz w:val="24"/>
          <w:szCs w:val="24"/>
        </w:rPr>
        <w:t>13131 Los Angeles Street Industrial Project</w:t>
      </w:r>
    </w:p>
    <w:p w14:paraId="362883A5" w14:textId="77777777" w:rsidR="00734317" w:rsidRPr="0047106C" w:rsidRDefault="00734317" w:rsidP="004B56D0">
      <w:pPr>
        <w:autoSpaceDE w:val="0"/>
        <w:autoSpaceDN w:val="0"/>
        <w:adjustRightInd w:val="0"/>
        <w:rPr>
          <w:b/>
          <w:color w:val="231F20"/>
          <w:szCs w:val="24"/>
        </w:rPr>
      </w:pPr>
    </w:p>
    <w:p w14:paraId="4B4F31D3" w14:textId="77777777" w:rsidR="000213BA" w:rsidRPr="0047106C" w:rsidRDefault="00734317" w:rsidP="004B56D0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b/>
          <w:color w:val="231F20"/>
          <w:szCs w:val="24"/>
        </w:rPr>
        <w:t>PROJECT APPLICANT:</w:t>
      </w:r>
      <w:r w:rsidRPr="0047106C">
        <w:rPr>
          <w:color w:val="231F20"/>
          <w:szCs w:val="24"/>
        </w:rPr>
        <w:t xml:space="preserve"> </w:t>
      </w:r>
      <w:r w:rsidR="002619DA">
        <w:rPr>
          <w:color w:val="231F20"/>
          <w:szCs w:val="24"/>
        </w:rPr>
        <w:t>Duke Realty</w:t>
      </w:r>
    </w:p>
    <w:p w14:paraId="3837402C" w14:textId="77777777" w:rsidR="00734317" w:rsidRPr="0047106C" w:rsidRDefault="00734317" w:rsidP="000213BA">
      <w:pPr>
        <w:autoSpaceDE w:val="0"/>
        <w:autoSpaceDN w:val="0"/>
        <w:adjustRightInd w:val="0"/>
        <w:rPr>
          <w:b/>
          <w:color w:val="231F20"/>
          <w:szCs w:val="24"/>
        </w:rPr>
      </w:pPr>
    </w:p>
    <w:p w14:paraId="3AA5ADA1" w14:textId="77777777" w:rsidR="006751D3" w:rsidRDefault="00A85379" w:rsidP="006751D3">
      <w:pPr>
        <w:autoSpaceDE w:val="0"/>
        <w:autoSpaceDN w:val="0"/>
        <w:adjustRightInd w:val="0"/>
        <w:rPr>
          <w:color w:val="231F20"/>
          <w:szCs w:val="24"/>
          <w:u w:val="single"/>
        </w:rPr>
      </w:pPr>
      <w:r w:rsidRPr="0047106C">
        <w:rPr>
          <w:b/>
          <w:color w:val="231F20"/>
          <w:szCs w:val="24"/>
        </w:rPr>
        <w:t>PROJECT LOCATION</w:t>
      </w:r>
      <w:r w:rsidRPr="0047106C">
        <w:rPr>
          <w:color w:val="231F20"/>
          <w:szCs w:val="24"/>
        </w:rPr>
        <w:t xml:space="preserve"> (</w:t>
      </w:r>
      <w:r w:rsidR="00B867BC" w:rsidRPr="0047106C">
        <w:rPr>
          <w:color w:val="231F20"/>
          <w:szCs w:val="24"/>
        </w:rPr>
        <w:t>include county</w:t>
      </w:r>
      <w:r w:rsidRPr="0047106C">
        <w:rPr>
          <w:color w:val="231F20"/>
          <w:szCs w:val="24"/>
        </w:rPr>
        <w:t>)</w:t>
      </w:r>
      <w:r w:rsidR="000213BA" w:rsidRPr="0047106C">
        <w:rPr>
          <w:color w:val="231F20"/>
          <w:szCs w:val="24"/>
        </w:rPr>
        <w:t xml:space="preserve">: </w:t>
      </w:r>
      <w:r w:rsidR="000213BA" w:rsidRPr="0047106C">
        <w:rPr>
          <w:color w:val="231F20"/>
          <w:szCs w:val="24"/>
          <w:u w:val="single"/>
        </w:rPr>
        <w:t>City of Irwindale, CA</w:t>
      </w:r>
      <w:proofErr w:type="gramStart"/>
      <w:r w:rsidR="000213BA" w:rsidRPr="0047106C">
        <w:rPr>
          <w:color w:val="231F20"/>
          <w:szCs w:val="24"/>
          <w:u w:val="single"/>
        </w:rPr>
        <w:t>;</w:t>
      </w:r>
      <w:proofErr w:type="gramEnd"/>
      <w:r w:rsidR="000213BA" w:rsidRPr="0047106C">
        <w:rPr>
          <w:color w:val="231F20"/>
          <w:szCs w:val="24"/>
          <w:u w:val="single"/>
        </w:rPr>
        <w:t xml:space="preserve"> County of Los Angeles</w:t>
      </w:r>
    </w:p>
    <w:p w14:paraId="0102C492" w14:textId="77777777" w:rsidR="006751D3" w:rsidRDefault="002619DA" w:rsidP="002619DA">
      <w:pPr>
        <w:pStyle w:val="NoSpacing"/>
        <w:rPr>
          <w:szCs w:val="20"/>
        </w:rPr>
      </w:pPr>
      <w:r w:rsidRPr="002619DA">
        <w:rPr>
          <w:szCs w:val="20"/>
        </w:rPr>
        <w:t>The Project is located at 13131 Los Angeles Street (APN: 8353-020-007), east of the San Gabriel River</w:t>
      </w:r>
      <w:r>
        <w:rPr>
          <w:szCs w:val="20"/>
        </w:rPr>
        <w:t xml:space="preserve"> </w:t>
      </w:r>
      <w:r w:rsidRPr="002619DA">
        <w:rPr>
          <w:szCs w:val="20"/>
        </w:rPr>
        <w:t>and Interstate 605 in the western portion of the City of Irwindale. Surrounding the Project site are commercial and</w:t>
      </w:r>
      <w:r>
        <w:rPr>
          <w:szCs w:val="20"/>
        </w:rPr>
        <w:t xml:space="preserve"> </w:t>
      </w:r>
      <w:r w:rsidRPr="002619DA">
        <w:rPr>
          <w:szCs w:val="20"/>
        </w:rPr>
        <w:t>industrial buildings (City of Baldwin Park) to the east, Rivergrade Road and the San Gabriel River Freeway (I-605) to the</w:t>
      </w:r>
      <w:r>
        <w:rPr>
          <w:szCs w:val="20"/>
        </w:rPr>
        <w:t xml:space="preserve"> </w:t>
      </w:r>
      <w:r w:rsidRPr="002619DA">
        <w:rPr>
          <w:szCs w:val="20"/>
        </w:rPr>
        <w:t>north, an industrial building (SCE Material Supply, Irwindale Distribution Center) to the west, Los Angeles Street and a</w:t>
      </w:r>
      <w:r>
        <w:rPr>
          <w:szCs w:val="20"/>
        </w:rPr>
        <w:t xml:space="preserve"> </w:t>
      </w:r>
      <w:r w:rsidRPr="002619DA">
        <w:rPr>
          <w:szCs w:val="20"/>
        </w:rPr>
        <w:t xml:space="preserve">gravel quarry (Vulcan Durbin Materials Plant) to the south. </w:t>
      </w:r>
    </w:p>
    <w:p w14:paraId="623BC8AA" w14:textId="77777777" w:rsidR="002619DA" w:rsidRPr="0047106C" w:rsidRDefault="002619DA" w:rsidP="002619DA">
      <w:pPr>
        <w:pStyle w:val="NoSpacing"/>
      </w:pPr>
    </w:p>
    <w:p w14:paraId="2A8E015E" w14:textId="77777777" w:rsidR="002619DA" w:rsidRDefault="000213BA" w:rsidP="002619DA">
      <w:pPr>
        <w:rPr>
          <w:szCs w:val="24"/>
        </w:rPr>
      </w:pPr>
      <w:r w:rsidRPr="0047106C">
        <w:rPr>
          <w:b/>
          <w:caps/>
          <w:szCs w:val="24"/>
        </w:rPr>
        <w:t>Project Description</w:t>
      </w:r>
      <w:r w:rsidRPr="0047106C">
        <w:rPr>
          <w:szCs w:val="24"/>
        </w:rPr>
        <w:t xml:space="preserve">: </w:t>
      </w:r>
      <w:r w:rsidR="002619DA" w:rsidRPr="002619DA">
        <w:rPr>
          <w:szCs w:val="24"/>
        </w:rPr>
        <w:t xml:space="preserve">The 24.9-acre Project site </w:t>
      </w:r>
      <w:proofErr w:type="gramStart"/>
      <w:r w:rsidR="002619DA" w:rsidRPr="002619DA">
        <w:rPr>
          <w:szCs w:val="24"/>
        </w:rPr>
        <w:t>was previously occupied</w:t>
      </w:r>
      <w:proofErr w:type="gramEnd"/>
      <w:r w:rsidR="002619DA" w:rsidRPr="002619DA">
        <w:rPr>
          <w:szCs w:val="24"/>
        </w:rPr>
        <w:t xml:space="preserve"> by a pre-cast concrete manufacturing and</w:t>
      </w:r>
      <w:r w:rsidR="002619DA">
        <w:rPr>
          <w:szCs w:val="24"/>
        </w:rPr>
        <w:t xml:space="preserve"> </w:t>
      </w:r>
      <w:r w:rsidR="002619DA" w:rsidRPr="002619DA">
        <w:rPr>
          <w:szCs w:val="24"/>
        </w:rPr>
        <w:t>distribution business from 1967 until 2017. Demolition of the remaining on-site buildings and structures may proceed</w:t>
      </w:r>
      <w:r w:rsidR="002619DA">
        <w:rPr>
          <w:szCs w:val="24"/>
        </w:rPr>
        <w:t xml:space="preserve"> </w:t>
      </w:r>
      <w:r w:rsidR="002619DA" w:rsidRPr="002619DA">
        <w:rPr>
          <w:szCs w:val="24"/>
        </w:rPr>
        <w:t>independently and in advance of proposed project construction of a stand-alone concrete tilt-up building (±528,710 square</w:t>
      </w:r>
      <w:r w:rsidR="002619DA">
        <w:rPr>
          <w:szCs w:val="24"/>
        </w:rPr>
        <w:t xml:space="preserve"> </w:t>
      </w:r>
      <w:r w:rsidR="002619DA" w:rsidRPr="002619DA">
        <w:rPr>
          <w:szCs w:val="24"/>
        </w:rPr>
        <w:t>feet). The proposed building would be 47.5 feet tall, with architectural features extending up to 53.5 feet tall. The building</w:t>
      </w:r>
      <w:r w:rsidR="002619DA">
        <w:rPr>
          <w:szCs w:val="24"/>
        </w:rPr>
        <w:t xml:space="preserve"> </w:t>
      </w:r>
      <w:r w:rsidR="002619DA" w:rsidRPr="002619DA">
        <w:rPr>
          <w:szCs w:val="24"/>
        </w:rPr>
        <w:t>would feature forklift ramps and roll-up dock doors on the northern and western sides, respectively. The proposed Project</w:t>
      </w:r>
      <w:r w:rsidR="002619DA">
        <w:rPr>
          <w:szCs w:val="24"/>
        </w:rPr>
        <w:t xml:space="preserve"> </w:t>
      </w:r>
      <w:r w:rsidR="002619DA" w:rsidRPr="002619DA">
        <w:rPr>
          <w:szCs w:val="24"/>
        </w:rPr>
        <w:t xml:space="preserve">would include 261 standard vehicle parking spaces, 149 trailer stalls, and 13 </w:t>
      </w:r>
      <w:proofErr w:type="gramStart"/>
      <w:r w:rsidR="002619DA" w:rsidRPr="002619DA">
        <w:rPr>
          <w:szCs w:val="24"/>
        </w:rPr>
        <w:t>bicycle parking</w:t>
      </w:r>
      <w:proofErr w:type="gramEnd"/>
      <w:r w:rsidR="002619DA" w:rsidRPr="002619DA">
        <w:rPr>
          <w:szCs w:val="24"/>
        </w:rPr>
        <w:t xml:space="preserve"> stalls. </w:t>
      </w:r>
    </w:p>
    <w:p w14:paraId="24D74FC3" w14:textId="77777777" w:rsidR="002619DA" w:rsidRDefault="002619DA" w:rsidP="002619DA">
      <w:pPr>
        <w:rPr>
          <w:szCs w:val="24"/>
        </w:rPr>
      </w:pPr>
    </w:p>
    <w:p w14:paraId="731BB2CB" w14:textId="77777777" w:rsidR="002619DA" w:rsidRPr="002619DA" w:rsidRDefault="002619DA" w:rsidP="002619DA">
      <w:pPr>
        <w:rPr>
          <w:szCs w:val="24"/>
        </w:rPr>
      </w:pPr>
      <w:proofErr w:type="gramStart"/>
      <w:r w:rsidRPr="002619DA">
        <w:rPr>
          <w:szCs w:val="24"/>
        </w:rPr>
        <w:t>A total of four</w:t>
      </w:r>
      <w:proofErr w:type="gramEnd"/>
      <w:r w:rsidRPr="002619DA">
        <w:rPr>
          <w:szCs w:val="24"/>
        </w:rPr>
        <w:t xml:space="preserve"> entryways</w:t>
      </w:r>
      <w:r>
        <w:rPr>
          <w:szCs w:val="24"/>
        </w:rPr>
        <w:t xml:space="preserve"> </w:t>
      </w:r>
      <w:r w:rsidRPr="002619DA">
        <w:rPr>
          <w:szCs w:val="24"/>
        </w:rPr>
        <w:t>would be provided for access to the site: two driveways on Los Angeles Street, and two gated driveways along Rivergrade</w:t>
      </w:r>
      <w:r>
        <w:rPr>
          <w:szCs w:val="24"/>
        </w:rPr>
        <w:t xml:space="preserve"> </w:t>
      </w:r>
      <w:r w:rsidRPr="002619DA">
        <w:rPr>
          <w:szCs w:val="24"/>
        </w:rPr>
        <w:t xml:space="preserve">Road. Landscaping and a fire lane </w:t>
      </w:r>
      <w:proofErr w:type="gramStart"/>
      <w:r w:rsidRPr="002619DA">
        <w:rPr>
          <w:szCs w:val="24"/>
        </w:rPr>
        <w:t>will be installed</w:t>
      </w:r>
      <w:proofErr w:type="gramEnd"/>
      <w:r w:rsidRPr="002619DA">
        <w:rPr>
          <w:szCs w:val="24"/>
        </w:rPr>
        <w:t xml:space="preserve"> around the perimeter of the building. The site is located in an </w:t>
      </w:r>
      <w:proofErr w:type="gramStart"/>
      <w:r w:rsidRPr="002619DA">
        <w:rPr>
          <w:szCs w:val="24"/>
        </w:rPr>
        <w:t>area</w:t>
      </w:r>
      <w:r>
        <w:rPr>
          <w:szCs w:val="24"/>
        </w:rPr>
        <w:t xml:space="preserve"> </w:t>
      </w:r>
      <w:r w:rsidRPr="002619DA">
        <w:rPr>
          <w:szCs w:val="24"/>
        </w:rPr>
        <w:t>designated</w:t>
      </w:r>
      <w:proofErr w:type="gramEnd"/>
      <w:r w:rsidRPr="002619DA">
        <w:rPr>
          <w:szCs w:val="24"/>
        </w:rPr>
        <w:t xml:space="preserve"> Industrial/Business Park by the City of Irwindale General Plan, and zoned M-2 Heavy </w:t>
      </w:r>
      <w:r w:rsidRPr="002619DA">
        <w:rPr>
          <w:szCs w:val="24"/>
        </w:rPr>
        <w:lastRenderedPageBreak/>
        <w:t>Manufacturing by the City</w:t>
      </w:r>
      <w:r>
        <w:rPr>
          <w:szCs w:val="24"/>
        </w:rPr>
        <w:t xml:space="preserve"> </w:t>
      </w:r>
      <w:r w:rsidRPr="002619DA">
        <w:rPr>
          <w:szCs w:val="24"/>
        </w:rPr>
        <w:t>Municipal Code. The Project proponent is pursuing the Project on a speculative basis, meaning that the proposed building’s</w:t>
      </w:r>
      <w:r>
        <w:rPr>
          <w:szCs w:val="24"/>
        </w:rPr>
        <w:t xml:space="preserve"> </w:t>
      </w:r>
      <w:r w:rsidRPr="002619DA">
        <w:rPr>
          <w:szCs w:val="24"/>
        </w:rPr>
        <w:t xml:space="preserve">future tenants </w:t>
      </w:r>
      <w:proofErr w:type="gramStart"/>
      <w:r w:rsidRPr="002619DA">
        <w:rPr>
          <w:szCs w:val="24"/>
        </w:rPr>
        <w:t>are not yet identified</w:t>
      </w:r>
      <w:proofErr w:type="gramEnd"/>
      <w:r w:rsidRPr="002619DA">
        <w:rPr>
          <w:szCs w:val="24"/>
        </w:rPr>
        <w:t>.</w:t>
      </w:r>
    </w:p>
    <w:p w14:paraId="08A7167A" w14:textId="77777777" w:rsidR="00322637" w:rsidRDefault="00322637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0D15FC32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This is to advise that the </w:t>
      </w:r>
      <w:r w:rsidRPr="0047106C">
        <w:rPr>
          <w:color w:val="231F20"/>
          <w:szCs w:val="24"/>
          <w:u w:val="single"/>
        </w:rPr>
        <w:t xml:space="preserve">City of Irwindale </w:t>
      </w:r>
      <w:r w:rsidR="0047106C" w:rsidRPr="0047106C">
        <w:rPr>
          <w:color w:val="231F20"/>
          <w:szCs w:val="24"/>
          <w:u w:val="single"/>
        </w:rPr>
        <w:t>(</w:t>
      </w:r>
      <w:r w:rsidR="002619DA">
        <w:rPr>
          <w:color w:val="231F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2619DA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="002619DA">
        <w:rPr>
          <w:color w:val="231F20"/>
          <w:szCs w:val="24"/>
        </w:rPr>
        <w:fldChar w:fldCharType="end"/>
      </w:r>
      <w:bookmarkEnd w:id="2"/>
      <w:r w:rsidR="0047106C" w:rsidRPr="0047106C">
        <w:rPr>
          <w:color w:val="231F20"/>
          <w:szCs w:val="24"/>
        </w:rPr>
        <w:t xml:space="preserve"> Lead Agency or </w:t>
      </w:r>
      <w:r w:rsidR="002619DA">
        <w:rPr>
          <w:color w:val="231F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619DA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="002619DA">
        <w:rPr>
          <w:color w:val="231F20"/>
          <w:szCs w:val="24"/>
        </w:rPr>
        <w:fldChar w:fldCharType="end"/>
      </w:r>
      <w:bookmarkEnd w:id="3"/>
      <w:r w:rsidR="0047106C" w:rsidRPr="0047106C">
        <w:rPr>
          <w:color w:val="231F20"/>
          <w:szCs w:val="24"/>
        </w:rPr>
        <w:t>Responsible Party)</w:t>
      </w:r>
      <w:r w:rsidR="007D7C80">
        <w:rPr>
          <w:color w:val="231F20"/>
          <w:szCs w:val="24"/>
        </w:rPr>
        <w:t xml:space="preserve"> approved</w:t>
      </w:r>
      <w:r w:rsidR="0047106C" w:rsidRPr="0047106C">
        <w:rPr>
          <w:color w:val="231F20"/>
          <w:szCs w:val="24"/>
        </w:rPr>
        <w:t xml:space="preserve"> the </w:t>
      </w:r>
      <w:proofErr w:type="gramStart"/>
      <w:r w:rsidR="0047106C" w:rsidRPr="0047106C">
        <w:rPr>
          <w:color w:val="231F20"/>
          <w:szCs w:val="24"/>
        </w:rPr>
        <w:t>above described</w:t>
      </w:r>
      <w:proofErr w:type="gramEnd"/>
      <w:r w:rsidR="0047106C" w:rsidRPr="0047106C">
        <w:rPr>
          <w:color w:val="231F20"/>
          <w:szCs w:val="24"/>
        </w:rPr>
        <w:t xml:space="preserve"> project on </w:t>
      </w:r>
      <w:r w:rsidR="002619DA" w:rsidRPr="002619DA">
        <w:rPr>
          <w:color w:val="231F20"/>
          <w:szCs w:val="24"/>
          <w:u w:val="single"/>
        </w:rPr>
        <w:t>November 11, 2020</w:t>
      </w:r>
      <w:r w:rsidRPr="0047106C">
        <w:rPr>
          <w:color w:val="231F20"/>
          <w:szCs w:val="24"/>
        </w:rPr>
        <w:t xml:space="preserve"> and has made the following determinations regarding the above described project:</w:t>
      </w:r>
    </w:p>
    <w:p w14:paraId="1F78D4A5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7982868B" w14:textId="77777777" w:rsid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1. The project</w:t>
      </w:r>
      <w:r w:rsidR="004B56D0" w:rsidRPr="0047106C">
        <w:rPr>
          <w:color w:val="231F20"/>
          <w:szCs w:val="24"/>
        </w:rPr>
        <w:t xml:space="preserve"> [</w:t>
      </w:r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will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will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have a significant effect on the environment.</w:t>
      </w:r>
    </w:p>
    <w:p w14:paraId="1F708313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  </w:t>
      </w:r>
    </w:p>
    <w:p w14:paraId="3A613E0E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2. </w:t>
      </w:r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An Environmental Impact Report </w:t>
      </w:r>
      <w:r w:rsidR="002619DA">
        <w:rPr>
          <w:color w:val="231F20"/>
          <w:szCs w:val="24"/>
        </w:rPr>
        <w:t>was</w:t>
      </w:r>
      <w:r w:rsidRPr="0047106C">
        <w:rPr>
          <w:color w:val="231F20"/>
          <w:szCs w:val="24"/>
        </w:rPr>
        <w:t xml:space="preserve"> prepared for this project pursuant to the provisions of CEQA.</w:t>
      </w:r>
    </w:p>
    <w:p w14:paraId="3F9663DF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   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A Negative Declaration </w:t>
      </w:r>
      <w:proofErr w:type="gramStart"/>
      <w:r w:rsidRPr="0047106C">
        <w:rPr>
          <w:color w:val="231F20"/>
          <w:szCs w:val="24"/>
        </w:rPr>
        <w:t>was prepared</w:t>
      </w:r>
      <w:proofErr w:type="gramEnd"/>
      <w:r w:rsidRPr="0047106C">
        <w:rPr>
          <w:color w:val="231F20"/>
          <w:szCs w:val="24"/>
        </w:rPr>
        <w:t xml:space="preserve"> for this project pursuant to the provisions of CEQA.</w:t>
      </w:r>
    </w:p>
    <w:p w14:paraId="0782321D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28C93CAE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3. Mitigation measures [</w:t>
      </w:r>
      <w:bookmarkStart w:id="4" w:name="Check5"/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4"/>
      <w:r w:rsidRPr="0047106C">
        <w:rPr>
          <w:color w:val="231F20"/>
          <w:szCs w:val="24"/>
        </w:rPr>
        <w:t xml:space="preserve"> were </w:t>
      </w:r>
      <w:bookmarkStart w:id="5" w:name="Check6"/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5"/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were</w:t>
      </w:r>
      <w:proofErr w:type="spellEnd"/>
      <w:r w:rsidRPr="0047106C">
        <w:rPr>
          <w:color w:val="231F20"/>
          <w:szCs w:val="24"/>
        </w:rPr>
        <w:t xml:space="preserve"> not] made a condition of the approval of the project.</w:t>
      </w:r>
    </w:p>
    <w:p w14:paraId="4B29B740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1A67FC80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4. A mitigation reporting or monitoring plan [</w:t>
      </w:r>
      <w:bookmarkStart w:id="6" w:name="Check7"/>
      <w:r w:rsidRPr="0047106C">
        <w:rPr>
          <w:color w:val="231F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6"/>
      <w:r w:rsidRPr="0047106C">
        <w:rPr>
          <w:color w:val="231F20"/>
          <w:szCs w:val="24"/>
        </w:rPr>
        <w:t xml:space="preserve"> was </w:t>
      </w:r>
      <w:bookmarkStart w:id="7" w:name="Check8"/>
      <w:r w:rsidRPr="0047106C">
        <w:rPr>
          <w:color w:val="231F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7"/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was</w:t>
      </w:r>
      <w:proofErr w:type="spellEnd"/>
      <w:r w:rsidRPr="0047106C">
        <w:rPr>
          <w:color w:val="231F20"/>
          <w:szCs w:val="24"/>
        </w:rPr>
        <w:t xml:space="preserve"> not] adopted for this project.</w:t>
      </w:r>
    </w:p>
    <w:p w14:paraId="224E83B5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391F7BFD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5. A Statement of Overriding Considerations [</w:t>
      </w:r>
      <w:r w:rsidR="002619DA">
        <w:rPr>
          <w:color w:val="231F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10"/>
      <w:r w:rsidR="002619DA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="002619DA">
        <w:rPr>
          <w:color w:val="231F20"/>
          <w:szCs w:val="24"/>
        </w:rPr>
        <w:fldChar w:fldCharType="end"/>
      </w:r>
      <w:bookmarkEnd w:id="8"/>
      <w:r w:rsidRPr="0047106C">
        <w:rPr>
          <w:color w:val="231F20"/>
          <w:szCs w:val="24"/>
        </w:rPr>
        <w:t xml:space="preserve"> was </w:t>
      </w:r>
      <w:r w:rsidR="002619DA">
        <w:rPr>
          <w:color w:val="231F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9DA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="002619DA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was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adopted for this project.</w:t>
      </w:r>
    </w:p>
    <w:p w14:paraId="07E46C75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61218C49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6. Findings [</w:t>
      </w:r>
      <w:bookmarkStart w:id="9" w:name="Check12"/>
      <w:r w:rsidRPr="0047106C">
        <w:rPr>
          <w:color w:val="231F20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9"/>
      <w:r w:rsidRPr="0047106C">
        <w:rPr>
          <w:color w:val="231F20"/>
          <w:szCs w:val="24"/>
        </w:rPr>
        <w:t xml:space="preserve">were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15F37">
        <w:rPr>
          <w:color w:val="231F20"/>
          <w:szCs w:val="24"/>
        </w:rPr>
      </w:r>
      <w:r w:rsidR="00315F37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were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made pursuant to the provisions of CEQA.</w:t>
      </w:r>
    </w:p>
    <w:p w14:paraId="5F0FA6CE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767F2851" w14:textId="52C2DA74" w:rsidR="000213BA" w:rsidRPr="0047106C" w:rsidRDefault="000213BA" w:rsidP="000716DF">
      <w:pPr>
        <w:autoSpaceDE w:val="0"/>
        <w:autoSpaceDN w:val="0"/>
        <w:adjustRightInd w:val="0"/>
        <w:jc w:val="left"/>
        <w:rPr>
          <w:color w:val="231F20"/>
          <w:szCs w:val="24"/>
          <w:u w:val="single"/>
        </w:rPr>
      </w:pPr>
      <w:r w:rsidRPr="0047106C">
        <w:rPr>
          <w:color w:val="231F20"/>
          <w:szCs w:val="24"/>
        </w:rPr>
        <w:t>This is to certify that the Final</w:t>
      </w:r>
      <w:r w:rsidRPr="0047106C">
        <w:rPr>
          <w:i/>
          <w:color w:val="231F20"/>
          <w:szCs w:val="24"/>
        </w:rPr>
        <w:t xml:space="preserve"> </w:t>
      </w:r>
      <w:r w:rsidRPr="0047106C">
        <w:rPr>
          <w:color w:val="231F20"/>
          <w:szCs w:val="24"/>
        </w:rPr>
        <w:t xml:space="preserve">Environmental Impact Report and Mitigation Monitoring &amp; Reporting Program </w:t>
      </w:r>
      <w:r w:rsidR="000716DF" w:rsidRPr="0047106C">
        <w:rPr>
          <w:color w:val="231F20"/>
          <w:szCs w:val="24"/>
        </w:rPr>
        <w:t>are</w:t>
      </w:r>
      <w:r w:rsidRPr="0047106C">
        <w:rPr>
          <w:color w:val="231F20"/>
          <w:szCs w:val="24"/>
        </w:rPr>
        <w:t xml:space="preserve"> available to the </w:t>
      </w:r>
      <w:proofErr w:type="gramStart"/>
      <w:r w:rsidRPr="0047106C">
        <w:rPr>
          <w:color w:val="231F20"/>
          <w:szCs w:val="24"/>
        </w:rPr>
        <w:t>general public</w:t>
      </w:r>
      <w:proofErr w:type="gramEnd"/>
      <w:r w:rsidRPr="0047106C">
        <w:rPr>
          <w:color w:val="231F20"/>
          <w:szCs w:val="24"/>
        </w:rPr>
        <w:t xml:space="preserve"> at:  </w:t>
      </w:r>
      <w:r w:rsidRPr="0047106C">
        <w:rPr>
          <w:color w:val="231F20"/>
          <w:szCs w:val="24"/>
          <w:u w:val="single"/>
        </w:rPr>
        <w:t>5050 North Irwindale Avenue, Irwindale, CA 91706</w:t>
      </w:r>
    </w:p>
    <w:p w14:paraId="073A9275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6D113CB0" w14:textId="77777777" w:rsidR="004B56D0" w:rsidRPr="0047106C" w:rsidRDefault="004B56D0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49520FE4" w14:textId="38E25B71" w:rsidR="00B867BC" w:rsidRPr="0047106C" w:rsidRDefault="00F45E7A" w:rsidP="00575170">
      <w:pPr>
        <w:autoSpaceDE w:val="0"/>
        <w:autoSpaceDN w:val="0"/>
        <w:adjustRightInd w:val="0"/>
        <w:jc w:val="left"/>
        <w:rPr>
          <w:color w:val="231F20"/>
          <w:szCs w:val="24"/>
        </w:rPr>
      </w:pPr>
      <w:r>
        <w:rPr>
          <w:color w:val="231F20"/>
          <w:szCs w:val="24"/>
        </w:rPr>
        <w:t>Signature (</w:t>
      </w:r>
      <w:r w:rsidR="00687C1E">
        <w:rPr>
          <w:color w:val="231F20"/>
          <w:szCs w:val="24"/>
        </w:rPr>
        <w:t>Lead</w:t>
      </w:r>
      <w:r>
        <w:rPr>
          <w:color w:val="231F20"/>
          <w:szCs w:val="24"/>
        </w:rPr>
        <w:t xml:space="preserve"> Agency)</w:t>
      </w:r>
      <w:r w:rsidR="000213BA" w:rsidRPr="0047106C">
        <w:rPr>
          <w:color w:val="231F20"/>
          <w:szCs w:val="24"/>
        </w:rPr>
        <w:t>:____</w:t>
      </w:r>
      <w:r w:rsidR="00315F37">
        <w:rPr>
          <w:rFonts w:ascii="Segoe Script" w:hAnsi="Segoe Script"/>
          <w:color w:val="548DD4" w:themeColor="text2" w:themeTint="99"/>
          <w:szCs w:val="24"/>
          <w:u w:val="single"/>
        </w:rPr>
        <w:t>Marilyn Simpson</w:t>
      </w:r>
      <w:bookmarkStart w:id="10" w:name="_GoBack"/>
      <w:bookmarkEnd w:id="10"/>
      <w:r w:rsidR="000213BA" w:rsidRPr="0047106C">
        <w:rPr>
          <w:color w:val="231F20"/>
          <w:szCs w:val="24"/>
        </w:rPr>
        <w:t>_</w:t>
      </w:r>
      <w:r w:rsidR="002619DA">
        <w:rPr>
          <w:color w:val="231F20"/>
          <w:szCs w:val="24"/>
        </w:rPr>
        <w:t>_</w:t>
      </w:r>
      <w:r w:rsidR="000213BA" w:rsidRPr="0047106C">
        <w:rPr>
          <w:color w:val="231F20"/>
          <w:szCs w:val="24"/>
        </w:rPr>
        <w:t xml:space="preserve">_______Date: </w:t>
      </w:r>
      <w:r w:rsidR="00575170">
        <w:rPr>
          <w:color w:val="231F20"/>
          <w:szCs w:val="24"/>
          <w:u w:val="single"/>
        </w:rPr>
        <w:t>_</w:t>
      </w:r>
      <w:r w:rsidR="002619DA">
        <w:rPr>
          <w:color w:val="231F20"/>
          <w:szCs w:val="24"/>
          <w:u w:val="single"/>
        </w:rPr>
        <w:t>November 12, 2020</w:t>
      </w:r>
      <w:r w:rsidR="00575170">
        <w:rPr>
          <w:color w:val="231F20"/>
          <w:szCs w:val="24"/>
          <w:u w:val="single"/>
        </w:rPr>
        <w:t>_</w:t>
      </w:r>
    </w:p>
    <w:p w14:paraId="6C3883A7" w14:textId="77777777" w:rsidR="004B56D0" w:rsidRPr="0047106C" w:rsidRDefault="00810A0F" w:rsidP="000213BA">
      <w:pPr>
        <w:autoSpaceDE w:val="0"/>
        <w:autoSpaceDN w:val="0"/>
        <w:adjustRightInd w:val="0"/>
        <w:rPr>
          <w:color w:val="231F20"/>
          <w:szCs w:val="24"/>
        </w:rPr>
      </w:pP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</w:r>
      <w:r>
        <w:rPr>
          <w:color w:val="231F20"/>
          <w:szCs w:val="24"/>
        </w:rPr>
        <w:tab/>
        <w:t>Marilyn Simpson, AICP</w:t>
      </w:r>
    </w:p>
    <w:p w14:paraId="4F1F981A" w14:textId="77777777" w:rsidR="00810A0F" w:rsidRDefault="00810A0F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0A1AEFCC" w14:textId="77777777" w:rsidR="000213BA" w:rsidRPr="0047106C" w:rsidRDefault="00B867BC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T</w:t>
      </w:r>
      <w:r w:rsidR="000213BA" w:rsidRPr="0047106C">
        <w:rPr>
          <w:color w:val="231F20"/>
          <w:szCs w:val="24"/>
        </w:rPr>
        <w:t xml:space="preserve">itle: </w:t>
      </w:r>
      <w:r w:rsidR="00E93CD0" w:rsidRPr="00E93CD0">
        <w:rPr>
          <w:color w:val="231F20"/>
          <w:szCs w:val="24"/>
          <w:u w:val="single"/>
        </w:rPr>
        <w:t>Community Development Manager / City Planner</w:t>
      </w:r>
      <w:r w:rsidR="000213BA" w:rsidRPr="0047106C">
        <w:rPr>
          <w:color w:val="231F20"/>
          <w:szCs w:val="24"/>
        </w:rPr>
        <w:tab/>
      </w:r>
      <w:r w:rsidR="000213BA" w:rsidRPr="0047106C">
        <w:rPr>
          <w:color w:val="231F20"/>
          <w:szCs w:val="24"/>
        </w:rPr>
        <w:tab/>
      </w:r>
    </w:p>
    <w:p w14:paraId="466E0A20" w14:textId="77777777" w:rsidR="004B56D0" w:rsidRPr="0047106C" w:rsidRDefault="004B56D0" w:rsidP="00B867BC">
      <w:pPr>
        <w:autoSpaceDE w:val="0"/>
        <w:autoSpaceDN w:val="0"/>
        <w:adjustRightInd w:val="0"/>
        <w:rPr>
          <w:rFonts w:ascii="TimesNewRoman" w:hAnsi="TimesNewRoman" w:cs="TimesNewRoman"/>
          <w:i/>
          <w:color w:val="231F20"/>
          <w:szCs w:val="24"/>
        </w:rPr>
      </w:pPr>
    </w:p>
    <w:p w14:paraId="06873D21" w14:textId="77777777" w:rsidR="004B56D0" w:rsidRPr="0047106C" w:rsidRDefault="000213BA" w:rsidP="00B867BC">
      <w:pPr>
        <w:autoSpaceDE w:val="0"/>
        <w:autoSpaceDN w:val="0"/>
        <w:adjustRightInd w:val="0"/>
        <w:rPr>
          <w:rFonts w:ascii="TimesNewRoman" w:hAnsi="TimesNewRoman" w:cs="TimesNewRoman"/>
          <w:i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 xml:space="preserve">Authority </w:t>
      </w:r>
      <w:proofErr w:type="gramStart"/>
      <w:r w:rsidRPr="0047106C">
        <w:rPr>
          <w:rFonts w:ascii="TimesNewRoman" w:hAnsi="TimesNewRoman" w:cs="TimesNewRoman"/>
          <w:i/>
          <w:color w:val="231F20"/>
          <w:szCs w:val="24"/>
        </w:rPr>
        <w:t>cited:</w:t>
      </w:r>
      <w:proofErr w:type="gramEnd"/>
      <w:r w:rsidRPr="0047106C">
        <w:rPr>
          <w:rFonts w:ascii="TimesNewRoman" w:hAnsi="TimesNewRoman" w:cs="TimesNewRoman"/>
          <w:i/>
          <w:color w:val="231F20"/>
          <w:szCs w:val="24"/>
        </w:rPr>
        <w:t xml:space="preserve"> Section 21083, Public Resources Code.</w:t>
      </w:r>
    </w:p>
    <w:p w14:paraId="0D40C3C1" w14:textId="77777777" w:rsidR="00270685" w:rsidRPr="0047106C" w:rsidRDefault="000213BA" w:rsidP="00B867BC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Reference: Sections 21000-21174, Public Resources Code.</w:t>
      </w:r>
      <w:r w:rsidR="005A491D" w:rsidRPr="0047106C">
        <w:rPr>
          <w:rFonts w:ascii="TimesNewRoman" w:hAnsi="TimesNewRoman" w:cs="TimesNewRoman"/>
          <w:color w:val="231F20"/>
          <w:szCs w:val="24"/>
        </w:rPr>
        <w:t xml:space="preserve">  </w:t>
      </w:r>
    </w:p>
    <w:p w14:paraId="08A26F66" w14:textId="77777777" w:rsidR="00270685" w:rsidRPr="00322637" w:rsidRDefault="00270685" w:rsidP="00B867BC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</w:p>
    <w:sectPr w:rsidR="00270685" w:rsidRPr="00322637" w:rsidSect="00322637">
      <w:footerReference w:type="default" r:id="rId7"/>
      <w:headerReference w:type="first" r:id="rId8"/>
      <w:footerReference w:type="firs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D44" w14:textId="77777777" w:rsidR="00584741" w:rsidRDefault="00584741">
      <w:r>
        <w:separator/>
      </w:r>
    </w:p>
  </w:endnote>
  <w:endnote w:type="continuationSeparator" w:id="0">
    <w:p w14:paraId="0DD7C709" w14:textId="77777777" w:rsidR="00584741" w:rsidRDefault="0058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80932"/>
      <w:docPartObj>
        <w:docPartGallery w:val="Page Numbers (Bottom of Page)"/>
        <w:docPartUnique/>
      </w:docPartObj>
    </w:sdtPr>
    <w:sdtEndPr/>
    <w:sdtContent>
      <w:sdt>
        <w:sdtPr>
          <w:id w:val="567306391"/>
          <w:docPartObj>
            <w:docPartGallery w:val="Page Numbers (Top of Page)"/>
            <w:docPartUnique/>
          </w:docPartObj>
        </w:sdtPr>
        <w:sdtEndPr/>
        <w:sdtContent>
          <w:p w14:paraId="0072A0A9" w14:textId="0D4231C4" w:rsidR="00322637" w:rsidRDefault="0032263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5F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5F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8A3362" w14:textId="77777777" w:rsidR="00061BFE" w:rsidRDefault="00061BFE" w:rsidP="00061BFE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1728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D266B85" w14:textId="77777777" w:rsidR="0047106C" w:rsidRDefault="004710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26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12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5F7B3BF" w14:textId="77777777" w:rsidR="00061BFE" w:rsidRDefault="00061BFE" w:rsidP="00061BF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71E0" w14:textId="77777777" w:rsidR="00584741" w:rsidRDefault="00584741">
      <w:r>
        <w:separator/>
      </w:r>
    </w:p>
  </w:footnote>
  <w:footnote w:type="continuationSeparator" w:id="0">
    <w:p w14:paraId="4794317B" w14:textId="77777777" w:rsidR="00584741" w:rsidRDefault="0058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D42C" w14:textId="77777777" w:rsidR="00AC1C72" w:rsidRDefault="00315F37" w:rsidP="00AC1C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18B0"/>
    <w:multiLevelType w:val="multilevel"/>
    <w:tmpl w:val="E67CBBA8"/>
    <w:lvl w:ilvl="0">
      <w:start w:val="1"/>
      <w:numFmt w:val="decimal"/>
      <w:lvlRestart w:val="0"/>
      <w:lvlText w:val="%1.0"/>
      <w:lvlJc w:val="left"/>
      <w:pPr>
        <w:tabs>
          <w:tab w:val="num" w:pos="720"/>
        </w:tabs>
        <w:ind w:left="0" w:firstLine="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strike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780"/>
        </w:tabs>
        <w:ind w:left="0" w:firstLine="306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num" w:pos="4500"/>
        </w:tabs>
        <w:ind w:left="0" w:firstLine="378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0" w:firstLine="4500"/>
      </w:pPr>
      <w:rPr>
        <w:rFonts w:hint="default"/>
        <w:u w:val="none"/>
      </w:rPr>
    </w:lvl>
    <w:lvl w:ilvl="6">
      <w:start w:val="1"/>
      <w:numFmt w:val="lowerLetter"/>
      <w:lvlText w:val="%7"/>
      <w:lvlJc w:val="left"/>
      <w:pPr>
        <w:tabs>
          <w:tab w:val="num" w:pos="5940"/>
        </w:tabs>
        <w:ind w:left="0" w:firstLine="5220"/>
      </w:pPr>
      <w:rPr>
        <w:rFonts w:hint="default"/>
        <w:u w:val="none"/>
      </w:rPr>
    </w:lvl>
    <w:lvl w:ilvl="7">
      <w:start w:val="1"/>
      <w:numFmt w:val="lowerRoman"/>
      <w:lvlText w:val="%8."/>
      <w:lvlJc w:val="left"/>
      <w:pPr>
        <w:tabs>
          <w:tab w:val="num" w:pos="6660"/>
        </w:tabs>
        <w:ind w:left="0" w:firstLine="5940"/>
      </w:pPr>
      <w:rPr>
        <w:rFonts w:hint="default"/>
        <w:u w:val="none"/>
      </w:rPr>
    </w:lvl>
    <w:lvl w:ilvl="8">
      <w:start w:val="1"/>
      <w:numFmt w:val="lowerRoman"/>
      <w:lvlText w:val="%9)"/>
      <w:lvlJc w:val="left"/>
      <w:pPr>
        <w:tabs>
          <w:tab w:val="num" w:pos="7380"/>
        </w:tabs>
        <w:ind w:left="0" w:firstLine="6660"/>
      </w:pPr>
      <w:rPr>
        <w:rFonts w:hint="default"/>
        <w:u w:val="none"/>
      </w:rPr>
    </w:lvl>
  </w:abstractNum>
  <w:abstractNum w:abstractNumId="1" w15:restartNumberingAfterBreak="0">
    <w:nsid w:val="75965EF4"/>
    <w:multiLevelType w:val="multilevel"/>
    <w:tmpl w:val="CED44C2E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Version" w:val="1"/>
  </w:docVars>
  <w:rsids>
    <w:rsidRoot w:val="000213BA"/>
    <w:rsid w:val="000213BA"/>
    <w:rsid w:val="00040250"/>
    <w:rsid w:val="00061BFE"/>
    <w:rsid w:val="000716DF"/>
    <w:rsid w:val="0009419C"/>
    <w:rsid w:val="00190274"/>
    <w:rsid w:val="001E51C6"/>
    <w:rsid w:val="001E6C20"/>
    <w:rsid w:val="0021303B"/>
    <w:rsid w:val="00223092"/>
    <w:rsid w:val="002434B3"/>
    <w:rsid w:val="002619DA"/>
    <w:rsid w:val="00261B8C"/>
    <w:rsid w:val="00270685"/>
    <w:rsid w:val="002A3BAF"/>
    <w:rsid w:val="002B33D2"/>
    <w:rsid w:val="00315F37"/>
    <w:rsid w:val="00322637"/>
    <w:rsid w:val="003C11E2"/>
    <w:rsid w:val="0047106C"/>
    <w:rsid w:val="004A38BA"/>
    <w:rsid w:val="004B56D0"/>
    <w:rsid w:val="004F6082"/>
    <w:rsid w:val="00502C75"/>
    <w:rsid w:val="00510FC5"/>
    <w:rsid w:val="00512596"/>
    <w:rsid w:val="00575170"/>
    <w:rsid w:val="00584741"/>
    <w:rsid w:val="005A491D"/>
    <w:rsid w:val="00611265"/>
    <w:rsid w:val="00644421"/>
    <w:rsid w:val="0064578D"/>
    <w:rsid w:val="0064668D"/>
    <w:rsid w:val="006751D3"/>
    <w:rsid w:val="00687C1E"/>
    <w:rsid w:val="006D27D0"/>
    <w:rsid w:val="00700AD9"/>
    <w:rsid w:val="00734317"/>
    <w:rsid w:val="007D4E1E"/>
    <w:rsid w:val="007D7C80"/>
    <w:rsid w:val="00810A0F"/>
    <w:rsid w:val="00886F23"/>
    <w:rsid w:val="009072FA"/>
    <w:rsid w:val="00911631"/>
    <w:rsid w:val="009E33E7"/>
    <w:rsid w:val="00A315E5"/>
    <w:rsid w:val="00A47C24"/>
    <w:rsid w:val="00A85379"/>
    <w:rsid w:val="00AF659F"/>
    <w:rsid w:val="00B6717D"/>
    <w:rsid w:val="00B867BC"/>
    <w:rsid w:val="00BB4B15"/>
    <w:rsid w:val="00C47356"/>
    <w:rsid w:val="00C66FE2"/>
    <w:rsid w:val="00C84A83"/>
    <w:rsid w:val="00D46C8F"/>
    <w:rsid w:val="00DC3648"/>
    <w:rsid w:val="00E53EC6"/>
    <w:rsid w:val="00E93CD0"/>
    <w:rsid w:val="00E97807"/>
    <w:rsid w:val="00F36C6B"/>
    <w:rsid w:val="00F44A8D"/>
    <w:rsid w:val="00F45E7A"/>
    <w:rsid w:val="00F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3458"/>
  <w15:docId w15:val="{2DC14DEA-8B30-41EC-B8AC-98F3CF4B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B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h1"/>
    <w:basedOn w:val="Normal"/>
    <w:next w:val="Heading2"/>
    <w:link w:val="Heading1Char"/>
    <w:qFormat/>
    <w:rsid w:val="001E51C6"/>
    <w:pPr>
      <w:keepNext/>
      <w:spacing w:before="240"/>
      <w:ind w:left="720" w:hanging="720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unhideWhenUsed/>
    <w:qFormat/>
    <w:rsid w:val="001E51C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1E51C6"/>
    <w:rPr>
      <w:rFonts w:ascii="Times New Roman" w:hAnsi="Times New Roman" w:cs="Times New Roman"/>
      <w:b/>
      <w:color w:val="0000FF"/>
      <w:sz w:val="24"/>
      <w:szCs w:val="20"/>
    </w:rPr>
  </w:style>
  <w:style w:type="paragraph" w:customStyle="1" w:styleId="Body">
    <w:name w:val="Body"/>
    <w:aliases w:val="b"/>
    <w:basedOn w:val="Normal"/>
    <w:rsid w:val="001E51C6"/>
    <w:pPr>
      <w:suppressAutoHyphens/>
      <w:spacing w:before="240"/>
      <w:ind w:firstLine="720"/>
    </w:pPr>
  </w:style>
  <w:style w:type="paragraph" w:customStyle="1" w:styleId="FlushLeft">
    <w:name w:val="Flush Left"/>
    <w:aliases w:val="fl"/>
    <w:basedOn w:val="Normal"/>
    <w:rsid w:val="001E51C6"/>
    <w:pPr>
      <w:spacing w:before="240"/>
    </w:pPr>
  </w:style>
  <w:style w:type="character" w:customStyle="1" w:styleId="Heading2Char">
    <w:name w:val="Heading 2 Char"/>
    <w:basedOn w:val="DefaultParagraphFont"/>
    <w:link w:val="Heading2"/>
    <w:rsid w:val="001E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3BA"/>
    <w:rPr>
      <w:rFonts w:ascii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A853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853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FE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HCG,LLC</dc:creator>
  <cp:lastModifiedBy>Marilyn Simpson</cp:lastModifiedBy>
  <cp:revision>3</cp:revision>
  <cp:lastPrinted>2017-10-26T00:51:00Z</cp:lastPrinted>
  <dcterms:created xsi:type="dcterms:W3CDTF">2020-11-16T22:01:00Z</dcterms:created>
  <dcterms:modified xsi:type="dcterms:W3CDTF">2020-11-16T22:03:00Z</dcterms:modified>
</cp:coreProperties>
</file>