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C1" w:rsidRDefault="00056AC1" w:rsidP="00056AC1">
      <w:pPr>
        <w:pStyle w:val="Heading3"/>
        <w:spacing w:before="0"/>
      </w:pPr>
      <w:bookmarkStart w:id="0" w:name="_Toc406572830"/>
      <w:r>
        <w:t>Greenhouse Gas Emissions</w:t>
      </w:r>
      <w:bookmarkEnd w:id="0"/>
    </w:p>
    <w:tbl>
      <w:tblPr>
        <w:tblW w:w="8748" w:type="dxa"/>
        <w:tblLayout w:type="fixed"/>
        <w:tblLook w:val="0000" w:firstRow="0" w:lastRow="0" w:firstColumn="0" w:lastColumn="0" w:noHBand="0" w:noVBand="0"/>
      </w:tblPr>
      <w:tblGrid>
        <w:gridCol w:w="4428"/>
        <w:gridCol w:w="1152"/>
        <w:gridCol w:w="1278"/>
        <w:gridCol w:w="1080"/>
        <w:gridCol w:w="810"/>
      </w:tblGrid>
      <w:tr w:rsidR="00056AC1" w:rsidRPr="009B4793" w:rsidTr="002F1A8E">
        <w:trPr>
          <w:cantSplit/>
          <w:tblHeader/>
        </w:trPr>
        <w:tc>
          <w:tcPr>
            <w:tcW w:w="4428" w:type="dxa"/>
            <w:vAlign w:val="bottom"/>
          </w:tcPr>
          <w:p w:rsidR="00056AC1" w:rsidRPr="009B4793" w:rsidRDefault="00056AC1" w:rsidP="002F1A8E">
            <w:pPr>
              <w:keepNext/>
              <w:pBdr>
                <w:bottom w:val="single" w:sz="4" w:space="1" w:color="auto"/>
              </w:pBdr>
              <w:spacing w:before="60" w:after="60"/>
              <w:ind w:left="540" w:hanging="540"/>
              <w:rPr>
                <w:rFonts w:ascii="Arial" w:hAnsi="Arial" w:cs="Arial"/>
                <w:b/>
                <w:i/>
                <w:sz w:val="14"/>
                <w:szCs w:val="16"/>
              </w:rPr>
            </w:pPr>
            <w:r w:rsidRPr="009B4793">
              <w:rPr>
                <w:rFonts w:ascii="Arial" w:hAnsi="Arial" w:cs="Arial"/>
                <w:b/>
                <w:i/>
                <w:sz w:val="14"/>
                <w:szCs w:val="16"/>
              </w:rPr>
              <w:t>Issues (and Supporting Information Sources):</w:t>
            </w:r>
          </w:p>
        </w:tc>
        <w:tc>
          <w:tcPr>
            <w:tcW w:w="1152" w:type="dxa"/>
            <w:vAlign w:val="bottom"/>
          </w:tcPr>
          <w:p w:rsidR="00056AC1" w:rsidRPr="009B4793" w:rsidRDefault="00056AC1" w:rsidP="002F1A8E">
            <w:pPr>
              <w:keepNext/>
              <w:pBdr>
                <w:bottom w:val="single" w:sz="4" w:space="1" w:color="auto"/>
              </w:pBdr>
              <w:spacing w:before="60" w:after="60"/>
              <w:jc w:val="center"/>
              <w:rPr>
                <w:rFonts w:ascii="Arial" w:hAnsi="Arial" w:cs="Arial"/>
                <w:b/>
                <w:i/>
                <w:sz w:val="14"/>
                <w:szCs w:val="16"/>
              </w:rPr>
            </w:pPr>
            <w:r w:rsidRPr="009B4793">
              <w:rPr>
                <w:rFonts w:ascii="Arial" w:hAnsi="Arial" w:cs="Arial"/>
                <w:b/>
                <w:i/>
                <w:sz w:val="14"/>
                <w:szCs w:val="16"/>
              </w:rPr>
              <w:t>Potentially Significant Impact</w:t>
            </w:r>
          </w:p>
        </w:tc>
        <w:tc>
          <w:tcPr>
            <w:tcW w:w="1278" w:type="dxa"/>
            <w:vAlign w:val="bottom"/>
          </w:tcPr>
          <w:p w:rsidR="00056AC1" w:rsidRPr="009B4793" w:rsidRDefault="00056AC1" w:rsidP="002F1A8E">
            <w:pPr>
              <w:keepNext/>
              <w:pBdr>
                <w:bottom w:val="single" w:sz="4" w:space="1" w:color="auto"/>
              </w:pBdr>
              <w:spacing w:before="60" w:after="60"/>
              <w:jc w:val="center"/>
              <w:rPr>
                <w:rFonts w:ascii="Arial" w:hAnsi="Arial" w:cs="Arial"/>
                <w:b/>
                <w:i/>
                <w:sz w:val="14"/>
                <w:szCs w:val="16"/>
              </w:rPr>
            </w:pPr>
            <w:r w:rsidRPr="009B4793">
              <w:rPr>
                <w:rFonts w:ascii="Arial" w:hAnsi="Arial" w:cs="Arial"/>
                <w:b/>
                <w:i/>
                <w:sz w:val="14"/>
                <w:szCs w:val="16"/>
              </w:rPr>
              <w:t>Less Than Significant with Mitigation Incorporat</w:t>
            </w:r>
            <w:r>
              <w:rPr>
                <w:rFonts w:ascii="Arial" w:hAnsi="Arial" w:cs="Arial"/>
                <w:b/>
                <w:i/>
                <w:sz w:val="14"/>
                <w:szCs w:val="16"/>
              </w:rPr>
              <w:t>ed</w:t>
            </w:r>
          </w:p>
        </w:tc>
        <w:tc>
          <w:tcPr>
            <w:tcW w:w="1080" w:type="dxa"/>
            <w:vAlign w:val="bottom"/>
          </w:tcPr>
          <w:p w:rsidR="00056AC1" w:rsidRPr="009B4793" w:rsidRDefault="00056AC1" w:rsidP="002F1A8E">
            <w:pPr>
              <w:keepNext/>
              <w:pBdr>
                <w:bottom w:val="single" w:sz="4" w:space="1" w:color="auto"/>
              </w:pBdr>
              <w:spacing w:before="60" w:after="60"/>
              <w:jc w:val="center"/>
              <w:rPr>
                <w:rFonts w:ascii="Arial" w:hAnsi="Arial" w:cs="Arial"/>
                <w:b/>
                <w:i/>
                <w:sz w:val="14"/>
                <w:szCs w:val="16"/>
              </w:rPr>
            </w:pPr>
            <w:r w:rsidRPr="009B4793">
              <w:rPr>
                <w:rFonts w:ascii="Arial" w:hAnsi="Arial" w:cs="Arial"/>
                <w:b/>
                <w:i/>
                <w:sz w:val="14"/>
                <w:szCs w:val="16"/>
              </w:rPr>
              <w:t>Less Than Significant Impact</w:t>
            </w:r>
          </w:p>
        </w:tc>
        <w:tc>
          <w:tcPr>
            <w:tcW w:w="810" w:type="dxa"/>
            <w:vAlign w:val="bottom"/>
          </w:tcPr>
          <w:p w:rsidR="00056AC1" w:rsidRPr="009B4793" w:rsidRDefault="00056AC1" w:rsidP="002F1A8E">
            <w:pPr>
              <w:keepNext/>
              <w:pBdr>
                <w:bottom w:val="single" w:sz="4" w:space="1" w:color="auto"/>
              </w:pBdr>
              <w:spacing w:before="60" w:after="60"/>
              <w:jc w:val="center"/>
              <w:rPr>
                <w:rFonts w:ascii="Arial" w:hAnsi="Arial" w:cs="Arial"/>
                <w:b/>
                <w:i/>
                <w:sz w:val="14"/>
                <w:szCs w:val="16"/>
              </w:rPr>
            </w:pPr>
            <w:r w:rsidRPr="009B4793">
              <w:rPr>
                <w:rFonts w:ascii="Arial" w:hAnsi="Arial" w:cs="Arial"/>
                <w:b/>
                <w:i/>
                <w:sz w:val="14"/>
                <w:szCs w:val="16"/>
              </w:rPr>
              <w:t>No Impact</w:t>
            </w:r>
          </w:p>
        </w:tc>
      </w:tr>
      <w:tr w:rsidR="00056AC1" w:rsidRPr="009B4793" w:rsidTr="002F1A8E">
        <w:trPr>
          <w:cantSplit/>
        </w:trPr>
        <w:tc>
          <w:tcPr>
            <w:tcW w:w="4428" w:type="dxa"/>
          </w:tcPr>
          <w:p w:rsidR="00056AC1" w:rsidRPr="009B4793" w:rsidRDefault="00056AC1" w:rsidP="002F1A8E">
            <w:pPr>
              <w:keepNext/>
              <w:tabs>
                <w:tab w:val="left" w:pos="360"/>
              </w:tabs>
              <w:spacing w:before="60" w:after="60"/>
              <w:ind w:left="360" w:hanging="360"/>
              <w:rPr>
                <w:rFonts w:ascii="Arial" w:hAnsi="Arial" w:cs="Arial"/>
                <w:b/>
                <w:sz w:val="16"/>
                <w:szCs w:val="16"/>
              </w:rPr>
            </w:pPr>
            <w:r>
              <w:rPr>
                <w:rFonts w:ascii="Arial" w:hAnsi="Arial" w:cs="Arial"/>
                <w:b/>
                <w:sz w:val="16"/>
                <w:szCs w:val="16"/>
              </w:rPr>
              <w:t>7</w:t>
            </w:r>
            <w:r w:rsidRPr="009B4793">
              <w:rPr>
                <w:rFonts w:ascii="Arial" w:hAnsi="Arial" w:cs="Arial"/>
                <w:b/>
                <w:sz w:val="16"/>
                <w:szCs w:val="16"/>
              </w:rPr>
              <w:t>.</w:t>
            </w:r>
            <w:r w:rsidRPr="009B4793">
              <w:rPr>
                <w:rFonts w:ascii="Arial" w:hAnsi="Arial" w:cs="Arial"/>
                <w:b/>
                <w:sz w:val="16"/>
                <w:szCs w:val="16"/>
              </w:rPr>
              <w:tab/>
            </w:r>
            <w:r>
              <w:rPr>
                <w:rFonts w:ascii="Arial" w:hAnsi="Arial" w:cs="Arial"/>
                <w:b/>
                <w:sz w:val="16"/>
                <w:szCs w:val="16"/>
              </w:rPr>
              <w:t xml:space="preserve">GREENHOUSE GAS EMISSIONS </w:t>
            </w:r>
            <w:r w:rsidRPr="009B4793">
              <w:rPr>
                <w:rFonts w:ascii="Arial" w:hAnsi="Arial" w:cs="Arial"/>
                <w:b/>
                <w:sz w:val="16"/>
                <w:szCs w:val="16"/>
              </w:rPr>
              <w:t>—</w:t>
            </w:r>
            <w:r>
              <w:rPr>
                <w:rFonts w:ascii="Arial" w:hAnsi="Arial" w:cs="Arial"/>
                <w:b/>
                <w:sz w:val="16"/>
                <w:szCs w:val="16"/>
              </w:rPr>
              <w:t xml:space="preserve"> </w:t>
            </w:r>
            <w:r>
              <w:rPr>
                <w:rFonts w:ascii="Arial" w:hAnsi="Arial" w:cs="Arial"/>
                <w:b/>
                <w:sz w:val="16"/>
                <w:szCs w:val="16"/>
              </w:rPr>
              <w:br/>
            </w:r>
            <w:r w:rsidRPr="009B4793">
              <w:rPr>
                <w:rFonts w:ascii="Arial" w:hAnsi="Arial" w:cs="Arial"/>
                <w:b/>
                <w:sz w:val="16"/>
                <w:szCs w:val="16"/>
              </w:rPr>
              <w:t>Would the project:</w:t>
            </w:r>
          </w:p>
        </w:tc>
        <w:tc>
          <w:tcPr>
            <w:tcW w:w="1152" w:type="dxa"/>
          </w:tcPr>
          <w:p w:rsidR="00056AC1" w:rsidRPr="009B4793" w:rsidRDefault="00056AC1" w:rsidP="002F1A8E">
            <w:pPr>
              <w:keepNext/>
              <w:spacing w:before="60" w:after="60"/>
              <w:ind w:left="540" w:hanging="540"/>
              <w:rPr>
                <w:rFonts w:ascii="Arial" w:hAnsi="Arial" w:cs="Arial"/>
                <w:b/>
                <w:sz w:val="16"/>
                <w:szCs w:val="16"/>
              </w:rPr>
            </w:pPr>
          </w:p>
        </w:tc>
        <w:tc>
          <w:tcPr>
            <w:tcW w:w="1278" w:type="dxa"/>
          </w:tcPr>
          <w:p w:rsidR="00056AC1" w:rsidRPr="009B4793" w:rsidRDefault="00056AC1" w:rsidP="002F1A8E">
            <w:pPr>
              <w:keepNext/>
              <w:spacing w:before="60" w:after="60"/>
              <w:ind w:left="540" w:hanging="540"/>
              <w:rPr>
                <w:rFonts w:ascii="Arial" w:hAnsi="Arial" w:cs="Arial"/>
                <w:b/>
                <w:sz w:val="16"/>
                <w:szCs w:val="16"/>
              </w:rPr>
            </w:pPr>
          </w:p>
        </w:tc>
        <w:tc>
          <w:tcPr>
            <w:tcW w:w="1080" w:type="dxa"/>
          </w:tcPr>
          <w:p w:rsidR="00056AC1" w:rsidRPr="009B4793" w:rsidRDefault="00056AC1" w:rsidP="002F1A8E">
            <w:pPr>
              <w:keepNext/>
              <w:spacing w:before="60" w:after="60"/>
              <w:ind w:left="540" w:hanging="540"/>
              <w:rPr>
                <w:rFonts w:ascii="Arial" w:hAnsi="Arial" w:cs="Arial"/>
                <w:b/>
                <w:sz w:val="16"/>
                <w:szCs w:val="16"/>
              </w:rPr>
            </w:pPr>
          </w:p>
        </w:tc>
        <w:tc>
          <w:tcPr>
            <w:tcW w:w="810" w:type="dxa"/>
          </w:tcPr>
          <w:p w:rsidR="00056AC1" w:rsidRPr="009B4793" w:rsidRDefault="00056AC1" w:rsidP="002F1A8E">
            <w:pPr>
              <w:keepNext/>
              <w:spacing w:before="60" w:after="60"/>
              <w:ind w:left="540" w:hanging="540"/>
              <w:rPr>
                <w:rFonts w:ascii="Arial" w:hAnsi="Arial" w:cs="Arial"/>
                <w:b/>
                <w:sz w:val="16"/>
                <w:szCs w:val="16"/>
              </w:rPr>
            </w:pPr>
          </w:p>
        </w:tc>
      </w:tr>
      <w:tr w:rsidR="00056AC1" w:rsidRPr="00B00D17" w:rsidTr="002F1A8E">
        <w:trPr>
          <w:cantSplit/>
        </w:trPr>
        <w:tc>
          <w:tcPr>
            <w:tcW w:w="4428" w:type="dxa"/>
          </w:tcPr>
          <w:p w:rsidR="00056AC1" w:rsidRPr="00B00D17" w:rsidRDefault="00056AC1" w:rsidP="002F1A8E">
            <w:pPr>
              <w:spacing w:before="60" w:after="60"/>
              <w:ind w:left="360" w:hanging="360"/>
              <w:rPr>
                <w:rFonts w:ascii="Arial" w:hAnsi="Arial" w:cs="Arial"/>
                <w:sz w:val="16"/>
                <w:szCs w:val="16"/>
              </w:rPr>
            </w:pPr>
            <w:r w:rsidRPr="00B00D17">
              <w:rPr>
                <w:rFonts w:ascii="Arial" w:hAnsi="Arial" w:cs="Arial"/>
                <w:sz w:val="16"/>
                <w:szCs w:val="16"/>
              </w:rPr>
              <w:t>a)</w:t>
            </w:r>
            <w:r w:rsidRPr="00B00D17">
              <w:rPr>
                <w:rFonts w:ascii="Arial" w:hAnsi="Arial" w:cs="Arial"/>
                <w:sz w:val="16"/>
                <w:szCs w:val="16"/>
              </w:rPr>
              <w:tab/>
              <w:t>Generate greenhouse gas emissions, either directly or indirectly, that may have a significant impact on the environment?</w:t>
            </w:r>
          </w:p>
        </w:tc>
        <w:tc>
          <w:tcPr>
            <w:tcW w:w="1152"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1"/>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c>
          <w:tcPr>
            <w:tcW w:w="1278"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2"/>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c>
          <w:tcPr>
            <w:tcW w:w="1080"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3"/>
                  <w:enabled/>
                  <w:calcOnExit w:val="0"/>
                  <w:checkBox>
                    <w:sizeAuto/>
                    <w:default w:val="1"/>
                  </w:checkBox>
                </w:ffData>
              </w:fldChar>
            </w:r>
            <w:bookmarkStart w:id="1" w:name="Check3"/>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bookmarkEnd w:id="1"/>
          </w:p>
        </w:tc>
        <w:tc>
          <w:tcPr>
            <w:tcW w:w="810"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4"/>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r>
      <w:tr w:rsidR="00056AC1" w:rsidRPr="00B00D17" w:rsidTr="002F1A8E">
        <w:trPr>
          <w:cantSplit/>
        </w:trPr>
        <w:tc>
          <w:tcPr>
            <w:tcW w:w="4428" w:type="dxa"/>
          </w:tcPr>
          <w:p w:rsidR="00056AC1" w:rsidRPr="00B00D17" w:rsidRDefault="00056AC1" w:rsidP="002F1A8E">
            <w:pPr>
              <w:spacing w:before="60" w:after="60"/>
              <w:ind w:left="360" w:hanging="360"/>
              <w:rPr>
                <w:rFonts w:ascii="Arial" w:hAnsi="Arial" w:cs="Arial"/>
                <w:sz w:val="16"/>
                <w:szCs w:val="16"/>
              </w:rPr>
            </w:pPr>
            <w:r w:rsidRPr="00B00D17">
              <w:rPr>
                <w:rFonts w:ascii="Arial" w:hAnsi="Arial" w:cs="Arial"/>
                <w:sz w:val="16"/>
                <w:szCs w:val="16"/>
              </w:rPr>
              <w:t>b)</w:t>
            </w:r>
            <w:r w:rsidRPr="00B00D17">
              <w:rPr>
                <w:rFonts w:ascii="Arial" w:hAnsi="Arial" w:cs="Arial"/>
                <w:sz w:val="16"/>
                <w:szCs w:val="16"/>
              </w:rPr>
              <w:tab/>
              <w:t>Conflict with an applicable plan, policy or regulation adopted for the purpose of reducing the emissions of greenhouse gases?</w:t>
            </w:r>
          </w:p>
        </w:tc>
        <w:tc>
          <w:tcPr>
            <w:tcW w:w="1152"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1"/>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c>
          <w:tcPr>
            <w:tcW w:w="1278"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Check2"/>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c>
          <w:tcPr>
            <w:tcW w:w="1080"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
                  <w:enabled/>
                  <w:calcOnExit w:val="0"/>
                  <w:checkBox>
                    <w:sizeAuto/>
                    <w:default w:val="1"/>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c>
          <w:tcPr>
            <w:tcW w:w="810" w:type="dxa"/>
          </w:tcPr>
          <w:p w:rsidR="00056AC1" w:rsidRPr="00B00D17" w:rsidRDefault="00056AC1" w:rsidP="002F1A8E">
            <w:pPr>
              <w:spacing w:before="60" w:after="60"/>
              <w:jc w:val="center"/>
              <w:rPr>
                <w:rFonts w:ascii="Arial" w:hAnsi="Arial" w:cs="Arial"/>
                <w:sz w:val="20"/>
                <w:szCs w:val="16"/>
              </w:rPr>
            </w:pPr>
            <w:r w:rsidRPr="00B00D17">
              <w:rPr>
                <w:rFonts w:ascii="Arial" w:hAnsi="Arial" w:cs="Arial"/>
                <w:sz w:val="20"/>
                <w:szCs w:val="16"/>
              </w:rPr>
              <w:fldChar w:fldCharType="begin">
                <w:ffData>
                  <w:name w:val=""/>
                  <w:enabled/>
                  <w:calcOnExit w:val="0"/>
                  <w:checkBox>
                    <w:sizeAuto/>
                    <w:default w:val="0"/>
                  </w:checkBox>
                </w:ffData>
              </w:fldChar>
            </w:r>
            <w:r w:rsidRPr="00B00D17">
              <w:rPr>
                <w:rFonts w:ascii="Arial" w:hAnsi="Arial" w:cs="Arial"/>
                <w:sz w:val="20"/>
                <w:szCs w:val="16"/>
              </w:rPr>
              <w:instrText xml:space="preserve"> FORMCHECKBOX </w:instrText>
            </w:r>
            <w:r w:rsidR="00375688">
              <w:rPr>
                <w:rFonts w:ascii="Arial" w:hAnsi="Arial" w:cs="Arial"/>
                <w:sz w:val="20"/>
                <w:szCs w:val="16"/>
              </w:rPr>
            </w:r>
            <w:r w:rsidR="00375688">
              <w:rPr>
                <w:rFonts w:ascii="Arial" w:hAnsi="Arial" w:cs="Arial"/>
                <w:sz w:val="20"/>
                <w:szCs w:val="16"/>
              </w:rPr>
              <w:fldChar w:fldCharType="separate"/>
            </w:r>
            <w:r w:rsidRPr="00B00D17">
              <w:rPr>
                <w:rFonts w:ascii="Arial" w:hAnsi="Arial" w:cs="Arial"/>
                <w:sz w:val="20"/>
                <w:szCs w:val="16"/>
              </w:rPr>
              <w:fldChar w:fldCharType="end"/>
            </w:r>
          </w:p>
        </w:tc>
      </w:tr>
    </w:tbl>
    <w:p w:rsidR="00056AC1" w:rsidRDefault="00056AC1" w:rsidP="00056AC1">
      <w:pPr>
        <w:pStyle w:val="Heading4"/>
        <w:spacing w:before="240"/>
      </w:pPr>
      <w:r w:rsidRPr="00B00D17">
        <w:t>Environmental Setting</w:t>
      </w:r>
    </w:p>
    <w:p w:rsidR="00056AC1" w:rsidRPr="00FC79F6" w:rsidRDefault="00056AC1" w:rsidP="00056AC1">
      <w:pPr>
        <w:pStyle w:val="Heading5"/>
      </w:pPr>
      <w:r w:rsidRPr="00FC79F6">
        <w:t>Climate Change</w:t>
      </w:r>
    </w:p>
    <w:p w:rsidR="00056AC1" w:rsidRPr="00FC79F6" w:rsidRDefault="00056AC1" w:rsidP="00056AC1">
      <w:pPr>
        <w:spacing w:after="240" w:line="288" w:lineRule="exact"/>
      </w:pPr>
      <w:r>
        <w:t xml:space="preserve">According to the U.S. Environmental Protection Agency (USEPA), the term “climate change” refers to any significant change in measures of climate (such as temperature, precipitation, or wind) lasting for an extended period (over several decades or longer). </w:t>
      </w:r>
      <w:r w:rsidRPr="00FC79F6">
        <w:t xml:space="preserve">There is scientific consensus that climate change is occurring and that human activity contributes in some measure (perhaps substantially) to that change. Gases that trap heat in the atmosphere are often called </w:t>
      </w:r>
      <w:r>
        <w:t>greenhouse gases (</w:t>
      </w:r>
      <w:r w:rsidRPr="00FC79F6">
        <w:t>GHGs</w:t>
      </w:r>
      <w:r>
        <w:t>)</w:t>
      </w:r>
      <w:r w:rsidRPr="00FC79F6">
        <w:t>. Emissions of GHGs, if not sufficiently curtailed, are likely to contribute further to increases in global temperatures. The potential effects of climate change in California include sea level rise and reductions in snowpack, as well as an increased number of extreme-heat days per year, high ozone days, large forest fires, and drought years (CARB, 20</w:t>
      </w:r>
      <w:r>
        <w:t>14</w:t>
      </w:r>
      <w:r w:rsidRPr="00FC79F6">
        <w:t>). Globally, climate change could affect numerous environmental resources through potential, though uncertain, changes in future air temperatures and precipitation patterns. According to the International Panel on Climate Change (IPCC), the projected effects of climate change are likely to vary regionally, but are expected to include the following direct effects (IPCC, 2007):</w:t>
      </w:r>
    </w:p>
    <w:p w:rsidR="00056AC1" w:rsidRPr="00FC79F6" w:rsidRDefault="00056AC1" w:rsidP="00056AC1">
      <w:pPr>
        <w:pStyle w:val="ListBullet"/>
        <w:spacing w:after="120"/>
      </w:pPr>
      <w:r w:rsidRPr="00FC79F6">
        <w:t>Higher maximum temperatures and more hot days over nearly all land areas;</w:t>
      </w:r>
    </w:p>
    <w:p w:rsidR="00056AC1" w:rsidRPr="00FC79F6" w:rsidRDefault="00056AC1" w:rsidP="00056AC1">
      <w:pPr>
        <w:pStyle w:val="ListBullet"/>
        <w:spacing w:after="120"/>
      </w:pPr>
      <w:r w:rsidRPr="00FC79F6">
        <w:t>Higher minimum temperatures (fewer cold days and frost days over nearly all land areas);</w:t>
      </w:r>
    </w:p>
    <w:p w:rsidR="00056AC1" w:rsidRPr="00FC79F6" w:rsidRDefault="00056AC1" w:rsidP="00056AC1">
      <w:pPr>
        <w:pStyle w:val="ListBullet"/>
        <w:spacing w:after="120"/>
      </w:pPr>
      <w:r w:rsidRPr="00FC79F6">
        <w:t>Reduced diurnal temperature range over most land areas;</w:t>
      </w:r>
    </w:p>
    <w:p w:rsidR="00056AC1" w:rsidRPr="00FC79F6" w:rsidRDefault="00056AC1" w:rsidP="00056AC1">
      <w:pPr>
        <w:pStyle w:val="ListBullet"/>
        <w:spacing w:after="120"/>
      </w:pPr>
      <w:r w:rsidRPr="00FC79F6">
        <w:t>Increase in heat index over most land areas; and</w:t>
      </w:r>
    </w:p>
    <w:p w:rsidR="00056AC1" w:rsidRPr="00FC79F6" w:rsidRDefault="00056AC1" w:rsidP="00056AC1">
      <w:pPr>
        <w:pStyle w:val="ListBullet"/>
      </w:pPr>
      <w:r w:rsidRPr="00FC79F6">
        <w:t>More intense precipitation events.</w:t>
      </w:r>
    </w:p>
    <w:p w:rsidR="00056AC1" w:rsidRPr="00FC79F6" w:rsidRDefault="00056AC1" w:rsidP="00056AC1">
      <w:pPr>
        <w:spacing w:after="240" w:line="288" w:lineRule="exact"/>
      </w:pPr>
      <w:r w:rsidRPr="00FC79F6">
        <w:t>In addition, many secondary effects are projected to result from climate change, including a global rise in sea level, ocean acidification, impacts on agriculture, changes in disease vectors, and changes in habitat and biodiversity. The possible outcomes and feedback mechanisms involved are not fully understood, and much research remains to be done; however, over the long term, the potential exists for substantial environmental, social, and economic consequences.</w:t>
      </w:r>
    </w:p>
    <w:p w:rsidR="00056AC1" w:rsidRPr="00F93A3D" w:rsidRDefault="00056AC1" w:rsidP="00056AC1">
      <w:pPr>
        <w:pStyle w:val="Heading5"/>
      </w:pPr>
      <w:r w:rsidRPr="00FC79F6">
        <w:lastRenderedPageBreak/>
        <w:t>Greenhouse Gas Emissions</w:t>
      </w:r>
    </w:p>
    <w:p w:rsidR="00056AC1" w:rsidRDefault="00056AC1" w:rsidP="00056AC1">
      <w:pPr>
        <w:pStyle w:val="12space"/>
        <w:rPr>
          <w:spacing w:val="-2"/>
        </w:rPr>
      </w:pPr>
      <w:r w:rsidRPr="001528F9">
        <w:rPr>
          <w:spacing w:val="-2"/>
        </w:rPr>
        <w:t xml:space="preserve">Both natural processes and human activities emit GHGs. The accumulation of GHGs in the atmosphere regulates the Earth’s temperature; however, </w:t>
      </w:r>
      <w:r w:rsidRPr="001528F9" w:rsidDel="00182EBE">
        <w:rPr>
          <w:spacing w:val="-2"/>
        </w:rPr>
        <w:t>e</w:t>
      </w:r>
      <w:r w:rsidRPr="001528F9">
        <w:rPr>
          <w:spacing w:val="-2"/>
        </w:rPr>
        <w:t xml:space="preserve">missions from human activities – such as fossil fuel-based electricity production and the use of motor vehicles – have elevated the concentration of GHGs in the atmosphere. </w:t>
      </w:r>
      <w:r w:rsidRPr="001528F9" w:rsidDel="00182EBE">
        <w:rPr>
          <w:spacing w:val="-2"/>
        </w:rPr>
        <w:t xml:space="preserve">This </w:t>
      </w:r>
      <w:r w:rsidRPr="001528F9">
        <w:rPr>
          <w:spacing w:val="-2"/>
        </w:rPr>
        <w:t xml:space="preserve">accumulation of GHGs has contributed to an increase in the temperature of the Earth’s atmosphere and to global climate change. </w:t>
      </w:r>
    </w:p>
    <w:p w:rsidR="00056AC1" w:rsidRPr="00FC79F6" w:rsidRDefault="00056AC1" w:rsidP="00056AC1">
      <w:pPr>
        <w:pStyle w:val="Heading5"/>
      </w:pPr>
      <w:bookmarkStart w:id="2" w:name="_Toc394068828"/>
      <w:bookmarkStart w:id="3" w:name="_Toc406573265"/>
      <w:r w:rsidRPr="00FC79F6">
        <w:t>Greenhouse Gas Emissions</w:t>
      </w:r>
    </w:p>
    <w:p w:rsidR="00056AC1" w:rsidRPr="00FC79F6" w:rsidRDefault="00056AC1" w:rsidP="00056AC1">
      <w:pPr>
        <w:pStyle w:val="12space"/>
      </w:pPr>
      <w:r w:rsidRPr="00FC79F6">
        <w:t>GHG emissions that result from human activities primarily include carbon dioxide (CO</w:t>
      </w:r>
      <w:r w:rsidRPr="00FC79F6">
        <w:rPr>
          <w:vertAlign w:val="subscript"/>
        </w:rPr>
        <w:t>2</w:t>
      </w:r>
      <w:r w:rsidRPr="00FC79F6">
        <w:t>), with much smaller amounts of nitrous oxide (N</w:t>
      </w:r>
      <w:r w:rsidRPr="00FC79F6">
        <w:rPr>
          <w:vertAlign w:val="subscript"/>
        </w:rPr>
        <w:t>2</w:t>
      </w:r>
      <w:r w:rsidRPr="00FC79F6">
        <w:t>O), methane (CH</w:t>
      </w:r>
      <w:r w:rsidRPr="00FC79F6">
        <w:rPr>
          <w:vertAlign w:val="subscript"/>
        </w:rPr>
        <w:t>4</w:t>
      </w:r>
      <w:r w:rsidRPr="00FC79F6">
        <w:t>, often from unburned natural gas), sulfur hexafluoride (SF</w:t>
      </w:r>
      <w:r w:rsidRPr="00FC79F6">
        <w:rPr>
          <w:vertAlign w:val="subscript"/>
        </w:rPr>
        <w:t>6</w:t>
      </w:r>
      <w:r w:rsidRPr="00FC79F6">
        <w:t xml:space="preserve">) from high-voltage power equipment, and hydrofluorocarbons (HFCs) and </w:t>
      </w:r>
      <w:hyperlink r:id="rId8">
        <w:r w:rsidRPr="00FC79F6">
          <w:t>perfluorocarbons</w:t>
        </w:r>
      </w:hyperlink>
      <w:r w:rsidRPr="00FC79F6">
        <w:t xml:space="preserve"> (PFCs) from refrigeration/chiller equipment. Because these GHGs have different warming potentials (i.e., the amount of heat trapped in the atmosphere by a certain mass of the gas), and CO</w:t>
      </w:r>
      <w:r w:rsidRPr="00FC79F6">
        <w:rPr>
          <w:vertAlign w:val="subscript"/>
        </w:rPr>
        <w:t>2</w:t>
      </w:r>
      <w:r w:rsidRPr="00FC79F6">
        <w:t xml:space="preserve"> is the most common reference gas for climate change, GHG emissions are often quantified and reported as CO</w:t>
      </w:r>
      <w:r w:rsidRPr="00FC79F6">
        <w:rPr>
          <w:vertAlign w:val="subscript"/>
        </w:rPr>
        <w:t>2</w:t>
      </w:r>
      <w:r w:rsidRPr="00FC79F6">
        <w:t>-equivalent (CO</w:t>
      </w:r>
      <w:r w:rsidRPr="00FC79F6">
        <w:rPr>
          <w:vertAlign w:val="subscript"/>
        </w:rPr>
        <w:t>2</w:t>
      </w:r>
      <w:r w:rsidRPr="00FC79F6">
        <w:t>e) emissions. For example, while SF</w:t>
      </w:r>
      <w:r w:rsidRPr="00FC79F6">
        <w:rPr>
          <w:vertAlign w:val="subscript"/>
        </w:rPr>
        <w:t xml:space="preserve">6 </w:t>
      </w:r>
      <w:r w:rsidRPr="00FC79F6">
        <w:t>represents a small fraction of the total annual GHGs emitted worldwide, this gas is very potent, with 2</w:t>
      </w:r>
      <w:r>
        <w:t>3</w:t>
      </w:r>
      <w:r w:rsidRPr="00FC79F6">
        <w:t>,</w:t>
      </w:r>
      <w:r>
        <w:t>9</w:t>
      </w:r>
      <w:r w:rsidRPr="00FC79F6">
        <w:t>00 times the global warming potential of CO</w:t>
      </w:r>
      <w:r w:rsidRPr="00FC79F6">
        <w:rPr>
          <w:vertAlign w:val="subscript"/>
        </w:rPr>
        <w:t>2</w:t>
      </w:r>
      <w:r w:rsidRPr="00FC79F6">
        <w:t>. Therefore, an emission of 1 metric ton of SF</w:t>
      </w:r>
      <w:r w:rsidRPr="00FC79F6">
        <w:rPr>
          <w:vertAlign w:val="subscript"/>
        </w:rPr>
        <w:t>6</w:t>
      </w:r>
      <w:r w:rsidRPr="00FC79F6">
        <w:t xml:space="preserve"> would be reported as 2</w:t>
      </w:r>
      <w:r>
        <w:t>3,9</w:t>
      </w:r>
      <w:r w:rsidRPr="00FC79F6">
        <w:t>00 metric tons CO</w:t>
      </w:r>
      <w:r w:rsidRPr="00FC79F6">
        <w:rPr>
          <w:vertAlign w:val="subscript"/>
        </w:rPr>
        <w:t>2</w:t>
      </w:r>
      <w:r w:rsidRPr="00FC79F6">
        <w:t>e. The global warming potential of CH</w:t>
      </w:r>
      <w:r w:rsidRPr="00FC79F6">
        <w:rPr>
          <w:vertAlign w:val="subscript"/>
        </w:rPr>
        <w:t>4</w:t>
      </w:r>
      <w:r w:rsidRPr="00FC79F6">
        <w:t xml:space="preserve"> and N</w:t>
      </w:r>
      <w:r w:rsidRPr="00FC79F6">
        <w:rPr>
          <w:vertAlign w:val="subscript"/>
        </w:rPr>
        <w:t>2</w:t>
      </w:r>
      <w:r w:rsidRPr="00FC79F6">
        <w:t>O are 25 times and 298 times that of CO</w:t>
      </w:r>
      <w:r w:rsidRPr="00FC79F6">
        <w:rPr>
          <w:vertAlign w:val="subscript"/>
        </w:rPr>
        <w:t>2</w:t>
      </w:r>
      <w:r w:rsidRPr="00FC79F6">
        <w:t xml:space="preserve">, respectively (CARB, 2016a). The principal GHGs resulting from human activity that enter and accumulate in the atmosphere are described below. </w:t>
      </w:r>
    </w:p>
    <w:p w:rsidR="00056AC1" w:rsidRPr="00FC79F6" w:rsidRDefault="00056AC1" w:rsidP="00056AC1">
      <w:pPr>
        <w:pStyle w:val="Heading6"/>
      </w:pPr>
      <w:r w:rsidRPr="00FC79F6">
        <w:t>Carbon Dioxide</w:t>
      </w:r>
    </w:p>
    <w:p w:rsidR="00056AC1" w:rsidRPr="00FC79F6" w:rsidRDefault="00056AC1" w:rsidP="00056AC1">
      <w:pPr>
        <w:spacing w:after="240" w:line="288" w:lineRule="exact"/>
        <w:rPr>
          <w:spacing w:val="-2"/>
        </w:rPr>
      </w:pPr>
      <w:r w:rsidRPr="00FC79F6">
        <w:rPr>
          <w:spacing w:val="-2"/>
        </w:rPr>
        <w:t>CO</w:t>
      </w:r>
      <w:r w:rsidRPr="00FC79F6">
        <w:rPr>
          <w:spacing w:val="-2"/>
          <w:vertAlign w:val="subscript"/>
        </w:rPr>
        <w:t>2</w:t>
      </w:r>
      <w:r w:rsidRPr="00FC79F6">
        <w:rPr>
          <w:spacing w:val="-2"/>
        </w:rPr>
        <w:t xml:space="preserve"> is a naturally occurring gas that enters the atmosphere through natural as well as anthropogenic (human) sources. Key anthropogenic sources include the burning of fossil fuels (e.g., oil, natural gas, and coal), solid waste, trees, wood products, and other biomass, as well as industrially relevant chemical reactions such as those associated with manufacturing cement. CO</w:t>
      </w:r>
      <w:r w:rsidRPr="00FC79F6">
        <w:rPr>
          <w:spacing w:val="-2"/>
          <w:vertAlign w:val="subscript"/>
        </w:rPr>
        <w:t>2</w:t>
      </w:r>
      <w:r w:rsidRPr="00FC79F6">
        <w:rPr>
          <w:spacing w:val="-2"/>
        </w:rPr>
        <w:t xml:space="preserve"> is removed from the atmosphere when it is absorbed by plants as part of the biological carbon cycle. </w:t>
      </w:r>
    </w:p>
    <w:p w:rsidR="00056AC1" w:rsidRPr="00FC79F6" w:rsidRDefault="00056AC1" w:rsidP="00056AC1">
      <w:pPr>
        <w:pStyle w:val="Heading6"/>
      </w:pPr>
      <w:r w:rsidRPr="00FC79F6">
        <w:t>Methane</w:t>
      </w:r>
    </w:p>
    <w:p w:rsidR="00056AC1" w:rsidRPr="00FC79F6" w:rsidRDefault="00056AC1" w:rsidP="00056AC1">
      <w:pPr>
        <w:spacing w:after="240" w:line="288" w:lineRule="exact"/>
      </w:pPr>
      <w:r w:rsidRPr="00FC79F6">
        <w:t>Like CO</w:t>
      </w:r>
      <w:r w:rsidRPr="00FC79F6">
        <w:rPr>
          <w:vertAlign w:val="subscript"/>
        </w:rPr>
        <w:t>2</w:t>
      </w:r>
      <w:r w:rsidRPr="00FC79F6">
        <w:t>, CH</w:t>
      </w:r>
      <w:r w:rsidRPr="00FC79F6">
        <w:rPr>
          <w:vertAlign w:val="subscript"/>
        </w:rPr>
        <w:t>4</w:t>
      </w:r>
      <w:r w:rsidRPr="00FC79F6">
        <w:t xml:space="preserve"> is emitted from both natural and anthropogenic sources. Key anthropogenic sources of CH</w:t>
      </w:r>
      <w:r w:rsidRPr="00FC79F6">
        <w:rPr>
          <w:vertAlign w:val="subscript"/>
        </w:rPr>
        <w:t>4</w:t>
      </w:r>
      <w:r w:rsidRPr="00FC79F6">
        <w:t xml:space="preserve"> include gaseous emissions from landfills, releases associated with mining and materials extraction industries (in particular coal mining), and fugitive releases associated with the extraction and transport of natural gas and crude oil. CH</w:t>
      </w:r>
      <w:r w:rsidRPr="00FC79F6">
        <w:rPr>
          <w:vertAlign w:val="subscript"/>
        </w:rPr>
        <w:t>4</w:t>
      </w:r>
      <w:r w:rsidRPr="00FC79F6">
        <w:t xml:space="preserve"> emissions also result from livestock and agricultural practices. Small quantities of CH</w:t>
      </w:r>
      <w:r w:rsidRPr="00FC79F6">
        <w:rPr>
          <w:vertAlign w:val="subscript"/>
        </w:rPr>
        <w:t>4</w:t>
      </w:r>
      <w:r w:rsidRPr="00FC79F6">
        <w:t xml:space="preserve"> are released during fossil fuel combustion. </w:t>
      </w:r>
    </w:p>
    <w:p w:rsidR="00056AC1" w:rsidRPr="00FC79F6" w:rsidRDefault="00056AC1" w:rsidP="00056AC1">
      <w:pPr>
        <w:pStyle w:val="Heading6"/>
      </w:pPr>
      <w:r w:rsidRPr="00FC79F6">
        <w:t>Nitrous Oxide</w:t>
      </w:r>
    </w:p>
    <w:p w:rsidR="00056AC1" w:rsidRPr="00FC79F6" w:rsidRDefault="00056AC1" w:rsidP="00056AC1">
      <w:pPr>
        <w:spacing w:after="240" w:line="288" w:lineRule="exact"/>
      </w:pPr>
      <w:r w:rsidRPr="00FC79F6">
        <w:t>N</w:t>
      </w:r>
      <w:r w:rsidRPr="00FC79F6">
        <w:rPr>
          <w:vertAlign w:val="subscript"/>
        </w:rPr>
        <w:t>2</w:t>
      </w:r>
      <w:r w:rsidRPr="00FC79F6">
        <w:t xml:space="preserve">O is also emitted from both natural and anthropogenic sources. Important anthropogenic sources include industrial activities, agricultural activities (primarily the application of nitrogen fertilizer), the use of explosives, combustion of fossil fuels, and decay of solid waste. </w:t>
      </w:r>
    </w:p>
    <w:p w:rsidR="00056AC1" w:rsidRPr="00FC79F6" w:rsidRDefault="00056AC1" w:rsidP="00056AC1">
      <w:pPr>
        <w:pStyle w:val="Heading6"/>
      </w:pPr>
      <w:r w:rsidRPr="00FC79F6">
        <w:t>Fluorinated Gases</w:t>
      </w:r>
    </w:p>
    <w:p w:rsidR="00056AC1" w:rsidRDefault="00056AC1" w:rsidP="00056AC1">
      <w:pPr>
        <w:pStyle w:val="12space"/>
      </w:pPr>
      <w:r w:rsidRPr="00FC79F6">
        <w:t>HFCs, PFCs, and SF</w:t>
      </w:r>
      <w:r w:rsidRPr="00FC79F6">
        <w:rPr>
          <w:vertAlign w:val="subscript"/>
        </w:rPr>
        <w:t>6</w:t>
      </w:r>
      <w:r w:rsidRPr="00FC79F6">
        <w:t xml:space="preserve"> are synthetic gases emitted from a variety of industrial processes, and they contribute substantially more to the greenhouse effect on a pound for pound basis than the GHGs described previously. Fluorinated gases are often used as substitutes for ozone-depleting substances (i.e., chlorofluorocarbons, hydrochlorofluorocarbons, and halons). These gases are typically emitted in small quantities, but because of their potency they are sometimes referred to as “high global warming potential gases.” Fluorinated gases </w:t>
      </w:r>
      <w:r>
        <w:t xml:space="preserve">in the form of </w:t>
      </w:r>
      <w:r w:rsidRPr="00FC79F6">
        <w:t>SF</w:t>
      </w:r>
      <w:r w:rsidRPr="00FC79F6">
        <w:rPr>
          <w:vertAlign w:val="subscript"/>
        </w:rPr>
        <w:t>6</w:t>
      </w:r>
      <w:r w:rsidRPr="00FC79F6">
        <w:t xml:space="preserve"> would be emitted </w:t>
      </w:r>
      <w:r>
        <w:t>by circuit breakers</w:t>
      </w:r>
      <w:r w:rsidRPr="00FC79F6">
        <w:t xml:space="preserve"> </w:t>
      </w:r>
      <w:r>
        <w:t xml:space="preserve">that </w:t>
      </w:r>
      <w:r w:rsidRPr="00FC79F6">
        <w:t>would b</w:t>
      </w:r>
      <w:r>
        <w:t xml:space="preserve">e associated with the </w:t>
      </w:r>
      <w:r w:rsidR="00F265F1">
        <w:t>P</w:t>
      </w:r>
      <w:r w:rsidR="0007601E">
        <w:t>roposed Project</w:t>
      </w:r>
      <w:r w:rsidRPr="00FC79F6">
        <w:t xml:space="preserve">. </w:t>
      </w:r>
    </w:p>
    <w:p w:rsidR="00056AC1" w:rsidRPr="00FC79F6" w:rsidRDefault="00056AC1" w:rsidP="00056AC1">
      <w:pPr>
        <w:pStyle w:val="Heading5"/>
      </w:pPr>
      <w:r w:rsidRPr="00FC79F6">
        <w:t>Greenhouse Gas Sources</w:t>
      </w:r>
    </w:p>
    <w:bookmarkEnd w:id="2"/>
    <w:bookmarkEnd w:id="3"/>
    <w:p w:rsidR="00056AC1" w:rsidRPr="00FC79F6" w:rsidRDefault="00056AC1" w:rsidP="00056AC1">
      <w:pPr>
        <w:spacing w:after="240" w:line="288" w:lineRule="exact"/>
      </w:pPr>
      <w:r w:rsidRPr="00FC79F6">
        <w:t>Anthropogenic GHG emissions in the United States are derived mostly from the combustion of fossil fuels for transportation and power production. Energy-related CO</w:t>
      </w:r>
      <w:r w:rsidRPr="00FC79F6">
        <w:rPr>
          <w:vertAlign w:val="subscript"/>
        </w:rPr>
        <w:t>2</w:t>
      </w:r>
      <w:r w:rsidRPr="00FC79F6">
        <w:t xml:space="preserve"> emissions resulting from fossil fuel exploration and use account for approximately three-quarters of the human-generated GHG emissions in the United States, primarily in the form of CO</w:t>
      </w:r>
      <w:r w:rsidRPr="00FC79F6">
        <w:rPr>
          <w:vertAlign w:val="subscript"/>
        </w:rPr>
        <w:t>2</w:t>
      </w:r>
      <w:r w:rsidRPr="00FC79F6">
        <w:t xml:space="preserve"> emissions from burning fossil fuels. More than half of the energy-related emissions come from large stationary sources, such as power plants; approximately one-third derive from transportation; and a majority of the remaining sources include: industrial processes, agriculture, commercial, and residential (USEPA, 2016a). </w:t>
      </w:r>
    </w:p>
    <w:p w:rsidR="00056AC1" w:rsidRPr="00FC79F6" w:rsidRDefault="00056AC1" w:rsidP="00056AC1">
      <w:pPr>
        <w:spacing w:after="240" w:line="288" w:lineRule="exact"/>
      </w:pPr>
      <w:r w:rsidRPr="00FC79F6">
        <w:t>Statewide emissions of GHG from relevant source categories for 200</w:t>
      </w:r>
      <w:r>
        <w:t>9</w:t>
      </w:r>
      <w:r w:rsidRPr="00FC79F6">
        <w:t xml:space="preserve"> through 201</w:t>
      </w:r>
      <w:r>
        <w:t>5</w:t>
      </w:r>
      <w:r w:rsidRPr="00FC79F6">
        <w:t xml:space="preserve"> are summarized in </w:t>
      </w:r>
      <w:r w:rsidRPr="00FC79F6">
        <w:rPr>
          <w:b/>
        </w:rPr>
        <w:t xml:space="preserve">Table </w:t>
      </w:r>
      <w:r w:rsidR="004D6D4A">
        <w:rPr>
          <w:b/>
        </w:rPr>
        <w:t>3.8-</w:t>
      </w:r>
      <w:r w:rsidRPr="00FC79F6">
        <w:rPr>
          <w:b/>
        </w:rPr>
        <w:t>1</w:t>
      </w:r>
      <w:r w:rsidRPr="00FC79F6">
        <w:t xml:space="preserve">. Specific contributions from individual air basins, such as the </w:t>
      </w:r>
      <w:r w:rsidR="004D6D4A">
        <w:t>San </w:t>
      </w:r>
      <w:r>
        <w:t>Diego County Air Basin</w:t>
      </w:r>
      <w:r w:rsidRPr="00FC79F6">
        <w:t xml:space="preserve">, which encompasses the </w:t>
      </w:r>
      <w:r>
        <w:t>Proposed P</w:t>
      </w:r>
      <w:r w:rsidRPr="00FC79F6">
        <w:t xml:space="preserve">roject </w:t>
      </w:r>
      <w:r>
        <w:t>site</w:t>
      </w:r>
      <w:r w:rsidRPr="00FC79F6">
        <w:t>, are included in the emissions inventory but are not itemized by air basin. In 201</w:t>
      </w:r>
      <w:r>
        <w:t>5</w:t>
      </w:r>
      <w:r w:rsidRPr="00FC79F6">
        <w:t xml:space="preserve">, California produced </w:t>
      </w:r>
      <w:r>
        <w:t>440.4</w:t>
      </w:r>
      <w:r w:rsidRPr="00FC79F6">
        <w:t> million gross metric tons of CO</w:t>
      </w:r>
      <w:r w:rsidRPr="00FC79F6">
        <w:rPr>
          <w:vertAlign w:val="subscript"/>
        </w:rPr>
        <w:t>2</w:t>
      </w:r>
      <w:r w:rsidRPr="00FC79F6">
        <w:t xml:space="preserve">e emissions. Transportation was the source of </w:t>
      </w:r>
      <w:r>
        <w:t>39</w:t>
      </w:r>
      <w:r w:rsidRPr="00FC79F6">
        <w:t xml:space="preserve"> percent of the state’s GHG emissions, followed by industrial at </w:t>
      </w:r>
      <w:r>
        <w:t>23</w:t>
      </w:r>
      <w:r w:rsidRPr="00FC79F6">
        <w:t xml:space="preserve"> percent, electricity generation at </w:t>
      </w:r>
      <w:r>
        <w:t>19</w:t>
      </w:r>
      <w:r w:rsidRPr="00FC79F6">
        <w:t> percent, commercial and residential sources at 11 percent, and agriculture and forestry comprised the remaining 8 percent (CARB, 201</w:t>
      </w:r>
      <w:r>
        <w:t>7</w:t>
      </w:r>
      <w:r w:rsidRPr="00FC79F6">
        <w:t xml:space="preserve">). </w:t>
      </w:r>
      <w:bookmarkStart w:id="4" w:name="_30j0zll" w:colFirst="0" w:colLast="0"/>
      <w:bookmarkEnd w:id="4"/>
    </w:p>
    <w:p w:rsidR="00056AC1" w:rsidRPr="00FC79F6" w:rsidRDefault="00056AC1" w:rsidP="00056AC1">
      <w:pPr>
        <w:pStyle w:val="TableNoTitle"/>
      </w:pPr>
      <w:r w:rsidRPr="00FC79F6">
        <w:rPr>
          <w:rFonts w:eastAsia="Arial"/>
        </w:rPr>
        <w:t xml:space="preserve">Table </w:t>
      </w:r>
      <w:r w:rsidR="004D6D4A">
        <w:rPr>
          <w:rFonts w:eastAsia="Arial"/>
        </w:rPr>
        <w:t>3.8-</w:t>
      </w:r>
      <w:r w:rsidRPr="00FC79F6">
        <w:rPr>
          <w:rFonts w:eastAsia="Arial"/>
        </w:rPr>
        <w:t>1</w:t>
      </w:r>
      <w:r w:rsidRPr="00FC79F6">
        <w:rPr>
          <w:rFonts w:eastAsia="Arial"/>
        </w:rPr>
        <w:br/>
        <w:t>California GHG Emissions (million metric tons CO</w:t>
      </w:r>
      <w:r w:rsidRPr="00FC79F6">
        <w:rPr>
          <w:rFonts w:eastAsia="Arial"/>
          <w:vertAlign w:val="subscript"/>
        </w:rPr>
        <w:t>2</w:t>
      </w:r>
      <w:r w:rsidRPr="00FC79F6">
        <w:rPr>
          <w:rFonts w:ascii="Arial Bold" w:eastAsia="Arial Bold" w:hAnsi="Arial Bold" w:cs="Arial Bold"/>
        </w:rPr>
        <w:t>e</w:t>
      </w:r>
      <w:r w:rsidRPr="00FC79F6">
        <w:rPr>
          <w:rFonts w:eastAsia="Arial"/>
        </w:rPr>
        <w:t>)</w:t>
      </w:r>
    </w:p>
    <w:tbl>
      <w:tblPr>
        <w:tblW w:w="8820" w:type="dxa"/>
        <w:tblInd w:w="108"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20"/>
        <w:gridCol w:w="720"/>
        <w:gridCol w:w="720"/>
        <w:gridCol w:w="720"/>
        <w:gridCol w:w="720"/>
        <w:gridCol w:w="720"/>
        <w:gridCol w:w="720"/>
        <w:gridCol w:w="900"/>
      </w:tblGrid>
      <w:tr w:rsidR="00056AC1" w:rsidRPr="00FC79F6" w:rsidTr="002F1A8E">
        <w:tc>
          <w:tcPr>
            <w:tcW w:w="2880" w:type="dxa"/>
            <w:tcBorders>
              <w:bottom w:val="single" w:sz="12" w:space="0" w:color="000000"/>
            </w:tcBorders>
          </w:tcPr>
          <w:p w:rsidR="00056AC1" w:rsidRPr="00FC79F6" w:rsidRDefault="00056AC1" w:rsidP="002F1A8E">
            <w:pPr>
              <w:spacing w:before="120" w:after="120"/>
            </w:pPr>
            <w:r w:rsidRPr="00FC79F6">
              <w:rPr>
                <w:rFonts w:ascii="Arial" w:eastAsia="Arial" w:hAnsi="Arial" w:cs="Arial"/>
                <w:b/>
                <w:sz w:val="16"/>
                <w:szCs w:val="16"/>
              </w:rPr>
              <w:t>Emission Inventory Category</w:t>
            </w:r>
          </w:p>
        </w:tc>
        <w:tc>
          <w:tcPr>
            <w:tcW w:w="720" w:type="dxa"/>
            <w:tcBorders>
              <w:bottom w:val="single" w:sz="12" w:space="0" w:color="000000"/>
            </w:tcBorders>
          </w:tcPr>
          <w:p w:rsidR="00056AC1" w:rsidRPr="00FC79F6" w:rsidRDefault="00056AC1" w:rsidP="002F1A8E">
            <w:pPr>
              <w:spacing w:before="120" w:after="120"/>
              <w:jc w:val="center"/>
            </w:pPr>
            <w:r w:rsidRPr="00FC79F6">
              <w:rPr>
                <w:rFonts w:ascii="Arial" w:eastAsia="Arial" w:hAnsi="Arial" w:cs="Arial"/>
                <w:b/>
                <w:sz w:val="16"/>
                <w:szCs w:val="16"/>
              </w:rPr>
              <w:t>2009</w:t>
            </w:r>
          </w:p>
        </w:tc>
        <w:tc>
          <w:tcPr>
            <w:tcW w:w="720" w:type="dxa"/>
            <w:tcBorders>
              <w:bottom w:val="single" w:sz="12" w:space="0" w:color="000000"/>
            </w:tcBorders>
          </w:tcPr>
          <w:p w:rsidR="00056AC1" w:rsidRPr="00FC79F6" w:rsidRDefault="00056AC1" w:rsidP="002F1A8E">
            <w:pPr>
              <w:spacing w:before="120" w:after="120"/>
              <w:jc w:val="center"/>
            </w:pPr>
            <w:r w:rsidRPr="00FC79F6">
              <w:rPr>
                <w:rFonts w:ascii="Arial" w:eastAsia="Arial" w:hAnsi="Arial" w:cs="Arial"/>
                <w:b/>
                <w:sz w:val="16"/>
                <w:szCs w:val="16"/>
              </w:rPr>
              <w:t>2010</w:t>
            </w:r>
          </w:p>
        </w:tc>
        <w:tc>
          <w:tcPr>
            <w:tcW w:w="720" w:type="dxa"/>
            <w:tcBorders>
              <w:bottom w:val="single" w:sz="12" w:space="0" w:color="000000"/>
            </w:tcBorders>
          </w:tcPr>
          <w:p w:rsidR="00056AC1" w:rsidRPr="00FC79F6" w:rsidRDefault="00056AC1" w:rsidP="002F1A8E">
            <w:pPr>
              <w:spacing w:before="120" w:after="120"/>
              <w:jc w:val="center"/>
            </w:pPr>
            <w:r w:rsidRPr="00FC79F6">
              <w:rPr>
                <w:rFonts w:ascii="Arial" w:eastAsia="Arial" w:hAnsi="Arial" w:cs="Arial"/>
                <w:b/>
                <w:sz w:val="16"/>
                <w:szCs w:val="16"/>
              </w:rPr>
              <w:t>2011</w:t>
            </w:r>
          </w:p>
        </w:tc>
        <w:tc>
          <w:tcPr>
            <w:tcW w:w="720" w:type="dxa"/>
            <w:tcBorders>
              <w:bottom w:val="single" w:sz="12" w:space="0" w:color="000000"/>
            </w:tcBorders>
          </w:tcPr>
          <w:p w:rsidR="00056AC1" w:rsidRPr="00FC79F6" w:rsidRDefault="00056AC1" w:rsidP="002F1A8E">
            <w:pPr>
              <w:spacing w:before="120" w:after="120"/>
              <w:jc w:val="center"/>
            </w:pPr>
            <w:r w:rsidRPr="00FC79F6">
              <w:rPr>
                <w:rFonts w:ascii="Arial" w:eastAsia="Arial" w:hAnsi="Arial" w:cs="Arial"/>
                <w:b/>
                <w:sz w:val="16"/>
                <w:szCs w:val="16"/>
              </w:rPr>
              <w:t>2012</w:t>
            </w:r>
          </w:p>
        </w:tc>
        <w:tc>
          <w:tcPr>
            <w:tcW w:w="720" w:type="dxa"/>
            <w:tcBorders>
              <w:bottom w:val="single" w:sz="12" w:space="0" w:color="000000"/>
            </w:tcBorders>
          </w:tcPr>
          <w:p w:rsidR="00056AC1" w:rsidRPr="00FC79F6" w:rsidRDefault="00056AC1" w:rsidP="002F1A8E">
            <w:pPr>
              <w:spacing w:before="120" w:after="120"/>
              <w:jc w:val="center"/>
            </w:pPr>
            <w:r w:rsidRPr="00FC79F6">
              <w:rPr>
                <w:rFonts w:ascii="Arial" w:eastAsia="Arial" w:hAnsi="Arial" w:cs="Arial"/>
                <w:b/>
                <w:sz w:val="16"/>
                <w:szCs w:val="16"/>
              </w:rPr>
              <w:t>2013</w:t>
            </w:r>
          </w:p>
        </w:tc>
        <w:tc>
          <w:tcPr>
            <w:tcW w:w="720" w:type="dxa"/>
            <w:tcBorders>
              <w:bottom w:val="single" w:sz="12" w:space="0" w:color="000000"/>
            </w:tcBorders>
          </w:tcPr>
          <w:p w:rsidR="00056AC1" w:rsidRPr="00FC79F6" w:rsidRDefault="00056AC1" w:rsidP="002F1A8E">
            <w:pPr>
              <w:spacing w:before="120" w:after="120"/>
              <w:jc w:val="center"/>
            </w:pPr>
            <w:r>
              <w:rPr>
                <w:rFonts w:ascii="Arial" w:eastAsia="Arial" w:hAnsi="Arial" w:cs="Arial"/>
                <w:b/>
                <w:sz w:val="16"/>
                <w:szCs w:val="16"/>
              </w:rPr>
              <w:t>2014</w:t>
            </w:r>
          </w:p>
        </w:tc>
        <w:tc>
          <w:tcPr>
            <w:tcW w:w="1620" w:type="dxa"/>
            <w:gridSpan w:val="2"/>
            <w:tcBorders>
              <w:bottom w:val="single" w:sz="12" w:space="0" w:color="000000"/>
            </w:tcBorders>
          </w:tcPr>
          <w:p w:rsidR="00056AC1" w:rsidRPr="00FC79F6" w:rsidRDefault="00056AC1" w:rsidP="002F1A8E">
            <w:pPr>
              <w:spacing w:before="120" w:after="120"/>
              <w:jc w:val="center"/>
            </w:pPr>
            <w:r>
              <w:rPr>
                <w:rFonts w:ascii="Arial" w:eastAsia="Arial" w:hAnsi="Arial" w:cs="Arial"/>
                <w:b/>
                <w:sz w:val="16"/>
                <w:szCs w:val="16"/>
              </w:rPr>
              <w:t>2015</w:t>
            </w:r>
          </w:p>
        </w:tc>
      </w:tr>
      <w:tr w:rsidR="00056AC1" w:rsidRPr="00FC79F6" w:rsidTr="002F1A8E">
        <w:tc>
          <w:tcPr>
            <w:tcW w:w="2880" w:type="dxa"/>
            <w:tcBorders>
              <w:top w:val="single" w:sz="12" w:space="0" w:color="000000"/>
            </w:tcBorders>
            <w:vAlign w:val="center"/>
          </w:tcPr>
          <w:p w:rsidR="00056AC1" w:rsidRPr="00FC79F6" w:rsidRDefault="00056AC1" w:rsidP="002F1A8E">
            <w:pPr>
              <w:spacing w:before="60" w:after="40"/>
            </w:pPr>
            <w:r w:rsidRPr="00FC79F6">
              <w:rPr>
                <w:rFonts w:ascii="Arial" w:eastAsia="Arial" w:hAnsi="Arial" w:cs="Arial"/>
                <w:sz w:val="16"/>
                <w:szCs w:val="16"/>
              </w:rPr>
              <w:t>Electricity Generation (In State)</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53.51</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46.91</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41.36</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51.18</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49.60</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51.81</w:t>
            </w:r>
          </w:p>
        </w:tc>
        <w:tc>
          <w:tcPr>
            <w:tcW w:w="720" w:type="dxa"/>
            <w:tcBorders>
              <w:top w:val="single" w:sz="12" w:space="0" w:color="000000"/>
            </w:tcBorders>
            <w:vAlign w:val="center"/>
          </w:tcPr>
          <w:p w:rsidR="00056AC1" w:rsidRPr="00FC79F6" w:rsidRDefault="00056AC1" w:rsidP="002F1A8E">
            <w:pPr>
              <w:jc w:val="center"/>
            </w:pPr>
            <w:r>
              <w:rPr>
                <w:rFonts w:ascii="Arial" w:eastAsia="Arial" w:hAnsi="Arial" w:cs="Arial"/>
                <w:sz w:val="16"/>
                <w:szCs w:val="16"/>
              </w:rPr>
              <w:t>50.21</w:t>
            </w:r>
          </w:p>
        </w:tc>
        <w:tc>
          <w:tcPr>
            <w:tcW w:w="900" w:type="dxa"/>
            <w:tcBorders>
              <w:top w:val="single" w:sz="12" w:space="0" w:color="000000"/>
            </w:tcBorders>
            <w:vAlign w:val="center"/>
          </w:tcPr>
          <w:p w:rsidR="00056AC1" w:rsidRPr="00FC79F6" w:rsidRDefault="00056AC1" w:rsidP="002F1A8E">
            <w:pPr>
              <w:spacing w:before="60" w:after="40"/>
              <w:jc w:val="center"/>
            </w:pPr>
            <w:r>
              <w:rPr>
                <w:rFonts w:ascii="Arial" w:eastAsia="Arial" w:hAnsi="Arial" w:cs="Arial"/>
                <w:sz w:val="16"/>
                <w:szCs w:val="16"/>
              </w:rPr>
              <w:t>11.4%</w:t>
            </w:r>
          </w:p>
        </w:tc>
      </w:tr>
      <w:tr w:rsidR="00056AC1" w:rsidRPr="00FC79F6" w:rsidTr="002F1A8E">
        <w:tc>
          <w:tcPr>
            <w:tcW w:w="2880" w:type="dxa"/>
            <w:vAlign w:val="center"/>
          </w:tcPr>
          <w:p w:rsidR="00056AC1" w:rsidRPr="00FC79F6" w:rsidRDefault="00056AC1" w:rsidP="002F1A8E">
            <w:pPr>
              <w:spacing w:before="60" w:after="40"/>
            </w:pPr>
            <w:r w:rsidRPr="00FC79F6">
              <w:rPr>
                <w:rFonts w:ascii="Arial" w:eastAsia="Arial" w:hAnsi="Arial" w:cs="Arial"/>
                <w:sz w:val="16"/>
                <w:szCs w:val="16"/>
              </w:rPr>
              <w:t>Electricity Generation (Imports)</w:t>
            </w:r>
          </w:p>
        </w:tc>
        <w:tc>
          <w:tcPr>
            <w:tcW w:w="720" w:type="dxa"/>
            <w:vAlign w:val="center"/>
          </w:tcPr>
          <w:p w:rsidR="00056AC1" w:rsidRPr="00FC79F6" w:rsidRDefault="00056AC1" w:rsidP="002F1A8E">
            <w:pPr>
              <w:jc w:val="center"/>
            </w:pPr>
            <w:r>
              <w:rPr>
                <w:rFonts w:ascii="Arial" w:eastAsia="Arial" w:hAnsi="Arial" w:cs="Arial"/>
                <w:sz w:val="16"/>
                <w:szCs w:val="16"/>
              </w:rPr>
              <w:t>48.13</w:t>
            </w:r>
          </w:p>
        </w:tc>
        <w:tc>
          <w:tcPr>
            <w:tcW w:w="720" w:type="dxa"/>
            <w:vAlign w:val="center"/>
          </w:tcPr>
          <w:p w:rsidR="00056AC1" w:rsidRPr="001A4571" w:rsidRDefault="00056AC1" w:rsidP="002F1A8E">
            <w:pPr>
              <w:jc w:val="center"/>
              <w:rPr>
                <w:rFonts w:ascii="Arial" w:eastAsia="Arial" w:hAnsi="Arial" w:cs="Arial"/>
                <w:sz w:val="16"/>
                <w:szCs w:val="16"/>
              </w:rPr>
            </w:pPr>
            <w:r>
              <w:rPr>
                <w:rFonts w:ascii="Arial" w:eastAsia="Arial" w:hAnsi="Arial" w:cs="Arial"/>
                <w:sz w:val="16"/>
                <w:szCs w:val="16"/>
              </w:rPr>
              <w:t>43.67</w:t>
            </w:r>
          </w:p>
        </w:tc>
        <w:tc>
          <w:tcPr>
            <w:tcW w:w="720" w:type="dxa"/>
            <w:vAlign w:val="center"/>
          </w:tcPr>
          <w:p w:rsidR="00056AC1" w:rsidRPr="00FC79F6" w:rsidRDefault="00056AC1" w:rsidP="002F1A8E">
            <w:pPr>
              <w:jc w:val="center"/>
            </w:pPr>
            <w:r>
              <w:rPr>
                <w:rFonts w:ascii="Arial" w:eastAsia="Arial" w:hAnsi="Arial" w:cs="Arial"/>
                <w:sz w:val="16"/>
                <w:szCs w:val="16"/>
              </w:rPr>
              <w:t>46.94</w:t>
            </w:r>
          </w:p>
        </w:tc>
        <w:tc>
          <w:tcPr>
            <w:tcW w:w="720" w:type="dxa"/>
            <w:vAlign w:val="center"/>
          </w:tcPr>
          <w:p w:rsidR="00056AC1" w:rsidRPr="00FC79F6" w:rsidRDefault="00056AC1" w:rsidP="002F1A8E">
            <w:pPr>
              <w:jc w:val="center"/>
            </w:pPr>
            <w:r>
              <w:rPr>
                <w:rFonts w:ascii="Arial" w:eastAsia="Arial" w:hAnsi="Arial" w:cs="Arial"/>
                <w:sz w:val="16"/>
                <w:szCs w:val="16"/>
              </w:rPr>
              <w:t>44.15</w:t>
            </w:r>
          </w:p>
        </w:tc>
        <w:tc>
          <w:tcPr>
            <w:tcW w:w="720" w:type="dxa"/>
            <w:vAlign w:val="center"/>
          </w:tcPr>
          <w:p w:rsidR="00056AC1" w:rsidRPr="00FC79F6" w:rsidRDefault="00056AC1" w:rsidP="002F1A8E">
            <w:pPr>
              <w:jc w:val="center"/>
            </w:pPr>
            <w:r>
              <w:rPr>
                <w:rFonts w:ascii="Arial" w:eastAsia="Arial" w:hAnsi="Arial" w:cs="Arial"/>
                <w:sz w:val="16"/>
                <w:szCs w:val="16"/>
              </w:rPr>
              <w:t>40.24</w:t>
            </w:r>
          </w:p>
        </w:tc>
        <w:tc>
          <w:tcPr>
            <w:tcW w:w="720" w:type="dxa"/>
            <w:vAlign w:val="center"/>
          </w:tcPr>
          <w:p w:rsidR="00056AC1" w:rsidRPr="00FC79F6" w:rsidRDefault="00056AC1" w:rsidP="002F1A8E">
            <w:pPr>
              <w:jc w:val="center"/>
            </w:pPr>
            <w:r>
              <w:rPr>
                <w:rFonts w:ascii="Arial" w:eastAsia="Arial" w:hAnsi="Arial" w:cs="Arial"/>
                <w:sz w:val="16"/>
                <w:szCs w:val="16"/>
              </w:rPr>
              <w:t>36.56</w:t>
            </w:r>
          </w:p>
        </w:tc>
        <w:tc>
          <w:tcPr>
            <w:tcW w:w="720" w:type="dxa"/>
            <w:vAlign w:val="center"/>
          </w:tcPr>
          <w:p w:rsidR="00056AC1" w:rsidRPr="00FC79F6" w:rsidRDefault="00056AC1" w:rsidP="002F1A8E">
            <w:pPr>
              <w:jc w:val="center"/>
            </w:pPr>
            <w:r>
              <w:rPr>
                <w:rFonts w:ascii="Arial" w:eastAsia="Arial" w:hAnsi="Arial" w:cs="Arial"/>
                <w:sz w:val="16"/>
                <w:szCs w:val="16"/>
              </w:rPr>
              <w:t>33.88</w:t>
            </w:r>
          </w:p>
        </w:tc>
        <w:tc>
          <w:tcPr>
            <w:tcW w:w="900" w:type="dxa"/>
            <w:vAlign w:val="center"/>
          </w:tcPr>
          <w:p w:rsidR="00056AC1" w:rsidRPr="00FC79F6" w:rsidRDefault="00056AC1" w:rsidP="002F1A8E">
            <w:pPr>
              <w:jc w:val="center"/>
            </w:pPr>
            <w:r>
              <w:rPr>
                <w:rFonts w:ascii="Arial" w:eastAsia="Arial" w:hAnsi="Arial" w:cs="Arial"/>
                <w:sz w:val="16"/>
                <w:szCs w:val="16"/>
              </w:rPr>
              <w:t>7.7%</w:t>
            </w:r>
          </w:p>
        </w:tc>
      </w:tr>
      <w:tr w:rsidR="00056AC1" w:rsidRPr="00FC79F6" w:rsidTr="002F1A8E">
        <w:tc>
          <w:tcPr>
            <w:tcW w:w="2880" w:type="dxa"/>
            <w:vAlign w:val="center"/>
          </w:tcPr>
          <w:p w:rsidR="00056AC1" w:rsidRPr="00FC79F6" w:rsidRDefault="00056AC1" w:rsidP="002F1A8E">
            <w:pPr>
              <w:spacing w:before="60" w:after="40"/>
            </w:pPr>
            <w:r>
              <w:rPr>
                <w:rFonts w:ascii="Arial" w:eastAsia="Arial" w:hAnsi="Arial" w:cs="Arial"/>
                <w:sz w:val="16"/>
                <w:szCs w:val="16"/>
              </w:rPr>
              <w:t>Transportation</w:t>
            </w:r>
          </w:p>
        </w:tc>
        <w:tc>
          <w:tcPr>
            <w:tcW w:w="720" w:type="dxa"/>
            <w:vAlign w:val="center"/>
          </w:tcPr>
          <w:p w:rsidR="00056AC1" w:rsidRPr="00FC79F6" w:rsidRDefault="00056AC1" w:rsidP="002F1A8E">
            <w:pPr>
              <w:jc w:val="center"/>
            </w:pPr>
            <w:r>
              <w:rPr>
                <w:rFonts w:ascii="Arial" w:eastAsia="Arial" w:hAnsi="Arial" w:cs="Arial"/>
                <w:sz w:val="16"/>
                <w:szCs w:val="16"/>
              </w:rPr>
              <w:t>171.45</w:t>
            </w:r>
          </w:p>
        </w:tc>
        <w:tc>
          <w:tcPr>
            <w:tcW w:w="720" w:type="dxa"/>
            <w:vAlign w:val="center"/>
          </w:tcPr>
          <w:p w:rsidR="00056AC1" w:rsidRPr="00FC79F6" w:rsidRDefault="00056AC1" w:rsidP="002F1A8E">
            <w:pPr>
              <w:jc w:val="center"/>
            </w:pPr>
            <w:r>
              <w:rPr>
                <w:rFonts w:ascii="Arial" w:eastAsia="Arial" w:hAnsi="Arial" w:cs="Arial"/>
                <w:sz w:val="16"/>
                <w:szCs w:val="16"/>
              </w:rPr>
              <w:t>168.11</w:t>
            </w:r>
          </w:p>
        </w:tc>
        <w:tc>
          <w:tcPr>
            <w:tcW w:w="720" w:type="dxa"/>
            <w:vAlign w:val="center"/>
          </w:tcPr>
          <w:p w:rsidR="00056AC1" w:rsidRPr="00FC79F6" w:rsidRDefault="00056AC1" w:rsidP="002F1A8E">
            <w:pPr>
              <w:jc w:val="center"/>
            </w:pPr>
            <w:r>
              <w:rPr>
                <w:rFonts w:ascii="Arial" w:eastAsia="Arial" w:hAnsi="Arial" w:cs="Arial"/>
                <w:sz w:val="16"/>
                <w:szCs w:val="16"/>
              </w:rPr>
              <w:t>164.70</w:t>
            </w:r>
          </w:p>
        </w:tc>
        <w:tc>
          <w:tcPr>
            <w:tcW w:w="720" w:type="dxa"/>
            <w:vAlign w:val="center"/>
          </w:tcPr>
          <w:p w:rsidR="00056AC1" w:rsidRPr="00FC79F6" w:rsidRDefault="00056AC1" w:rsidP="002F1A8E">
            <w:pPr>
              <w:jc w:val="center"/>
            </w:pPr>
            <w:r>
              <w:rPr>
                <w:rFonts w:ascii="Arial" w:eastAsia="Arial" w:hAnsi="Arial" w:cs="Arial"/>
                <w:sz w:val="16"/>
                <w:szCs w:val="16"/>
              </w:rPr>
              <w:t>164.38</w:t>
            </w:r>
          </w:p>
        </w:tc>
        <w:tc>
          <w:tcPr>
            <w:tcW w:w="720" w:type="dxa"/>
            <w:vAlign w:val="center"/>
          </w:tcPr>
          <w:p w:rsidR="00056AC1" w:rsidRPr="00FC79F6" w:rsidRDefault="00056AC1" w:rsidP="002F1A8E">
            <w:pPr>
              <w:jc w:val="center"/>
            </w:pPr>
            <w:r>
              <w:rPr>
                <w:rFonts w:ascii="Arial" w:eastAsia="Arial" w:hAnsi="Arial" w:cs="Arial"/>
                <w:sz w:val="16"/>
                <w:szCs w:val="16"/>
              </w:rPr>
              <w:t>163.05</w:t>
            </w:r>
          </w:p>
        </w:tc>
        <w:tc>
          <w:tcPr>
            <w:tcW w:w="720" w:type="dxa"/>
            <w:vAlign w:val="center"/>
          </w:tcPr>
          <w:p w:rsidR="00056AC1" w:rsidRPr="00FC79F6" w:rsidRDefault="00056AC1" w:rsidP="002F1A8E">
            <w:pPr>
              <w:jc w:val="center"/>
            </w:pPr>
            <w:r>
              <w:rPr>
                <w:rFonts w:ascii="Arial" w:eastAsia="Arial" w:hAnsi="Arial" w:cs="Arial"/>
                <w:sz w:val="16"/>
                <w:szCs w:val="16"/>
              </w:rPr>
              <w:t>164.89</w:t>
            </w:r>
          </w:p>
        </w:tc>
        <w:tc>
          <w:tcPr>
            <w:tcW w:w="720" w:type="dxa"/>
            <w:vAlign w:val="center"/>
          </w:tcPr>
          <w:p w:rsidR="00056AC1" w:rsidRPr="00FC79F6" w:rsidRDefault="00056AC1" w:rsidP="002F1A8E">
            <w:pPr>
              <w:jc w:val="center"/>
            </w:pPr>
            <w:r>
              <w:rPr>
                <w:rFonts w:ascii="Arial" w:eastAsia="Arial" w:hAnsi="Arial" w:cs="Arial"/>
                <w:sz w:val="16"/>
                <w:szCs w:val="16"/>
              </w:rPr>
              <w:t>169.38</w:t>
            </w:r>
          </w:p>
        </w:tc>
        <w:tc>
          <w:tcPr>
            <w:tcW w:w="900" w:type="dxa"/>
            <w:vAlign w:val="center"/>
          </w:tcPr>
          <w:p w:rsidR="00056AC1" w:rsidRPr="00FC79F6" w:rsidRDefault="00056AC1" w:rsidP="002F1A8E">
            <w:pPr>
              <w:jc w:val="center"/>
            </w:pPr>
            <w:r>
              <w:rPr>
                <w:rFonts w:ascii="Arial" w:eastAsia="Arial" w:hAnsi="Arial" w:cs="Arial"/>
                <w:sz w:val="16"/>
                <w:szCs w:val="16"/>
              </w:rPr>
              <w:t>38.5%</w:t>
            </w:r>
          </w:p>
        </w:tc>
      </w:tr>
      <w:tr w:rsidR="00056AC1" w:rsidRPr="00FC79F6" w:rsidTr="002F1A8E">
        <w:tc>
          <w:tcPr>
            <w:tcW w:w="2880" w:type="dxa"/>
            <w:vAlign w:val="center"/>
          </w:tcPr>
          <w:p w:rsidR="00056AC1" w:rsidRPr="00FC79F6" w:rsidRDefault="00056AC1" w:rsidP="002F1A8E">
            <w:pPr>
              <w:spacing w:before="60" w:after="40"/>
            </w:pPr>
            <w:r>
              <w:rPr>
                <w:rFonts w:ascii="Arial" w:eastAsia="Arial" w:hAnsi="Arial" w:cs="Arial"/>
                <w:sz w:val="16"/>
                <w:szCs w:val="16"/>
              </w:rPr>
              <w:t>Industrial</w:t>
            </w:r>
            <w:r w:rsidRPr="00FC79F6">
              <w:rPr>
                <w:rFonts w:ascii="Arial" w:eastAsia="Arial" w:hAnsi="Arial" w:cs="Arial"/>
                <w:sz w:val="16"/>
                <w:szCs w:val="16"/>
              </w:rPr>
              <w:t xml:space="preserve"> </w:t>
            </w:r>
          </w:p>
        </w:tc>
        <w:tc>
          <w:tcPr>
            <w:tcW w:w="720" w:type="dxa"/>
            <w:vAlign w:val="center"/>
          </w:tcPr>
          <w:p w:rsidR="00056AC1" w:rsidRPr="00FC79F6" w:rsidRDefault="00056AC1" w:rsidP="002F1A8E">
            <w:pPr>
              <w:jc w:val="center"/>
            </w:pPr>
            <w:r>
              <w:rPr>
                <w:rFonts w:ascii="Arial" w:eastAsia="Arial" w:hAnsi="Arial" w:cs="Arial"/>
                <w:sz w:val="16"/>
                <w:szCs w:val="16"/>
              </w:rPr>
              <w:t>97.31</w:t>
            </w:r>
          </w:p>
        </w:tc>
        <w:tc>
          <w:tcPr>
            <w:tcW w:w="720" w:type="dxa"/>
            <w:vAlign w:val="center"/>
          </w:tcPr>
          <w:p w:rsidR="00056AC1" w:rsidRPr="00FC79F6" w:rsidRDefault="00056AC1" w:rsidP="002F1A8E">
            <w:pPr>
              <w:jc w:val="center"/>
            </w:pPr>
            <w:r>
              <w:rPr>
                <w:rFonts w:ascii="Arial" w:eastAsia="Arial" w:hAnsi="Arial" w:cs="Arial"/>
                <w:sz w:val="16"/>
                <w:szCs w:val="16"/>
              </w:rPr>
              <w:t>101.12</w:t>
            </w:r>
          </w:p>
        </w:tc>
        <w:tc>
          <w:tcPr>
            <w:tcW w:w="720" w:type="dxa"/>
            <w:vAlign w:val="center"/>
          </w:tcPr>
          <w:p w:rsidR="00056AC1" w:rsidRPr="00FC79F6" w:rsidRDefault="00056AC1" w:rsidP="002F1A8E">
            <w:pPr>
              <w:jc w:val="center"/>
            </w:pPr>
            <w:r>
              <w:rPr>
                <w:rFonts w:ascii="Arial" w:eastAsia="Arial" w:hAnsi="Arial" w:cs="Arial"/>
                <w:sz w:val="16"/>
                <w:szCs w:val="16"/>
              </w:rPr>
              <w:t>101.08</w:t>
            </w:r>
          </w:p>
        </w:tc>
        <w:tc>
          <w:tcPr>
            <w:tcW w:w="720" w:type="dxa"/>
            <w:vAlign w:val="center"/>
          </w:tcPr>
          <w:p w:rsidR="00056AC1" w:rsidRPr="00FC79F6" w:rsidRDefault="00056AC1" w:rsidP="002F1A8E">
            <w:pPr>
              <w:jc w:val="center"/>
            </w:pPr>
            <w:r>
              <w:rPr>
                <w:rFonts w:ascii="Arial" w:eastAsia="Arial" w:hAnsi="Arial" w:cs="Arial"/>
                <w:sz w:val="16"/>
                <w:szCs w:val="16"/>
              </w:rPr>
              <w:t>101.46</w:t>
            </w:r>
          </w:p>
        </w:tc>
        <w:tc>
          <w:tcPr>
            <w:tcW w:w="720" w:type="dxa"/>
            <w:vAlign w:val="center"/>
          </w:tcPr>
          <w:p w:rsidR="00056AC1" w:rsidRPr="00FC79F6" w:rsidRDefault="00056AC1" w:rsidP="002F1A8E">
            <w:pPr>
              <w:jc w:val="center"/>
            </w:pPr>
            <w:r>
              <w:rPr>
                <w:rFonts w:ascii="Arial" w:eastAsia="Arial" w:hAnsi="Arial" w:cs="Arial"/>
                <w:sz w:val="16"/>
                <w:szCs w:val="16"/>
              </w:rPr>
              <w:t>104.27</w:t>
            </w:r>
          </w:p>
        </w:tc>
        <w:tc>
          <w:tcPr>
            <w:tcW w:w="720" w:type="dxa"/>
            <w:vAlign w:val="center"/>
          </w:tcPr>
          <w:p w:rsidR="00056AC1" w:rsidRPr="00FC79F6" w:rsidRDefault="00056AC1" w:rsidP="002F1A8E">
            <w:pPr>
              <w:jc w:val="center"/>
            </w:pPr>
            <w:r>
              <w:rPr>
                <w:rFonts w:ascii="Arial" w:eastAsia="Arial" w:hAnsi="Arial" w:cs="Arial"/>
                <w:sz w:val="16"/>
                <w:szCs w:val="16"/>
              </w:rPr>
              <w:t>104.69</w:t>
            </w:r>
          </w:p>
        </w:tc>
        <w:tc>
          <w:tcPr>
            <w:tcW w:w="720" w:type="dxa"/>
            <w:vAlign w:val="center"/>
          </w:tcPr>
          <w:p w:rsidR="00056AC1" w:rsidRPr="00FC79F6" w:rsidRDefault="00056AC1" w:rsidP="002F1A8E">
            <w:pPr>
              <w:jc w:val="center"/>
            </w:pPr>
            <w:r>
              <w:rPr>
                <w:rFonts w:ascii="Arial" w:eastAsia="Arial" w:hAnsi="Arial" w:cs="Arial"/>
                <w:sz w:val="16"/>
                <w:szCs w:val="16"/>
              </w:rPr>
              <w:t>102.97</w:t>
            </w:r>
          </w:p>
        </w:tc>
        <w:tc>
          <w:tcPr>
            <w:tcW w:w="900" w:type="dxa"/>
            <w:vAlign w:val="center"/>
          </w:tcPr>
          <w:p w:rsidR="00056AC1" w:rsidRPr="00FC79F6" w:rsidRDefault="00056AC1" w:rsidP="002F1A8E">
            <w:pPr>
              <w:jc w:val="center"/>
            </w:pPr>
            <w:r>
              <w:rPr>
                <w:rFonts w:ascii="Arial" w:eastAsia="Arial" w:hAnsi="Arial" w:cs="Arial"/>
                <w:sz w:val="16"/>
                <w:szCs w:val="16"/>
              </w:rPr>
              <w:t>23.4%</w:t>
            </w:r>
          </w:p>
        </w:tc>
      </w:tr>
      <w:tr w:rsidR="00056AC1" w:rsidRPr="00FC79F6" w:rsidTr="002F1A8E">
        <w:tc>
          <w:tcPr>
            <w:tcW w:w="2880" w:type="dxa"/>
            <w:vAlign w:val="center"/>
          </w:tcPr>
          <w:p w:rsidR="00056AC1" w:rsidRPr="00FC79F6" w:rsidRDefault="00056AC1" w:rsidP="002F1A8E">
            <w:pPr>
              <w:spacing w:before="60" w:after="40"/>
            </w:pPr>
            <w:r>
              <w:rPr>
                <w:rFonts w:ascii="Arial" w:eastAsia="Arial" w:hAnsi="Arial" w:cs="Arial"/>
                <w:sz w:val="16"/>
                <w:szCs w:val="16"/>
              </w:rPr>
              <w:t>Commercial</w:t>
            </w:r>
          </w:p>
        </w:tc>
        <w:tc>
          <w:tcPr>
            <w:tcW w:w="720" w:type="dxa"/>
            <w:vAlign w:val="center"/>
          </w:tcPr>
          <w:p w:rsidR="00056AC1" w:rsidRPr="00FC79F6" w:rsidRDefault="00056AC1" w:rsidP="002F1A8E">
            <w:pPr>
              <w:jc w:val="center"/>
            </w:pPr>
            <w:r>
              <w:rPr>
                <w:rFonts w:ascii="Arial" w:eastAsia="Arial" w:hAnsi="Arial" w:cs="Arial"/>
                <w:sz w:val="16"/>
                <w:szCs w:val="16"/>
              </w:rPr>
              <w:t>18.64</w:t>
            </w:r>
          </w:p>
        </w:tc>
        <w:tc>
          <w:tcPr>
            <w:tcW w:w="720" w:type="dxa"/>
            <w:vAlign w:val="center"/>
          </w:tcPr>
          <w:p w:rsidR="00056AC1" w:rsidRPr="00FC79F6" w:rsidRDefault="00056AC1" w:rsidP="002F1A8E">
            <w:pPr>
              <w:jc w:val="center"/>
            </w:pPr>
            <w:r>
              <w:rPr>
                <w:rFonts w:ascii="Arial" w:eastAsia="Arial" w:hAnsi="Arial" w:cs="Arial"/>
                <w:sz w:val="16"/>
                <w:szCs w:val="16"/>
              </w:rPr>
              <w:t>20.09</w:t>
            </w:r>
          </w:p>
        </w:tc>
        <w:tc>
          <w:tcPr>
            <w:tcW w:w="720" w:type="dxa"/>
            <w:vAlign w:val="center"/>
          </w:tcPr>
          <w:p w:rsidR="00056AC1" w:rsidRPr="00FC79F6" w:rsidRDefault="00056AC1" w:rsidP="002F1A8E">
            <w:pPr>
              <w:jc w:val="center"/>
            </w:pPr>
            <w:r>
              <w:rPr>
                <w:rFonts w:ascii="Arial" w:eastAsia="Arial" w:hAnsi="Arial" w:cs="Arial"/>
                <w:sz w:val="16"/>
                <w:szCs w:val="16"/>
              </w:rPr>
              <w:t>20.73</w:t>
            </w:r>
          </w:p>
        </w:tc>
        <w:tc>
          <w:tcPr>
            <w:tcW w:w="720" w:type="dxa"/>
            <w:vAlign w:val="center"/>
          </w:tcPr>
          <w:p w:rsidR="00056AC1" w:rsidRPr="00FC79F6" w:rsidRDefault="00056AC1" w:rsidP="002F1A8E">
            <w:pPr>
              <w:jc w:val="center"/>
            </w:pPr>
            <w:r>
              <w:rPr>
                <w:rFonts w:ascii="Arial" w:eastAsia="Arial" w:hAnsi="Arial" w:cs="Arial"/>
                <w:sz w:val="16"/>
                <w:szCs w:val="16"/>
              </w:rPr>
              <w:t>21.11</w:t>
            </w:r>
          </w:p>
        </w:tc>
        <w:tc>
          <w:tcPr>
            <w:tcW w:w="720" w:type="dxa"/>
            <w:vAlign w:val="center"/>
          </w:tcPr>
          <w:p w:rsidR="00056AC1" w:rsidRPr="00FC79F6" w:rsidRDefault="00056AC1" w:rsidP="002F1A8E">
            <w:pPr>
              <w:jc w:val="center"/>
            </w:pPr>
            <w:r>
              <w:rPr>
                <w:rFonts w:ascii="Arial" w:eastAsia="Arial" w:hAnsi="Arial" w:cs="Arial"/>
                <w:sz w:val="16"/>
                <w:szCs w:val="16"/>
              </w:rPr>
              <w:t>21.64</w:t>
            </w:r>
          </w:p>
        </w:tc>
        <w:tc>
          <w:tcPr>
            <w:tcW w:w="720" w:type="dxa"/>
            <w:vAlign w:val="center"/>
          </w:tcPr>
          <w:p w:rsidR="00056AC1" w:rsidRPr="00FC79F6" w:rsidRDefault="00056AC1" w:rsidP="002F1A8E">
            <w:pPr>
              <w:jc w:val="center"/>
            </w:pPr>
            <w:r>
              <w:rPr>
                <w:rFonts w:ascii="Arial" w:eastAsia="Arial" w:hAnsi="Arial" w:cs="Arial"/>
                <w:sz w:val="16"/>
                <w:szCs w:val="16"/>
              </w:rPr>
              <w:t>21.37</w:t>
            </w:r>
          </w:p>
        </w:tc>
        <w:tc>
          <w:tcPr>
            <w:tcW w:w="720" w:type="dxa"/>
            <w:vAlign w:val="center"/>
          </w:tcPr>
          <w:p w:rsidR="00056AC1" w:rsidRPr="00FC79F6" w:rsidRDefault="00056AC1" w:rsidP="002F1A8E">
            <w:pPr>
              <w:jc w:val="center"/>
            </w:pPr>
            <w:r>
              <w:rPr>
                <w:rFonts w:ascii="Arial" w:eastAsia="Arial" w:hAnsi="Arial" w:cs="Arial"/>
                <w:sz w:val="16"/>
                <w:szCs w:val="16"/>
              </w:rPr>
              <w:t>22.17</w:t>
            </w:r>
          </w:p>
        </w:tc>
        <w:tc>
          <w:tcPr>
            <w:tcW w:w="900" w:type="dxa"/>
            <w:vAlign w:val="center"/>
          </w:tcPr>
          <w:p w:rsidR="00056AC1" w:rsidRPr="00FC79F6" w:rsidRDefault="00056AC1" w:rsidP="002F1A8E">
            <w:pPr>
              <w:jc w:val="center"/>
            </w:pPr>
            <w:r>
              <w:rPr>
                <w:rFonts w:ascii="Arial" w:eastAsia="Arial" w:hAnsi="Arial" w:cs="Arial"/>
                <w:sz w:val="16"/>
                <w:szCs w:val="16"/>
              </w:rPr>
              <w:t>5.0%</w:t>
            </w:r>
          </w:p>
        </w:tc>
      </w:tr>
      <w:tr w:rsidR="00056AC1" w:rsidRPr="00FC79F6" w:rsidTr="002F1A8E">
        <w:tc>
          <w:tcPr>
            <w:tcW w:w="2880" w:type="dxa"/>
            <w:vAlign w:val="center"/>
          </w:tcPr>
          <w:p w:rsidR="00056AC1" w:rsidRPr="00FC79F6" w:rsidRDefault="00056AC1" w:rsidP="002F1A8E">
            <w:pPr>
              <w:spacing w:before="60" w:after="40"/>
            </w:pPr>
            <w:r w:rsidRPr="00FC79F6">
              <w:rPr>
                <w:rFonts w:ascii="Arial" w:eastAsia="Arial" w:hAnsi="Arial" w:cs="Arial"/>
                <w:sz w:val="16"/>
                <w:szCs w:val="16"/>
              </w:rPr>
              <w:t>Residential</w:t>
            </w:r>
          </w:p>
        </w:tc>
        <w:tc>
          <w:tcPr>
            <w:tcW w:w="720" w:type="dxa"/>
            <w:vAlign w:val="center"/>
          </w:tcPr>
          <w:p w:rsidR="00056AC1" w:rsidRPr="00FC79F6" w:rsidRDefault="00056AC1" w:rsidP="002F1A8E">
            <w:pPr>
              <w:jc w:val="center"/>
            </w:pPr>
            <w:r>
              <w:rPr>
                <w:rFonts w:ascii="Arial" w:eastAsia="Arial" w:hAnsi="Arial" w:cs="Arial"/>
                <w:sz w:val="16"/>
                <w:szCs w:val="16"/>
              </w:rPr>
              <w:t>30.21</w:t>
            </w:r>
          </w:p>
        </w:tc>
        <w:tc>
          <w:tcPr>
            <w:tcW w:w="720" w:type="dxa"/>
            <w:vAlign w:val="center"/>
          </w:tcPr>
          <w:p w:rsidR="00056AC1" w:rsidRPr="00FC79F6" w:rsidRDefault="00056AC1" w:rsidP="002F1A8E">
            <w:pPr>
              <w:jc w:val="center"/>
            </w:pPr>
            <w:r>
              <w:rPr>
                <w:rFonts w:ascii="Arial" w:eastAsia="Arial" w:hAnsi="Arial" w:cs="Arial"/>
                <w:sz w:val="16"/>
                <w:szCs w:val="16"/>
              </w:rPr>
              <w:t>31.26</w:t>
            </w:r>
          </w:p>
        </w:tc>
        <w:tc>
          <w:tcPr>
            <w:tcW w:w="720" w:type="dxa"/>
            <w:vAlign w:val="center"/>
          </w:tcPr>
          <w:p w:rsidR="00056AC1" w:rsidRPr="00FC79F6" w:rsidRDefault="00056AC1" w:rsidP="002F1A8E">
            <w:pPr>
              <w:jc w:val="center"/>
            </w:pPr>
            <w:r>
              <w:rPr>
                <w:rFonts w:ascii="Arial" w:eastAsia="Arial" w:hAnsi="Arial" w:cs="Arial"/>
                <w:sz w:val="16"/>
                <w:szCs w:val="16"/>
              </w:rPr>
              <w:t>32.03</w:t>
            </w:r>
          </w:p>
        </w:tc>
        <w:tc>
          <w:tcPr>
            <w:tcW w:w="720" w:type="dxa"/>
            <w:vAlign w:val="center"/>
          </w:tcPr>
          <w:p w:rsidR="00056AC1" w:rsidRPr="00FC79F6" w:rsidRDefault="00056AC1" w:rsidP="002F1A8E">
            <w:pPr>
              <w:jc w:val="center"/>
            </w:pPr>
            <w:r>
              <w:rPr>
                <w:rFonts w:ascii="Arial" w:eastAsia="Arial" w:hAnsi="Arial" w:cs="Arial"/>
                <w:sz w:val="16"/>
                <w:szCs w:val="16"/>
              </w:rPr>
              <w:t>30.04</w:t>
            </w:r>
          </w:p>
        </w:tc>
        <w:tc>
          <w:tcPr>
            <w:tcW w:w="720" w:type="dxa"/>
            <w:vAlign w:val="center"/>
          </w:tcPr>
          <w:p w:rsidR="00056AC1" w:rsidRPr="00FC79F6" w:rsidRDefault="00056AC1" w:rsidP="002F1A8E">
            <w:pPr>
              <w:jc w:val="center"/>
            </w:pPr>
            <w:r>
              <w:rPr>
                <w:rFonts w:ascii="Arial" w:eastAsia="Arial" w:hAnsi="Arial" w:cs="Arial"/>
                <w:sz w:val="16"/>
                <w:szCs w:val="16"/>
              </w:rPr>
              <w:t>31.19</w:t>
            </w:r>
          </w:p>
        </w:tc>
        <w:tc>
          <w:tcPr>
            <w:tcW w:w="720" w:type="dxa"/>
            <w:vAlign w:val="center"/>
          </w:tcPr>
          <w:p w:rsidR="00056AC1" w:rsidRPr="00FC79F6" w:rsidRDefault="00056AC1" w:rsidP="002F1A8E">
            <w:pPr>
              <w:jc w:val="center"/>
            </w:pPr>
            <w:r>
              <w:rPr>
                <w:rFonts w:ascii="Arial" w:eastAsia="Arial" w:hAnsi="Arial" w:cs="Arial"/>
                <w:sz w:val="16"/>
                <w:szCs w:val="16"/>
              </w:rPr>
              <w:t>26.26</w:t>
            </w:r>
          </w:p>
        </w:tc>
        <w:tc>
          <w:tcPr>
            <w:tcW w:w="720" w:type="dxa"/>
            <w:vAlign w:val="center"/>
          </w:tcPr>
          <w:p w:rsidR="00056AC1" w:rsidRPr="00FC79F6" w:rsidRDefault="00056AC1" w:rsidP="002F1A8E">
            <w:pPr>
              <w:jc w:val="center"/>
            </w:pPr>
            <w:r>
              <w:rPr>
                <w:rFonts w:ascii="Arial" w:eastAsia="Arial" w:hAnsi="Arial" w:cs="Arial"/>
                <w:sz w:val="16"/>
                <w:szCs w:val="16"/>
              </w:rPr>
              <w:t>26.93</w:t>
            </w:r>
          </w:p>
        </w:tc>
        <w:tc>
          <w:tcPr>
            <w:tcW w:w="900" w:type="dxa"/>
            <w:vAlign w:val="center"/>
          </w:tcPr>
          <w:p w:rsidR="00056AC1" w:rsidRPr="00FC79F6" w:rsidRDefault="00056AC1" w:rsidP="002F1A8E">
            <w:pPr>
              <w:jc w:val="center"/>
            </w:pPr>
            <w:r>
              <w:rPr>
                <w:rFonts w:ascii="Arial" w:eastAsia="Arial" w:hAnsi="Arial" w:cs="Arial"/>
                <w:sz w:val="16"/>
                <w:szCs w:val="16"/>
              </w:rPr>
              <w:t>6.1%</w:t>
            </w:r>
          </w:p>
        </w:tc>
      </w:tr>
      <w:tr w:rsidR="00056AC1" w:rsidRPr="00FC79F6" w:rsidTr="002F1A8E">
        <w:tc>
          <w:tcPr>
            <w:tcW w:w="2880" w:type="dxa"/>
            <w:vAlign w:val="center"/>
          </w:tcPr>
          <w:p w:rsidR="00056AC1" w:rsidRPr="00FC79F6" w:rsidRDefault="00056AC1" w:rsidP="002F1A8E">
            <w:pPr>
              <w:spacing w:before="60" w:after="40"/>
            </w:pPr>
            <w:r w:rsidRPr="00FC79F6">
              <w:rPr>
                <w:rFonts w:ascii="Arial" w:eastAsia="Arial" w:hAnsi="Arial" w:cs="Arial"/>
                <w:sz w:val="16"/>
                <w:szCs w:val="16"/>
              </w:rPr>
              <w:t>Agriculture and Forestry</w:t>
            </w:r>
          </w:p>
        </w:tc>
        <w:tc>
          <w:tcPr>
            <w:tcW w:w="720" w:type="dxa"/>
            <w:vAlign w:val="center"/>
          </w:tcPr>
          <w:p w:rsidR="00056AC1" w:rsidRPr="00FC79F6" w:rsidRDefault="00056AC1" w:rsidP="002F1A8E">
            <w:pPr>
              <w:jc w:val="center"/>
            </w:pPr>
            <w:r>
              <w:rPr>
                <w:rFonts w:ascii="Arial" w:eastAsia="Arial" w:hAnsi="Arial" w:cs="Arial"/>
                <w:sz w:val="16"/>
                <w:szCs w:val="16"/>
              </w:rPr>
              <w:t>33.83</w:t>
            </w:r>
          </w:p>
        </w:tc>
        <w:tc>
          <w:tcPr>
            <w:tcW w:w="720" w:type="dxa"/>
            <w:vAlign w:val="center"/>
          </w:tcPr>
          <w:p w:rsidR="00056AC1" w:rsidRPr="00FC79F6" w:rsidRDefault="00056AC1" w:rsidP="002F1A8E">
            <w:pPr>
              <w:jc w:val="center"/>
            </w:pPr>
            <w:r>
              <w:rPr>
                <w:rFonts w:ascii="Arial" w:eastAsia="Arial" w:hAnsi="Arial" w:cs="Arial"/>
                <w:sz w:val="16"/>
                <w:szCs w:val="16"/>
              </w:rPr>
              <w:t>34.64</w:t>
            </w:r>
          </w:p>
        </w:tc>
        <w:tc>
          <w:tcPr>
            <w:tcW w:w="720" w:type="dxa"/>
            <w:vAlign w:val="center"/>
          </w:tcPr>
          <w:p w:rsidR="00056AC1" w:rsidRPr="00FC79F6" w:rsidRDefault="00056AC1" w:rsidP="002F1A8E">
            <w:pPr>
              <w:jc w:val="center"/>
            </w:pPr>
            <w:r>
              <w:rPr>
                <w:rFonts w:ascii="Arial" w:eastAsia="Arial" w:hAnsi="Arial" w:cs="Arial"/>
                <w:sz w:val="16"/>
                <w:szCs w:val="16"/>
              </w:rPr>
              <w:t>35.28</w:t>
            </w:r>
          </w:p>
        </w:tc>
        <w:tc>
          <w:tcPr>
            <w:tcW w:w="720" w:type="dxa"/>
            <w:vAlign w:val="center"/>
          </w:tcPr>
          <w:p w:rsidR="00056AC1" w:rsidRPr="00FC79F6" w:rsidRDefault="00056AC1" w:rsidP="002F1A8E">
            <w:pPr>
              <w:jc w:val="center"/>
            </w:pPr>
            <w:r>
              <w:rPr>
                <w:rFonts w:ascii="Arial" w:eastAsia="Arial" w:hAnsi="Arial" w:cs="Arial"/>
                <w:sz w:val="16"/>
                <w:szCs w:val="16"/>
              </w:rPr>
              <w:t>36.42</w:t>
            </w:r>
          </w:p>
        </w:tc>
        <w:tc>
          <w:tcPr>
            <w:tcW w:w="720" w:type="dxa"/>
            <w:vAlign w:val="center"/>
          </w:tcPr>
          <w:p w:rsidR="00056AC1" w:rsidRPr="00FC79F6" w:rsidRDefault="00056AC1" w:rsidP="002F1A8E">
            <w:pPr>
              <w:jc w:val="center"/>
            </w:pPr>
            <w:r>
              <w:rPr>
                <w:rFonts w:ascii="Arial" w:eastAsia="Arial" w:hAnsi="Arial" w:cs="Arial"/>
                <w:sz w:val="16"/>
                <w:szCs w:val="16"/>
              </w:rPr>
              <w:t>34.93</w:t>
            </w:r>
          </w:p>
        </w:tc>
        <w:tc>
          <w:tcPr>
            <w:tcW w:w="720" w:type="dxa"/>
            <w:vAlign w:val="center"/>
          </w:tcPr>
          <w:p w:rsidR="00056AC1" w:rsidRPr="00FC79F6" w:rsidRDefault="00056AC1" w:rsidP="002F1A8E">
            <w:pPr>
              <w:jc w:val="center"/>
            </w:pPr>
            <w:r>
              <w:rPr>
                <w:rFonts w:ascii="Arial" w:eastAsia="Arial" w:hAnsi="Arial" w:cs="Arial"/>
                <w:sz w:val="16"/>
                <w:szCs w:val="16"/>
              </w:rPr>
              <w:t>36.03</w:t>
            </w:r>
          </w:p>
        </w:tc>
        <w:tc>
          <w:tcPr>
            <w:tcW w:w="720" w:type="dxa"/>
            <w:vAlign w:val="center"/>
          </w:tcPr>
          <w:p w:rsidR="00056AC1" w:rsidRPr="00FC79F6" w:rsidRDefault="00056AC1" w:rsidP="002F1A8E">
            <w:pPr>
              <w:jc w:val="center"/>
            </w:pPr>
            <w:r>
              <w:rPr>
                <w:rFonts w:ascii="Arial" w:eastAsia="Arial" w:hAnsi="Arial" w:cs="Arial"/>
                <w:sz w:val="16"/>
                <w:szCs w:val="16"/>
              </w:rPr>
              <w:t>34.65</w:t>
            </w:r>
          </w:p>
        </w:tc>
        <w:tc>
          <w:tcPr>
            <w:tcW w:w="900" w:type="dxa"/>
            <w:vAlign w:val="center"/>
          </w:tcPr>
          <w:p w:rsidR="00056AC1" w:rsidRPr="00FC79F6" w:rsidRDefault="00056AC1" w:rsidP="002F1A8E">
            <w:pPr>
              <w:jc w:val="center"/>
            </w:pPr>
            <w:r>
              <w:rPr>
                <w:rFonts w:ascii="Arial" w:eastAsia="Arial" w:hAnsi="Arial" w:cs="Arial"/>
                <w:sz w:val="16"/>
                <w:szCs w:val="16"/>
              </w:rPr>
              <w:t>7.9%</w:t>
            </w:r>
          </w:p>
        </w:tc>
      </w:tr>
      <w:tr w:rsidR="00056AC1" w:rsidRPr="00FC79F6" w:rsidTr="002F1A8E">
        <w:tc>
          <w:tcPr>
            <w:tcW w:w="2880" w:type="dxa"/>
            <w:vAlign w:val="center"/>
          </w:tcPr>
          <w:p w:rsidR="00056AC1" w:rsidRPr="00FC79F6" w:rsidRDefault="00056AC1" w:rsidP="002F1A8E">
            <w:pPr>
              <w:spacing w:before="60" w:after="40"/>
            </w:pPr>
            <w:r w:rsidRPr="00FC79F6">
              <w:rPr>
                <w:rFonts w:ascii="Arial" w:eastAsia="Arial" w:hAnsi="Arial" w:cs="Arial"/>
                <w:sz w:val="16"/>
                <w:szCs w:val="16"/>
              </w:rPr>
              <w:t>Not Specified (Solvents &amp; Chemicals)</w:t>
            </w:r>
          </w:p>
        </w:tc>
        <w:tc>
          <w:tcPr>
            <w:tcW w:w="720" w:type="dxa"/>
            <w:vAlign w:val="center"/>
          </w:tcPr>
          <w:p w:rsidR="00056AC1" w:rsidRPr="00FC79F6" w:rsidRDefault="00056AC1" w:rsidP="002F1A8E">
            <w:pPr>
              <w:jc w:val="center"/>
            </w:pPr>
            <w:r>
              <w:rPr>
                <w:rFonts w:ascii="Arial" w:eastAsia="Arial" w:hAnsi="Arial" w:cs="Arial"/>
                <w:sz w:val="16"/>
                <w:szCs w:val="16"/>
              </w:rPr>
              <w:t>0.26</w:t>
            </w:r>
          </w:p>
        </w:tc>
        <w:tc>
          <w:tcPr>
            <w:tcW w:w="720" w:type="dxa"/>
            <w:vAlign w:val="center"/>
          </w:tcPr>
          <w:p w:rsidR="00056AC1" w:rsidRPr="00FC79F6" w:rsidRDefault="00056AC1" w:rsidP="002F1A8E">
            <w:pPr>
              <w:jc w:val="center"/>
            </w:pPr>
            <w:r>
              <w:rPr>
                <w:rFonts w:ascii="Arial" w:eastAsia="Arial" w:hAnsi="Arial" w:cs="Arial"/>
                <w:sz w:val="16"/>
                <w:szCs w:val="16"/>
              </w:rPr>
              <w:t>0.27</w:t>
            </w:r>
          </w:p>
        </w:tc>
        <w:tc>
          <w:tcPr>
            <w:tcW w:w="720" w:type="dxa"/>
            <w:vAlign w:val="center"/>
          </w:tcPr>
          <w:p w:rsidR="00056AC1" w:rsidRPr="00FC79F6" w:rsidRDefault="00056AC1" w:rsidP="002F1A8E">
            <w:pPr>
              <w:jc w:val="center"/>
            </w:pPr>
            <w:r>
              <w:rPr>
                <w:rFonts w:ascii="Arial" w:eastAsia="Arial" w:hAnsi="Arial" w:cs="Arial"/>
                <w:sz w:val="16"/>
                <w:szCs w:val="16"/>
              </w:rPr>
              <w:t>0.25</w:t>
            </w:r>
          </w:p>
        </w:tc>
        <w:tc>
          <w:tcPr>
            <w:tcW w:w="720" w:type="dxa"/>
            <w:vAlign w:val="center"/>
          </w:tcPr>
          <w:p w:rsidR="00056AC1" w:rsidRPr="00FC79F6" w:rsidRDefault="00056AC1" w:rsidP="002F1A8E">
            <w:pPr>
              <w:jc w:val="center"/>
            </w:pPr>
            <w:r>
              <w:rPr>
                <w:rFonts w:ascii="Arial" w:eastAsia="Arial" w:hAnsi="Arial" w:cs="Arial"/>
                <w:sz w:val="16"/>
                <w:szCs w:val="16"/>
              </w:rPr>
              <w:t>0.24</w:t>
            </w:r>
          </w:p>
        </w:tc>
        <w:tc>
          <w:tcPr>
            <w:tcW w:w="720" w:type="dxa"/>
            <w:vAlign w:val="center"/>
          </w:tcPr>
          <w:p w:rsidR="00056AC1" w:rsidRPr="00FC79F6" w:rsidRDefault="00056AC1" w:rsidP="002F1A8E">
            <w:pPr>
              <w:jc w:val="center"/>
            </w:pPr>
            <w:r>
              <w:rPr>
                <w:rFonts w:ascii="Arial" w:eastAsia="Arial" w:hAnsi="Arial" w:cs="Arial"/>
                <w:sz w:val="16"/>
                <w:szCs w:val="16"/>
              </w:rPr>
              <w:t>0.18</w:t>
            </w:r>
          </w:p>
        </w:tc>
        <w:tc>
          <w:tcPr>
            <w:tcW w:w="720" w:type="dxa"/>
            <w:vAlign w:val="center"/>
          </w:tcPr>
          <w:p w:rsidR="00056AC1" w:rsidRPr="00FC79F6" w:rsidRDefault="00056AC1" w:rsidP="002F1A8E">
            <w:pPr>
              <w:jc w:val="center"/>
            </w:pPr>
            <w:r>
              <w:rPr>
                <w:rFonts w:ascii="Arial" w:eastAsia="Arial" w:hAnsi="Arial" w:cs="Arial"/>
                <w:sz w:val="16"/>
                <w:szCs w:val="16"/>
              </w:rPr>
              <w:t>0.24</w:t>
            </w:r>
          </w:p>
        </w:tc>
        <w:tc>
          <w:tcPr>
            <w:tcW w:w="720" w:type="dxa"/>
            <w:vAlign w:val="center"/>
          </w:tcPr>
          <w:p w:rsidR="00056AC1" w:rsidRPr="00FC79F6" w:rsidRDefault="00056AC1" w:rsidP="002F1A8E">
            <w:pPr>
              <w:jc w:val="center"/>
            </w:pPr>
            <w:r>
              <w:rPr>
                <w:rFonts w:ascii="Arial" w:eastAsia="Arial" w:hAnsi="Arial" w:cs="Arial"/>
                <w:sz w:val="16"/>
                <w:szCs w:val="16"/>
              </w:rPr>
              <w:t>0.17</w:t>
            </w:r>
          </w:p>
        </w:tc>
        <w:tc>
          <w:tcPr>
            <w:tcW w:w="900" w:type="dxa"/>
            <w:vAlign w:val="center"/>
          </w:tcPr>
          <w:p w:rsidR="00056AC1" w:rsidRPr="00FC79F6" w:rsidRDefault="00056AC1" w:rsidP="002F1A8E">
            <w:pPr>
              <w:jc w:val="center"/>
            </w:pPr>
            <w:r>
              <w:rPr>
                <w:rFonts w:ascii="Arial" w:eastAsia="Arial" w:hAnsi="Arial" w:cs="Arial"/>
                <w:sz w:val="16"/>
                <w:szCs w:val="16"/>
              </w:rPr>
              <w:t>&lt;0.1%</w:t>
            </w:r>
          </w:p>
        </w:tc>
      </w:tr>
      <w:tr w:rsidR="00056AC1" w:rsidRPr="00FC79F6" w:rsidTr="002F1A8E">
        <w:tc>
          <w:tcPr>
            <w:tcW w:w="2880" w:type="dxa"/>
            <w:vAlign w:val="center"/>
          </w:tcPr>
          <w:p w:rsidR="00056AC1" w:rsidRPr="00FC79F6" w:rsidRDefault="00056AC1" w:rsidP="002F1A8E">
            <w:pPr>
              <w:spacing w:before="60" w:after="40"/>
            </w:pPr>
            <w:r w:rsidRPr="00FC79F6">
              <w:rPr>
                <w:rFonts w:ascii="Arial" w:eastAsia="Arial" w:hAnsi="Arial" w:cs="Arial"/>
                <w:b/>
                <w:sz w:val="16"/>
                <w:szCs w:val="16"/>
              </w:rPr>
              <w:t>Total Gross Emissions</w:t>
            </w:r>
          </w:p>
        </w:tc>
        <w:tc>
          <w:tcPr>
            <w:tcW w:w="720" w:type="dxa"/>
            <w:vAlign w:val="center"/>
          </w:tcPr>
          <w:p w:rsidR="00056AC1" w:rsidRPr="00FC79F6" w:rsidRDefault="00056AC1" w:rsidP="002F1A8E">
            <w:pPr>
              <w:jc w:val="center"/>
            </w:pPr>
            <w:r>
              <w:rPr>
                <w:rFonts w:ascii="Arial" w:eastAsia="Arial" w:hAnsi="Arial" w:cs="Arial"/>
                <w:b/>
                <w:sz w:val="16"/>
                <w:szCs w:val="16"/>
              </w:rPr>
              <w:t>453.34</w:t>
            </w:r>
          </w:p>
        </w:tc>
        <w:tc>
          <w:tcPr>
            <w:tcW w:w="720" w:type="dxa"/>
            <w:vAlign w:val="center"/>
          </w:tcPr>
          <w:p w:rsidR="00056AC1" w:rsidRPr="00FC79F6" w:rsidRDefault="00056AC1" w:rsidP="002F1A8E">
            <w:pPr>
              <w:jc w:val="center"/>
            </w:pPr>
            <w:r>
              <w:rPr>
                <w:rFonts w:ascii="Arial" w:eastAsia="Arial" w:hAnsi="Arial" w:cs="Arial"/>
                <w:b/>
                <w:sz w:val="16"/>
                <w:szCs w:val="16"/>
              </w:rPr>
              <w:t>446.06</w:t>
            </w:r>
          </w:p>
        </w:tc>
        <w:tc>
          <w:tcPr>
            <w:tcW w:w="720" w:type="dxa"/>
            <w:vAlign w:val="center"/>
          </w:tcPr>
          <w:p w:rsidR="00056AC1" w:rsidRPr="00FC79F6" w:rsidRDefault="00056AC1" w:rsidP="002F1A8E">
            <w:pPr>
              <w:jc w:val="center"/>
            </w:pPr>
            <w:r>
              <w:rPr>
                <w:rFonts w:ascii="Arial" w:eastAsia="Arial" w:hAnsi="Arial" w:cs="Arial"/>
                <w:b/>
                <w:sz w:val="16"/>
                <w:szCs w:val="16"/>
              </w:rPr>
              <w:t>442.38</w:t>
            </w:r>
          </w:p>
        </w:tc>
        <w:tc>
          <w:tcPr>
            <w:tcW w:w="720" w:type="dxa"/>
            <w:vAlign w:val="center"/>
          </w:tcPr>
          <w:p w:rsidR="00056AC1" w:rsidRPr="00FC79F6" w:rsidRDefault="00056AC1" w:rsidP="002F1A8E">
            <w:pPr>
              <w:jc w:val="center"/>
            </w:pPr>
            <w:r>
              <w:rPr>
                <w:rFonts w:ascii="Arial" w:eastAsia="Arial" w:hAnsi="Arial" w:cs="Arial"/>
                <w:b/>
                <w:sz w:val="16"/>
                <w:szCs w:val="16"/>
              </w:rPr>
              <w:t>448.97</w:t>
            </w:r>
          </w:p>
        </w:tc>
        <w:tc>
          <w:tcPr>
            <w:tcW w:w="720" w:type="dxa"/>
            <w:vAlign w:val="center"/>
          </w:tcPr>
          <w:p w:rsidR="00056AC1" w:rsidRPr="00FC79F6" w:rsidRDefault="00056AC1" w:rsidP="002F1A8E">
            <w:pPr>
              <w:jc w:val="center"/>
            </w:pPr>
            <w:r>
              <w:rPr>
                <w:rFonts w:ascii="Arial" w:eastAsia="Arial" w:hAnsi="Arial" w:cs="Arial"/>
                <w:b/>
                <w:sz w:val="16"/>
                <w:szCs w:val="16"/>
              </w:rPr>
              <w:t>445.08</w:t>
            </w:r>
          </w:p>
        </w:tc>
        <w:tc>
          <w:tcPr>
            <w:tcW w:w="720" w:type="dxa"/>
            <w:vAlign w:val="center"/>
          </w:tcPr>
          <w:p w:rsidR="00056AC1" w:rsidRPr="00FC79F6" w:rsidRDefault="00056AC1" w:rsidP="002F1A8E">
            <w:pPr>
              <w:jc w:val="center"/>
            </w:pPr>
            <w:r>
              <w:rPr>
                <w:rFonts w:ascii="Arial" w:eastAsia="Arial" w:hAnsi="Arial" w:cs="Arial"/>
                <w:b/>
                <w:sz w:val="16"/>
                <w:szCs w:val="16"/>
              </w:rPr>
              <w:t>441.85</w:t>
            </w:r>
          </w:p>
        </w:tc>
        <w:tc>
          <w:tcPr>
            <w:tcW w:w="720" w:type="dxa"/>
            <w:vAlign w:val="center"/>
          </w:tcPr>
          <w:p w:rsidR="00056AC1" w:rsidRPr="00FC79F6" w:rsidRDefault="00056AC1" w:rsidP="002F1A8E">
            <w:pPr>
              <w:jc w:val="center"/>
            </w:pPr>
            <w:r>
              <w:rPr>
                <w:rFonts w:ascii="Arial" w:eastAsia="Arial" w:hAnsi="Arial" w:cs="Arial"/>
                <w:b/>
                <w:sz w:val="16"/>
                <w:szCs w:val="16"/>
              </w:rPr>
              <w:t>440.36</w:t>
            </w:r>
          </w:p>
        </w:tc>
        <w:tc>
          <w:tcPr>
            <w:tcW w:w="900" w:type="dxa"/>
            <w:vAlign w:val="center"/>
          </w:tcPr>
          <w:p w:rsidR="00056AC1" w:rsidRPr="001A4571" w:rsidRDefault="00056AC1" w:rsidP="002F1A8E">
            <w:pPr>
              <w:jc w:val="center"/>
              <w:rPr>
                <w:b/>
              </w:rPr>
            </w:pPr>
            <w:r w:rsidRPr="001A4571">
              <w:rPr>
                <w:rFonts w:ascii="Arial" w:eastAsia="Arial" w:hAnsi="Arial" w:cs="Arial"/>
                <w:b/>
                <w:sz w:val="16"/>
                <w:szCs w:val="16"/>
              </w:rPr>
              <w:t>100.00%</w:t>
            </w:r>
          </w:p>
        </w:tc>
      </w:tr>
    </w:tbl>
    <w:p w:rsidR="00056AC1" w:rsidRPr="00FC79F6" w:rsidRDefault="00056AC1" w:rsidP="00056AC1">
      <w:pPr>
        <w:rPr>
          <w:rFonts w:ascii="Arial" w:eastAsia="Arial" w:hAnsi="Arial"/>
          <w:sz w:val="14"/>
          <w:szCs w:val="14"/>
        </w:rPr>
      </w:pPr>
    </w:p>
    <w:p w:rsidR="00056AC1" w:rsidRPr="00FC79F6" w:rsidRDefault="00056AC1" w:rsidP="00056AC1">
      <w:pPr>
        <w:rPr>
          <w:rFonts w:ascii="Arial" w:hAnsi="Arial"/>
          <w:sz w:val="14"/>
          <w:szCs w:val="14"/>
        </w:rPr>
      </w:pPr>
      <w:r w:rsidRPr="00FC79F6">
        <w:rPr>
          <w:rFonts w:ascii="Arial" w:eastAsia="Arial" w:hAnsi="Arial"/>
          <w:sz w:val="14"/>
          <w:szCs w:val="14"/>
        </w:rPr>
        <w:t>NOTE: The GHG percentages of the tot</w:t>
      </w:r>
      <w:r>
        <w:rPr>
          <w:rFonts w:ascii="Arial" w:eastAsia="Arial" w:hAnsi="Arial"/>
          <w:sz w:val="14"/>
          <w:szCs w:val="14"/>
        </w:rPr>
        <w:t>al gross emissions for year 2015</w:t>
      </w:r>
      <w:r w:rsidRPr="00FC79F6">
        <w:rPr>
          <w:rFonts w:ascii="Arial" w:eastAsia="Arial" w:hAnsi="Arial"/>
          <w:sz w:val="14"/>
          <w:szCs w:val="14"/>
        </w:rPr>
        <w:t xml:space="preserve"> were rounded to the nearest whole number.</w:t>
      </w:r>
    </w:p>
    <w:p w:rsidR="00056AC1" w:rsidRPr="00FC79F6" w:rsidRDefault="00056AC1" w:rsidP="00056AC1">
      <w:pPr>
        <w:rPr>
          <w:rFonts w:ascii="Arial" w:eastAsia="Arial" w:hAnsi="Arial"/>
          <w:sz w:val="14"/>
          <w:szCs w:val="14"/>
        </w:rPr>
      </w:pPr>
    </w:p>
    <w:p w:rsidR="00056AC1" w:rsidRPr="00FC79F6" w:rsidRDefault="00056AC1" w:rsidP="00056AC1">
      <w:pPr>
        <w:rPr>
          <w:rFonts w:ascii="Arial" w:hAnsi="Arial"/>
          <w:sz w:val="14"/>
          <w:szCs w:val="14"/>
        </w:rPr>
      </w:pPr>
      <w:r w:rsidRPr="00FC79F6">
        <w:rPr>
          <w:rFonts w:ascii="Arial" w:eastAsia="Arial" w:hAnsi="Arial"/>
          <w:sz w:val="14"/>
          <w:szCs w:val="14"/>
        </w:rPr>
        <w:t>SOURCE: CARB, 201</w:t>
      </w:r>
      <w:r>
        <w:rPr>
          <w:rFonts w:ascii="Arial" w:eastAsia="Arial" w:hAnsi="Arial"/>
          <w:sz w:val="14"/>
          <w:szCs w:val="14"/>
        </w:rPr>
        <w:t>7</w:t>
      </w:r>
      <w:r w:rsidRPr="00FC79F6">
        <w:rPr>
          <w:rFonts w:ascii="Arial" w:eastAsia="Arial" w:hAnsi="Arial"/>
          <w:sz w:val="14"/>
          <w:szCs w:val="14"/>
        </w:rPr>
        <w:t>.</w:t>
      </w:r>
    </w:p>
    <w:p w:rsidR="00056AC1" w:rsidRPr="00FC79F6" w:rsidRDefault="00056AC1" w:rsidP="00056AC1">
      <w:pPr>
        <w:pBdr>
          <w:bottom w:val="single" w:sz="2" w:space="1" w:color="auto"/>
        </w:pBdr>
        <w:spacing w:after="480"/>
        <w:ind w:right="-180"/>
        <w:rPr>
          <w:rFonts w:ascii="Arial" w:hAnsi="Arial"/>
          <w:sz w:val="14"/>
          <w:szCs w:val="14"/>
        </w:rPr>
      </w:pPr>
    </w:p>
    <w:p w:rsidR="00056AC1" w:rsidRDefault="00056AC1" w:rsidP="00056AC1">
      <w:pPr>
        <w:pStyle w:val="Heading4"/>
      </w:pPr>
      <w:r>
        <w:t>Regulatory Setting</w:t>
      </w:r>
    </w:p>
    <w:p w:rsidR="00056AC1" w:rsidRPr="00056AC1" w:rsidRDefault="00056AC1" w:rsidP="00056AC1">
      <w:pPr>
        <w:pStyle w:val="Heading5"/>
      </w:pPr>
      <w:r w:rsidRPr="00056AC1">
        <w:t>Federal</w:t>
      </w:r>
    </w:p>
    <w:p w:rsidR="00056AC1" w:rsidRPr="00236C8B" w:rsidRDefault="00056AC1" w:rsidP="00056AC1">
      <w:pPr>
        <w:pStyle w:val="Heading6"/>
      </w:pPr>
      <w:r w:rsidRPr="00236C8B">
        <w:t>Clean Air Act</w:t>
      </w:r>
    </w:p>
    <w:p w:rsidR="00056AC1" w:rsidRDefault="00056AC1" w:rsidP="0007601E">
      <w:pPr>
        <w:spacing w:after="240" w:line="288" w:lineRule="exact"/>
      </w:pPr>
      <w:r w:rsidRPr="00236C8B">
        <w:t xml:space="preserve">On April 2, 2007, in </w:t>
      </w:r>
      <w:r w:rsidRPr="00236C8B">
        <w:rPr>
          <w:i/>
        </w:rPr>
        <w:t>Massachusetts v. USEPA</w:t>
      </w:r>
      <w:r w:rsidRPr="00236C8B">
        <w:t xml:space="preserve"> (549 US 497), the Supreme Court found that GHGs are air pollutants covered by the Clean Air Act. On April 17, 2009, the USEPA Administrator signed proposed “endangerment” and “cause or contribute” findings for GHGs under Section 202(a) of the Clean Air Act. The USEPA found that six GHGs, taken in combination, endanger both the public health and the public welfare of current and future generations. Pursuant to 40 CFR Part 52</w:t>
      </w:r>
      <w:r w:rsidRPr="00236C8B">
        <w:rPr>
          <w:i/>
        </w:rPr>
        <w:t>, Proposed Prevention of Significant Deterioration and Title V Greenhouse Gas Tailoring Rule</w:t>
      </w:r>
      <w:r w:rsidRPr="00236C8B">
        <w:t>, USEPA has mandated that Prevention of Significant Deterioration (PSD) and Title V requirements apply to facilities whose stationary source CO</w:t>
      </w:r>
      <w:r w:rsidRPr="00236C8B">
        <w:rPr>
          <w:vertAlign w:val="subscript"/>
        </w:rPr>
        <w:t>2</w:t>
      </w:r>
      <w:r w:rsidRPr="00236C8B">
        <w:t>e emissions exceed 100,000 tons per yea</w:t>
      </w:r>
      <w:r>
        <w:t>r (USEPA, 2016b). The Proposed P</w:t>
      </w:r>
      <w:r w:rsidRPr="00236C8B">
        <w:t>roject would not trigger PSD or Title V permitting under this regulation because it would generate less than 100,000 tons of CO</w:t>
      </w:r>
      <w:r w:rsidRPr="00236C8B">
        <w:rPr>
          <w:vertAlign w:val="subscript"/>
        </w:rPr>
        <w:t>2</w:t>
      </w:r>
      <w:r w:rsidRPr="00236C8B">
        <w:t>e emissions per year.</w:t>
      </w:r>
    </w:p>
    <w:p w:rsidR="00056AC1" w:rsidRDefault="00056AC1" w:rsidP="00056AC1">
      <w:pPr>
        <w:pStyle w:val="Heading6"/>
      </w:pPr>
      <w:r>
        <w:t>40 CFR Part 98. Use of Electric Transmission and Distribution Equipment</w:t>
      </w:r>
    </w:p>
    <w:p w:rsidR="00056AC1" w:rsidRPr="00F674E6" w:rsidRDefault="00056AC1" w:rsidP="00056AC1">
      <w:pPr>
        <w:pStyle w:val="12space"/>
      </w:pPr>
      <w:r>
        <w:t xml:space="preserve">Pursuant to federal regulations (i.e., </w:t>
      </w:r>
      <w:r w:rsidRPr="0069535B">
        <w:t xml:space="preserve">40 </w:t>
      </w:r>
      <w:r>
        <w:t xml:space="preserve">CFR </w:t>
      </w:r>
      <w:r w:rsidRPr="0069535B">
        <w:t>Part 98, Subpart DD</w:t>
      </w:r>
      <w:r>
        <w:t>) operators of certain electrical facilities, such as SF</w:t>
      </w:r>
      <w:r w:rsidRPr="0069535B">
        <w:rPr>
          <w:vertAlign w:val="subscript"/>
        </w:rPr>
        <w:t>6</w:t>
      </w:r>
      <w:r>
        <w:t>-containing circuit breakers, are required to report SF</w:t>
      </w:r>
      <w:r w:rsidRPr="0069535B">
        <w:rPr>
          <w:vertAlign w:val="subscript"/>
        </w:rPr>
        <w:t>6</w:t>
      </w:r>
      <w:r>
        <w:t xml:space="preserve"> emissions to the USEPA </w:t>
      </w:r>
      <w:r w:rsidRPr="00C548F0">
        <w:t>(USEPA, 2016</w:t>
      </w:r>
      <w:r>
        <w:t>c). SF</w:t>
      </w:r>
      <w:r w:rsidRPr="00FA3080">
        <w:rPr>
          <w:vertAlign w:val="subscript"/>
        </w:rPr>
        <w:t>6</w:t>
      </w:r>
      <w:r>
        <w:t>-containing circuit breakers associated with the Proposed Project would be subject to reporting under this regulation.</w:t>
      </w:r>
    </w:p>
    <w:p w:rsidR="00056AC1" w:rsidRPr="00056AC1" w:rsidRDefault="00056AC1" w:rsidP="00056AC1">
      <w:pPr>
        <w:pStyle w:val="Heading5"/>
      </w:pPr>
      <w:r w:rsidRPr="00056AC1">
        <w:t>State</w:t>
      </w:r>
    </w:p>
    <w:p w:rsidR="00056AC1" w:rsidRPr="00236C8B" w:rsidRDefault="00056AC1" w:rsidP="00056AC1">
      <w:pPr>
        <w:pStyle w:val="12space"/>
      </w:pPr>
      <w:r w:rsidRPr="00236C8B">
        <w:t>A variety of statewide rules and regulations mandate the quantification and, if emissions exceed established thresholds, the reduction of GHGs. CEQA requires Lead Agencies to evaluate project-related GHG emissions and the potential for projects to contribute to climate change and to provide appropriate mitigation in cases where the Lead Agency determines that a project would result in a significant addition of GHGs to the atmosphere.</w:t>
      </w:r>
    </w:p>
    <w:p w:rsidR="00056AC1" w:rsidRPr="00236C8B" w:rsidRDefault="00056AC1" w:rsidP="00056AC1">
      <w:pPr>
        <w:pStyle w:val="Heading6"/>
      </w:pPr>
      <w:r w:rsidRPr="00236C8B">
        <w:t>Executive Order S-3-05</w:t>
      </w:r>
    </w:p>
    <w:p w:rsidR="00056AC1" w:rsidRPr="00236C8B" w:rsidRDefault="00056AC1" w:rsidP="00056AC1">
      <w:pPr>
        <w:pStyle w:val="12space"/>
      </w:pPr>
      <w:r w:rsidRPr="00236C8B">
        <w:t>In June 2006, Governor Arnold Schwarzenegger signed Executive Order S-3-05, which established the following statewide emission-reduction targets through the year 2050:</w:t>
      </w:r>
    </w:p>
    <w:p w:rsidR="00056AC1" w:rsidRPr="00236C8B" w:rsidRDefault="00056AC1" w:rsidP="00056AC1">
      <w:pPr>
        <w:pStyle w:val="ListBullet"/>
        <w:spacing w:after="120"/>
      </w:pPr>
      <w:r w:rsidRPr="00236C8B">
        <w:t xml:space="preserve">By 2010, reduce GHG emissions to 2000 levels; </w:t>
      </w:r>
    </w:p>
    <w:p w:rsidR="00056AC1" w:rsidRPr="00236C8B" w:rsidRDefault="00056AC1" w:rsidP="00056AC1">
      <w:pPr>
        <w:pStyle w:val="ListBullet"/>
        <w:spacing w:after="120"/>
      </w:pPr>
      <w:r w:rsidRPr="00236C8B">
        <w:t xml:space="preserve">By 2020, reduce GHG emissions to 1990 levels; and </w:t>
      </w:r>
    </w:p>
    <w:p w:rsidR="00056AC1" w:rsidRPr="00236C8B" w:rsidRDefault="00056AC1" w:rsidP="00056AC1">
      <w:pPr>
        <w:pStyle w:val="ListBullet"/>
      </w:pPr>
      <w:r w:rsidRPr="00236C8B">
        <w:t xml:space="preserve">By 2050, reduce GHG emissions to 80 percent below 1990 levels. </w:t>
      </w:r>
    </w:p>
    <w:p w:rsidR="00056AC1" w:rsidRPr="00236C8B" w:rsidRDefault="00056AC1" w:rsidP="00056AC1">
      <w:pPr>
        <w:pStyle w:val="12space"/>
      </w:pPr>
      <w:r w:rsidRPr="00236C8B">
        <w:t>This executive order does not contain any requirement</w:t>
      </w:r>
      <w:r>
        <w:t>s that directly pertain to the Proposed P</w:t>
      </w:r>
      <w:r w:rsidRPr="00236C8B">
        <w:t xml:space="preserve">roject; however, future actions taken by the State of California to implement these goals may affect the </w:t>
      </w:r>
      <w:r>
        <w:t>P</w:t>
      </w:r>
      <w:r w:rsidRPr="00236C8B">
        <w:t xml:space="preserve">roposed </w:t>
      </w:r>
      <w:r>
        <w:t>P</w:t>
      </w:r>
      <w:r w:rsidRPr="00236C8B">
        <w:t>roject, depending on the specific implementation measures that are developed.</w:t>
      </w:r>
    </w:p>
    <w:p w:rsidR="00056AC1" w:rsidRPr="00236C8B" w:rsidRDefault="00056AC1" w:rsidP="00056AC1">
      <w:pPr>
        <w:pStyle w:val="Heading6"/>
      </w:pPr>
      <w:r w:rsidRPr="00236C8B">
        <w:t>Assembly Bill 32</w:t>
      </w:r>
    </w:p>
    <w:p w:rsidR="00056AC1" w:rsidRPr="00236C8B" w:rsidRDefault="00056AC1" w:rsidP="00056AC1">
      <w:pPr>
        <w:pStyle w:val="12space"/>
      </w:pPr>
      <w:r w:rsidRPr="00236C8B">
        <w:t xml:space="preserve">California Assembly Bill (AB) 32, </w:t>
      </w:r>
      <w:r w:rsidRPr="00236C8B">
        <w:rPr>
          <w:i/>
        </w:rPr>
        <w:t>the Global Warming Solutions Act of 2006</w:t>
      </w:r>
      <w:r w:rsidRPr="00236C8B">
        <w:t>, required the California Air Resources Board (CARB) to establish a statewide GHG emissions cap for 2020 based on 1990 emission levels. AB 32 required CARB to adopt regulations that identify and require selected sectors or categories of emitters of GHGs to report and verify their statewide GHG emissions, and CARB is authorized to enforce compliance with the program. Under AB 32, CARB also was required to adopt a statewide GHG emissions limit equivalent to the statewide GHG emissions levels in 1990, which must be achieved by 2020. CARB established this limit in December 2007 at 427 million metric tons of CO</w:t>
      </w:r>
      <w:r w:rsidRPr="00236C8B">
        <w:rPr>
          <w:vertAlign w:val="subscript"/>
        </w:rPr>
        <w:t>2</w:t>
      </w:r>
      <w:r w:rsidRPr="00236C8B">
        <w:t>e. This is approximately 30 percent below forecasted “business-as-usual” emissions of 596 million metric tons of CO</w:t>
      </w:r>
      <w:r w:rsidRPr="00236C8B">
        <w:rPr>
          <w:vertAlign w:val="subscript"/>
        </w:rPr>
        <w:t>2</w:t>
      </w:r>
      <w:r w:rsidRPr="00236C8B">
        <w:t>e in 2020, and about 10 percent below average annual GHG emissions during the period of 2002 through 2004 (CARB, 2009). In the interest of achieving the maximum technologically feasible and cost-effective GHG emission reductions, AB 32 permits the use of market-based compliance mechanisms and requires CARB to monitor compliance with and enforce any rule, regulation, order, emission limitation, emissions reduction measure, or market-based compliance mechanism that it adopts.</w:t>
      </w:r>
    </w:p>
    <w:p w:rsidR="00056AC1" w:rsidRPr="00236C8B" w:rsidRDefault="00056AC1" w:rsidP="00056AC1">
      <w:pPr>
        <w:pStyle w:val="Heading6"/>
      </w:pPr>
      <w:r w:rsidRPr="00236C8B">
        <w:rPr>
          <w:rFonts w:eastAsia="Arial"/>
        </w:rPr>
        <w:t>Climate Change Scoping Plan (AB 32 Scoping Plan)</w:t>
      </w:r>
    </w:p>
    <w:p w:rsidR="00056AC1" w:rsidRPr="00236C8B" w:rsidRDefault="00056AC1" w:rsidP="00056AC1">
      <w:pPr>
        <w:pStyle w:val="12space"/>
      </w:pPr>
      <w:r w:rsidRPr="00236C8B">
        <w:t>In December 2008, CARB approved the AB 32 Scoping Plan outlining the State’s strategy to achieve the 2020 GHG emissions limit. The Scoping Plan estimates a reduction of 174 million metric tons CO</w:t>
      </w:r>
      <w:r w:rsidRPr="00236C8B">
        <w:rPr>
          <w:vertAlign w:val="subscript"/>
        </w:rPr>
        <w:t>2</w:t>
      </w:r>
      <w:r w:rsidRPr="00236C8B">
        <w:t xml:space="preserve">e (about 191 million tons) from the transportation, energy, agriculture, forestry, and high climate-change-potential sectors, and proposes a comprehensive set of actions designed to reduce overall GHG emissions in California, improve the environment, reduce dependence on oil, diversify California’s energy sources, save energy, create new jobs, and enhance public health. The Scoping Plan must be updated every </w:t>
      </w:r>
      <w:r>
        <w:t>five</w:t>
      </w:r>
      <w:r w:rsidRPr="00236C8B">
        <w:t xml:space="preserve"> years to evaluate the mix of AB 32 policies to ensure that California is on track to achieve the 2020 GHG reduction goal. Appendices C and E of the adopted 2008 AB 32 Scoping Plan include a list of 39 recommended action measures to reduce GHG emissions (CARB, 2009). </w:t>
      </w:r>
      <w:r w:rsidRPr="001526E5">
        <w:rPr>
          <w:spacing w:val="-2"/>
        </w:rPr>
        <w:t xml:space="preserve">Of these measures, </w:t>
      </w:r>
      <w:r>
        <w:rPr>
          <w:spacing w:val="-2"/>
        </w:rPr>
        <w:t>only one is directly r</w:t>
      </w:r>
      <w:r w:rsidRPr="001526E5">
        <w:rPr>
          <w:spacing w:val="-2"/>
        </w:rPr>
        <w:t xml:space="preserve">elevant to the </w:t>
      </w:r>
      <w:r>
        <w:rPr>
          <w:spacing w:val="-2"/>
        </w:rPr>
        <w:t xml:space="preserve">Proposed </w:t>
      </w:r>
      <w:r w:rsidRPr="001526E5">
        <w:rPr>
          <w:spacing w:val="-2"/>
        </w:rPr>
        <w:t>Project</w:t>
      </w:r>
      <w:r>
        <w:rPr>
          <w:spacing w:val="-2"/>
        </w:rPr>
        <w:t xml:space="preserve">. Measure H-6, High GWP Gases was designed to </w:t>
      </w:r>
      <w:r w:rsidRPr="007F4DFF">
        <w:t>reduce emissions of SF</w:t>
      </w:r>
      <w:r w:rsidRPr="007F4DFF">
        <w:rPr>
          <w:vertAlign w:val="subscript"/>
        </w:rPr>
        <w:t>6</w:t>
      </w:r>
      <w:r w:rsidRPr="007F4DFF">
        <w:t xml:space="preserve"> within the electric utility sector and at particle accelerators by requiring the use of best achievable control technology for the detection and</w:t>
      </w:r>
      <w:r w:rsidRPr="007F4DFF">
        <w:rPr>
          <w:sz w:val="24"/>
          <w:szCs w:val="24"/>
        </w:rPr>
        <w:t xml:space="preserve"> </w:t>
      </w:r>
      <w:r w:rsidRPr="007F4DFF">
        <w:t>repair of leaks, and the recycling of SF</w:t>
      </w:r>
      <w:r w:rsidRPr="007F4DFF">
        <w:rPr>
          <w:vertAlign w:val="subscript"/>
        </w:rPr>
        <w:t>6</w:t>
      </w:r>
      <w:r w:rsidRPr="007F4DFF">
        <w:t>.</w:t>
      </w:r>
    </w:p>
    <w:p w:rsidR="00056AC1" w:rsidRDefault="00056AC1" w:rsidP="00056AC1">
      <w:pPr>
        <w:pStyle w:val="12space"/>
      </w:pPr>
      <w:r w:rsidRPr="00236C8B">
        <w:t xml:space="preserve">CARB released its first Scoping Plan Update in May 2014 (CARB, 2014). There are no recommended actions identified in the Scoping Plan Update that </w:t>
      </w:r>
      <w:r>
        <w:t>are directly applicable to the P</w:t>
      </w:r>
      <w:r w:rsidRPr="00236C8B">
        <w:t xml:space="preserve">roposed </w:t>
      </w:r>
      <w:r>
        <w:t>P</w:t>
      </w:r>
      <w:r w:rsidRPr="00236C8B">
        <w:t>roject.</w:t>
      </w:r>
    </w:p>
    <w:p w:rsidR="00056AC1" w:rsidRPr="002404FB" w:rsidRDefault="00056AC1" w:rsidP="00056AC1">
      <w:pPr>
        <w:pStyle w:val="Heading6"/>
      </w:pPr>
      <w:r w:rsidRPr="002404FB">
        <w:t>California Renewable Energy Programs</w:t>
      </w:r>
    </w:p>
    <w:p w:rsidR="00056AC1" w:rsidRDefault="00056AC1" w:rsidP="00056AC1">
      <w:pPr>
        <w:pStyle w:val="12space"/>
      </w:pPr>
      <w:r>
        <w:t xml:space="preserve">In 2002, California initially established its Renewables Portfolio Standard (RPS), with the goal of increasing the percentage of renewable energy in the State's electricity mix to 20 percent by 2017. </w:t>
      </w:r>
      <w:r w:rsidRPr="008A03D1">
        <w:rPr>
          <w:spacing w:val="-2"/>
        </w:rPr>
        <w:t xml:space="preserve">State energy agencies recommended accelerating that goal, and California Executive Order S-14-08 </w:t>
      </w:r>
      <w:r>
        <w:t>(November 2008) required California utilities to reach the 33 percent renewable electricity goal by 2020, consistent with the AB 32 Scoping Plan. In April 2011, Senate Bill 2 of the First Extraordinary Session (SB X1-2) was signed into law. SB X1</w:t>
      </w:r>
      <w:r w:rsidR="008A03D1">
        <w:t>-2 expressly applies the new 33 </w:t>
      </w:r>
      <w:r>
        <w:t>percent RPS by December 31, 2020, to all retail sellers of electricity and establishes renewable energy standards for interim years prior to 2020.</w:t>
      </w:r>
      <w:r w:rsidRPr="00200EC8">
        <w:t xml:space="preserve"> </w:t>
      </w:r>
      <w:r>
        <w:t>In May 2017, S</w:t>
      </w:r>
      <w:r w:rsidRPr="00200EC8">
        <w:t xml:space="preserve">enate Bill 100, The California Clean Energy Act of 2017, </w:t>
      </w:r>
      <w:r>
        <w:t>was proposed. If approved this would establish a target of</w:t>
      </w:r>
      <w:r w:rsidRPr="00200EC8">
        <w:t xml:space="preserve"> 100 percent renewable energy </w:t>
      </w:r>
      <w:r>
        <w:t xml:space="preserve">in the state </w:t>
      </w:r>
      <w:r w:rsidRPr="00200EC8">
        <w:t>by 2045</w:t>
      </w:r>
      <w:r>
        <w:t>.</w:t>
      </w:r>
    </w:p>
    <w:p w:rsidR="00056AC1" w:rsidRPr="00236C8B" w:rsidRDefault="00056AC1" w:rsidP="00056AC1">
      <w:pPr>
        <w:pStyle w:val="Heading6"/>
      </w:pPr>
      <w:r w:rsidRPr="00236C8B">
        <w:rPr>
          <w:rFonts w:eastAsia="Arial"/>
        </w:rPr>
        <w:t>Mandatory Reporting Requirements</w:t>
      </w:r>
    </w:p>
    <w:p w:rsidR="00056AC1" w:rsidRPr="00236C8B" w:rsidRDefault="00056AC1" w:rsidP="00056AC1">
      <w:pPr>
        <w:pStyle w:val="12space"/>
      </w:pPr>
      <w:r w:rsidRPr="00236C8B">
        <w:t>Pursuant to California Code of Regulations Title 17, Sections 95100 through 95158, operations of large industrial stationary combustion and process emissions sources that emit 10,000 metric tons CO</w:t>
      </w:r>
      <w:r w:rsidRPr="00236C8B">
        <w:rPr>
          <w:vertAlign w:val="subscript"/>
        </w:rPr>
        <w:t>2</w:t>
      </w:r>
      <w:r w:rsidRPr="00236C8B">
        <w:t>e or more per ca</w:t>
      </w:r>
      <w:r w:rsidRPr="0080149F">
        <w:t xml:space="preserve">lendar year are required to report and verify their GHG emissions to CARB. As indicated in </w:t>
      </w:r>
      <w:r>
        <w:rPr>
          <w:b/>
        </w:rPr>
        <w:t xml:space="preserve">Table </w:t>
      </w:r>
      <w:r w:rsidR="004D6D4A">
        <w:rPr>
          <w:b/>
        </w:rPr>
        <w:t>3.8-</w:t>
      </w:r>
      <w:r w:rsidRPr="0080149F">
        <w:rPr>
          <w:b/>
        </w:rPr>
        <w:t>3</w:t>
      </w:r>
      <w:r w:rsidRPr="00236C8B">
        <w:t xml:space="preserve">, the total amortized </w:t>
      </w:r>
      <w:r>
        <w:t>GHG emissions for the Proposed P</w:t>
      </w:r>
      <w:r w:rsidRPr="00236C8B">
        <w:t xml:space="preserve">roject would be </w:t>
      </w:r>
      <w:r w:rsidR="00090FF0">
        <w:t>391</w:t>
      </w:r>
      <w:r w:rsidR="006D6AEE" w:rsidRPr="00236C8B">
        <w:t xml:space="preserve"> </w:t>
      </w:r>
      <w:r w:rsidRPr="00236C8B">
        <w:t>metric tons per year, which is below the AB 32 reporting threshold; therefo</w:t>
      </w:r>
      <w:r>
        <w:t>re, the P</w:t>
      </w:r>
      <w:r w:rsidRPr="00236C8B">
        <w:t xml:space="preserve">roposed </w:t>
      </w:r>
      <w:r>
        <w:t>P</w:t>
      </w:r>
      <w:r w:rsidRPr="00236C8B">
        <w:t xml:space="preserve">roject would not be subject to the AB 32 mandatory reporting requirements. </w:t>
      </w:r>
    </w:p>
    <w:p w:rsidR="00056AC1" w:rsidRPr="00236C8B" w:rsidRDefault="00056AC1" w:rsidP="00056AC1">
      <w:pPr>
        <w:pStyle w:val="Heading6"/>
      </w:pPr>
      <w:r w:rsidRPr="00236C8B">
        <w:rPr>
          <w:rFonts w:eastAsia="Arial"/>
        </w:rPr>
        <w:t>Market-Based “Cap-and-Trade” Compliance Mechanism</w:t>
      </w:r>
    </w:p>
    <w:p w:rsidR="00056AC1" w:rsidRPr="00236C8B" w:rsidRDefault="00056AC1" w:rsidP="00056AC1">
      <w:pPr>
        <w:pStyle w:val="12space"/>
      </w:pPr>
      <w:r w:rsidRPr="00236C8B">
        <w:t>AB 32 allows the use of market-based compliance mechanisms to achieve the maximum technologically feasible and cost-effective GHG emission reductions. AB 32 also requires CARB to monitor compliance with and enforce any rule, regulation, order, emission limitation, emissions reduction measure, or market-based compliance mechanism that it adopts. In response, CARB adopted a cap-and-trade program that covers major sources of GHG emissions such as refineries and power plants. The program includes an annual emissions cap that declines over time. CARB’s cap-and-trade program applies to facilities that would emit 25,000 metric tons or more of CO</w:t>
      </w:r>
      <w:r w:rsidRPr="00236C8B">
        <w:rPr>
          <w:vertAlign w:val="subscript"/>
        </w:rPr>
        <w:t>2</w:t>
      </w:r>
      <w:r w:rsidRPr="00236C8B">
        <w:t>e per year. Since the total a</w:t>
      </w:r>
      <w:r>
        <w:t>mortized GHG emissions for the P</w:t>
      </w:r>
      <w:r w:rsidRPr="00236C8B">
        <w:t xml:space="preserve">roposed </w:t>
      </w:r>
      <w:r>
        <w:t>P</w:t>
      </w:r>
      <w:r w:rsidRPr="00236C8B">
        <w:t xml:space="preserve">roject are estimated at </w:t>
      </w:r>
      <w:r>
        <w:t>412</w:t>
      </w:r>
      <w:r w:rsidRPr="00236C8B">
        <w:t xml:space="preserve"> metric tons per year, the cap-and-trade </w:t>
      </w:r>
      <w:r>
        <w:t>program would not apply to the P</w:t>
      </w:r>
      <w:r w:rsidRPr="00236C8B">
        <w:t xml:space="preserve">roposed </w:t>
      </w:r>
      <w:r>
        <w:t>P</w:t>
      </w:r>
      <w:r w:rsidRPr="00236C8B">
        <w:t xml:space="preserve">roject (see Section </w:t>
      </w:r>
      <w:r>
        <w:t>3.7.4</w:t>
      </w:r>
      <w:r w:rsidRPr="00236C8B">
        <w:t xml:space="preserve"> for a discussion and breakdown of the construction-related and operational GHG</w:t>
      </w:r>
      <w:r>
        <w:t xml:space="preserve"> emissions associated with the P</w:t>
      </w:r>
      <w:r w:rsidRPr="00236C8B">
        <w:t xml:space="preserve">roposed </w:t>
      </w:r>
      <w:r>
        <w:t>P</w:t>
      </w:r>
      <w:r w:rsidRPr="00236C8B">
        <w:t>roject).</w:t>
      </w:r>
    </w:p>
    <w:p w:rsidR="00056AC1" w:rsidRPr="00236C8B" w:rsidRDefault="00056AC1" w:rsidP="00056AC1">
      <w:pPr>
        <w:pStyle w:val="Heading6"/>
      </w:pPr>
      <w:r w:rsidRPr="00236C8B">
        <w:t>Senate Bill 97</w:t>
      </w:r>
    </w:p>
    <w:p w:rsidR="00056AC1" w:rsidRPr="00236C8B" w:rsidRDefault="00056AC1" w:rsidP="00056AC1">
      <w:pPr>
        <w:pStyle w:val="12space"/>
      </w:pPr>
      <w:r w:rsidRPr="00236C8B">
        <w:t>In 2007, the California State Legislature passed SB 97, which required amendment of the CEQA Guidelines to incorporate analysis of, and mitigation for, GHG emissions from projects subject to CEQA. The amendments took effect March 18, 2010. The amendments added Section 15064.4 to the CEQA Guidelines, specifically addressing the potential significance of GHG emissions. Section 15064.4 calls for a “good faith effort” to “describe, calculate or estimate” GHG emissions and indicates that the analysis of the significance of any GHG impacts should include consideration of the extent to which the project would:</w:t>
      </w:r>
    </w:p>
    <w:p w:rsidR="00056AC1" w:rsidRPr="00236C8B" w:rsidRDefault="00056AC1" w:rsidP="00056AC1">
      <w:pPr>
        <w:pStyle w:val="ListBullet"/>
        <w:spacing w:after="120"/>
      </w:pPr>
      <w:r w:rsidRPr="00236C8B">
        <w:t xml:space="preserve">Increase or reduce GHG emissions; </w:t>
      </w:r>
    </w:p>
    <w:p w:rsidR="00056AC1" w:rsidRPr="00236C8B" w:rsidRDefault="00056AC1" w:rsidP="00056AC1">
      <w:pPr>
        <w:pStyle w:val="ListBullet"/>
        <w:spacing w:after="120"/>
      </w:pPr>
      <w:r w:rsidRPr="00236C8B">
        <w:t xml:space="preserve">Exceed a locally applicable threshold of significance; or </w:t>
      </w:r>
    </w:p>
    <w:p w:rsidR="00056AC1" w:rsidRPr="00236C8B" w:rsidRDefault="00056AC1" w:rsidP="00056AC1">
      <w:pPr>
        <w:pStyle w:val="ListBullet"/>
      </w:pPr>
      <w:r w:rsidRPr="00236C8B">
        <w:t xml:space="preserve">Comply with “regulations or requirements adopted to implement a statewide, regional, or local plan for the reduction or mitigation of greenhouse gas emissions.” </w:t>
      </w:r>
    </w:p>
    <w:p w:rsidR="00056AC1" w:rsidRPr="00236C8B" w:rsidRDefault="00056AC1" w:rsidP="00056AC1">
      <w:pPr>
        <w:pStyle w:val="12space"/>
      </w:pPr>
      <w:r w:rsidRPr="00236C8B">
        <w:t>The CEQA Guidelines also state that a project may be found to have a less-than-significant impact related to GHG emissions if it complies with an adopted plan that includes specific measures to sufficiently reduce GHG emissions (14 Cal. Code Regs. §15064(h)(3)). Importantly, however, the CEQA Guidelines do not require or recommend a specific analytical methodology or provide quantitative criteria for determining the significance of GHG emissions.</w:t>
      </w:r>
    </w:p>
    <w:p w:rsidR="00056AC1" w:rsidRPr="00236C8B" w:rsidRDefault="00056AC1" w:rsidP="00056AC1">
      <w:pPr>
        <w:keepNext/>
        <w:spacing w:before="100" w:after="120"/>
        <w:outlineLvl w:val="5"/>
        <w:rPr>
          <w:rFonts w:ascii="Arial" w:hAnsi="Arial"/>
          <w:b/>
          <w:i/>
          <w:sz w:val="23"/>
        </w:rPr>
      </w:pPr>
      <w:r w:rsidRPr="00236C8B">
        <w:rPr>
          <w:rFonts w:ascii="Arial" w:hAnsi="Arial"/>
          <w:b/>
          <w:i/>
          <w:sz w:val="23"/>
        </w:rPr>
        <w:t>Executive Order B-30-15</w:t>
      </w:r>
    </w:p>
    <w:p w:rsidR="00056AC1" w:rsidRPr="00236C8B" w:rsidRDefault="00056AC1" w:rsidP="00056AC1">
      <w:pPr>
        <w:pStyle w:val="12space"/>
      </w:pPr>
      <w:r w:rsidRPr="00236C8B">
        <w:t>In April 2015, Governor Edmund G. Brown Jr. issued an executive order to establish a California GHG reduction target of 40 percent below 1990 levels by 2030. Reaching this emission reduction target will make it possible for California to reach its ultimat</w:t>
      </w:r>
      <w:r w:rsidR="008A03D1">
        <w:t>e goal of reducing emissions 80 </w:t>
      </w:r>
      <w:r w:rsidRPr="00236C8B">
        <w:t>percent under 1990 levels by 2050, as identified in Executiv</w:t>
      </w:r>
      <w:r w:rsidR="008A03D1">
        <w:t>e Order S-3-05. Executive Order </w:t>
      </w:r>
      <w:r w:rsidRPr="00236C8B">
        <w:t>B-30-15 also specifically addresses the need for climate adaptation and directs state government to:</w:t>
      </w:r>
    </w:p>
    <w:p w:rsidR="00056AC1" w:rsidRPr="00236C8B" w:rsidRDefault="00056AC1" w:rsidP="00056AC1">
      <w:pPr>
        <w:pStyle w:val="ListBullet"/>
        <w:spacing w:after="180"/>
      </w:pPr>
      <w:r w:rsidRPr="00236C8B">
        <w:t xml:space="preserve">Incorporate climate change impacts into the State's </w:t>
      </w:r>
      <w:r>
        <w:t>5</w:t>
      </w:r>
      <w:r w:rsidRPr="00236C8B">
        <w:t xml:space="preserve">-Year Infrastructure Plan; </w:t>
      </w:r>
    </w:p>
    <w:p w:rsidR="00056AC1" w:rsidRPr="00236C8B" w:rsidRDefault="00056AC1" w:rsidP="00056AC1">
      <w:pPr>
        <w:pStyle w:val="ListBullet"/>
        <w:spacing w:after="180"/>
      </w:pPr>
      <w:r w:rsidRPr="00236C8B">
        <w:t>Update the Safeguarding California Plan, the state climate adaption strategy to identify how climate change will affect California infrastructure and industry and what actions the state can take to reduce the risks posed by climate change;</w:t>
      </w:r>
    </w:p>
    <w:p w:rsidR="00056AC1" w:rsidRPr="00236C8B" w:rsidRDefault="00056AC1" w:rsidP="00056AC1">
      <w:pPr>
        <w:pStyle w:val="ListBullet"/>
        <w:spacing w:after="180"/>
      </w:pPr>
      <w:r w:rsidRPr="00236C8B">
        <w:t>Factor climate change into state agencies' planning and investment decisions; and</w:t>
      </w:r>
    </w:p>
    <w:p w:rsidR="00056AC1" w:rsidRPr="00236C8B" w:rsidRDefault="00056AC1" w:rsidP="00056AC1">
      <w:pPr>
        <w:pStyle w:val="ListBullet"/>
      </w:pPr>
      <w:r w:rsidRPr="00236C8B">
        <w:t>Implement measures under existing agency and departmental authority to reduce GHG emissions (Office of the Governor, 2015).</w:t>
      </w:r>
    </w:p>
    <w:p w:rsidR="00056AC1" w:rsidRDefault="00056AC1" w:rsidP="00056AC1">
      <w:pPr>
        <w:pStyle w:val="12space"/>
      </w:pPr>
      <w:r w:rsidRPr="00236C8B">
        <w:t>Executive Order B-30-15 requires CARB to update the AB 32 Climate Change Scoping Plan to incorporate the 2030 target. The 2030 Draft Scoping Plan (Draft Scoping Plan) will serve as the framework to define the State’s climate change priorities for the next 15 years and beyond. In June 2016, CARB released the 2030 Target Scoping Plan Update Concept Paper to describe potential policy concepts to achieve the 2030 target that can be incorporated in the Draft Scoping Plan. The concept paper presents four potential high-level concepts for achieving the ne</w:t>
      </w:r>
      <w:r>
        <w:t>eded GHG reductions (CARB, 2016b</w:t>
      </w:r>
      <w:r w:rsidRPr="00236C8B">
        <w:t xml:space="preserve">). </w:t>
      </w:r>
    </w:p>
    <w:p w:rsidR="00056AC1" w:rsidRPr="00C41143" w:rsidRDefault="00056AC1" w:rsidP="00056AC1">
      <w:pPr>
        <w:pStyle w:val="Heading7"/>
      </w:pPr>
      <w:r>
        <w:t>Regulation for Reducing SF</w:t>
      </w:r>
      <w:r w:rsidRPr="00C41143">
        <w:rPr>
          <w:vertAlign w:val="subscript"/>
        </w:rPr>
        <w:t>6</w:t>
      </w:r>
      <w:r>
        <w:t xml:space="preserve"> Emissions from Gas Insulated Switchgear</w:t>
      </w:r>
    </w:p>
    <w:p w:rsidR="00056AC1" w:rsidRPr="00477695" w:rsidRDefault="00056AC1" w:rsidP="00056AC1">
      <w:pPr>
        <w:pStyle w:val="12space"/>
      </w:pPr>
      <w:r w:rsidRPr="00C273FF">
        <w:rPr>
          <w:spacing w:val="-2"/>
        </w:rPr>
        <w:t>The purpose of this regulation (17 Cal. Code Regs. §95350 et seq.) is to achieve GHG emission reductions by reducing SF</w:t>
      </w:r>
      <w:r w:rsidRPr="00C273FF">
        <w:rPr>
          <w:spacing w:val="-2"/>
          <w:vertAlign w:val="subscript"/>
        </w:rPr>
        <w:t>6</w:t>
      </w:r>
      <w:r w:rsidRPr="00C273FF">
        <w:rPr>
          <w:spacing w:val="-2"/>
        </w:rPr>
        <w:t xml:space="preserve"> emissions from gas-insulated switchgear. Owners of such switchgear must not exceed maximum allowable annual emissions rates, which are reduced each year until 2020, after which annual emissions must not exceed 1.0 percent</w:t>
      </w:r>
      <w:r>
        <w:rPr>
          <w:spacing w:val="-2"/>
        </w:rPr>
        <w:t xml:space="preserve"> of the total SF</w:t>
      </w:r>
      <w:r w:rsidRPr="00385A63">
        <w:rPr>
          <w:spacing w:val="-2"/>
          <w:vertAlign w:val="subscript"/>
        </w:rPr>
        <w:t>6</w:t>
      </w:r>
      <w:r>
        <w:rPr>
          <w:spacing w:val="-2"/>
        </w:rPr>
        <w:t xml:space="preserve"> capacity of </w:t>
      </w:r>
      <w:r w:rsidRPr="00C273FF">
        <w:rPr>
          <w:spacing w:val="-2"/>
        </w:rPr>
        <w:t xml:space="preserve">all </w:t>
      </w:r>
      <w:r>
        <w:rPr>
          <w:spacing w:val="-2"/>
        </w:rPr>
        <w:t xml:space="preserve">of the owner’s </w:t>
      </w:r>
      <w:r w:rsidRPr="00C273FF">
        <w:rPr>
          <w:spacing w:val="-2"/>
        </w:rPr>
        <w:t xml:space="preserve">active gas-insulated switchgear equipment. As defined by the regulation, the annual emissions rate </w:t>
      </w:r>
      <w:r>
        <w:rPr>
          <w:spacing w:val="-2"/>
        </w:rPr>
        <w:t>equals</w:t>
      </w:r>
      <w:r w:rsidRPr="00C273FF">
        <w:rPr>
          <w:spacing w:val="-2"/>
        </w:rPr>
        <w:t xml:space="preserve"> the gas-insulated switchgear owner’s total annual SF</w:t>
      </w:r>
      <w:r w:rsidRPr="00C273FF">
        <w:rPr>
          <w:spacing w:val="-2"/>
          <w:vertAlign w:val="subscript"/>
        </w:rPr>
        <w:t>6</w:t>
      </w:r>
      <w:r w:rsidRPr="00C273FF">
        <w:rPr>
          <w:spacing w:val="-2"/>
        </w:rPr>
        <w:t xml:space="preserve"> emissions from all active gas-insulated switchgear equipment divided by the average annual SF</w:t>
      </w:r>
      <w:r w:rsidRPr="00C273FF">
        <w:rPr>
          <w:spacing w:val="-2"/>
          <w:vertAlign w:val="subscript"/>
        </w:rPr>
        <w:t>6</w:t>
      </w:r>
      <w:r w:rsidRPr="00C273FF">
        <w:rPr>
          <w:spacing w:val="-2"/>
        </w:rPr>
        <w:t xml:space="preserve"> nameplate capacity of all active gas-insulated switchgear equipment</w:t>
      </w:r>
      <w:r>
        <w:rPr>
          <w:spacing w:val="-2"/>
        </w:rPr>
        <w:t>.</w:t>
      </w:r>
      <w:r w:rsidRPr="00C273FF">
        <w:rPr>
          <w:spacing w:val="-2"/>
        </w:rPr>
        <w:t xml:space="preserve"> Owners must regularly inventory gas-insulated switchgear</w:t>
      </w:r>
      <w:r w:rsidRPr="00C273FF" w:rsidDel="0042029B">
        <w:rPr>
          <w:spacing w:val="-2"/>
        </w:rPr>
        <w:t xml:space="preserve"> </w:t>
      </w:r>
      <w:r w:rsidRPr="00C273FF">
        <w:rPr>
          <w:spacing w:val="-2"/>
        </w:rPr>
        <w:t>equipment, measure quantities of SF</w:t>
      </w:r>
      <w:r w:rsidRPr="00C273FF">
        <w:rPr>
          <w:spacing w:val="-2"/>
          <w:vertAlign w:val="subscript"/>
        </w:rPr>
        <w:t>6</w:t>
      </w:r>
      <w:r w:rsidRPr="00C273FF">
        <w:rPr>
          <w:spacing w:val="-2"/>
        </w:rPr>
        <w:t>, and maintain</w:t>
      </w:r>
      <w:r w:rsidR="00E3166B">
        <w:rPr>
          <w:spacing w:val="-2"/>
        </w:rPr>
        <w:t xml:space="preserve"> records of these for at least three</w:t>
      </w:r>
      <w:r w:rsidRPr="00C273FF">
        <w:rPr>
          <w:spacing w:val="-2"/>
        </w:rPr>
        <w:t xml:space="preserve"> years. Additionally, by June 1st each year, owners also must submit an annual report to CARB</w:t>
      </w:r>
      <w:r w:rsidRPr="00443B60">
        <w:rPr>
          <w:spacing w:val="-2"/>
        </w:rPr>
        <w:t>’s Executive Officer for emissions that occurred during the previous calendar year (CARB, 201</w:t>
      </w:r>
      <w:r>
        <w:rPr>
          <w:spacing w:val="-2"/>
        </w:rPr>
        <w:t>6c</w:t>
      </w:r>
      <w:r w:rsidRPr="00443B60">
        <w:rPr>
          <w:spacing w:val="-2"/>
        </w:rPr>
        <w:t>).</w:t>
      </w:r>
    </w:p>
    <w:p w:rsidR="00056AC1" w:rsidRPr="00056AC1" w:rsidRDefault="00056AC1" w:rsidP="00056AC1">
      <w:pPr>
        <w:pStyle w:val="Heading5"/>
      </w:pPr>
      <w:r w:rsidRPr="00056AC1">
        <w:t>Local</w:t>
      </w:r>
    </w:p>
    <w:p w:rsidR="00056AC1" w:rsidRDefault="00E3166B" w:rsidP="00056AC1">
      <w:pPr>
        <w:pStyle w:val="12space"/>
        <w:rPr>
          <w:spacing w:val="-2"/>
        </w:rPr>
      </w:pPr>
      <w:r>
        <w:rPr>
          <w:spacing w:val="-2"/>
        </w:rPr>
        <w:t>T</w:t>
      </w:r>
      <w:r w:rsidR="00056AC1">
        <w:rPr>
          <w:spacing w:val="-2"/>
        </w:rPr>
        <w:t>here are no local adopted policies or goals for reducing GHG emissions that would be directly applicable to the Proposed Project</w:t>
      </w:r>
      <w:r w:rsidR="00056AC1" w:rsidRPr="00297F32">
        <w:rPr>
          <w:spacing w:val="-2"/>
        </w:rPr>
        <w:t>.</w:t>
      </w:r>
    </w:p>
    <w:p w:rsidR="00056AC1" w:rsidRDefault="00056AC1" w:rsidP="00056AC1">
      <w:pPr>
        <w:pStyle w:val="Heading4"/>
      </w:pPr>
      <w:r>
        <w:t>Applicant Proposed Measures</w:t>
      </w:r>
    </w:p>
    <w:p w:rsidR="00056AC1" w:rsidRDefault="00056AC1" w:rsidP="00056AC1">
      <w:pPr>
        <w:pStyle w:val="12space"/>
      </w:pPr>
      <w:r>
        <w:t>With regard to GHG emissions, SDG&amp;E has not proposed any applicant proposed measures for the Proposed Project.</w:t>
      </w:r>
    </w:p>
    <w:p w:rsidR="00056AC1" w:rsidRDefault="00056AC1" w:rsidP="00056AC1">
      <w:pPr>
        <w:pStyle w:val="Heading4"/>
      </w:pPr>
      <w:r>
        <w:t>Environmental Impacts and Mitigation Measures</w:t>
      </w:r>
    </w:p>
    <w:p w:rsidR="00056AC1" w:rsidRDefault="00056AC1" w:rsidP="00056AC1">
      <w:pPr>
        <w:pStyle w:val="Impactstatement"/>
        <w:spacing w:before="180" w:after="180"/>
        <w:ind w:left="360" w:hanging="360"/>
        <w:rPr>
          <w:rFonts w:ascii="Arial" w:hAnsi="Arial" w:cs="Arial"/>
          <w:sz w:val="21"/>
          <w:szCs w:val="21"/>
        </w:rPr>
      </w:pPr>
      <w:r w:rsidRPr="00DE4135">
        <w:rPr>
          <w:rFonts w:ascii="Arial" w:hAnsi="Arial" w:cs="Arial"/>
          <w:sz w:val="21"/>
          <w:szCs w:val="21"/>
        </w:rPr>
        <w:t>a)</w:t>
      </w:r>
      <w:r w:rsidRPr="00DE4135">
        <w:rPr>
          <w:rFonts w:ascii="Arial" w:hAnsi="Arial" w:cs="Arial"/>
          <w:sz w:val="21"/>
          <w:szCs w:val="21"/>
        </w:rPr>
        <w:tab/>
      </w:r>
      <w:r>
        <w:rPr>
          <w:rFonts w:ascii="Arial" w:hAnsi="Arial" w:cs="Arial"/>
          <w:sz w:val="21"/>
          <w:szCs w:val="21"/>
        </w:rPr>
        <w:t>Whether the Project would g</w:t>
      </w:r>
      <w:r w:rsidRPr="00653ABD">
        <w:rPr>
          <w:rFonts w:ascii="Arial" w:hAnsi="Arial" w:cs="Arial"/>
          <w:sz w:val="21"/>
          <w:szCs w:val="21"/>
        </w:rPr>
        <w:t>enerate greenhouse gas emissions, either directly or indirectly, that may have a signif</w:t>
      </w:r>
      <w:r>
        <w:rPr>
          <w:rFonts w:ascii="Arial" w:hAnsi="Arial" w:cs="Arial"/>
          <w:sz w:val="21"/>
          <w:szCs w:val="21"/>
        </w:rPr>
        <w:t xml:space="preserve">icant impact on the </w:t>
      </w:r>
      <w:r w:rsidRPr="006245E9">
        <w:rPr>
          <w:rFonts w:ascii="Arial" w:hAnsi="Arial" w:cs="Arial"/>
          <w:sz w:val="21"/>
          <w:szCs w:val="21"/>
        </w:rPr>
        <w:t xml:space="preserve">environment: </w:t>
      </w:r>
      <w:r w:rsidRPr="006245E9">
        <w:rPr>
          <w:rFonts w:ascii="Arial" w:hAnsi="Arial" w:cs="Arial"/>
          <w:i/>
          <w:sz w:val="21"/>
          <w:szCs w:val="21"/>
        </w:rPr>
        <w:t>L</w:t>
      </w:r>
      <w:r>
        <w:rPr>
          <w:rFonts w:ascii="Arial" w:hAnsi="Arial" w:cs="Arial"/>
          <w:i/>
          <w:sz w:val="21"/>
          <w:szCs w:val="21"/>
        </w:rPr>
        <w:t>ESS THAN SIGNIFICANT</w:t>
      </w:r>
      <w:r w:rsidR="00B06569">
        <w:rPr>
          <w:rFonts w:ascii="Arial" w:hAnsi="Arial" w:cs="Arial"/>
          <w:i/>
          <w:sz w:val="21"/>
          <w:szCs w:val="21"/>
        </w:rPr>
        <w:t xml:space="preserve"> IMPACT</w:t>
      </w:r>
      <w:r w:rsidRPr="006245E9">
        <w:rPr>
          <w:rFonts w:ascii="Arial" w:hAnsi="Arial" w:cs="Arial"/>
          <w:sz w:val="21"/>
          <w:szCs w:val="21"/>
        </w:rPr>
        <w:t>.</w:t>
      </w:r>
    </w:p>
    <w:p w:rsidR="00056AC1" w:rsidRPr="00271B89" w:rsidRDefault="00056AC1" w:rsidP="00056AC1">
      <w:pPr>
        <w:pStyle w:val="Heading7"/>
        <w:rPr>
          <w:i/>
          <w:sz w:val="20"/>
        </w:rPr>
      </w:pPr>
      <w:r w:rsidRPr="00271B89">
        <w:t>Approach to Analysis</w:t>
      </w:r>
    </w:p>
    <w:p w:rsidR="00056AC1" w:rsidRDefault="00056AC1" w:rsidP="00056AC1">
      <w:pPr>
        <w:pStyle w:val="12space"/>
        <w:rPr>
          <w:spacing w:val="-2"/>
        </w:rPr>
      </w:pPr>
      <w:r w:rsidRPr="00691B49">
        <w:t>Climate change impacts are</w:t>
      </w:r>
      <w:r>
        <w:t xml:space="preserve"> global, and therefore inherently cumulative in nature; </w:t>
      </w:r>
      <w:r w:rsidRPr="00691B49">
        <w:t>no typical single project would result in emission</w:t>
      </w:r>
      <w:r>
        <w:t xml:space="preserve">s of a magnitude </w:t>
      </w:r>
      <w:r w:rsidRPr="00691B49">
        <w:t xml:space="preserve">that would be significant on a project basis. </w:t>
      </w:r>
      <w:r w:rsidRPr="0054480D">
        <w:t>A</w:t>
      </w:r>
      <w:r>
        <w:t xml:space="preserve">s such, the assessment of significance in this IS/MND is based on a determination of whether the GHG emissions from the Proposed Project represent a cumulatively considerable contribution to climate change. </w:t>
      </w:r>
      <w:r w:rsidRPr="00297F32">
        <w:rPr>
          <w:spacing w:val="-2"/>
        </w:rPr>
        <w:t xml:space="preserve">The </w:t>
      </w:r>
      <w:r>
        <w:rPr>
          <w:spacing w:val="-2"/>
        </w:rPr>
        <w:t xml:space="preserve">Proposed </w:t>
      </w:r>
      <w:r w:rsidRPr="00297F32">
        <w:rPr>
          <w:spacing w:val="-2"/>
        </w:rPr>
        <w:t xml:space="preserve">Project would result in GHG emissions from both short-term construction and long-term operations and maintenance activities. </w:t>
      </w:r>
    </w:p>
    <w:p w:rsidR="00056AC1" w:rsidRDefault="00056AC1" w:rsidP="00056AC1">
      <w:pPr>
        <w:pStyle w:val="12space"/>
      </w:pPr>
      <w:r>
        <w:t xml:space="preserve">The San Diego Air Pollution Control District (SDAPCD) has not formally adopted a CEQA </w:t>
      </w:r>
      <w:r w:rsidRPr="00D85EB3">
        <w:t xml:space="preserve">significance threshold </w:t>
      </w:r>
      <w:r>
        <w:t xml:space="preserve">for GHG emission; however, the County of San Diego recommends the use of a </w:t>
      </w:r>
      <w:r w:rsidRPr="00294995">
        <w:t xml:space="preserve">screening </w:t>
      </w:r>
      <w:r>
        <w:t>threshold of 900 metric tons per CO</w:t>
      </w:r>
      <w:r w:rsidRPr="0085780E">
        <w:rPr>
          <w:vertAlign w:val="subscript"/>
        </w:rPr>
        <w:t>2</w:t>
      </w:r>
      <w:r>
        <w:t>e per year (County of San Diego, 2015). The California Air Pollution Control Officers Association has indicated that this threshold</w:t>
      </w:r>
      <w:r w:rsidRPr="00294995">
        <w:t xml:space="preserve"> would capture more than 90</w:t>
      </w:r>
      <w:r>
        <w:t xml:space="preserve"> percent of development projects. </w:t>
      </w:r>
      <w:r w:rsidRPr="00D85EB3">
        <w:t xml:space="preserve">A 90 percent emissions capture rate means 90 percent of the total emissions from all </w:t>
      </w:r>
      <w:r>
        <w:t>development</w:t>
      </w:r>
      <w:r w:rsidRPr="00D85EB3">
        <w:t xml:space="preserve"> </w:t>
      </w:r>
      <w:r>
        <w:t xml:space="preserve">projects </w:t>
      </w:r>
      <w:r w:rsidRPr="00D85EB3">
        <w:t xml:space="preserve">would be subject to </w:t>
      </w:r>
      <w:r>
        <w:t xml:space="preserve">analysis in an environmental document prepared pursuant to </w:t>
      </w:r>
      <w:r w:rsidRPr="00D85EB3">
        <w:t xml:space="preserve">CEQA, </w:t>
      </w:r>
      <w:r>
        <w:t xml:space="preserve">potentially </w:t>
      </w:r>
      <w:r w:rsidRPr="00D85EB3">
        <w:t xml:space="preserve">including analysis of feasible alternatives and imposition of feasible mitigation measures. </w:t>
      </w:r>
      <w:r>
        <w:t>Since Executive Order B-3-0</w:t>
      </w:r>
      <w:r w:rsidRPr="00AF0B82">
        <w:t xml:space="preserve">5 GHG emissions reductions goal of lowering GHG emissions to </w:t>
      </w:r>
      <w:r>
        <w:t>80</w:t>
      </w:r>
      <w:r w:rsidRPr="00AF0B82">
        <w:t xml:space="preserve"> percent below 1990 levels by 20</w:t>
      </w:r>
      <w:r>
        <w:t>5</w:t>
      </w:r>
      <w:r w:rsidRPr="00AF0B82">
        <w:t xml:space="preserve">0 is roughly equivalent to reducing emissions by </w:t>
      </w:r>
      <w:r>
        <w:t>81</w:t>
      </w:r>
      <w:r w:rsidRPr="00AF0B82">
        <w:t xml:space="preserve"> percent below current levels</w:t>
      </w:r>
      <w:r>
        <w:t>, t</w:t>
      </w:r>
      <w:r w:rsidRPr="00D85EB3">
        <w:t xml:space="preserve">he </w:t>
      </w:r>
      <w:r>
        <w:t>C</w:t>
      </w:r>
      <w:r w:rsidRPr="00D85EB3">
        <w:t xml:space="preserve">PUC has determined that the GHG significance threshold of </w:t>
      </w:r>
      <w:r>
        <w:t>900</w:t>
      </w:r>
      <w:r w:rsidRPr="00D85EB3">
        <w:t xml:space="preserve"> metric tons per year is based on substantial evidence and, therefore, has determined that it is appro</w:t>
      </w:r>
      <w:r>
        <w:t>priate for use in this analysis.</w:t>
      </w:r>
    </w:p>
    <w:p w:rsidR="00056AC1" w:rsidRDefault="00056AC1" w:rsidP="00056AC1">
      <w:pPr>
        <w:pStyle w:val="12space"/>
        <w:rPr>
          <w:spacing w:val="-2"/>
        </w:rPr>
      </w:pPr>
      <w:r>
        <w:rPr>
          <w:spacing w:val="-2"/>
        </w:rPr>
        <w:t>T</w:t>
      </w:r>
      <w:r w:rsidRPr="00FB34FA">
        <w:rPr>
          <w:spacing w:val="-2"/>
        </w:rPr>
        <w:t>his GHG significance threshold is intended for long-term operational GHG emissions</w:t>
      </w:r>
      <w:r>
        <w:rPr>
          <w:spacing w:val="-2"/>
        </w:rPr>
        <w:t>, but f</w:t>
      </w:r>
      <w:r w:rsidRPr="00FB34FA">
        <w:rPr>
          <w:spacing w:val="-2"/>
        </w:rPr>
        <w:t xml:space="preserve">or construction related GHGs, </w:t>
      </w:r>
      <w:r>
        <w:rPr>
          <w:spacing w:val="-2"/>
        </w:rPr>
        <w:t>the County</w:t>
      </w:r>
      <w:r w:rsidRPr="00FB34FA">
        <w:rPr>
          <w:spacing w:val="-2"/>
        </w:rPr>
        <w:t xml:space="preserve"> recommends that total emissions from construction be amortized over </w:t>
      </w:r>
      <w:r>
        <w:rPr>
          <w:spacing w:val="-2"/>
        </w:rPr>
        <w:t>2</w:t>
      </w:r>
      <w:r w:rsidRPr="00FB34FA">
        <w:rPr>
          <w:spacing w:val="-2"/>
        </w:rPr>
        <w:t>0 years</w:t>
      </w:r>
      <w:r>
        <w:rPr>
          <w:spacing w:val="-2"/>
        </w:rPr>
        <w:t xml:space="preserve"> representing the life of the project</w:t>
      </w:r>
      <w:r w:rsidRPr="00FB34FA">
        <w:rPr>
          <w:spacing w:val="-2"/>
        </w:rPr>
        <w:t xml:space="preserve"> and added to operational emissions and then compared to the operation-based significance threshold (</w:t>
      </w:r>
      <w:r>
        <w:rPr>
          <w:spacing w:val="-2"/>
        </w:rPr>
        <w:t>County of San Diego</w:t>
      </w:r>
      <w:r w:rsidRPr="00FB34FA">
        <w:rPr>
          <w:spacing w:val="-2"/>
        </w:rPr>
        <w:t>, 20</w:t>
      </w:r>
      <w:r>
        <w:rPr>
          <w:spacing w:val="-2"/>
        </w:rPr>
        <w:t>15</w:t>
      </w:r>
      <w:r w:rsidRPr="00FB34FA">
        <w:rPr>
          <w:spacing w:val="-2"/>
        </w:rPr>
        <w:t xml:space="preserve">). Similar to the </w:t>
      </w:r>
      <w:r>
        <w:rPr>
          <w:spacing w:val="-2"/>
        </w:rPr>
        <w:t>County</w:t>
      </w:r>
      <w:r w:rsidRPr="00FB34FA">
        <w:rPr>
          <w:spacing w:val="-2"/>
        </w:rPr>
        <w:t xml:space="preserve">’s recommended approach for construction emissions, this analysis amortizes </w:t>
      </w:r>
      <w:r>
        <w:rPr>
          <w:spacing w:val="-2"/>
        </w:rPr>
        <w:t>Proposed Project</w:t>
      </w:r>
      <w:r w:rsidRPr="00FB34FA">
        <w:rPr>
          <w:spacing w:val="-2"/>
        </w:rPr>
        <w:t xml:space="preserve"> construction emissions over a </w:t>
      </w:r>
      <w:r>
        <w:rPr>
          <w:spacing w:val="-2"/>
        </w:rPr>
        <w:t>2</w:t>
      </w:r>
      <w:r w:rsidRPr="00FB34FA">
        <w:rPr>
          <w:spacing w:val="-2"/>
        </w:rPr>
        <w:t>0</w:t>
      </w:r>
      <w:r w:rsidRPr="00FB34FA">
        <w:rPr>
          <w:spacing w:val="-2"/>
        </w:rPr>
        <w:noBreakHyphen/>
        <w:t>year project lifetime</w:t>
      </w:r>
      <w:r>
        <w:rPr>
          <w:spacing w:val="-2"/>
        </w:rPr>
        <w:t>, adds them to the operational emissions,</w:t>
      </w:r>
      <w:r w:rsidRPr="00FB34FA">
        <w:rPr>
          <w:spacing w:val="-2"/>
        </w:rPr>
        <w:t xml:space="preserve"> </w:t>
      </w:r>
      <w:r>
        <w:rPr>
          <w:spacing w:val="-2"/>
        </w:rPr>
        <w:t xml:space="preserve">and </w:t>
      </w:r>
      <w:r w:rsidRPr="00FB34FA">
        <w:rPr>
          <w:spacing w:val="-2"/>
        </w:rPr>
        <w:t xml:space="preserve">then compares </w:t>
      </w:r>
      <w:r>
        <w:rPr>
          <w:spacing w:val="-2"/>
        </w:rPr>
        <w:t>the combined</w:t>
      </w:r>
      <w:r w:rsidRPr="00FB34FA">
        <w:rPr>
          <w:spacing w:val="-2"/>
        </w:rPr>
        <w:t xml:space="preserve"> emissions to the significance threshold of </w:t>
      </w:r>
      <w:r>
        <w:rPr>
          <w:spacing w:val="-2"/>
        </w:rPr>
        <w:t>900</w:t>
      </w:r>
      <w:r w:rsidRPr="00FB34FA">
        <w:rPr>
          <w:spacing w:val="-2"/>
        </w:rPr>
        <w:t xml:space="preserve"> metric tons CO</w:t>
      </w:r>
      <w:r w:rsidRPr="00FB34FA">
        <w:rPr>
          <w:spacing w:val="-2"/>
          <w:vertAlign w:val="subscript"/>
        </w:rPr>
        <w:t>2</w:t>
      </w:r>
      <w:r w:rsidRPr="00FB34FA">
        <w:rPr>
          <w:spacing w:val="-2"/>
        </w:rPr>
        <w:t>e per year.</w:t>
      </w:r>
    </w:p>
    <w:p w:rsidR="00056AC1" w:rsidRPr="004D4AE4" w:rsidRDefault="00056AC1" w:rsidP="00056AC1">
      <w:pPr>
        <w:pStyle w:val="12space"/>
      </w:pPr>
      <w:r>
        <w:t>T</w:t>
      </w:r>
      <w:r w:rsidRPr="0055224E">
        <w:t xml:space="preserve">he Project’s potential to conflict with an applicable plan, policy, or regulation adopted for the purpose of reducing GHG emissions is assessed by examining any potential conflicts with the GHG reduction goals set forth in </w:t>
      </w:r>
      <w:r>
        <w:t xml:space="preserve">Executive Order S-3-05, Executive Order B-30-15, and </w:t>
      </w:r>
      <w:r w:rsidRPr="0055224E">
        <w:t xml:space="preserve">AB 32, including the potential for the </w:t>
      </w:r>
      <w:r>
        <w:t>Proposed P</w:t>
      </w:r>
      <w:r w:rsidRPr="0055224E">
        <w:t xml:space="preserve">roject to conflict with the </w:t>
      </w:r>
      <w:r>
        <w:t>r</w:t>
      </w:r>
      <w:r w:rsidRPr="0055224E">
        <w:t xml:space="preserve">ecommended </w:t>
      </w:r>
      <w:r>
        <w:t>a</w:t>
      </w:r>
      <w:r w:rsidRPr="0055224E">
        <w:t xml:space="preserve">ctions identified by CARB in its Climate Change Scoping Plan and/or </w:t>
      </w:r>
      <w:r>
        <w:t xml:space="preserve">any </w:t>
      </w:r>
      <w:r w:rsidRPr="0055224E">
        <w:t>associated adopted regulations.</w:t>
      </w:r>
    </w:p>
    <w:p w:rsidR="00056AC1" w:rsidRPr="00BC2694" w:rsidRDefault="00056AC1" w:rsidP="00056AC1">
      <w:pPr>
        <w:pStyle w:val="Heading7"/>
      </w:pPr>
      <w:r w:rsidRPr="007479E4">
        <w:t>Construction Emissions</w:t>
      </w:r>
    </w:p>
    <w:p w:rsidR="00056AC1" w:rsidRPr="00B15A33" w:rsidRDefault="00056AC1" w:rsidP="00056AC1">
      <w:pPr>
        <w:pStyle w:val="12space"/>
      </w:pPr>
      <w:r>
        <w:t xml:space="preserve">Construction of the Proposed </w:t>
      </w:r>
      <w:r w:rsidRPr="00271B89">
        <w:t xml:space="preserve">Project would generate </w:t>
      </w:r>
      <w:r>
        <w:t xml:space="preserve">GHG </w:t>
      </w:r>
      <w:r w:rsidRPr="00271B89">
        <w:t xml:space="preserve">emissions </w:t>
      </w:r>
      <w:r>
        <w:t>over a construction period of approximately 30 months</w:t>
      </w:r>
      <w:r w:rsidRPr="00271B89">
        <w:t xml:space="preserve">. Exhaust emissions </w:t>
      </w:r>
      <w:r>
        <w:t xml:space="preserve">would </w:t>
      </w:r>
      <w:r w:rsidRPr="00271B89">
        <w:t xml:space="preserve">result from </w:t>
      </w:r>
      <w:r>
        <w:t xml:space="preserve">construction </w:t>
      </w:r>
      <w:r w:rsidRPr="00271B89">
        <w:t>equipment and machinery</w:t>
      </w:r>
      <w:r>
        <w:t xml:space="preserve"> as well as from</w:t>
      </w:r>
      <w:r w:rsidRPr="00F32463">
        <w:t xml:space="preserve"> </w:t>
      </w:r>
      <w:r w:rsidRPr="00271B89">
        <w:t xml:space="preserve">vehicular traffic generated by construction activities. </w:t>
      </w:r>
      <w:r>
        <w:t xml:space="preserve">As part of the CPUC’s Permit to Construct application process, SDG&amp;E provided construction-related GHG emissions estimates for the construction activities that would be associated with the Proposed Project (see </w:t>
      </w:r>
      <w:r w:rsidR="00E3166B">
        <w:t>Appendix C</w:t>
      </w:r>
      <w:r>
        <w:t xml:space="preserve">, </w:t>
      </w:r>
      <w:r>
        <w:rPr>
          <w:i/>
        </w:rPr>
        <w:t xml:space="preserve">Air Quality and Greenhouse Gas Emissions </w:t>
      </w:r>
      <w:r w:rsidRPr="00F71AE1">
        <w:rPr>
          <w:i/>
        </w:rPr>
        <w:t>Calculations</w:t>
      </w:r>
      <w:r>
        <w:t>).</w:t>
      </w:r>
      <w:r w:rsidRPr="008F0CA9">
        <w:rPr>
          <w:spacing w:val="-2"/>
        </w:rPr>
        <w:t xml:space="preserve"> </w:t>
      </w:r>
      <w:r>
        <w:rPr>
          <w:spacing w:val="-2"/>
        </w:rPr>
        <w:t xml:space="preserve">SDG&amp;E estimated Proposed </w:t>
      </w:r>
      <w:r>
        <w:t>P</w:t>
      </w:r>
      <w:r w:rsidRPr="00D9462A">
        <w:t xml:space="preserve">roject </w:t>
      </w:r>
      <w:r>
        <w:t>emissions</w:t>
      </w:r>
      <w:r w:rsidRPr="00D9462A">
        <w:t xml:space="preserve"> using the California Emissions Estimator Model (CalEEMod</w:t>
      </w:r>
      <w:r>
        <w:t>) version 2013.2.2. This version of CalEEMod</w:t>
      </w:r>
      <w:r w:rsidRPr="00552CD1">
        <w:t xml:space="preserve"> calculates the </w:t>
      </w:r>
      <w:r>
        <w:t xml:space="preserve">construction equipment </w:t>
      </w:r>
      <w:r w:rsidRPr="00552CD1">
        <w:t xml:space="preserve">exhaust emissions based on </w:t>
      </w:r>
      <w:r>
        <w:t>C</w:t>
      </w:r>
      <w:r w:rsidRPr="00552CD1">
        <w:t>ARB</w:t>
      </w:r>
      <w:r>
        <w:t>’s</w:t>
      </w:r>
      <w:r w:rsidRPr="00552CD1">
        <w:t xml:space="preserve"> OFFROAD20</w:t>
      </w:r>
      <w:r>
        <w:t xml:space="preserve">11equipment emission and load factors. See </w:t>
      </w:r>
      <w:r w:rsidRPr="00B15A33">
        <w:t xml:space="preserve">Appendix </w:t>
      </w:r>
      <w:r w:rsidR="00E3166B">
        <w:t>C</w:t>
      </w:r>
      <w:r w:rsidRPr="00B15A33">
        <w:t xml:space="preserve"> for all emission factors and assumptions used to estimate GHG emissions that would be associated with construction of the </w:t>
      </w:r>
      <w:r>
        <w:t xml:space="preserve">Proposed </w:t>
      </w:r>
      <w:r w:rsidRPr="00B15A33">
        <w:t>Project.</w:t>
      </w:r>
    </w:p>
    <w:p w:rsidR="00056AC1" w:rsidRPr="00B15A33" w:rsidRDefault="00774364" w:rsidP="00056AC1">
      <w:pPr>
        <w:pStyle w:val="12space"/>
      </w:pPr>
      <w:r w:rsidRPr="00774364">
        <w:t xml:space="preserve">SDG&amp;E's emissions calculations were independently reviewed on behalf of the CPUC and, with the corrections noted, were found suitable for this analysis. </w:t>
      </w:r>
      <w:r w:rsidR="00056AC1" w:rsidRPr="00B15A33">
        <w:t xml:space="preserve">The short-term construction emissions estimates provided by </w:t>
      </w:r>
      <w:r w:rsidR="00056AC1" w:rsidRPr="00A321CE">
        <w:t>SDG&amp;E</w:t>
      </w:r>
      <w:r w:rsidR="00056AC1" w:rsidRPr="00B15A33">
        <w:t xml:space="preserve"> </w:t>
      </w:r>
      <w:r w:rsidR="004B7A27">
        <w:t xml:space="preserve">(SDG&amp;E, 2016) </w:t>
      </w:r>
      <w:r w:rsidR="00056AC1" w:rsidRPr="00B15A33">
        <w:t xml:space="preserve">do not include indirect emissions estimates associated with the proposed use of </w:t>
      </w:r>
      <w:r w:rsidR="00056AC1">
        <w:t>10 million gallons of</w:t>
      </w:r>
      <w:r w:rsidR="00056AC1" w:rsidRPr="00B15A33">
        <w:t xml:space="preserve"> water for </w:t>
      </w:r>
      <w:r w:rsidR="00056AC1" w:rsidRPr="00A321CE">
        <w:t>potable uses, dust suppression, concrete mixing</w:t>
      </w:r>
      <w:r w:rsidR="00056AC1">
        <w:t>,</w:t>
      </w:r>
      <w:r w:rsidR="00056AC1" w:rsidRPr="00A321CE">
        <w:t xml:space="preserve"> and other construction activities</w:t>
      </w:r>
      <w:r w:rsidR="00056AC1" w:rsidRPr="00B15A33">
        <w:t xml:space="preserve">. Therefore, </w:t>
      </w:r>
      <w:r w:rsidR="00056AC1">
        <w:t>SDG&amp;E</w:t>
      </w:r>
      <w:r w:rsidR="00056AC1" w:rsidRPr="00B15A33">
        <w:t xml:space="preserve">’s emissions estimates </w:t>
      </w:r>
      <w:r w:rsidR="00056AC1">
        <w:t xml:space="preserve">were supplemented </w:t>
      </w:r>
      <w:r w:rsidR="00056AC1" w:rsidRPr="00B15A33">
        <w:t>to include construction-related indirect short-term electricity usage-related GHG emissions associated with proposed water use using emission and use factors established by the California Energy Commission (CEC) and T</w:t>
      </w:r>
      <w:r w:rsidR="00056AC1">
        <w:t xml:space="preserve">he </w:t>
      </w:r>
      <w:r w:rsidR="00056AC1" w:rsidRPr="00B15A33">
        <w:t>C</w:t>
      </w:r>
      <w:r w:rsidR="00056AC1">
        <w:t xml:space="preserve">limate </w:t>
      </w:r>
      <w:r w:rsidR="00056AC1" w:rsidRPr="00B15A33">
        <w:t>R</w:t>
      </w:r>
      <w:r w:rsidR="00056AC1">
        <w:t>egistry</w:t>
      </w:r>
      <w:r w:rsidR="00056AC1" w:rsidRPr="00B15A33">
        <w:t xml:space="preserve"> (CEC, 2005; TCR, 2016). </w:t>
      </w:r>
      <w:r w:rsidR="00056AC1" w:rsidRPr="00A321CE">
        <w:t xml:space="preserve">In addition, during the peak of construction </w:t>
      </w:r>
      <w:r w:rsidR="00DB2732">
        <w:t>traffic</w:t>
      </w:r>
      <w:r w:rsidR="00056AC1">
        <w:t xml:space="preserve"> </w:t>
      </w:r>
      <w:r w:rsidR="00E3166B">
        <w:t>(</w:t>
      </w:r>
      <w:r w:rsidR="00DB2732">
        <w:t xml:space="preserve">see </w:t>
      </w:r>
      <w:r w:rsidR="00E3166B">
        <w:t>Table 2-14)</w:t>
      </w:r>
      <w:r w:rsidR="00056AC1">
        <w:t xml:space="preserve"> there would be</w:t>
      </w:r>
      <w:r w:rsidR="00056AC1" w:rsidRPr="00A321CE">
        <w:t xml:space="preserve"> 30 one-way heavy truck haul trips per day </w:t>
      </w:r>
      <w:r w:rsidR="00056AC1" w:rsidRPr="00A321CE">
        <w:rPr>
          <w:bCs/>
        </w:rPr>
        <w:t>associated with underground trenching work for the conduit substructure</w:t>
      </w:r>
      <w:r w:rsidR="00056AC1" w:rsidRPr="00A321CE">
        <w:t xml:space="preserve">. These trips </w:t>
      </w:r>
      <w:r w:rsidR="00056AC1">
        <w:t>were not</w:t>
      </w:r>
      <w:r w:rsidR="00056AC1" w:rsidRPr="00A321CE">
        <w:t xml:space="preserve"> accounted for in SDG&amp;E’s emissions estimates</w:t>
      </w:r>
      <w:r w:rsidR="00056AC1">
        <w:t xml:space="preserve"> (ESA, 2017b)</w:t>
      </w:r>
      <w:r w:rsidR="00056AC1" w:rsidRPr="00A321CE">
        <w:t xml:space="preserve">, so </w:t>
      </w:r>
      <w:r w:rsidR="00056AC1">
        <w:t>the</w:t>
      </w:r>
      <w:r w:rsidR="00056AC1" w:rsidRPr="00A321CE">
        <w:t xml:space="preserve"> emissions that would be associated with those trips </w:t>
      </w:r>
      <w:r w:rsidR="00056AC1">
        <w:t xml:space="preserve">were estimated </w:t>
      </w:r>
      <w:r w:rsidR="00056AC1" w:rsidRPr="00A321CE">
        <w:t xml:space="preserve">using CARB EMFAC2014 (v1.0.7) emission rates for heavy duty trucks, and incorporated them into the overall emission estimates. </w:t>
      </w:r>
      <w:r w:rsidR="00056AC1" w:rsidRPr="00B15A33">
        <w:t xml:space="preserve">See </w:t>
      </w:r>
      <w:r w:rsidR="00E3166B">
        <w:t>Appendix C</w:t>
      </w:r>
      <w:r w:rsidR="00056AC1" w:rsidRPr="00B15A33">
        <w:t xml:space="preserve"> for all emission factors and assumptions used to estimate GHG emissions that would be associated with construction of the </w:t>
      </w:r>
      <w:r w:rsidR="00056AC1">
        <w:t>P</w:t>
      </w:r>
      <w:r w:rsidR="00056AC1" w:rsidRPr="00B15A33">
        <w:t>roposed Project.</w:t>
      </w:r>
    </w:p>
    <w:p w:rsidR="00056AC1" w:rsidRDefault="00056AC1" w:rsidP="00056AC1">
      <w:pPr>
        <w:pStyle w:val="12space"/>
      </w:pPr>
      <w:r w:rsidRPr="00B15A33">
        <w:rPr>
          <w:b/>
        </w:rPr>
        <w:t xml:space="preserve">Table </w:t>
      </w:r>
      <w:r w:rsidR="004D6D4A">
        <w:rPr>
          <w:b/>
        </w:rPr>
        <w:t>3.8-</w:t>
      </w:r>
      <w:r w:rsidRPr="00B15A33">
        <w:rPr>
          <w:b/>
        </w:rPr>
        <w:t>2</w:t>
      </w:r>
      <w:r w:rsidRPr="00B15A33">
        <w:t xml:space="preserve"> presents the total estimated GHG construction emissions that would be associated with the </w:t>
      </w:r>
      <w:r>
        <w:t xml:space="preserve">Proposed </w:t>
      </w:r>
      <w:r w:rsidRPr="00B15A33">
        <w:t>Project generated by off-road construction equipment, on-road vehicles, and water use. Approximately 2,</w:t>
      </w:r>
      <w:r>
        <w:t>464</w:t>
      </w:r>
      <w:r w:rsidRPr="00B15A33">
        <w:t> metric tons of CO</w:t>
      </w:r>
      <w:r w:rsidRPr="00B15A33">
        <w:rPr>
          <w:vertAlign w:val="subscript"/>
        </w:rPr>
        <w:t>2</w:t>
      </w:r>
      <w:r w:rsidRPr="00B15A33">
        <w:t xml:space="preserve">e would be generated during the </w:t>
      </w:r>
      <w:r>
        <w:t xml:space="preserve">Proposed </w:t>
      </w:r>
      <w:r w:rsidRPr="00B15A33">
        <w:t xml:space="preserve">Project’s </w:t>
      </w:r>
      <w:r>
        <w:t>30</w:t>
      </w:r>
      <w:r w:rsidRPr="00B15A33">
        <w:t>-month construction phase.</w:t>
      </w:r>
    </w:p>
    <w:p w:rsidR="00056AC1" w:rsidRPr="007E544B" w:rsidRDefault="00056AC1" w:rsidP="00056AC1">
      <w:pPr>
        <w:pStyle w:val="TableNoTitle"/>
      </w:pPr>
      <w:r>
        <w:t>Tab</w:t>
      </w:r>
      <w:r w:rsidRPr="00234733">
        <w:t xml:space="preserve">le </w:t>
      </w:r>
      <w:r w:rsidR="004D6D4A">
        <w:t>3.8-</w:t>
      </w:r>
      <w:r>
        <w:t>2</w:t>
      </w:r>
      <w:r>
        <w:br/>
        <w:t>Proposed Project c</w:t>
      </w:r>
      <w:r w:rsidRPr="00234733">
        <w:t xml:space="preserve">onstruction </w:t>
      </w:r>
      <w:r>
        <w:t xml:space="preserve">GHG </w:t>
      </w:r>
      <w:r w:rsidRPr="00234733">
        <w:t>Emissions</w:t>
      </w:r>
    </w:p>
    <w:tbl>
      <w:tblPr>
        <w:tblW w:w="0" w:type="auto"/>
        <w:tblInd w:w="101" w:type="dxa"/>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2527"/>
        <w:gridCol w:w="1224"/>
        <w:gridCol w:w="1224"/>
        <w:gridCol w:w="1224"/>
        <w:gridCol w:w="1224"/>
        <w:gridCol w:w="1224"/>
      </w:tblGrid>
      <w:tr w:rsidR="00056AC1" w:rsidRPr="007E544B" w:rsidTr="00056AC1">
        <w:trPr>
          <w:trHeight w:val="225"/>
        </w:trPr>
        <w:tc>
          <w:tcPr>
            <w:tcW w:w="2527" w:type="dxa"/>
            <w:vMerge w:val="restart"/>
            <w:tcBorders>
              <w:bottom w:val="single" w:sz="2" w:space="0" w:color="auto"/>
            </w:tcBorders>
            <w:shd w:val="clear" w:color="auto" w:fill="auto"/>
            <w:noWrap/>
            <w:vAlign w:val="bottom"/>
          </w:tcPr>
          <w:p w:rsidR="00056AC1" w:rsidRPr="007E544B" w:rsidRDefault="00056AC1" w:rsidP="00056AC1">
            <w:pPr>
              <w:pStyle w:val="Tablecolumnheading"/>
            </w:pPr>
            <w:r>
              <w:t xml:space="preserve">Construction </w:t>
            </w:r>
            <w:r w:rsidRPr="007E544B">
              <w:t>Phase</w:t>
            </w:r>
          </w:p>
        </w:tc>
        <w:tc>
          <w:tcPr>
            <w:tcW w:w="4896" w:type="dxa"/>
            <w:gridSpan w:val="4"/>
            <w:tcBorders>
              <w:bottom w:val="single" w:sz="2" w:space="0" w:color="auto"/>
            </w:tcBorders>
            <w:shd w:val="clear" w:color="auto" w:fill="auto"/>
            <w:noWrap/>
            <w:vAlign w:val="bottom"/>
          </w:tcPr>
          <w:p w:rsidR="00056AC1" w:rsidRPr="007E544B" w:rsidRDefault="00056AC1" w:rsidP="00056AC1">
            <w:pPr>
              <w:pStyle w:val="Tablecolumnheading"/>
              <w:spacing w:after="60"/>
              <w:jc w:val="center"/>
            </w:pPr>
            <w:r>
              <w:t>Construction Year</w:t>
            </w:r>
          </w:p>
        </w:tc>
        <w:tc>
          <w:tcPr>
            <w:tcW w:w="1224" w:type="dxa"/>
            <w:vMerge w:val="restart"/>
            <w:tcBorders>
              <w:bottom w:val="single" w:sz="2" w:space="0" w:color="auto"/>
            </w:tcBorders>
            <w:shd w:val="clear" w:color="auto" w:fill="auto"/>
            <w:noWrap/>
            <w:vAlign w:val="bottom"/>
          </w:tcPr>
          <w:p w:rsidR="00056AC1" w:rsidRPr="007E544B" w:rsidRDefault="00056AC1" w:rsidP="00056AC1">
            <w:pPr>
              <w:pStyle w:val="Tablecolumnheading"/>
              <w:jc w:val="center"/>
            </w:pPr>
            <w:r w:rsidRPr="007E544B">
              <w:t>Total</w:t>
            </w:r>
          </w:p>
        </w:tc>
      </w:tr>
      <w:tr w:rsidR="00056AC1" w:rsidRPr="007E544B" w:rsidTr="00056AC1">
        <w:trPr>
          <w:trHeight w:val="225"/>
        </w:trPr>
        <w:tc>
          <w:tcPr>
            <w:tcW w:w="2527" w:type="dxa"/>
            <w:vMerge/>
            <w:tcBorders>
              <w:bottom w:val="single" w:sz="12" w:space="0" w:color="auto"/>
            </w:tcBorders>
            <w:shd w:val="clear" w:color="auto" w:fill="auto"/>
            <w:noWrap/>
            <w:vAlign w:val="bottom"/>
            <w:hideMark/>
          </w:tcPr>
          <w:p w:rsidR="00056AC1" w:rsidRPr="007E544B" w:rsidRDefault="00056AC1" w:rsidP="00056AC1">
            <w:pPr>
              <w:pStyle w:val="Tablecolumnheading"/>
            </w:pPr>
          </w:p>
        </w:tc>
        <w:tc>
          <w:tcPr>
            <w:tcW w:w="1224" w:type="dxa"/>
            <w:tcBorders>
              <w:bottom w:val="single" w:sz="12" w:space="0" w:color="auto"/>
            </w:tcBorders>
            <w:shd w:val="clear" w:color="auto" w:fill="auto"/>
            <w:noWrap/>
            <w:vAlign w:val="bottom"/>
            <w:hideMark/>
          </w:tcPr>
          <w:p w:rsidR="00056AC1" w:rsidRPr="007E544B" w:rsidRDefault="00056AC1" w:rsidP="00056AC1">
            <w:pPr>
              <w:pStyle w:val="Tablecolumnheading"/>
              <w:spacing w:before="60"/>
              <w:jc w:val="center"/>
            </w:pPr>
            <w:r w:rsidRPr="007E544B">
              <w:t>2018</w:t>
            </w:r>
          </w:p>
        </w:tc>
        <w:tc>
          <w:tcPr>
            <w:tcW w:w="1224" w:type="dxa"/>
            <w:tcBorders>
              <w:bottom w:val="single" w:sz="12" w:space="0" w:color="auto"/>
            </w:tcBorders>
            <w:shd w:val="clear" w:color="auto" w:fill="auto"/>
            <w:noWrap/>
            <w:vAlign w:val="bottom"/>
            <w:hideMark/>
          </w:tcPr>
          <w:p w:rsidR="00056AC1" w:rsidRPr="007E544B" w:rsidRDefault="00056AC1" w:rsidP="00056AC1">
            <w:pPr>
              <w:pStyle w:val="Tablecolumnheading"/>
              <w:spacing w:before="60"/>
              <w:jc w:val="center"/>
            </w:pPr>
            <w:r w:rsidRPr="007E544B">
              <w:t>2019</w:t>
            </w:r>
          </w:p>
        </w:tc>
        <w:tc>
          <w:tcPr>
            <w:tcW w:w="1224" w:type="dxa"/>
            <w:tcBorders>
              <w:bottom w:val="single" w:sz="12" w:space="0" w:color="auto"/>
            </w:tcBorders>
            <w:shd w:val="clear" w:color="auto" w:fill="auto"/>
            <w:noWrap/>
            <w:vAlign w:val="bottom"/>
            <w:hideMark/>
          </w:tcPr>
          <w:p w:rsidR="00056AC1" w:rsidRPr="007E544B" w:rsidRDefault="00056AC1" w:rsidP="00056AC1">
            <w:pPr>
              <w:pStyle w:val="Tablecolumnheading"/>
              <w:spacing w:before="60"/>
              <w:jc w:val="center"/>
            </w:pPr>
            <w:r w:rsidRPr="007E544B">
              <w:t>2020</w:t>
            </w:r>
          </w:p>
        </w:tc>
        <w:tc>
          <w:tcPr>
            <w:tcW w:w="1224" w:type="dxa"/>
            <w:tcBorders>
              <w:bottom w:val="single" w:sz="12" w:space="0" w:color="auto"/>
            </w:tcBorders>
            <w:shd w:val="clear" w:color="auto" w:fill="auto"/>
            <w:noWrap/>
            <w:vAlign w:val="bottom"/>
            <w:hideMark/>
          </w:tcPr>
          <w:p w:rsidR="00056AC1" w:rsidRPr="007E544B" w:rsidRDefault="00056AC1" w:rsidP="00056AC1">
            <w:pPr>
              <w:pStyle w:val="Tablecolumnheading"/>
              <w:spacing w:before="60"/>
              <w:jc w:val="center"/>
            </w:pPr>
            <w:r w:rsidRPr="007E544B">
              <w:t>2021</w:t>
            </w:r>
          </w:p>
        </w:tc>
        <w:tc>
          <w:tcPr>
            <w:tcW w:w="1224" w:type="dxa"/>
            <w:vMerge/>
            <w:tcBorders>
              <w:bottom w:val="single" w:sz="12" w:space="0" w:color="auto"/>
            </w:tcBorders>
            <w:shd w:val="clear" w:color="auto" w:fill="auto"/>
            <w:noWrap/>
            <w:vAlign w:val="bottom"/>
            <w:hideMark/>
          </w:tcPr>
          <w:p w:rsidR="00056AC1" w:rsidRPr="007E544B" w:rsidRDefault="00056AC1" w:rsidP="00056AC1">
            <w:pPr>
              <w:pStyle w:val="Tablecolumnheading"/>
              <w:jc w:val="center"/>
            </w:pPr>
          </w:p>
        </w:tc>
      </w:tr>
      <w:tr w:rsidR="00056AC1" w:rsidRPr="007E544B" w:rsidTr="00056AC1">
        <w:trPr>
          <w:trHeight w:val="225"/>
        </w:trPr>
        <w:tc>
          <w:tcPr>
            <w:tcW w:w="2527" w:type="dxa"/>
            <w:tcBorders>
              <w:top w:val="single" w:sz="12" w:space="0" w:color="auto"/>
            </w:tcBorders>
            <w:shd w:val="clear" w:color="auto" w:fill="auto"/>
            <w:noWrap/>
            <w:vAlign w:val="bottom"/>
            <w:hideMark/>
          </w:tcPr>
          <w:p w:rsidR="00056AC1" w:rsidRPr="007E544B" w:rsidRDefault="00056AC1" w:rsidP="00D56378">
            <w:pPr>
              <w:pStyle w:val="Tabletext"/>
              <w:spacing w:before="50" w:after="50"/>
            </w:pPr>
            <w:r w:rsidRPr="007E544B">
              <w:t>Phase 1</w:t>
            </w:r>
          </w:p>
        </w:tc>
        <w:tc>
          <w:tcPr>
            <w:tcW w:w="1224" w:type="dxa"/>
            <w:tcBorders>
              <w:top w:val="single" w:sz="12" w:space="0" w:color="auto"/>
            </w:tcBorders>
            <w:shd w:val="clear" w:color="auto" w:fill="auto"/>
            <w:noWrap/>
            <w:vAlign w:val="bottom"/>
            <w:hideMark/>
          </w:tcPr>
          <w:p w:rsidR="00056AC1" w:rsidRPr="007E544B" w:rsidRDefault="00056AC1" w:rsidP="00D56378">
            <w:pPr>
              <w:pStyle w:val="Tabletext"/>
              <w:tabs>
                <w:tab w:val="decimal" w:pos="653"/>
              </w:tabs>
              <w:spacing w:before="50" w:after="50"/>
            </w:pPr>
            <w:r w:rsidRPr="007E544B">
              <w:t>409</w:t>
            </w:r>
          </w:p>
        </w:tc>
        <w:tc>
          <w:tcPr>
            <w:tcW w:w="1224" w:type="dxa"/>
            <w:tcBorders>
              <w:top w:val="single" w:sz="12" w:space="0" w:color="auto"/>
            </w:tcBorders>
            <w:shd w:val="clear" w:color="auto" w:fill="auto"/>
            <w:noWrap/>
            <w:vAlign w:val="bottom"/>
            <w:hideMark/>
          </w:tcPr>
          <w:p w:rsidR="00056AC1" w:rsidRPr="007E544B" w:rsidRDefault="00056AC1" w:rsidP="00D56378">
            <w:pPr>
              <w:pStyle w:val="Tabletext"/>
              <w:tabs>
                <w:tab w:val="decimal" w:pos="653"/>
              </w:tabs>
              <w:spacing w:before="50" w:after="50"/>
            </w:pPr>
            <w:r w:rsidRPr="007E544B">
              <w:t>424</w:t>
            </w:r>
          </w:p>
        </w:tc>
        <w:tc>
          <w:tcPr>
            <w:tcW w:w="1224" w:type="dxa"/>
            <w:tcBorders>
              <w:top w:val="single" w:sz="12" w:space="0" w:color="auto"/>
            </w:tcBorders>
            <w:shd w:val="clear" w:color="auto" w:fill="auto"/>
            <w:noWrap/>
            <w:vAlign w:val="bottom"/>
            <w:hideMark/>
          </w:tcPr>
          <w:p w:rsidR="00056AC1" w:rsidRPr="007E544B" w:rsidRDefault="00056AC1" w:rsidP="00D56378">
            <w:pPr>
              <w:pStyle w:val="Tabletext"/>
              <w:tabs>
                <w:tab w:val="decimal" w:pos="653"/>
              </w:tabs>
              <w:spacing w:before="50" w:after="50"/>
            </w:pPr>
            <w:r w:rsidRPr="007E544B">
              <w:t>9</w:t>
            </w:r>
          </w:p>
        </w:tc>
        <w:tc>
          <w:tcPr>
            <w:tcW w:w="1224" w:type="dxa"/>
            <w:tcBorders>
              <w:top w:val="single" w:sz="12" w:space="0" w:color="auto"/>
            </w:tcBorders>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tcBorders>
              <w:top w:val="single" w:sz="12" w:space="0" w:color="auto"/>
            </w:tcBorders>
            <w:shd w:val="clear" w:color="auto" w:fill="auto"/>
            <w:noWrap/>
            <w:vAlign w:val="bottom"/>
            <w:hideMark/>
          </w:tcPr>
          <w:p w:rsidR="00056AC1" w:rsidRPr="007E544B" w:rsidRDefault="00056AC1" w:rsidP="00D56378">
            <w:pPr>
              <w:pStyle w:val="Tabletext"/>
              <w:tabs>
                <w:tab w:val="decimal" w:pos="653"/>
              </w:tabs>
              <w:spacing w:before="50" w:after="50"/>
            </w:pPr>
            <w:r w:rsidRPr="007E544B">
              <w:t>842</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2</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598</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598</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3</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11</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11</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4</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11</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5</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138</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138</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6</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56</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56</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7</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102</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102</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8</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9</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9</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9</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21</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21</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Phase 10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639</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639</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Staging Yard Preparation</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5</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Demobilization</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0</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3</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3</w:t>
            </w:r>
          </w:p>
        </w:tc>
      </w:tr>
      <w:tr w:rsidR="00056AC1" w:rsidRPr="007E544B" w:rsidTr="00056AC1">
        <w:trPr>
          <w:trHeight w:val="225"/>
        </w:trPr>
        <w:tc>
          <w:tcPr>
            <w:tcW w:w="2527" w:type="dxa"/>
            <w:shd w:val="clear" w:color="auto" w:fill="auto"/>
            <w:noWrap/>
            <w:vAlign w:val="bottom"/>
          </w:tcPr>
          <w:p w:rsidR="00056AC1" w:rsidRPr="007E544B" w:rsidRDefault="00056AC1" w:rsidP="00D56378">
            <w:pPr>
              <w:pStyle w:val="Tabletext"/>
              <w:spacing w:before="50" w:after="50"/>
            </w:pPr>
            <w:r w:rsidRPr="005E26FE">
              <w:t>Water Use</w:t>
            </w:r>
          </w:p>
        </w:tc>
        <w:tc>
          <w:tcPr>
            <w:tcW w:w="1224" w:type="dxa"/>
            <w:shd w:val="clear" w:color="auto" w:fill="auto"/>
            <w:noWrap/>
            <w:vAlign w:val="bottom"/>
          </w:tcPr>
          <w:p w:rsidR="00056AC1" w:rsidRPr="007E544B" w:rsidRDefault="00056AC1" w:rsidP="00D56378">
            <w:pPr>
              <w:pStyle w:val="Tabletext"/>
              <w:tabs>
                <w:tab w:val="decimal" w:pos="653"/>
              </w:tabs>
              <w:spacing w:before="50" w:after="50"/>
            </w:pPr>
          </w:p>
        </w:tc>
        <w:tc>
          <w:tcPr>
            <w:tcW w:w="1224" w:type="dxa"/>
            <w:shd w:val="clear" w:color="auto" w:fill="auto"/>
            <w:noWrap/>
            <w:vAlign w:val="bottom"/>
          </w:tcPr>
          <w:p w:rsidR="00056AC1" w:rsidRPr="007E544B" w:rsidRDefault="00056AC1" w:rsidP="00D56378">
            <w:pPr>
              <w:pStyle w:val="Tabletext"/>
              <w:tabs>
                <w:tab w:val="decimal" w:pos="653"/>
              </w:tabs>
              <w:spacing w:before="50" w:after="50"/>
            </w:pPr>
          </w:p>
        </w:tc>
        <w:tc>
          <w:tcPr>
            <w:tcW w:w="1224" w:type="dxa"/>
            <w:shd w:val="clear" w:color="auto" w:fill="auto"/>
            <w:noWrap/>
            <w:vAlign w:val="bottom"/>
          </w:tcPr>
          <w:p w:rsidR="00056AC1" w:rsidRPr="007E544B" w:rsidRDefault="00056AC1" w:rsidP="00D56378">
            <w:pPr>
              <w:pStyle w:val="Tabletext"/>
              <w:tabs>
                <w:tab w:val="decimal" w:pos="653"/>
              </w:tabs>
              <w:spacing w:before="50" w:after="50"/>
            </w:pPr>
          </w:p>
        </w:tc>
        <w:tc>
          <w:tcPr>
            <w:tcW w:w="1224" w:type="dxa"/>
            <w:shd w:val="clear" w:color="auto" w:fill="auto"/>
            <w:noWrap/>
            <w:vAlign w:val="bottom"/>
          </w:tcPr>
          <w:p w:rsidR="00056AC1" w:rsidRPr="007E544B" w:rsidRDefault="00056AC1" w:rsidP="00D56378">
            <w:pPr>
              <w:pStyle w:val="Tabletext"/>
              <w:tabs>
                <w:tab w:val="decimal" w:pos="653"/>
              </w:tabs>
              <w:spacing w:before="50" w:after="50"/>
            </w:pPr>
          </w:p>
        </w:tc>
        <w:tc>
          <w:tcPr>
            <w:tcW w:w="1224" w:type="dxa"/>
            <w:shd w:val="clear" w:color="auto" w:fill="auto"/>
            <w:noWrap/>
            <w:vAlign w:val="bottom"/>
          </w:tcPr>
          <w:p w:rsidR="00056AC1" w:rsidRPr="007E544B" w:rsidRDefault="00056AC1" w:rsidP="00D56378">
            <w:pPr>
              <w:pStyle w:val="Tabletext"/>
              <w:tabs>
                <w:tab w:val="decimal" w:pos="653"/>
              </w:tabs>
              <w:spacing w:before="50" w:after="50"/>
            </w:pPr>
            <w:r>
              <w:t>30</w:t>
            </w:r>
          </w:p>
        </w:tc>
      </w:tr>
      <w:tr w:rsidR="00056AC1" w:rsidRPr="007E544B" w:rsidTr="00056AC1">
        <w:trPr>
          <w:trHeight w:val="225"/>
        </w:trPr>
        <w:tc>
          <w:tcPr>
            <w:tcW w:w="2527" w:type="dxa"/>
            <w:shd w:val="clear" w:color="auto" w:fill="auto"/>
            <w:noWrap/>
            <w:vAlign w:val="bottom"/>
            <w:hideMark/>
          </w:tcPr>
          <w:p w:rsidR="00056AC1" w:rsidRPr="007E544B" w:rsidRDefault="00056AC1" w:rsidP="00D56378">
            <w:pPr>
              <w:pStyle w:val="Tabletext"/>
              <w:spacing w:before="50" w:after="50"/>
            </w:pPr>
            <w:r w:rsidRPr="007E544B">
              <w:t>Total</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444</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1,242</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745</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3</w:t>
            </w:r>
          </w:p>
        </w:tc>
        <w:tc>
          <w:tcPr>
            <w:tcW w:w="1224" w:type="dxa"/>
            <w:shd w:val="clear" w:color="auto" w:fill="auto"/>
            <w:noWrap/>
            <w:vAlign w:val="bottom"/>
            <w:hideMark/>
          </w:tcPr>
          <w:p w:rsidR="00056AC1" w:rsidRPr="007E544B" w:rsidRDefault="00056AC1" w:rsidP="00D56378">
            <w:pPr>
              <w:pStyle w:val="Tabletext"/>
              <w:tabs>
                <w:tab w:val="decimal" w:pos="653"/>
              </w:tabs>
              <w:spacing w:before="50" w:after="50"/>
            </w:pPr>
            <w:r w:rsidRPr="007E544B">
              <w:t>2,4</w:t>
            </w:r>
            <w:r>
              <w:t>6</w:t>
            </w:r>
            <w:r w:rsidRPr="007E544B">
              <w:t>4</w:t>
            </w:r>
          </w:p>
        </w:tc>
      </w:tr>
    </w:tbl>
    <w:p w:rsidR="00056AC1" w:rsidRDefault="00056AC1" w:rsidP="00056AC1">
      <w:pPr>
        <w:pStyle w:val="TableSource"/>
      </w:pPr>
    </w:p>
    <w:p w:rsidR="00056AC1" w:rsidRPr="007F7A9F" w:rsidRDefault="00056AC1" w:rsidP="00056AC1">
      <w:pPr>
        <w:pStyle w:val="TableSource"/>
      </w:pPr>
      <w:r w:rsidRPr="00427EDC">
        <w:t xml:space="preserve">SOURCE: </w:t>
      </w:r>
      <w:r>
        <w:t>SDG&amp;E, 2016</w:t>
      </w:r>
      <w:r w:rsidRPr="00427EDC">
        <w:t xml:space="preserve"> and ESA, 201</w:t>
      </w:r>
      <w:r>
        <w:t>7 (</w:t>
      </w:r>
      <w:r w:rsidR="00E3166B">
        <w:t>s</w:t>
      </w:r>
      <w:r>
        <w:t xml:space="preserve">ee </w:t>
      </w:r>
      <w:r w:rsidR="00E3166B">
        <w:t>Appendix C</w:t>
      </w:r>
      <w:r>
        <w:t>).</w:t>
      </w:r>
    </w:p>
    <w:p w:rsidR="00056AC1" w:rsidRPr="00FB34FA" w:rsidRDefault="00056AC1" w:rsidP="00056AC1">
      <w:pPr>
        <w:pStyle w:val="Tableclosingborder"/>
        <w:spacing w:after="360"/>
      </w:pPr>
    </w:p>
    <w:p w:rsidR="008A03D1" w:rsidRPr="00E444CD" w:rsidRDefault="008A03D1" w:rsidP="008A03D1">
      <w:pPr>
        <w:pStyle w:val="Heading7"/>
      </w:pPr>
      <w:r w:rsidRPr="00E444CD">
        <w:t>Operation and Maintenance Emissions</w:t>
      </w:r>
    </w:p>
    <w:p w:rsidR="008A03D1" w:rsidRDefault="008A03D1" w:rsidP="008A03D1">
      <w:pPr>
        <w:pStyle w:val="12space"/>
      </w:pPr>
      <w:r w:rsidRPr="00E444CD">
        <w:rPr>
          <w:rFonts w:eastAsia="Calibri"/>
        </w:rPr>
        <w:t xml:space="preserve">The Proposed Project would require no change to SDG&amp;E’s existing operation and maintenance activities, and would result in a negligible net change in long-term vehicle or equipment exhaust emissions. However, </w:t>
      </w:r>
      <w:r w:rsidRPr="00E444CD">
        <w:t>GHG emissions associated with operation of the Proposed Project would result from 13 new SF</w:t>
      </w:r>
      <w:r w:rsidRPr="00E444CD">
        <w:rPr>
          <w:vertAlign w:val="subscript"/>
        </w:rPr>
        <w:t>6</w:t>
      </w:r>
      <w:r w:rsidRPr="00E444CD">
        <w:t>-insulated 69 kV circuit breakers and five 230 kV circuit breakers at Artesian Substation. Annual SF</w:t>
      </w:r>
      <w:r w:rsidRPr="00E444CD">
        <w:rPr>
          <w:vertAlign w:val="subscript"/>
        </w:rPr>
        <w:t>6</w:t>
      </w:r>
      <w:r w:rsidRPr="00E444CD">
        <w:t xml:space="preserve"> emissions for the Proposed Project were estimated based on a leak rate of 1.0 percent of the total SF</w:t>
      </w:r>
      <w:r w:rsidRPr="00E444CD">
        <w:rPr>
          <w:vertAlign w:val="subscript"/>
        </w:rPr>
        <w:t>6</w:t>
      </w:r>
      <w:r w:rsidRPr="00E444CD">
        <w:t xml:space="preserve"> capacity,</w:t>
      </w:r>
      <w:r w:rsidR="00E94DD8">
        <w:rPr>
          <w:rStyle w:val="FootnoteReference"/>
        </w:rPr>
        <w:footnoteReference w:id="2"/>
      </w:r>
      <w:r w:rsidRPr="00E444CD">
        <w:t xml:space="preserve"> and that the 18 new circuit breakers would be installed that would have a combined SF</w:t>
      </w:r>
      <w:r w:rsidRPr="00E444CD">
        <w:rPr>
          <w:vertAlign w:val="subscript"/>
        </w:rPr>
        <w:t>6</w:t>
      </w:r>
      <w:r w:rsidRPr="00E444CD">
        <w:t xml:space="preserve"> capacity of 289 pounds. The annual SF</w:t>
      </w:r>
      <w:r w:rsidRPr="00E444CD">
        <w:rPr>
          <w:vertAlign w:val="subscript"/>
        </w:rPr>
        <w:t>6</w:t>
      </w:r>
      <w:r w:rsidRPr="00E444CD">
        <w:t xml:space="preserve"> emissions that would be associated with the Proposed Project would be equivalent to approximately 268 metric tons CO</w:t>
      </w:r>
      <w:r w:rsidRPr="00E444CD">
        <w:rPr>
          <w:vertAlign w:val="subscript"/>
        </w:rPr>
        <w:t>2</w:t>
      </w:r>
      <w:r w:rsidRPr="00E444CD">
        <w:t>e per year (SDG&amp;E, 2016).</w:t>
      </w:r>
    </w:p>
    <w:p w:rsidR="00056AC1" w:rsidRPr="00E444CD" w:rsidRDefault="00056AC1" w:rsidP="00056AC1">
      <w:pPr>
        <w:pStyle w:val="Heading7"/>
      </w:pPr>
      <w:r w:rsidRPr="00E444CD">
        <w:t>Total Amortized Annual Emissions</w:t>
      </w:r>
    </w:p>
    <w:p w:rsidR="00056AC1" w:rsidRDefault="00056AC1" w:rsidP="00056AC1">
      <w:pPr>
        <w:pStyle w:val="12space"/>
      </w:pPr>
      <w:r w:rsidRPr="00E444CD">
        <w:t xml:space="preserve">As indicated in Table </w:t>
      </w:r>
      <w:r w:rsidR="004D6D4A">
        <w:t>3.8-</w:t>
      </w:r>
      <w:r w:rsidRPr="00E444CD">
        <w:t>2,</w:t>
      </w:r>
      <w:r w:rsidRPr="00E444CD">
        <w:rPr>
          <w:i/>
        </w:rPr>
        <w:t xml:space="preserve"> </w:t>
      </w:r>
      <w:r w:rsidRPr="00E444CD">
        <w:t xml:space="preserve">total GHG construction emissions would be approximately </w:t>
      </w:r>
      <w:r w:rsidR="00D56378">
        <w:t>2,464 </w:t>
      </w:r>
      <w:r w:rsidRPr="00E444CD">
        <w:t>metric tons CO</w:t>
      </w:r>
      <w:r w:rsidRPr="00E444CD">
        <w:rPr>
          <w:vertAlign w:val="subscript"/>
        </w:rPr>
        <w:t>2</w:t>
      </w:r>
      <w:r w:rsidRPr="00E444CD">
        <w:t xml:space="preserve">e. These emissions amortized over a 20-year period equal approximately 123 metric tons per year. As presented in </w:t>
      </w:r>
      <w:r w:rsidRPr="00E444CD">
        <w:rPr>
          <w:b/>
        </w:rPr>
        <w:t xml:space="preserve">Table </w:t>
      </w:r>
      <w:r w:rsidR="004D6D4A">
        <w:rPr>
          <w:b/>
        </w:rPr>
        <w:t>3.8-</w:t>
      </w:r>
      <w:r w:rsidRPr="00E444CD">
        <w:rPr>
          <w:b/>
        </w:rPr>
        <w:t>3</w:t>
      </w:r>
      <w:r w:rsidRPr="00E444CD">
        <w:t xml:space="preserve">, </w:t>
      </w:r>
      <w:r w:rsidRPr="00E444CD">
        <w:rPr>
          <w:i/>
        </w:rPr>
        <w:t>Proposed Project Amortized Annual Emissions</w:t>
      </w:r>
      <w:r w:rsidRPr="00E444CD">
        <w:t xml:space="preserve">, adding </w:t>
      </w:r>
      <w:r>
        <w:t>123</w:t>
      </w:r>
      <w:r w:rsidRPr="00E444CD">
        <w:t xml:space="preserve"> metric tons of CO</w:t>
      </w:r>
      <w:r w:rsidRPr="00E444CD">
        <w:rPr>
          <w:vertAlign w:val="subscript"/>
        </w:rPr>
        <w:t>2</w:t>
      </w:r>
      <w:r w:rsidRPr="00E444CD">
        <w:t xml:space="preserve">e to the operational emissions of </w:t>
      </w:r>
      <w:r>
        <w:t>268</w:t>
      </w:r>
      <w:r w:rsidRPr="00E444CD">
        <w:t xml:space="preserve"> metric tons CO</w:t>
      </w:r>
      <w:r w:rsidRPr="00E444CD">
        <w:rPr>
          <w:vertAlign w:val="subscript"/>
        </w:rPr>
        <w:t>2</w:t>
      </w:r>
      <w:r w:rsidRPr="00E444CD">
        <w:t>e per year equ</w:t>
      </w:r>
      <w:bookmarkStart w:id="5" w:name="_GoBack"/>
      <w:bookmarkEnd w:id="5"/>
      <w:r w:rsidRPr="00E444CD">
        <w:t xml:space="preserve">als a total Proposed Project GHG emissions rate of approximately </w:t>
      </w:r>
      <w:r>
        <w:t>391</w:t>
      </w:r>
      <w:r w:rsidRPr="00E444CD">
        <w:t xml:space="preserve"> metric to</w:t>
      </w:r>
      <w:r w:rsidRPr="00D340C1">
        <w:t>ns CO</w:t>
      </w:r>
      <w:r w:rsidRPr="00D340C1">
        <w:rPr>
          <w:vertAlign w:val="subscript"/>
        </w:rPr>
        <w:t>2</w:t>
      </w:r>
      <w:r w:rsidRPr="00D340C1">
        <w:t>e per year, which would be substantially less than</w:t>
      </w:r>
      <w:r>
        <w:t xml:space="preserve"> the significance threshold of 9</w:t>
      </w:r>
      <w:r w:rsidRPr="00D340C1">
        <w:t>00 metric tons CO</w:t>
      </w:r>
      <w:r w:rsidRPr="00D340C1">
        <w:rPr>
          <w:vertAlign w:val="subscript"/>
        </w:rPr>
        <w:t>2</w:t>
      </w:r>
      <w:r w:rsidRPr="00D340C1">
        <w:t xml:space="preserve">e per year. Therefore, the </w:t>
      </w:r>
      <w:r>
        <w:t>Proposed Project would not generate GHG emissions, either directly or indirectly, that would have a significant impact on the environment. I</w:t>
      </w:r>
      <w:r w:rsidRPr="00D340C1">
        <w:t>mpact</w:t>
      </w:r>
      <w:r>
        <w:t>s</w:t>
      </w:r>
      <w:r w:rsidRPr="00D340C1">
        <w:t xml:space="preserve"> would be less than significant.</w:t>
      </w:r>
    </w:p>
    <w:p w:rsidR="00056AC1" w:rsidRDefault="00056AC1" w:rsidP="00D56378">
      <w:pPr>
        <w:pStyle w:val="TableNoTitle"/>
      </w:pPr>
      <w:r>
        <w:t xml:space="preserve">Table </w:t>
      </w:r>
      <w:r w:rsidR="004D6D4A">
        <w:t>3.8-</w:t>
      </w:r>
      <w:r>
        <w:t>3</w:t>
      </w:r>
      <w:r>
        <w:br/>
        <w:t xml:space="preserve">Proposed Project </w:t>
      </w:r>
      <w:r w:rsidR="00D56378">
        <w:t xml:space="preserve">Amortized </w:t>
      </w:r>
      <w:r>
        <w:t xml:space="preserve">Annual Emissions </w:t>
      </w:r>
    </w:p>
    <w:tbl>
      <w:tblPr>
        <w:tblW w:w="7160" w:type="dxa"/>
        <w:jc w:val="center"/>
        <w:tblLook w:val="04A0" w:firstRow="1" w:lastRow="0" w:firstColumn="1" w:lastColumn="0" w:noHBand="0" w:noVBand="1"/>
      </w:tblPr>
      <w:tblGrid>
        <w:gridCol w:w="4820"/>
        <w:gridCol w:w="2340"/>
      </w:tblGrid>
      <w:tr w:rsidR="00056AC1" w:rsidRPr="00216D1B" w:rsidTr="00D56378">
        <w:trPr>
          <w:trHeight w:val="315"/>
          <w:jc w:val="center"/>
        </w:trPr>
        <w:tc>
          <w:tcPr>
            <w:tcW w:w="4820" w:type="dxa"/>
            <w:tcBorders>
              <w:top w:val="single" w:sz="8" w:space="0" w:color="auto"/>
              <w:left w:val="nil"/>
              <w:bottom w:val="single" w:sz="12" w:space="0" w:color="auto"/>
              <w:right w:val="single" w:sz="8" w:space="0" w:color="auto"/>
            </w:tcBorders>
            <w:shd w:val="clear" w:color="000000" w:fill="FFFFFF"/>
            <w:vAlign w:val="center"/>
            <w:hideMark/>
          </w:tcPr>
          <w:p w:rsidR="00056AC1" w:rsidRPr="00216D1B" w:rsidRDefault="00056AC1" w:rsidP="00D56378">
            <w:pPr>
              <w:pStyle w:val="Tablecolumnheading"/>
            </w:pPr>
            <w:r w:rsidRPr="00216D1B">
              <w:t>Emissions Source</w:t>
            </w:r>
          </w:p>
        </w:tc>
        <w:tc>
          <w:tcPr>
            <w:tcW w:w="2340" w:type="dxa"/>
            <w:tcBorders>
              <w:top w:val="single" w:sz="8" w:space="0" w:color="auto"/>
              <w:left w:val="nil"/>
              <w:bottom w:val="single" w:sz="12" w:space="0" w:color="auto"/>
              <w:right w:val="nil"/>
            </w:tcBorders>
            <w:shd w:val="clear" w:color="000000" w:fill="FFFFFF"/>
            <w:vAlign w:val="center"/>
            <w:hideMark/>
          </w:tcPr>
          <w:p w:rsidR="00056AC1" w:rsidRPr="00216D1B" w:rsidRDefault="00056AC1" w:rsidP="00D56378">
            <w:pPr>
              <w:pStyle w:val="Tablecolumnheading"/>
              <w:jc w:val="center"/>
            </w:pPr>
            <w:r w:rsidRPr="00216D1B">
              <w:t>CO</w:t>
            </w:r>
            <w:r w:rsidRPr="00216D1B">
              <w:rPr>
                <w:vertAlign w:val="subscript"/>
              </w:rPr>
              <w:t>2</w:t>
            </w:r>
            <w:r w:rsidRPr="00216D1B">
              <w:t>e metric tons/year</w:t>
            </w:r>
          </w:p>
        </w:tc>
      </w:tr>
      <w:tr w:rsidR="00056AC1" w:rsidRPr="00216D1B" w:rsidTr="00D56378">
        <w:trPr>
          <w:trHeight w:val="330"/>
          <w:jc w:val="center"/>
        </w:trPr>
        <w:tc>
          <w:tcPr>
            <w:tcW w:w="4820" w:type="dxa"/>
            <w:tcBorders>
              <w:top w:val="nil"/>
              <w:left w:val="nil"/>
              <w:bottom w:val="single" w:sz="8" w:space="0" w:color="auto"/>
              <w:right w:val="single" w:sz="8" w:space="0" w:color="auto"/>
            </w:tcBorders>
            <w:shd w:val="clear" w:color="auto" w:fill="auto"/>
            <w:vAlign w:val="center"/>
            <w:hideMark/>
          </w:tcPr>
          <w:p w:rsidR="00056AC1" w:rsidRPr="00216D1B" w:rsidRDefault="00056AC1" w:rsidP="00D56378">
            <w:pPr>
              <w:pStyle w:val="Tabletext"/>
            </w:pPr>
            <w:r w:rsidRPr="00216D1B">
              <w:t>Construction emissions: total amortized</w:t>
            </w:r>
            <w:r>
              <w:t xml:space="preserve"> (20 year period)</w:t>
            </w:r>
          </w:p>
        </w:tc>
        <w:tc>
          <w:tcPr>
            <w:tcW w:w="2340" w:type="dxa"/>
            <w:tcBorders>
              <w:top w:val="nil"/>
              <w:left w:val="nil"/>
              <w:bottom w:val="single" w:sz="8" w:space="0" w:color="auto"/>
              <w:right w:val="nil"/>
            </w:tcBorders>
            <w:shd w:val="clear" w:color="auto" w:fill="auto"/>
            <w:vAlign w:val="center"/>
            <w:hideMark/>
          </w:tcPr>
          <w:p w:rsidR="00056AC1" w:rsidRPr="00216D1B" w:rsidRDefault="00056AC1" w:rsidP="00D56378">
            <w:pPr>
              <w:pStyle w:val="Tabletext"/>
              <w:tabs>
                <w:tab w:val="decimal" w:pos="1156"/>
              </w:tabs>
            </w:pPr>
            <w:r>
              <w:t>123</w:t>
            </w:r>
          </w:p>
        </w:tc>
      </w:tr>
      <w:tr w:rsidR="00056AC1" w:rsidRPr="00216D1B" w:rsidTr="00D56378">
        <w:trPr>
          <w:trHeight w:val="315"/>
          <w:jc w:val="center"/>
        </w:trPr>
        <w:tc>
          <w:tcPr>
            <w:tcW w:w="4820" w:type="dxa"/>
            <w:tcBorders>
              <w:top w:val="nil"/>
              <w:left w:val="nil"/>
              <w:bottom w:val="single" w:sz="8" w:space="0" w:color="auto"/>
              <w:right w:val="single" w:sz="8" w:space="0" w:color="auto"/>
            </w:tcBorders>
            <w:shd w:val="clear" w:color="auto" w:fill="auto"/>
            <w:vAlign w:val="center"/>
            <w:hideMark/>
          </w:tcPr>
          <w:p w:rsidR="00056AC1" w:rsidRPr="00216D1B" w:rsidRDefault="00056AC1" w:rsidP="00D56378">
            <w:pPr>
              <w:pStyle w:val="Tabletext"/>
            </w:pPr>
            <w:r w:rsidRPr="00216D1B">
              <w:t>SF</w:t>
            </w:r>
            <w:r w:rsidRPr="00216D1B">
              <w:rPr>
                <w:vertAlign w:val="subscript"/>
              </w:rPr>
              <w:t xml:space="preserve">6 </w:t>
            </w:r>
            <w:r w:rsidRPr="00216D1B">
              <w:t>Circuit Breaker Emissions</w:t>
            </w:r>
          </w:p>
        </w:tc>
        <w:tc>
          <w:tcPr>
            <w:tcW w:w="2340" w:type="dxa"/>
            <w:tcBorders>
              <w:top w:val="nil"/>
              <w:left w:val="nil"/>
              <w:bottom w:val="single" w:sz="8" w:space="0" w:color="auto"/>
              <w:right w:val="nil"/>
            </w:tcBorders>
            <w:shd w:val="clear" w:color="auto" w:fill="auto"/>
            <w:vAlign w:val="center"/>
            <w:hideMark/>
          </w:tcPr>
          <w:p w:rsidR="00056AC1" w:rsidRPr="00216D1B" w:rsidRDefault="00056AC1" w:rsidP="00D56378">
            <w:pPr>
              <w:pStyle w:val="Tabletext"/>
              <w:tabs>
                <w:tab w:val="decimal" w:pos="1156"/>
              </w:tabs>
            </w:pPr>
            <w:r>
              <w:t>268</w:t>
            </w:r>
          </w:p>
        </w:tc>
      </w:tr>
      <w:tr w:rsidR="00056AC1" w:rsidRPr="00216D1B" w:rsidTr="00D56378">
        <w:trPr>
          <w:trHeight w:val="315"/>
          <w:jc w:val="center"/>
        </w:trPr>
        <w:tc>
          <w:tcPr>
            <w:tcW w:w="4820" w:type="dxa"/>
            <w:tcBorders>
              <w:top w:val="nil"/>
              <w:left w:val="nil"/>
              <w:bottom w:val="single" w:sz="8" w:space="0" w:color="auto"/>
              <w:right w:val="single" w:sz="8" w:space="0" w:color="auto"/>
            </w:tcBorders>
            <w:shd w:val="clear" w:color="auto" w:fill="auto"/>
            <w:vAlign w:val="center"/>
            <w:hideMark/>
          </w:tcPr>
          <w:p w:rsidR="00056AC1" w:rsidRPr="00216D1B" w:rsidRDefault="00056AC1" w:rsidP="00D56378">
            <w:pPr>
              <w:pStyle w:val="Tabletext"/>
              <w:rPr>
                <w:b/>
                <w:bCs/>
              </w:rPr>
            </w:pPr>
            <w:r w:rsidRPr="00216D1B">
              <w:rPr>
                <w:b/>
                <w:bCs/>
              </w:rPr>
              <w:t>Total</w:t>
            </w:r>
          </w:p>
        </w:tc>
        <w:tc>
          <w:tcPr>
            <w:tcW w:w="2340" w:type="dxa"/>
            <w:tcBorders>
              <w:top w:val="nil"/>
              <w:left w:val="nil"/>
              <w:bottom w:val="single" w:sz="8" w:space="0" w:color="auto"/>
              <w:right w:val="nil"/>
            </w:tcBorders>
            <w:shd w:val="clear" w:color="auto" w:fill="auto"/>
            <w:noWrap/>
            <w:vAlign w:val="center"/>
            <w:hideMark/>
          </w:tcPr>
          <w:p w:rsidR="00056AC1" w:rsidRPr="00216D1B" w:rsidRDefault="00056AC1" w:rsidP="00D56378">
            <w:pPr>
              <w:pStyle w:val="Tabletext"/>
              <w:tabs>
                <w:tab w:val="decimal" w:pos="1156"/>
              </w:tabs>
              <w:rPr>
                <w:b/>
                <w:bCs/>
              </w:rPr>
            </w:pPr>
            <w:r>
              <w:rPr>
                <w:b/>
                <w:bCs/>
              </w:rPr>
              <w:t>391</w:t>
            </w:r>
          </w:p>
        </w:tc>
      </w:tr>
      <w:tr w:rsidR="00056AC1" w:rsidRPr="00216D1B" w:rsidTr="00D56378">
        <w:trPr>
          <w:trHeight w:val="315"/>
          <w:jc w:val="center"/>
        </w:trPr>
        <w:tc>
          <w:tcPr>
            <w:tcW w:w="4820" w:type="dxa"/>
            <w:tcBorders>
              <w:top w:val="nil"/>
              <w:left w:val="nil"/>
              <w:bottom w:val="single" w:sz="8" w:space="0" w:color="auto"/>
              <w:right w:val="single" w:sz="8" w:space="0" w:color="auto"/>
            </w:tcBorders>
            <w:shd w:val="clear" w:color="auto" w:fill="auto"/>
            <w:vAlign w:val="center"/>
            <w:hideMark/>
          </w:tcPr>
          <w:p w:rsidR="00056AC1" w:rsidRPr="00216D1B" w:rsidRDefault="00056AC1" w:rsidP="00D56378">
            <w:pPr>
              <w:pStyle w:val="Tabletext"/>
            </w:pPr>
            <w:r w:rsidRPr="00216D1B">
              <w:t>Significance threshold</w:t>
            </w:r>
          </w:p>
        </w:tc>
        <w:tc>
          <w:tcPr>
            <w:tcW w:w="2340" w:type="dxa"/>
            <w:tcBorders>
              <w:top w:val="nil"/>
              <w:left w:val="nil"/>
              <w:bottom w:val="single" w:sz="8" w:space="0" w:color="auto"/>
              <w:right w:val="nil"/>
            </w:tcBorders>
            <w:shd w:val="clear" w:color="auto" w:fill="auto"/>
            <w:noWrap/>
            <w:vAlign w:val="center"/>
            <w:hideMark/>
          </w:tcPr>
          <w:p w:rsidR="00056AC1" w:rsidRPr="00216D1B" w:rsidRDefault="00056AC1" w:rsidP="00D56378">
            <w:pPr>
              <w:pStyle w:val="Tabletext"/>
              <w:tabs>
                <w:tab w:val="decimal" w:pos="1156"/>
              </w:tabs>
            </w:pPr>
            <w:r>
              <w:t>900</w:t>
            </w:r>
          </w:p>
        </w:tc>
      </w:tr>
      <w:tr w:rsidR="00056AC1" w:rsidRPr="00216D1B" w:rsidTr="00D56378">
        <w:trPr>
          <w:trHeight w:val="315"/>
          <w:jc w:val="center"/>
        </w:trPr>
        <w:tc>
          <w:tcPr>
            <w:tcW w:w="4820" w:type="dxa"/>
            <w:tcBorders>
              <w:top w:val="nil"/>
              <w:left w:val="nil"/>
              <w:bottom w:val="single" w:sz="8" w:space="0" w:color="auto"/>
              <w:right w:val="single" w:sz="8" w:space="0" w:color="auto"/>
            </w:tcBorders>
            <w:shd w:val="clear" w:color="auto" w:fill="auto"/>
            <w:vAlign w:val="center"/>
            <w:hideMark/>
          </w:tcPr>
          <w:p w:rsidR="00056AC1" w:rsidRPr="00216D1B" w:rsidRDefault="00056AC1" w:rsidP="00D56378">
            <w:pPr>
              <w:pStyle w:val="Tabletext"/>
            </w:pPr>
            <w:r w:rsidRPr="00216D1B">
              <w:t>Significant impact?</w:t>
            </w:r>
          </w:p>
        </w:tc>
        <w:tc>
          <w:tcPr>
            <w:tcW w:w="2340" w:type="dxa"/>
            <w:tcBorders>
              <w:top w:val="nil"/>
              <w:left w:val="nil"/>
              <w:bottom w:val="single" w:sz="8" w:space="0" w:color="auto"/>
              <w:right w:val="nil"/>
            </w:tcBorders>
            <w:shd w:val="clear" w:color="auto" w:fill="auto"/>
            <w:noWrap/>
            <w:vAlign w:val="center"/>
            <w:hideMark/>
          </w:tcPr>
          <w:p w:rsidR="00056AC1" w:rsidRPr="00216D1B" w:rsidRDefault="00056AC1" w:rsidP="00D56378">
            <w:pPr>
              <w:pStyle w:val="Tabletext"/>
              <w:tabs>
                <w:tab w:val="decimal" w:pos="1156"/>
              </w:tabs>
            </w:pPr>
            <w:r w:rsidRPr="00216D1B">
              <w:t>No</w:t>
            </w:r>
          </w:p>
        </w:tc>
      </w:tr>
    </w:tbl>
    <w:p w:rsidR="00056AC1" w:rsidRDefault="00056AC1" w:rsidP="00D56378">
      <w:pPr>
        <w:pStyle w:val="TableSource"/>
        <w:ind w:left="720"/>
      </w:pPr>
    </w:p>
    <w:p w:rsidR="00056AC1" w:rsidRDefault="00056AC1" w:rsidP="00D56378">
      <w:pPr>
        <w:pStyle w:val="TableSource"/>
        <w:ind w:left="720"/>
      </w:pPr>
      <w:r>
        <w:t xml:space="preserve">SOURCE: SCE, 2016 and ESA, 2017; see </w:t>
      </w:r>
      <w:r w:rsidR="00E3166B">
        <w:t>Appendix C</w:t>
      </w:r>
      <w:r>
        <w:t xml:space="preserve"> for all emissions estimates.</w:t>
      </w:r>
    </w:p>
    <w:p w:rsidR="00D56378" w:rsidRDefault="00D56378" w:rsidP="00D56378">
      <w:pPr>
        <w:pStyle w:val="Tableclosingborder"/>
        <w:ind w:left="720" w:right="720"/>
      </w:pPr>
    </w:p>
    <w:p w:rsidR="00056AC1" w:rsidRPr="00C43902" w:rsidRDefault="00056AC1" w:rsidP="00056AC1">
      <w:pPr>
        <w:pStyle w:val="Impactstatement"/>
        <w:spacing w:after="180"/>
        <w:ind w:left="360" w:hanging="360"/>
        <w:rPr>
          <w:rFonts w:ascii="Arial" w:hAnsi="Arial" w:cs="Arial"/>
          <w:sz w:val="21"/>
          <w:szCs w:val="21"/>
        </w:rPr>
      </w:pPr>
      <w:r w:rsidRPr="00C43902">
        <w:rPr>
          <w:rFonts w:ascii="Arial" w:hAnsi="Arial" w:cs="Arial"/>
          <w:sz w:val="21"/>
          <w:szCs w:val="21"/>
        </w:rPr>
        <w:t>b)</w:t>
      </w:r>
      <w:r w:rsidRPr="00C43902">
        <w:rPr>
          <w:rFonts w:ascii="Arial" w:hAnsi="Arial" w:cs="Arial"/>
          <w:sz w:val="21"/>
          <w:szCs w:val="21"/>
        </w:rPr>
        <w:tab/>
        <w:t xml:space="preserve">Whether the Project would conflict with an applicable plan, policy or regulation adopted for the purpose of reducing the emissions of greenhouse gases: </w:t>
      </w:r>
      <w:r w:rsidRPr="006807F4">
        <w:rPr>
          <w:rFonts w:ascii="Arial" w:hAnsi="Arial" w:cs="Arial"/>
          <w:i/>
          <w:sz w:val="21"/>
          <w:szCs w:val="21"/>
        </w:rPr>
        <w:t>LESS THAN SIGNIFICANT</w:t>
      </w:r>
      <w:r w:rsidR="00B06569" w:rsidRPr="006807F4">
        <w:rPr>
          <w:rFonts w:ascii="Arial" w:hAnsi="Arial" w:cs="Arial"/>
          <w:i/>
          <w:sz w:val="21"/>
          <w:szCs w:val="21"/>
        </w:rPr>
        <w:t xml:space="preserve"> IMPACT</w:t>
      </w:r>
      <w:r w:rsidRPr="00C43902">
        <w:rPr>
          <w:rFonts w:ascii="Arial" w:hAnsi="Arial" w:cs="Arial"/>
          <w:sz w:val="21"/>
          <w:szCs w:val="21"/>
        </w:rPr>
        <w:t>.</w:t>
      </w:r>
    </w:p>
    <w:p w:rsidR="00056AC1" w:rsidRDefault="00056AC1" w:rsidP="00056AC1">
      <w:pPr>
        <w:pStyle w:val="12space"/>
      </w:pPr>
      <w:r w:rsidRPr="00C43902">
        <w:t xml:space="preserve">Construction, operation, and maintenance of the </w:t>
      </w:r>
      <w:r>
        <w:t xml:space="preserve">Proposed </w:t>
      </w:r>
      <w:r w:rsidRPr="00C43902">
        <w:t xml:space="preserve">Project would result in increased GHG emissions compared to baseline conditions; however, the emissions would not exceed regional or quantitative thresholds developed to comply with AB 32 and the Climate Change Scoping Plan. As discussed </w:t>
      </w:r>
      <w:r>
        <w:t xml:space="preserve">above and in </w:t>
      </w:r>
      <w:r w:rsidRPr="00C43902">
        <w:t xml:space="preserve">further detail below, the </w:t>
      </w:r>
      <w:r>
        <w:t xml:space="preserve">Proposed </w:t>
      </w:r>
      <w:r w:rsidRPr="00C43902">
        <w:t xml:space="preserve">Project also would not conflict with GHG reduction goals set forth in Executive Order S-3-05, Executive Order B-30-15, or AB 32, including the 39 Recommended Actions identified by CARB in its Climate Change Scoping Plan. </w:t>
      </w:r>
      <w:r>
        <w:t>The impact would be less than significant</w:t>
      </w:r>
      <w:r w:rsidR="006F6DCE">
        <w:t xml:space="preserve"> under this criterion</w:t>
      </w:r>
      <w:r>
        <w:t xml:space="preserve">. </w:t>
      </w:r>
    </w:p>
    <w:p w:rsidR="00056AC1" w:rsidRDefault="00056AC1" w:rsidP="00056AC1">
      <w:pPr>
        <w:pStyle w:val="12space"/>
        <w:jc w:val="center"/>
      </w:pPr>
      <w:r>
        <w:t>_________________________</w:t>
      </w:r>
    </w:p>
    <w:p w:rsidR="00056AC1" w:rsidRPr="00FE054A" w:rsidRDefault="00056AC1" w:rsidP="00056AC1">
      <w:pPr>
        <w:pStyle w:val="Heading4"/>
        <w:spacing w:after="180"/>
      </w:pPr>
      <w:r w:rsidRPr="00FE054A">
        <w:t>References</w:t>
      </w:r>
    </w:p>
    <w:p w:rsidR="00056AC1" w:rsidRPr="00FE054A" w:rsidRDefault="00056AC1" w:rsidP="00D56378">
      <w:pPr>
        <w:pStyle w:val="Bibliography"/>
      </w:pPr>
      <w:r w:rsidRPr="00FE054A">
        <w:t>California Air Resources Board (CARB), 2009. Climate Change Scoping Plan: A Framework for Change, December 2008, amended version included errata and Board requested modifications posted May 11, 2009.</w:t>
      </w:r>
    </w:p>
    <w:p w:rsidR="00056AC1" w:rsidRPr="00FE054A" w:rsidRDefault="00056AC1" w:rsidP="00D56378">
      <w:pPr>
        <w:pStyle w:val="Bibliography"/>
      </w:pPr>
      <w:r w:rsidRPr="00FE054A">
        <w:t>CARB, 2014. First Update to the Climate Change Scoping Plan, Building on the Framework Pursuant to AB 32, the California Global Warming Solutions Act of 2006.</w:t>
      </w:r>
    </w:p>
    <w:p w:rsidR="00056AC1" w:rsidRPr="00FE054A" w:rsidRDefault="00056AC1" w:rsidP="00D56378">
      <w:pPr>
        <w:pStyle w:val="Bibliography"/>
      </w:pPr>
      <w:r w:rsidRPr="00FE054A">
        <w:t>CARB, 2016a. Global Warming Potentials webpage, last reviewed June 17, 2016. Available online at: http://www.arb.ca.gov/cc/inventory/‌background/‌gwp.htm. Accessed December 5, 2016.</w:t>
      </w:r>
    </w:p>
    <w:p w:rsidR="00056AC1" w:rsidRPr="00FE054A" w:rsidRDefault="00056AC1" w:rsidP="00D56378">
      <w:pPr>
        <w:pStyle w:val="Bibliography"/>
      </w:pPr>
      <w:r w:rsidRPr="00FE054A">
        <w:t>CARB, 2016b. 2030 Target Scoping Plan Update Concept Paper, June 17, 2016.</w:t>
      </w:r>
    </w:p>
    <w:p w:rsidR="00056AC1" w:rsidRPr="00FE054A" w:rsidRDefault="00056AC1" w:rsidP="00D56378">
      <w:pPr>
        <w:pStyle w:val="Bibliography"/>
        <w:rPr>
          <w:spacing w:val="-2"/>
        </w:rPr>
      </w:pPr>
      <w:r w:rsidRPr="00FE054A">
        <w:rPr>
          <w:spacing w:val="-2"/>
        </w:rPr>
        <w:t>CARB, 2016c. Final Regulation Order to Adopt new Subarticle 3.1, Regulation for Reducing Sulfur Hexafluoride Emissions from Gas Insulated Switchgear sections 95350 to 95359, title 17, California Code of Regulations. Available at: http://www.arb.ca.gov/cc/sf6elec/final</w:t>
      </w:r>
      <w:r w:rsidR="00D56378" w:rsidRPr="00FE054A">
        <w:rPr>
          <w:spacing w:val="-2"/>
        </w:rPr>
        <w:t>‌</w:t>
      </w:r>
      <w:r w:rsidRPr="00FE054A">
        <w:rPr>
          <w:spacing w:val="-2"/>
        </w:rPr>
        <w:t>regulation.pdf, accessed December 5, 2016.</w:t>
      </w:r>
    </w:p>
    <w:p w:rsidR="00056AC1" w:rsidRPr="00FE054A" w:rsidRDefault="00056AC1" w:rsidP="00D56378">
      <w:pPr>
        <w:pStyle w:val="Bibliography"/>
      </w:pPr>
      <w:r w:rsidRPr="00FE054A">
        <w:t>CARB, 2017. California Greenhouse Gas Inventory for 2000–2015 – by Sector and Activity, last updated June 6, 2017. Available online at: http://www.arb.ca.gov/cc/inventory/data/</w:t>
      </w:r>
      <w:r w:rsidR="00D56378" w:rsidRPr="00FE054A">
        <w:t>‌</w:t>
      </w:r>
      <w:r w:rsidRPr="00FE054A">
        <w:t>tables/</w:t>
      </w:r>
      <w:r w:rsidR="00D56378" w:rsidRPr="00FE054A">
        <w:t>‌</w:t>
      </w:r>
      <w:r w:rsidRPr="00FE054A">
        <w:t>ghg_inventory_sector_sum_2000-15.pdf. Accessed June 8, 2017.</w:t>
      </w:r>
    </w:p>
    <w:p w:rsidR="00056AC1" w:rsidRPr="00FE054A" w:rsidRDefault="00056AC1" w:rsidP="00D56378">
      <w:pPr>
        <w:pStyle w:val="Bibliography"/>
      </w:pPr>
      <w:r w:rsidRPr="00FE054A">
        <w:t>California Energy Commission (CEC), 2005. California's Water – Energy Relationship Prepared in Support of the 2005 Integrated Energy Policy Report Proceeding, Final Staff Report, November 2005 (CEC-700-2005-011-SF). Table C-6, page 118.</w:t>
      </w:r>
    </w:p>
    <w:p w:rsidR="00056AC1" w:rsidRPr="00FE054A" w:rsidRDefault="00056AC1" w:rsidP="00D56378">
      <w:pPr>
        <w:pStyle w:val="Bibliography"/>
      </w:pPr>
      <w:r w:rsidRPr="00FE054A">
        <w:t>County of San Diego, 2015. 2015 GHG Guidance, Recommended Approach to Addressing Climate Change in CEQA Documents, County of San Diego Planning and Development Services, January 21, 2015.</w:t>
      </w:r>
    </w:p>
    <w:p w:rsidR="00056AC1" w:rsidRPr="00FE054A" w:rsidRDefault="00056AC1" w:rsidP="00D56378">
      <w:pPr>
        <w:pStyle w:val="Bibliography"/>
      </w:pPr>
      <w:r w:rsidRPr="00FE054A">
        <w:t>Environmental Science Associates (ESA), 2017a. Air Quality and GHG Emissions Supplement for the Artesian Substation Project, June 2017.</w:t>
      </w:r>
    </w:p>
    <w:p w:rsidR="00056AC1" w:rsidRPr="00FE054A" w:rsidRDefault="00056AC1" w:rsidP="00D56378">
      <w:pPr>
        <w:pStyle w:val="Bibliography"/>
      </w:pPr>
      <w:r w:rsidRPr="00FE054A">
        <w:t>Environmental Science Associates (ESA), 2017b. Artesian Substation Project conference call attended by ESA, CPUC, SDG&amp;E, February 2017.</w:t>
      </w:r>
    </w:p>
    <w:p w:rsidR="00056AC1" w:rsidRPr="00FE054A" w:rsidRDefault="00056AC1" w:rsidP="00D56378">
      <w:pPr>
        <w:pStyle w:val="Bibliography"/>
      </w:pPr>
      <w:r w:rsidRPr="00FE054A">
        <w:t>Intergovernmental Panel on Climate Change (IPCC), 2007. Climate Change 2007: The Physical Science Basis. Contribution of Working Group I to the Fourth Assessment Report of the International Panel on Climate Change. Cambridge University Press, Cambridge, United Kingdom, and New York, NY, USA.</w:t>
      </w:r>
    </w:p>
    <w:p w:rsidR="00056AC1" w:rsidRPr="00FE054A" w:rsidRDefault="00056AC1" w:rsidP="00D56378">
      <w:pPr>
        <w:pStyle w:val="Bibliography"/>
      </w:pPr>
      <w:r w:rsidRPr="00FE054A">
        <w:t>Office of Governor Edmund G. Brown Jr., 2015. News Release – Governor Brown Established Most Ambitious Greenhouse Gas Reduction Target in North American, April 29, 2015.</w:t>
      </w:r>
    </w:p>
    <w:p w:rsidR="00D7294A" w:rsidRDefault="00D7294A" w:rsidP="008E5433">
      <w:pPr>
        <w:pStyle w:val="Bibliography"/>
      </w:pPr>
      <w:r w:rsidRPr="00D7294A">
        <w:t xml:space="preserve">San Diego Gas &amp; Electric Co. (SDG&amp;E) 2016. Proponent Environmental Assessment Artesian 230kV Substation Expansion Project, August 2016. </w:t>
      </w:r>
    </w:p>
    <w:p w:rsidR="00E94DD8" w:rsidRDefault="00E94DD8" w:rsidP="008E5433">
      <w:pPr>
        <w:pStyle w:val="Bibliography"/>
      </w:pPr>
      <w:r>
        <w:t>Siemens, 2017. SF</w:t>
      </w:r>
      <w:r w:rsidRPr="0007601E">
        <w:rPr>
          <w:vertAlign w:val="subscript"/>
        </w:rPr>
        <w:t>6</w:t>
      </w:r>
      <w:r>
        <w:t xml:space="preserve"> Gas and U.S. Greenhouse Gas Emissions, Tech Topics No. 111. </w:t>
      </w:r>
      <w:r w:rsidR="00A64D81">
        <w:t>Obtained online (</w:t>
      </w:r>
      <w:hyperlink r:id="rId9" w:history="1">
        <w:r w:rsidR="00A64D81" w:rsidRPr="00F3328D">
          <w:rPr>
            <w:rStyle w:val="Hyperlink"/>
          </w:rPr>
          <w:t>http://w3.usa.siemens.com/powerdistribution/us/en/resources/tech-topics/pages/sf6-gas-and-greenhouse-gas-emissions-mv-switchgear.aspx</w:t>
        </w:r>
      </w:hyperlink>
      <w:r w:rsidR="00A64D81">
        <w:t>) June 26, 2017.</w:t>
      </w:r>
    </w:p>
    <w:p w:rsidR="00056AC1" w:rsidRPr="00C43902" w:rsidRDefault="00056AC1" w:rsidP="00D56378">
      <w:pPr>
        <w:pStyle w:val="Bibliography"/>
      </w:pPr>
      <w:r w:rsidRPr="00C43902">
        <w:t>The Climate Registry (TCR), 2016. 2016 Climate Registry Default Emissions Factors. April 19, 2016.</w:t>
      </w:r>
    </w:p>
    <w:p w:rsidR="00056AC1" w:rsidRPr="00B00D17" w:rsidRDefault="00056AC1" w:rsidP="00D56378">
      <w:pPr>
        <w:pStyle w:val="Bibliography"/>
      </w:pPr>
      <w:r w:rsidRPr="00B00D17">
        <w:t>U.S. Environmental Protection Agency (USEPA), 2016a. Sources of Greenhouse Gas Emissions. Available online at: http://www.epa.gov/climatechange/ghgemissions/sources.html. Accessed June 28, 2016.</w:t>
      </w:r>
    </w:p>
    <w:p w:rsidR="00056AC1" w:rsidRPr="005210D0" w:rsidRDefault="00056AC1" w:rsidP="00D56378">
      <w:pPr>
        <w:pStyle w:val="Bibliography"/>
      </w:pPr>
      <w:r w:rsidRPr="005210D0">
        <w:t>USEPA, 2016b. Clean Air Act Permitting for Greenhouse Gas Emissions webpage. Available online at: https://www.epa.gov/nsr/clean-air-act-permitting-greenhouse-gases. Accessed June 28, 2016.</w:t>
      </w:r>
    </w:p>
    <w:p w:rsidR="00056AC1" w:rsidRDefault="00056AC1" w:rsidP="00D56378">
      <w:pPr>
        <w:pStyle w:val="Bibliography"/>
        <w:rPr>
          <w:spacing w:val="-2"/>
        </w:rPr>
      </w:pPr>
      <w:r w:rsidRPr="005210D0">
        <w:t xml:space="preserve">USEPA, 2016c. Greenhouse Gas Reporting Program, Subpart DD – Use of Electric Transmission and Distribution Equipment, Rule Information. Available at: </w:t>
      </w:r>
      <w:hyperlink r:id="rId10" w:history="1">
        <w:r w:rsidR="008E5433" w:rsidRPr="003D3B1C">
          <w:rPr>
            <w:rStyle w:val="Hyperlink"/>
            <w:spacing w:val="-2"/>
          </w:rPr>
          <w:t>https://www.epa.gov/‌ghgreporting/‌subpart-dd-use-electric-transmission-and-distribution-equipment</w:t>
        </w:r>
      </w:hyperlink>
      <w:r w:rsidRPr="005210D0">
        <w:rPr>
          <w:spacing w:val="-2"/>
        </w:rPr>
        <w:t>, last updated November 30, 2016.</w:t>
      </w:r>
    </w:p>
    <w:sectPr w:rsidR="00056AC1" w:rsidSect="00987D09">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576" w:footer="576" w:gutter="0"/>
      <w:pgNumType w:chapStyle="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8D" w:rsidRDefault="00860E8D" w:rsidP="00907E03">
      <w:r>
        <w:separator/>
      </w:r>
    </w:p>
  </w:endnote>
  <w:endnote w:type="continuationSeparator" w:id="0">
    <w:p w:rsidR="00860E8D" w:rsidRDefault="00860E8D" w:rsidP="0090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8D" w:rsidRPr="001C182A" w:rsidRDefault="00860E8D" w:rsidP="00860E8D">
    <w:pPr>
      <w:pStyle w:val="Footer"/>
      <w:pBdr>
        <w:top w:val="single" w:sz="4" w:space="2" w:color="auto"/>
      </w:pBdr>
      <w:tabs>
        <w:tab w:val="right" w:pos="14400"/>
      </w:tabs>
      <w:spacing w:line="180" w:lineRule="exact"/>
      <w:rPr>
        <w:rFonts w:cs="Arial"/>
        <w:szCs w:val="12"/>
      </w:rPr>
    </w:pPr>
    <w:r>
      <w:rPr>
        <w:rFonts w:cs="Arial"/>
        <w:spacing w:val="-2"/>
        <w:szCs w:val="12"/>
      </w:rPr>
      <w:t>SDG&amp;E Artesian 230kV Substation Expansion Project</w:t>
    </w:r>
    <w:r w:rsidRPr="001C182A">
      <w:rPr>
        <w:rFonts w:cs="Arial"/>
        <w:b/>
        <w:caps/>
        <w:szCs w:val="12"/>
      </w:rPr>
      <w:tab/>
    </w:r>
    <w:r w:rsidRPr="001C182A">
      <w:rPr>
        <w:rFonts w:cs="Arial"/>
        <w:sz w:val="18"/>
        <w:szCs w:val="12"/>
      </w:rPr>
      <w:fldChar w:fldCharType="begin"/>
    </w:r>
    <w:r w:rsidRPr="001C182A">
      <w:rPr>
        <w:rFonts w:cs="Arial"/>
        <w:sz w:val="18"/>
        <w:szCs w:val="12"/>
      </w:rPr>
      <w:instrText>PAGE</w:instrText>
    </w:r>
    <w:r w:rsidRPr="001C182A">
      <w:rPr>
        <w:rFonts w:cs="Arial"/>
        <w:sz w:val="18"/>
        <w:szCs w:val="12"/>
      </w:rPr>
      <w:fldChar w:fldCharType="separate"/>
    </w:r>
    <w:r w:rsidR="00375688">
      <w:rPr>
        <w:rFonts w:cs="Arial"/>
        <w:noProof/>
        <w:sz w:val="18"/>
        <w:szCs w:val="12"/>
      </w:rPr>
      <w:t>3.8-10</w:t>
    </w:r>
    <w:r w:rsidRPr="001C182A">
      <w:rPr>
        <w:rFonts w:cs="Arial"/>
        <w:sz w:val="18"/>
        <w:szCs w:val="12"/>
      </w:rPr>
      <w:fldChar w:fldCharType="end"/>
    </w:r>
    <w:r w:rsidRPr="001C182A">
      <w:rPr>
        <w:rFonts w:cs="Arial"/>
        <w:szCs w:val="12"/>
      </w:rPr>
      <w:tab/>
    </w:r>
    <w:r w:rsidRPr="00FD4F98">
      <w:rPr>
        <w:rFonts w:cs="Arial"/>
        <w:spacing w:val="-2"/>
        <w:szCs w:val="12"/>
      </w:rPr>
      <w:t xml:space="preserve">ESA / </w:t>
    </w:r>
    <w:r w:rsidRPr="00383301">
      <w:rPr>
        <w:rFonts w:cs="Arial"/>
        <w:spacing w:val="-2"/>
        <w:szCs w:val="12"/>
      </w:rPr>
      <w:t>120812.02</w:t>
    </w:r>
  </w:p>
  <w:p w:rsidR="00860E8D" w:rsidRDefault="00860E8D" w:rsidP="00860E8D">
    <w:pPr>
      <w:pStyle w:val="Footer"/>
      <w:pBdr>
        <w:top w:val="none" w:sz="0" w:space="0" w:color="auto"/>
      </w:pBdr>
      <w:tabs>
        <w:tab w:val="clear" w:pos="4320"/>
        <w:tab w:val="center" w:pos="4500"/>
        <w:tab w:val="right" w:pos="14400"/>
      </w:tabs>
      <w:rPr>
        <w:rFonts w:cs="Arial"/>
        <w:spacing w:val="-2"/>
        <w:szCs w:val="12"/>
      </w:rPr>
    </w:pPr>
    <w:r>
      <w:rPr>
        <w:rFonts w:cs="Arial"/>
        <w:spacing w:val="-2"/>
        <w:szCs w:val="12"/>
      </w:rPr>
      <w:t xml:space="preserve">(A.16-08-010) </w:t>
    </w:r>
    <w:r w:rsidRPr="00FD4F98">
      <w:rPr>
        <w:rFonts w:cs="Arial"/>
        <w:spacing w:val="-2"/>
        <w:szCs w:val="12"/>
      </w:rPr>
      <w:t>Initial Study/Mitigated Negative Declaration</w:t>
    </w:r>
    <w:r w:rsidRPr="001C182A">
      <w:rPr>
        <w:rFonts w:cs="Arial"/>
        <w:szCs w:val="12"/>
      </w:rPr>
      <w:tab/>
    </w:r>
    <w:r w:rsidRPr="001C182A">
      <w:rPr>
        <w:rFonts w:cs="Arial"/>
        <w:szCs w:val="12"/>
      </w:rPr>
      <w:tab/>
    </w:r>
    <w:r w:rsidR="00287EE8">
      <w:rPr>
        <w:rFonts w:cs="Arial"/>
        <w:spacing w:val="-2"/>
        <w:szCs w:val="12"/>
      </w:rPr>
      <w:t>February</w:t>
    </w:r>
    <w:r w:rsidR="003E72DC">
      <w:rPr>
        <w:rFonts w:cs="Arial"/>
        <w:spacing w:val="-2"/>
        <w:szCs w:val="12"/>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8D" w:rsidRPr="001C182A" w:rsidRDefault="00860E8D" w:rsidP="00860E8D">
    <w:pPr>
      <w:pStyle w:val="Footer"/>
      <w:pBdr>
        <w:top w:val="single" w:sz="4" w:space="2" w:color="auto"/>
      </w:pBdr>
      <w:tabs>
        <w:tab w:val="right" w:pos="14400"/>
      </w:tabs>
      <w:spacing w:line="180" w:lineRule="exact"/>
      <w:rPr>
        <w:rFonts w:cs="Arial"/>
        <w:szCs w:val="12"/>
      </w:rPr>
    </w:pPr>
    <w:r>
      <w:rPr>
        <w:rFonts w:cs="Arial"/>
        <w:spacing w:val="-2"/>
        <w:szCs w:val="12"/>
      </w:rPr>
      <w:t>SDG&amp;E Artesian 230kV Substation Expansion Project</w:t>
    </w:r>
    <w:r w:rsidRPr="001C182A">
      <w:rPr>
        <w:rFonts w:cs="Arial"/>
        <w:b/>
        <w:caps/>
        <w:szCs w:val="12"/>
      </w:rPr>
      <w:tab/>
    </w:r>
    <w:r w:rsidRPr="001C182A">
      <w:rPr>
        <w:rFonts w:cs="Arial"/>
        <w:sz w:val="18"/>
        <w:szCs w:val="12"/>
      </w:rPr>
      <w:fldChar w:fldCharType="begin"/>
    </w:r>
    <w:r w:rsidRPr="001C182A">
      <w:rPr>
        <w:rFonts w:cs="Arial"/>
        <w:sz w:val="18"/>
        <w:szCs w:val="12"/>
      </w:rPr>
      <w:instrText>PAGE</w:instrText>
    </w:r>
    <w:r w:rsidRPr="001C182A">
      <w:rPr>
        <w:rFonts w:cs="Arial"/>
        <w:sz w:val="18"/>
        <w:szCs w:val="12"/>
      </w:rPr>
      <w:fldChar w:fldCharType="separate"/>
    </w:r>
    <w:r w:rsidR="00375688">
      <w:rPr>
        <w:rFonts w:cs="Arial"/>
        <w:noProof/>
        <w:sz w:val="18"/>
        <w:szCs w:val="12"/>
      </w:rPr>
      <w:t>3.8-11</w:t>
    </w:r>
    <w:r w:rsidRPr="001C182A">
      <w:rPr>
        <w:rFonts w:cs="Arial"/>
        <w:sz w:val="18"/>
        <w:szCs w:val="12"/>
      </w:rPr>
      <w:fldChar w:fldCharType="end"/>
    </w:r>
    <w:r w:rsidRPr="001C182A">
      <w:rPr>
        <w:rFonts w:cs="Arial"/>
        <w:szCs w:val="12"/>
      </w:rPr>
      <w:tab/>
    </w:r>
    <w:r w:rsidRPr="00FD4F98">
      <w:rPr>
        <w:rFonts w:cs="Arial"/>
        <w:spacing w:val="-2"/>
        <w:szCs w:val="12"/>
      </w:rPr>
      <w:t xml:space="preserve">ESA / </w:t>
    </w:r>
    <w:r w:rsidRPr="00383301">
      <w:rPr>
        <w:rFonts w:cs="Arial"/>
        <w:spacing w:val="-2"/>
        <w:szCs w:val="12"/>
      </w:rPr>
      <w:t>120812.02</w:t>
    </w:r>
  </w:p>
  <w:p w:rsidR="00860E8D" w:rsidRDefault="00860E8D" w:rsidP="00860E8D">
    <w:pPr>
      <w:pStyle w:val="Footer"/>
      <w:pBdr>
        <w:top w:val="none" w:sz="0" w:space="0" w:color="auto"/>
      </w:pBdr>
      <w:tabs>
        <w:tab w:val="clear" w:pos="4320"/>
        <w:tab w:val="center" w:pos="4500"/>
        <w:tab w:val="right" w:pos="14400"/>
      </w:tabs>
      <w:rPr>
        <w:rFonts w:cs="Arial"/>
        <w:spacing w:val="-2"/>
        <w:szCs w:val="12"/>
      </w:rPr>
    </w:pPr>
    <w:r>
      <w:rPr>
        <w:rFonts w:cs="Arial"/>
        <w:spacing w:val="-2"/>
        <w:szCs w:val="12"/>
      </w:rPr>
      <w:t xml:space="preserve">(A.16-08-010) </w:t>
    </w:r>
    <w:r w:rsidRPr="00FD4F98">
      <w:rPr>
        <w:rFonts w:cs="Arial"/>
        <w:spacing w:val="-2"/>
        <w:szCs w:val="12"/>
      </w:rPr>
      <w:t>Initial Study/Mitigated Negative Declaration</w:t>
    </w:r>
    <w:r w:rsidRPr="001C182A">
      <w:rPr>
        <w:rFonts w:cs="Arial"/>
        <w:szCs w:val="12"/>
      </w:rPr>
      <w:tab/>
    </w:r>
    <w:r w:rsidRPr="001C182A">
      <w:rPr>
        <w:rFonts w:cs="Arial"/>
        <w:szCs w:val="12"/>
      </w:rPr>
      <w:tab/>
    </w:r>
    <w:r w:rsidR="00287EE8">
      <w:rPr>
        <w:rFonts w:cs="Arial"/>
        <w:spacing w:val="-2"/>
        <w:szCs w:val="12"/>
      </w:rPr>
      <w:t>February</w:t>
    </w:r>
    <w:r w:rsidR="003E72DC">
      <w:rPr>
        <w:rFonts w:cs="Arial"/>
        <w:spacing w:val="-2"/>
        <w:szCs w:val="12"/>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8D" w:rsidRPr="001C182A" w:rsidRDefault="00860E8D" w:rsidP="00860E8D">
    <w:pPr>
      <w:pStyle w:val="Footer"/>
      <w:pBdr>
        <w:top w:val="single" w:sz="4" w:space="2" w:color="auto"/>
      </w:pBdr>
      <w:tabs>
        <w:tab w:val="right" w:pos="14400"/>
      </w:tabs>
      <w:spacing w:line="180" w:lineRule="exact"/>
      <w:rPr>
        <w:rFonts w:cs="Arial"/>
        <w:szCs w:val="12"/>
      </w:rPr>
    </w:pPr>
    <w:r>
      <w:rPr>
        <w:rFonts w:cs="Arial"/>
        <w:spacing w:val="-2"/>
        <w:szCs w:val="12"/>
      </w:rPr>
      <w:t>SDG&amp;E Artesian 230kV Substation Expansion Project</w:t>
    </w:r>
    <w:r w:rsidRPr="001C182A">
      <w:rPr>
        <w:rFonts w:cs="Arial"/>
        <w:b/>
        <w:caps/>
        <w:szCs w:val="12"/>
      </w:rPr>
      <w:tab/>
    </w:r>
    <w:r w:rsidRPr="001C182A">
      <w:rPr>
        <w:rFonts w:cs="Arial"/>
        <w:sz w:val="18"/>
        <w:szCs w:val="12"/>
      </w:rPr>
      <w:fldChar w:fldCharType="begin"/>
    </w:r>
    <w:r w:rsidRPr="001C182A">
      <w:rPr>
        <w:rFonts w:cs="Arial"/>
        <w:sz w:val="18"/>
        <w:szCs w:val="12"/>
      </w:rPr>
      <w:instrText>PAGE</w:instrText>
    </w:r>
    <w:r w:rsidRPr="001C182A">
      <w:rPr>
        <w:rFonts w:cs="Arial"/>
        <w:sz w:val="18"/>
        <w:szCs w:val="12"/>
      </w:rPr>
      <w:fldChar w:fldCharType="separate"/>
    </w:r>
    <w:r w:rsidR="00987D09">
      <w:rPr>
        <w:rFonts w:cs="Arial"/>
        <w:noProof/>
        <w:sz w:val="18"/>
        <w:szCs w:val="12"/>
      </w:rPr>
      <w:t>3-1</w:t>
    </w:r>
    <w:r w:rsidRPr="001C182A">
      <w:rPr>
        <w:rFonts w:cs="Arial"/>
        <w:sz w:val="18"/>
        <w:szCs w:val="12"/>
      </w:rPr>
      <w:fldChar w:fldCharType="end"/>
    </w:r>
    <w:r w:rsidRPr="001C182A">
      <w:rPr>
        <w:rFonts w:cs="Arial"/>
        <w:szCs w:val="12"/>
      </w:rPr>
      <w:tab/>
    </w:r>
    <w:r w:rsidRPr="00FD4F98">
      <w:rPr>
        <w:rFonts w:cs="Arial"/>
        <w:spacing w:val="-2"/>
        <w:szCs w:val="12"/>
      </w:rPr>
      <w:t xml:space="preserve">ESA / </w:t>
    </w:r>
    <w:r w:rsidRPr="00383301">
      <w:rPr>
        <w:rFonts w:cs="Arial"/>
        <w:spacing w:val="-2"/>
        <w:szCs w:val="12"/>
      </w:rPr>
      <w:t>120812.02</w:t>
    </w:r>
  </w:p>
  <w:p w:rsidR="00860E8D" w:rsidRDefault="00860E8D" w:rsidP="00860E8D">
    <w:pPr>
      <w:pStyle w:val="Footer"/>
      <w:pBdr>
        <w:top w:val="none" w:sz="0" w:space="0" w:color="auto"/>
      </w:pBdr>
      <w:tabs>
        <w:tab w:val="clear" w:pos="4320"/>
        <w:tab w:val="center" w:pos="4500"/>
        <w:tab w:val="right" w:pos="14400"/>
      </w:tabs>
      <w:rPr>
        <w:rFonts w:cs="Arial"/>
        <w:spacing w:val="-2"/>
        <w:szCs w:val="12"/>
      </w:rPr>
    </w:pPr>
    <w:r>
      <w:rPr>
        <w:rFonts w:cs="Arial"/>
        <w:spacing w:val="-2"/>
        <w:szCs w:val="12"/>
      </w:rPr>
      <w:t xml:space="preserve">(A.16-08-010) </w:t>
    </w:r>
    <w:r w:rsidRPr="00FD4F98">
      <w:rPr>
        <w:rFonts w:cs="Arial"/>
        <w:spacing w:val="-2"/>
        <w:szCs w:val="12"/>
      </w:rPr>
      <w:t>Initial Study/Mitigated Negative Declaration</w:t>
    </w:r>
    <w:r w:rsidRPr="001C182A">
      <w:rPr>
        <w:rFonts w:cs="Arial"/>
        <w:szCs w:val="12"/>
      </w:rPr>
      <w:tab/>
    </w:r>
    <w:r w:rsidRPr="001C182A">
      <w:rPr>
        <w:rFonts w:cs="Arial"/>
        <w:szCs w:val="12"/>
      </w:rPr>
      <w:tab/>
    </w:r>
    <w:r w:rsidR="003E72DC">
      <w:rPr>
        <w:rFonts w:cs="Arial"/>
        <w:spacing w:val="-2"/>
        <w:szCs w:val="12"/>
      </w:rPr>
      <w:t>January 2018</w:t>
    </w:r>
  </w:p>
  <w:p w:rsidR="00860E8D" w:rsidRPr="00BB4C1B" w:rsidRDefault="00860E8D" w:rsidP="00860E8D">
    <w:pPr>
      <w:pStyle w:val="Footernotice"/>
    </w:pPr>
    <w:r w:rsidRPr="00BB4C1B">
      <w:t>Pre</w:t>
    </w:r>
    <w:r>
      <w:t xml:space="preserve">liminary </w:t>
    </w:r>
    <w:r>
      <w:sym w:font="Symbol" w:char="F02D"/>
    </w:r>
    <w:r>
      <w:t xml:space="preserve"> Subject to 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8D" w:rsidRDefault="00860E8D" w:rsidP="00907E03">
      <w:r>
        <w:separator/>
      </w:r>
    </w:p>
  </w:footnote>
  <w:footnote w:type="continuationSeparator" w:id="0">
    <w:p w:rsidR="00860E8D" w:rsidRDefault="00860E8D" w:rsidP="00907E03">
      <w:r>
        <w:continuationSeparator/>
      </w:r>
    </w:p>
  </w:footnote>
  <w:footnote w:type="continuationNotice" w:id="1">
    <w:p w:rsidR="00860E8D" w:rsidRDefault="00860E8D"/>
  </w:footnote>
  <w:footnote w:id="2">
    <w:p w:rsidR="00E94DD8" w:rsidRDefault="00E94DD8">
      <w:pPr>
        <w:pStyle w:val="FootnoteText"/>
      </w:pPr>
      <w:r>
        <w:rPr>
          <w:rStyle w:val="FootnoteReference"/>
        </w:rPr>
        <w:footnoteRef/>
      </w:r>
      <w:r>
        <w:t xml:space="preserve"> A leak rate of 1.0 percent is considered to be a conservative assumption because</w:t>
      </w:r>
      <w:r w:rsidRPr="00E94DD8">
        <w:t xml:space="preserve"> the leakage rate </w:t>
      </w:r>
      <w:r w:rsidR="00AC2878">
        <w:t>for current</w:t>
      </w:r>
      <w:r w:rsidRPr="00E94DD8">
        <w:t xml:space="preserve"> SF</w:t>
      </w:r>
      <w:r w:rsidRPr="00E94DD8">
        <w:rPr>
          <w:vertAlign w:val="subscript"/>
        </w:rPr>
        <w:t>6</w:t>
      </w:r>
      <w:r w:rsidRPr="00E94DD8">
        <w:t xml:space="preserve"> </w:t>
      </w:r>
      <w:r>
        <w:t xml:space="preserve">–containing </w:t>
      </w:r>
      <w:r w:rsidR="00AC2878">
        <w:t>circuit breaker</w:t>
      </w:r>
      <w:r>
        <w:t xml:space="preserve"> </w:t>
      </w:r>
      <w:r w:rsidRPr="00E94DD8">
        <w:t>designs is under 0.5 percent per year</w:t>
      </w:r>
      <w:r>
        <w:t xml:space="preserve"> (Siemens, 2017)</w:t>
      </w:r>
      <w:r w:rsidRPr="00E94DD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F7" w:rsidRPr="00987D09" w:rsidRDefault="00B63A89" w:rsidP="000D04F7">
    <w:pPr>
      <w:pStyle w:val="Header"/>
    </w:pPr>
    <w:r w:rsidRPr="00987D09">
      <w:t>3</w:t>
    </w:r>
    <w:r w:rsidR="00860E8D" w:rsidRPr="00987D09">
      <w:t xml:space="preserve">. </w:t>
    </w:r>
    <w:r w:rsidR="00987D09" w:rsidRPr="00987D09">
      <w:rPr>
        <w:bCs/>
        <w:noProof/>
      </w:rPr>
      <w:t>Environmental Checklist and Discussion</w:t>
    </w:r>
  </w:p>
  <w:p w:rsidR="000D04F7" w:rsidRPr="0050235E" w:rsidRDefault="00287EE8" w:rsidP="0005332F">
    <w:pPr>
      <w:pStyle w:val="Header2ndline"/>
      <w:spacing w:before="20" w:after="480"/>
    </w:pPr>
    <w:fldSimple w:instr=" STYLEREF  &quot;Heading 3&quot; \w  \* MERGEFORMAT ">
      <w:r w:rsidR="00375688">
        <w:rPr>
          <w:noProof/>
        </w:rPr>
        <w:t>3.8</w:t>
      </w:r>
    </w:fldSimple>
    <w:r w:rsidR="00BA4442">
      <w:t xml:space="preserve"> </w:t>
    </w:r>
    <w:fldSimple w:instr=" STYLEREF  &quot;Heading 3&quot;  \* MERGEFORMAT ">
      <w:r w:rsidR="00375688">
        <w:rPr>
          <w:noProof/>
        </w:rPr>
        <w:t>Greenhouse Gas Emissions</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4B3" w:rsidRPr="00987D09" w:rsidRDefault="00B63A89" w:rsidP="007104B3">
    <w:pPr>
      <w:pStyle w:val="Header"/>
      <w:jc w:val="right"/>
    </w:pPr>
    <w:r w:rsidRPr="00987D09">
      <w:t>3</w:t>
    </w:r>
    <w:r w:rsidR="00860E8D" w:rsidRPr="00987D09">
      <w:t xml:space="preserve">. </w:t>
    </w:r>
    <w:r w:rsidR="00987D09" w:rsidRPr="00987D09">
      <w:rPr>
        <w:bCs/>
        <w:noProof/>
      </w:rPr>
      <w:t>Environmental Checklist and Discussion</w:t>
    </w:r>
  </w:p>
  <w:p w:rsidR="007104B3" w:rsidRPr="0050235E" w:rsidRDefault="00287EE8" w:rsidP="007104B3">
    <w:pPr>
      <w:pStyle w:val="Header2ndline"/>
      <w:spacing w:before="20" w:after="480"/>
      <w:jc w:val="right"/>
    </w:pPr>
    <w:fldSimple w:instr=" STYLEREF  &quot;Heading 3&quot; \w  \* MERGEFORMAT ">
      <w:r w:rsidR="00375688">
        <w:rPr>
          <w:noProof/>
        </w:rPr>
        <w:t>3.8</w:t>
      </w:r>
    </w:fldSimple>
    <w:r w:rsidR="00BA4442">
      <w:t xml:space="preserve"> </w:t>
    </w:r>
    <w:fldSimple w:instr=" STYLEREF  &quot;Heading 3&quot;  \* MERGEFORMAT ">
      <w:r w:rsidR="00375688">
        <w:rPr>
          <w:noProof/>
        </w:rPr>
        <w:t>Greenhouse Gas Emissions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1B1" w:rsidRDefault="003D21B1" w:rsidP="006543C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78EC7E"/>
    <w:lvl w:ilvl="0">
      <w:start w:val="1"/>
      <w:numFmt w:val="decimal"/>
      <w:lvlText w:val="%1)"/>
      <w:lvlJc w:val="left"/>
      <w:pPr>
        <w:ind w:left="1800" w:hanging="360"/>
      </w:pPr>
    </w:lvl>
  </w:abstractNum>
  <w:abstractNum w:abstractNumId="1" w15:restartNumberingAfterBreak="0">
    <w:nsid w:val="FFFFFF7D"/>
    <w:multiLevelType w:val="singleLevel"/>
    <w:tmpl w:val="E874573E"/>
    <w:lvl w:ilvl="0">
      <w:start w:val="1"/>
      <w:numFmt w:val="lowerLetter"/>
      <w:lvlText w:val="%1)"/>
      <w:lvlJc w:val="left"/>
      <w:pPr>
        <w:ind w:left="1440" w:hanging="360"/>
      </w:pPr>
    </w:lvl>
  </w:abstractNum>
  <w:abstractNum w:abstractNumId="2" w15:restartNumberingAfterBreak="0">
    <w:nsid w:val="FFFFFF7E"/>
    <w:multiLevelType w:val="singleLevel"/>
    <w:tmpl w:val="220EC824"/>
    <w:lvl w:ilvl="0">
      <w:start w:val="1"/>
      <w:numFmt w:val="lowerRoman"/>
      <w:lvlText w:val="%1."/>
      <w:lvlJc w:val="right"/>
      <w:pPr>
        <w:ind w:left="1080" w:hanging="360"/>
      </w:pPr>
    </w:lvl>
  </w:abstractNum>
  <w:abstractNum w:abstractNumId="3" w15:restartNumberingAfterBreak="0">
    <w:nsid w:val="FFFFFF7F"/>
    <w:multiLevelType w:val="singleLevel"/>
    <w:tmpl w:val="0F34AB5A"/>
    <w:lvl w:ilvl="0">
      <w:start w:val="1"/>
      <w:numFmt w:val="lowerLetter"/>
      <w:lvlText w:val="%1."/>
      <w:lvlJc w:val="left"/>
      <w:pPr>
        <w:ind w:left="720" w:hanging="360"/>
      </w:pPr>
    </w:lvl>
  </w:abstractNum>
  <w:abstractNum w:abstractNumId="4" w15:restartNumberingAfterBreak="0">
    <w:nsid w:val="FFFFFF80"/>
    <w:multiLevelType w:val="singleLevel"/>
    <w:tmpl w:val="6DFCBA5E"/>
    <w:lvl w:ilvl="0">
      <w:start w:val="1"/>
      <w:numFmt w:val="bullet"/>
      <w:lvlText w:val="•"/>
      <w:lvlJc w:val="left"/>
      <w:pPr>
        <w:ind w:left="2534" w:hanging="360"/>
      </w:pPr>
      <w:rPr>
        <w:rFonts w:ascii="Courier New" w:hAnsi="Courier New" w:hint="default"/>
      </w:rPr>
    </w:lvl>
  </w:abstractNum>
  <w:abstractNum w:abstractNumId="5" w15:restartNumberingAfterBreak="0">
    <w:nsid w:val="FFFFFF81"/>
    <w:multiLevelType w:val="singleLevel"/>
    <w:tmpl w:val="DBB43282"/>
    <w:lvl w:ilvl="0">
      <w:start w:val="1"/>
      <w:numFmt w:val="bullet"/>
      <w:lvlText w:val="-"/>
      <w:lvlJc w:val="left"/>
      <w:pPr>
        <w:ind w:left="2059" w:hanging="360"/>
      </w:pPr>
      <w:rPr>
        <w:rFonts w:ascii="Times" w:hAnsi="Times" w:hint="default"/>
      </w:rPr>
    </w:lvl>
  </w:abstractNum>
  <w:abstractNum w:abstractNumId="6" w15:restartNumberingAfterBreak="0">
    <w:nsid w:val="FFFFFF82"/>
    <w:multiLevelType w:val="singleLevel"/>
    <w:tmpl w:val="F33AB2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10B8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5A7D70"/>
    <w:lvl w:ilvl="0">
      <w:start w:val="1"/>
      <w:numFmt w:val="decimal"/>
      <w:lvlText w:val="%1."/>
      <w:lvlJc w:val="left"/>
      <w:pPr>
        <w:ind w:left="360" w:hanging="360"/>
      </w:pPr>
    </w:lvl>
  </w:abstractNum>
  <w:abstractNum w:abstractNumId="9" w15:restartNumberingAfterBreak="0">
    <w:nsid w:val="FFFFFF89"/>
    <w:multiLevelType w:val="singleLevel"/>
    <w:tmpl w:val="D22E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B45C4"/>
    <w:multiLevelType w:val="multilevel"/>
    <w:tmpl w:val="75F6EA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810020"/>
    <w:multiLevelType w:val="hybridMultilevel"/>
    <w:tmpl w:val="4C0AA1E4"/>
    <w:lvl w:ilvl="0" w:tplc="55C832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C6868FC"/>
    <w:multiLevelType w:val="multilevel"/>
    <w:tmpl w:val="5FA0D628"/>
    <w:lvl w:ilvl="0">
      <w:start w:val="3"/>
      <w:numFmt w:val="decimal"/>
      <w:pStyle w:val="Heading1"/>
      <w:suff w:val="nothing"/>
      <w:lvlText w:val="Section %1"/>
      <w:lvlJc w:val="left"/>
      <w:pPr>
        <w:ind w:left="0" w:firstLine="0"/>
      </w:pPr>
      <w:rPr>
        <w:rFonts w:hint="default"/>
      </w:rPr>
    </w:lvl>
    <w:lvl w:ilvl="1">
      <w:start w:val="8"/>
      <w:numFmt w:val="decimal"/>
      <w:pStyle w:val="Heading3"/>
      <w:lvlText w:val="%1.%2"/>
      <w:lvlJc w:val="left"/>
      <w:pPr>
        <w:ind w:left="619" w:hanging="619"/>
      </w:pPr>
      <w:rPr>
        <w:rFonts w:hint="default"/>
      </w:rPr>
    </w:lvl>
    <w:lvl w:ilvl="2">
      <w:start w:val="1"/>
      <w:numFmt w:val="decimal"/>
      <w:pStyle w:val="Heading4"/>
      <w:lvlText w:val="%1.%2.%3"/>
      <w:lvlJc w:val="left"/>
      <w:pPr>
        <w:ind w:left="864" w:hanging="864"/>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23C621E2"/>
    <w:multiLevelType w:val="hybridMultilevel"/>
    <w:tmpl w:val="285E1998"/>
    <w:lvl w:ilvl="0" w:tplc="22EAAEEC">
      <w:start w:val="1"/>
      <w:numFmt w:val="bullet"/>
      <w:pStyle w:val="Mitigationbulletinde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6D70D3"/>
    <w:multiLevelType w:val="multilevel"/>
    <w:tmpl w:val="EAFE9B08"/>
    <w:styleLink w:val="Numbered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C5F704B"/>
    <w:multiLevelType w:val="multilevel"/>
    <w:tmpl w:val="0704A500"/>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Times" w:hAnsi="Times"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Times" w:hAnsi="Times" w:hint="default"/>
      </w:rPr>
    </w:lvl>
    <w:lvl w:ilvl="4">
      <w:start w:val="1"/>
      <w:numFmt w:val="bullet"/>
      <w:pStyle w:val="ListBullet5"/>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2EC62D13"/>
    <w:multiLevelType w:val="hybridMultilevel"/>
    <w:tmpl w:val="0060DA70"/>
    <w:lvl w:ilvl="0" w:tplc="96642734">
      <w:start w:val="1"/>
      <w:numFmt w:val="bullet"/>
      <w:lvlText w:val="–"/>
      <w:lvlJc w:val="left"/>
      <w:pPr>
        <w:ind w:left="1253" w:hanging="360"/>
      </w:pPr>
      <w:rPr>
        <w:rFonts w:ascii="Times" w:hAnsi="Time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7" w15:restartNumberingAfterBreak="0">
    <w:nsid w:val="305B4BD1"/>
    <w:multiLevelType w:val="hybridMultilevel"/>
    <w:tmpl w:val="E5F8DEFE"/>
    <w:lvl w:ilvl="0" w:tplc="4DCE38B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3ADB2E82"/>
    <w:multiLevelType w:val="multilevel"/>
    <w:tmpl w:val="B9FCB18A"/>
    <w:lvl w:ilvl="0">
      <w:start w:val="3"/>
      <w:numFmt w:val="decimal"/>
      <w:lvlText w:val="%1"/>
      <w:lvlJc w:val="left"/>
      <w:pPr>
        <w:ind w:left="735" w:hanging="735"/>
      </w:pPr>
      <w:rPr>
        <w:rFonts w:hint="default"/>
      </w:rPr>
    </w:lvl>
    <w:lvl w:ilvl="1">
      <w:start w:val="7"/>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8216AEE"/>
    <w:multiLevelType w:val="hybridMultilevel"/>
    <w:tmpl w:val="BAACCF14"/>
    <w:lvl w:ilvl="0" w:tplc="BB728958">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4B460A5F"/>
    <w:multiLevelType w:val="hybridMultilevel"/>
    <w:tmpl w:val="3F5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51CC"/>
    <w:multiLevelType w:val="hybridMultilevel"/>
    <w:tmpl w:val="6B70F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DA2421"/>
    <w:multiLevelType w:val="multilevel"/>
    <w:tmpl w:val="E77E521E"/>
    <w:styleLink w:val="BulletedListStyl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w:hAnsi="Time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w:hAnsi="Times"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23" w15:restartNumberingAfterBreak="0">
    <w:nsid w:val="5FAA546E"/>
    <w:multiLevelType w:val="hybridMultilevel"/>
    <w:tmpl w:val="889C4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A47F45"/>
    <w:multiLevelType w:val="hybridMultilevel"/>
    <w:tmpl w:val="9806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A4B8A"/>
    <w:multiLevelType w:val="hybridMultilevel"/>
    <w:tmpl w:val="9760B692"/>
    <w:lvl w:ilvl="0" w:tplc="A9941DFA">
      <w:start w:val="1"/>
      <w:numFmt w:val="bullet"/>
      <w:lvlText w:val="–"/>
      <w:lvlJc w:val="left"/>
      <w:pPr>
        <w:ind w:left="1253" w:hanging="360"/>
      </w:pPr>
      <w:rPr>
        <w:rFonts w:ascii="Times" w:hAnsi="Times"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6" w15:restartNumberingAfterBreak="0">
    <w:nsid w:val="770E2CC6"/>
    <w:multiLevelType w:val="hybridMultilevel"/>
    <w:tmpl w:val="BFC6A1A4"/>
    <w:lvl w:ilvl="0" w:tplc="D696C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1293A"/>
    <w:multiLevelType w:val="hybridMultilevel"/>
    <w:tmpl w:val="B4FEF848"/>
    <w:lvl w:ilvl="0" w:tplc="B816D528">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36D48"/>
    <w:multiLevelType w:val="multilevel"/>
    <w:tmpl w:val="84EAACF4"/>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5"/>
  </w:num>
  <w:num w:numId="13">
    <w:abstractNumId w:val="19"/>
  </w:num>
  <w:num w:numId="14">
    <w:abstractNumId w:val="26"/>
  </w:num>
  <w:num w:numId="15">
    <w:abstractNumId w:val="16"/>
  </w:num>
  <w:num w:numId="16">
    <w:abstractNumId w:val="17"/>
  </w:num>
  <w:num w:numId="17">
    <w:abstractNumId w:val="24"/>
  </w:num>
  <w:num w:numId="18">
    <w:abstractNumId w:val="27"/>
  </w:num>
  <w:num w:numId="19">
    <w:abstractNumId w:val="13"/>
  </w:num>
  <w:num w:numId="20">
    <w:abstractNumId w:val="22"/>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4"/>
  </w:num>
  <w:num w:numId="32">
    <w:abstractNumId w:val="22"/>
  </w:num>
  <w:num w:numId="33">
    <w:abstractNumId w:val="15"/>
  </w:num>
  <w:num w:numId="34">
    <w:abstractNumId w:val="28"/>
  </w:num>
  <w:num w:numId="35">
    <w:abstractNumId w:val="12"/>
  </w:num>
  <w:num w:numId="36">
    <w:abstractNumId w:val="21"/>
  </w:num>
  <w:num w:numId="37">
    <w:abstractNumId w:val="23"/>
  </w:num>
  <w:num w:numId="38">
    <w:abstractNumId w:val="20"/>
  </w:num>
  <w:num w:numId="39">
    <w:abstractNumId w:val="18"/>
  </w:num>
  <w:num w:numId="40">
    <w:abstractNumId w:val="12"/>
  </w:num>
  <w:num w:numId="41">
    <w:abstractNumId w:val="12"/>
  </w:num>
  <w:num w:numId="42">
    <w:abstractNumId w:val="12"/>
  </w:num>
  <w:num w:numId="43">
    <w:abstractNumId w:val="12"/>
  </w:num>
  <w:num w:numId="44">
    <w:abstractNumId w:val="1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lickAndTypeStyle w:val="12space"/>
  <w:evenAndOddHeaders/>
  <w:characterSpacingControl w:val="doNotCompress"/>
  <w:hdrShapeDefaults>
    <o:shapedefaults v:ext="edit" spidmax="49153"/>
  </w:hdrShapeDefaults>
  <w:footnotePr>
    <w:footnote w:id="-1"/>
    <w:footnote w:id="0"/>
    <w:footnote w:id="1"/>
  </w:footnotePr>
  <w:endnotePr>
    <w:endnote w:id="-1"/>
    <w:endnote w:id="0"/>
  </w:endnotePr>
  <w:compat>
    <w:suppressBottomSpacing/>
    <w:suppressSpBfAfterPgBrk/>
    <w:noSpaceRaiseLower/>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8D"/>
    <w:rsid w:val="00003039"/>
    <w:rsid w:val="0000506B"/>
    <w:rsid w:val="00023396"/>
    <w:rsid w:val="00023751"/>
    <w:rsid w:val="00031BA6"/>
    <w:rsid w:val="00036FEE"/>
    <w:rsid w:val="000376BB"/>
    <w:rsid w:val="00044E06"/>
    <w:rsid w:val="00050028"/>
    <w:rsid w:val="000517B1"/>
    <w:rsid w:val="00052548"/>
    <w:rsid w:val="0005332F"/>
    <w:rsid w:val="00054BE6"/>
    <w:rsid w:val="00056AC1"/>
    <w:rsid w:val="000634A4"/>
    <w:rsid w:val="0007601E"/>
    <w:rsid w:val="00086262"/>
    <w:rsid w:val="0008754D"/>
    <w:rsid w:val="00090FF0"/>
    <w:rsid w:val="000917EA"/>
    <w:rsid w:val="00094DCE"/>
    <w:rsid w:val="000A6F8A"/>
    <w:rsid w:val="000B18C2"/>
    <w:rsid w:val="000B5EA8"/>
    <w:rsid w:val="000C155B"/>
    <w:rsid w:val="000D04F7"/>
    <w:rsid w:val="000D0A73"/>
    <w:rsid w:val="000D60B8"/>
    <w:rsid w:val="000F7C02"/>
    <w:rsid w:val="00107530"/>
    <w:rsid w:val="001105F5"/>
    <w:rsid w:val="0011594F"/>
    <w:rsid w:val="001173BC"/>
    <w:rsid w:val="00123532"/>
    <w:rsid w:val="0012461F"/>
    <w:rsid w:val="001260B0"/>
    <w:rsid w:val="0012706D"/>
    <w:rsid w:val="00130F4D"/>
    <w:rsid w:val="001376F5"/>
    <w:rsid w:val="00150FA1"/>
    <w:rsid w:val="001515D3"/>
    <w:rsid w:val="00155333"/>
    <w:rsid w:val="0015771C"/>
    <w:rsid w:val="00157CAC"/>
    <w:rsid w:val="001669A2"/>
    <w:rsid w:val="0016763D"/>
    <w:rsid w:val="00181AE7"/>
    <w:rsid w:val="0018433A"/>
    <w:rsid w:val="001D09ED"/>
    <w:rsid w:val="001D7B92"/>
    <w:rsid w:val="00201704"/>
    <w:rsid w:val="00201891"/>
    <w:rsid w:val="00217134"/>
    <w:rsid w:val="00243C52"/>
    <w:rsid w:val="00253B43"/>
    <w:rsid w:val="00253E5A"/>
    <w:rsid w:val="00261CC2"/>
    <w:rsid w:val="002669BA"/>
    <w:rsid w:val="0027179D"/>
    <w:rsid w:val="002823D3"/>
    <w:rsid w:val="0028333B"/>
    <w:rsid w:val="00287EE8"/>
    <w:rsid w:val="002908C7"/>
    <w:rsid w:val="00290F5D"/>
    <w:rsid w:val="0029308F"/>
    <w:rsid w:val="00293650"/>
    <w:rsid w:val="002A759A"/>
    <w:rsid w:val="002C174F"/>
    <w:rsid w:val="002D26EE"/>
    <w:rsid w:val="002D7FF1"/>
    <w:rsid w:val="002E2BE8"/>
    <w:rsid w:val="002F00EE"/>
    <w:rsid w:val="002F689E"/>
    <w:rsid w:val="002F7E86"/>
    <w:rsid w:val="00316061"/>
    <w:rsid w:val="003166E2"/>
    <w:rsid w:val="00320D01"/>
    <w:rsid w:val="00321B19"/>
    <w:rsid w:val="0032238D"/>
    <w:rsid w:val="00360787"/>
    <w:rsid w:val="0036138F"/>
    <w:rsid w:val="00364961"/>
    <w:rsid w:val="00375688"/>
    <w:rsid w:val="00377691"/>
    <w:rsid w:val="00387E2C"/>
    <w:rsid w:val="003A1DAC"/>
    <w:rsid w:val="003A3BD0"/>
    <w:rsid w:val="003A4055"/>
    <w:rsid w:val="003A64C5"/>
    <w:rsid w:val="003B72DB"/>
    <w:rsid w:val="003C65C4"/>
    <w:rsid w:val="003D0FCF"/>
    <w:rsid w:val="003D21B1"/>
    <w:rsid w:val="003D694C"/>
    <w:rsid w:val="003D7671"/>
    <w:rsid w:val="003E72DC"/>
    <w:rsid w:val="003F5C3B"/>
    <w:rsid w:val="00421D0E"/>
    <w:rsid w:val="00430D6C"/>
    <w:rsid w:val="00433989"/>
    <w:rsid w:val="00443E32"/>
    <w:rsid w:val="00444719"/>
    <w:rsid w:val="00444CAF"/>
    <w:rsid w:val="0045698D"/>
    <w:rsid w:val="00461391"/>
    <w:rsid w:val="00476053"/>
    <w:rsid w:val="00484DC7"/>
    <w:rsid w:val="004A6DE7"/>
    <w:rsid w:val="004B3497"/>
    <w:rsid w:val="004B5515"/>
    <w:rsid w:val="004B7A27"/>
    <w:rsid w:val="004C1535"/>
    <w:rsid w:val="004C69DF"/>
    <w:rsid w:val="004D0C36"/>
    <w:rsid w:val="004D0EC1"/>
    <w:rsid w:val="004D6D4A"/>
    <w:rsid w:val="004D7DA2"/>
    <w:rsid w:val="004E294E"/>
    <w:rsid w:val="0050235E"/>
    <w:rsid w:val="0050774D"/>
    <w:rsid w:val="00540731"/>
    <w:rsid w:val="0055700C"/>
    <w:rsid w:val="00566BE2"/>
    <w:rsid w:val="005676EA"/>
    <w:rsid w:val="005710A8"/>
    <w:rsid w:val="0057723A"/>
    <w:rsid w:val="00581D7A"/>
    <w:rsid w:val="00586F5B"/>
    <w:rsid w:val="005A701F"/>
    <w:rsid w:val="005B7329"/>
    <w:rsid w:val="005C175D"/>
    <w:rsid w:val="005D6821"/>
    <w:rsid w:val="005D711B"/>
    <w:rsid w:val="005E0329"/>
    <w:rsid w:val="005E6330"/>
    <w:rsid w:val="005F47F9"/>
    <w:rsid w:val="00606D63"/>
    <w:rsid w:val="00630825"/>
    <w:rsid w:val="0063343F"/>
    <w:rsid w:val="00634CF6"/>
    <w:rsid w:val="00636E0F"/>
    <w:rsid w:val="00646DBB"/>
    <w:rsid w:val="00647B5A"/>
    <w:rsid w:val="006543C1"/>
    <w:rsid w:val="006546B1"/>
    <w:rsid w:val="0065582E"/>
    <w:rsid w:val="006675C6"/>
    <w:rsid w:val="006807F4"/>
    <w:rsid w:val="0069418B"/>
    <w:rsid w:val="006C30C5"/>
    <w:rsid w:val="006C671A"/>
    <w:rsid w:val="006D0985"/>
    <w:rsid w:val="006D221A"/>
    <w:rsid w:val="006D6443"/>
    <w:rsid w:val="006D6AEE"/>
    <w:rsid w:val="006E0AE5"/>
    <w:rsid w:val="006E191E"/>
    <w:rsid w:val="006E19FF"/>
    <w:rsid w:val="006E7E7D"/>
    <w:rsid w:val="006F6DCE"/>
    <w:rsid w:val="007104B3"/>
    <w:rsid w:val="007243E0"/>
    <w:rsid w:val="007248A3"/>
    <w:rsid w:val="00737493"/>
    <w:rsid w:val="007540EF"/>
    <w:rsid w:val="00774364"/>
    <w:rsid w:val="00787DD2"/>
    <w:rsid w:val="00790F1D"/>
    <w:rsid w:val="007A0D3C"/>
    <w:rsid w:val="007A24FA"/>
    <w:rsid w:val="007C1A45"/>
    <w:rsid w:val="007C2181"/>
    <w:rsid w:val="007D6614"/>
    <w:rsid w:val="007E037E"/>
    <w:rsid w:val="007E6745"/>
    <w:rsid w:val="007F61CC"/>
    <w:rsid w:val="00813BDE"/>
    <w:rsid w:val="00816169"/>
    <w:rsid w:val="008358A6"/>
    <w:rsid w:val="00851268"/>
    <w:rsid w:val="00860E8D"/>
    <w:rsid w:val="00867238"/>
    <w:rsid w:val="0087146C"/>
    <w:rsid w:val="008748B2"/>
    <w:rsid w:val="008758B7"/>
    <w:rsid w:val="008870A4"/>
    <w:rsid w:val="00894226"/>
    <w:rsid w:val="008A03D1"/>
    <w:rsid w:val="008B178E"/>
    <w:rsid w:val="008C40B3"/>
    <w:rsid w:val="008E5433"/>
    <w:rsid w:val="008F1BDF"/>
    <w:rsid w:val="008F340B"/>
    <w:rsid w:val="008F5C83"/>
    <w:rsid w:val="00907E03"/>
    <w:rsid w:val="00911246"/>
    <w:rsid w:val="00914B3E"/>
    <w:rsid w:val="0092229D"/>
    <w:rsid w:val="009347D8"/>
    <w:rsid w:val="009372DC"/>
    <w:rsid w:val="00945EB6"/>
    <w:rsid w:val="0095351D"/>
    <w:rsid w:val="00956DF3"/>
    <w:rsid w:val="009606C0"/>
    <w:rsid w:val="00967C9E"/>
    <w:rsid w:val="009835A2"/>
    <w:rsid w:val="009835E3"/>
    <w:rsid w:val="00987D09"/>
    <w:rsid w:val="00991356"/>
    <w:rsid w:val="00991F70"/>
    <w:rsid w:val="009B11B1"/>
    <w:rsid w:val="009B4D1D"/>
    <w:rsid w:val="009D4ECB"/>
    <w:rsid w:val="00A01AC4"/>
    <w:rsid w:val="00A05E76"/>
    <w:rsid w:val="00A07677"/>
    <w:rsid w:val="00A14AA4"/>
    <w:rsid w:val="00A21490"/>
    <w:rsid w:val="00A26409"/>
    <w:rsid w:val="00A509C9"/>
    <w:rsid w:val="00A62F36"/>
    <w:rsid w:val="00A64D81"/>
    <w:rsid w:val="00A66EDA"/>
    <w:rsid w:val="00A75126"/>
    <w:rsid w:val="00A83CF6"/>
    <w:rsid w:val="00A84229"/>
    <w:rsid w:val="00A97F49"/>
    <w:rsid w:val="00AC0A0C"/>
    <w:rsid w:val="00AC2878"/>
    <w:rsid w:val="00AC6219"/>
    <w:rsid w:val="00AD141F"/>
    <w:rsid w:val="00AD2D67"/>
    <w:rsid w:val="00AD5F42"/>
    <w:rsid w:val="00AD7952"/>
    <w:rsid w:val="00AF05FC"/>
    <w:rsid w:val="00B03912"/>
    <w:rsid w:val="00B06569"/>
    <w:rsid w:val="00B20CBE"/>
    <w:rsid w:val="00B27501"/>
    <w:rsid w:val="00B316D5"/>
    <w:rsid w:val="00B34C47"/>
    <w:rsid w:val="00B40FEE"/>
    <w:rsid w:val="00B51FC7"/>
    <w:rsid w:val="00B546B3"/>
    <w:rsid w:val="00B5497F"/>
    <w:rsid w:val="00B63A89"/>
    <w:rsid w:val="00B66970"/>
    <w:rsid w:val="00B67467"/>
    <w:rsid w:val="00B841EB"/>
    <w:rsid w:val="00B8628A"/>
    <w:rsid w:val="00B904CC"/>
    <w:rsid w:val="00B9495E"/>
    <w:rsid w:val="00B96B88"/>
    <w:rsid w:val="00BA4442"/>
    <w:rsid w:val="00BB06F4"/>
    <w:rsid w:val="00BB24AC"/>
    <w:rsid w:val="00BC3413"/>
    <w:rsid w:val="00BC380C"/>
    <w:rsid w:val="00BC7832"/>
    <w:rsid w:val="00BE6227"/>
    <w:rsid w:val="00BE79CF"/>
    <w:rsid w:val="00BF0620"/>
    <w:rsid w:val="00BF5972"/>
    <w:rsid w:val="00C176B1"/>
    <w:rsid w:val="00C35CFE"/>
    <w:rsid w:val="00C56A3F"/>
    <w:rsid w:val="00C57666"/>
    <w:rsid w:val="00C711AE"/>
    <w:rsid w:val="00C76AC0"/>
    <w:rsid w:val="00C934DA"/>
    <w:rsid w:val="00CA2383"/>
    <w:rsid w:val="00CA4DC7"/>
    <w:rsid w:val="00CA62B6"/>
    <w:rsid w:val="00CC3EEF"/>
    <w:rsid w:val="00CC615F"/>
    <w:rsid w:val="00CE747B"/>
    <w:rsid w:val="00CF2FE9"/>
    <w:rsid w:val="00D02BA9"/>
    <w:rsid w:val="00D129F1"/>
    <w:rsid w:val="00D36AED"/>
    <w:rsid w:val="00D41D13"/>
    <w:rsid w:val="00D43D19"/>
    <w:rsid w:val="00D5008B"/>
    <w:rsid w:val="00D56378"/>
    <w:rsid w:val="00D56883"/>
    <w:rsid w:val="00D66CEF"/>
    <w:rsid w:val="00D724D6"/>
    <w:rsid w:val="00D7294A"/>
    <w:rsid w:val="00D91AEC"/>
    <w:rsid w:val="00DA4B48"/>
    <w:rsid w:val="00DB2732"/>
    <w:rsid w:val="00DC2919"/>
    <w:rsid w:val="00DC7088"/>
    <w:rsid w:val="00DC7C6E"/>
    <w:rsid w:val="00E06193"/>
    <w:rsid w:val="00E16E6C"/>
    <w:rsid w:val="00E24F76"/>
    <w:rsid w:val="00E25820"/>
    <w:rsid w:val="00E3166B"/>
    <w:rsid w:val="00E37C4C"/>
    <w:rsid w:val="00E516E4"/>
    <w:rsid w:val="00E60340"/>
    <w:rsid w:val="00E82340"/>
    <w:rsid w:val="00E87030"/>
    <w:rsid w:val="00E91646"/>
    <w:rsid w:val="00E91682"/>
    <w:rsid w:val="00E920AC"/>
    <w:rsid w:val="00E94DD8"/>
    <w:rsid w:val="00EB13A0"/>
    <w:rsid w:val="00EB4119"/>
    <w:rsid w:val="00EC0134"/>
    <w:rsid w:val="00ED53DA"/>
    <w:rsid w:val="00EE5270"/>
    <w:rsid w:val="00EF7A3C"/>
    <w:rsid w:val="00F20EBA"/>
    <w:rsid w:val="00F265F1"/>
    <w:rsid w:val="00F32B8C"/>
    <w:rsid w:val="00F34114"/>
    <w:rsid w:val="00F35136"/>
    <w:rsid w:val="00F43138"/>
    <w:rsid w:val="00F443E9"/>
    <w:rsid w:val="00F63233"/>
    <w:rsid w:val="00F6419B"/>
    <w:rsid w:val="00F8697F"/>
    <w:rsid w:val="00F86E42"/>
    <w:rsid w:val="00F91D99"/>
    <w:rsid w:val="00FA3054"/>
    <w:rsid w:val="00FD29E5"/>
    <w:rsid w:val="00FE054A"/>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89BAAE9-6E13-4BD6-9D8D-8CA94FF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1F"/>
    <w:pPr>
      <w:spacing w:after="0" w:line="240" w:lineRule="auto"/>
    </w:pPr>
    <w:rPr>
      <w:rFonts w:ascii="Times New Roman" w:hAnsi="Times New Roman"/>
    </w:rPr>
  </w:style>
  <w:style w:type="paragraph" w:styleId="Heading1">
    <w:name w:val="heading 1"/>
    <w:basedOn w:val="Normal"/>
    <w:next w:val="Heading2"/>
    <w:link w:val="Heading1Char"/>
    <w:uiPriority w:val="9"/>
    <w:qFormat/>
    <w:rsid w:val="000917EA"/>
    <w:pPr>
      <w:keepNext/>
      <w:keepLines/>
      <w:pageBreakBefore/>
      <w:numPr>
        <w:numId w:val="35"/>
      </w:numPr>
      <w:pBdr>
        <w:bottom w:val="single" w:sz="6" w:space="1" w:color="auto"/>
      </w:pBdr>
      <w:spacing w:before="960"/>
      <w:outlineLvl w:val="0"/>
    </w:pPr>
    <w:rPr>
      <w:rFonts w:ascii="Arial" w:eastAsiaTheme="majorEastAsia" w:hAnsi="Arial" w:cstheme="majorBidi"/>
      <w:b/>
      <w:bCs/>
      <w:caps/>
      <w:sz w:val="40"/>
      <w:szCs w:val="28"/>
    </w:rPr>
  </w:style>
  <w:style w:type="paragraph" w:styleId="Heading2">
    <w:name w:val="heading 2"/>
    <w:basedOn w:val="Normal"/>
    <w:next w:val="12space"/>
    <w:link w:val="Heading2Char"/>
    <w:uiPriority w:val="9"/>
    <w:qFormat/>
    <w:rsid w:val="006D0985"/>
    <w:pPr>
      <w:keepNext/>
      <w:keepLines/>
      <w:spacing w:after="600" w:line="460" w:lineRule="exact"/>
      <w:outlineLvl w:val="1"/>
    </w:pPr>
    <w:rPr>
      <w:rFonts w:ascii="Arial Unicode MS" w:eastAsiaTheme="majorEastAsia" w:hAnsi="Arial Unicode MS" w:cstheme="majorBidi"/>
      <w:bCs/>
      <w:sz w:val="42"/>
      <w:szCs w:val="26"/>
    </w:rPr>
  </w:style>
  <w:style w:type="paragraph" w:styleId="Heading3">
    <w:name w:val="heading 3"/>
    <w:basedOn w:val="Normal"/>
    <w:next w:val="12space"/>
    <w:link w:val="Heading3Char"/>
    <w:uiPriority w:val="9"/>
    <w:qFormat/>
    <w:rsid w:val="007248A3"/>
    <w:pPr>
      <w:keepNext/>
      <w:keepLines/>
      <w:numPr>
        <w:ilvl w:val="1"/>
        <w:numId w:val="35"/>
      </w:numPr>
      <w:spacing w:before="120" w:after="180"/>
      <w:outlineLvl w:val="2"/>
    </w:pPr>
    <w:rPr>
      <w:rFonts w:ascii="Arial" w:eastAsiaTheme="majorEastAsia" w:hAnsi="Arial" w:cstheme="majorBidi"/>
      <w:b/>
      <w:bCs/>
      <w:sz w:val="33"/>
    </w:rPr>
  </w:style>
  <w:style w:type="paragraph" w:styleId="Heading4">
    <w:name w:val="heading 4"/>
    <w:basedOn w:val="Normal"/>
    <w:next w:val="12space"/>
    <w:link w:val="Heading4Char"/>
    <w:uiPriority w:val="9"/>
    <w:qFormat/>
    <w:rsid w:val="007248A3"/>
    <w:pPr>
      <w:keepNext/>
      <w:keepLines/>
      <w:numPr>
        <w:ilvl w:val="2"/>
        <w:numId w:val="35"/>
      </w:numPr>
      <w:spacing w:before="80" w:after="120" w:line="360" w:lineRule="exact"/>
      <w:outlineLvl w:val="3"/>
    </w:pPr>
    <w:rPr>
      <w:rFonts w:ascii="Arial Unicode MS" w:eastAsiaTheme="majorEastAsia" w:hAnsi="Arial Unicode MS" w:cstheme="majorBidi"/>
      <w:bCs/>
      <w:iCs/>
      <w:sz w:val="31"/>
    </w:rPr>
  </w:style>
  <w:style w:type="paragraph" w:styleId="Heading5">
    <w:name w:val="heading 5"/>
    <w:basedOn w:val="Normal"/>
    <w:next w:val="12space"/>
    <w:link w:val="Heading5Char"/>
    <w:uiPriority w:val="9"/>
    <w:qFormat/>
    <w:rsid w:val="0065582E"/>
    <w:pPr>
      <w:keepNext/>
      <w:keepLines/>
      <w:numPr>
        <w:ilvl w:val="4"/>
        <w:numId w:val="35"/>
      </w:numPr>
      <w:tabs>
        <w:tab w:val="left" w:pos="1267"/>
      </w:tabs>
      <w:spacing w:before="120" w:after="120"/>
      <w:outlineLvl w:val="4"/>
    </w:pPr>
    <w:rPr>
      <w:rFonts w:ascii="Arial" w:eastAsiaTheme="majorEastAsia" w:hAnsi="Arial" w:cstheme="majorBidi"/>
      <w:b/>
      <w:sz w:val="26"/>
    </w:rPr>
  </w:style>
  <w:style w:type="paragraph" w:styleId="Heading6">
    <w:name w:val="heading 6"/>
    <w:basedOn w:val="Normal"/>
    <w:next w:val="12space"/>
    <w:link w:val="Heading6Char"/>
    <w:uiPriority w:val="9"/>
    <w:qFormat/>
    <w:rsid w:val="00586F5B"/>
    <w:pPr>
      <w:keepNext/>
      <w:keepLines/>
      <w:numPr>
        <w:ilvl w:val="5"/>
        <w:numId w:val="35"/>
      </w:numPr>
      <w:spacing w:before="100" w:after="100"/>
      <w:outlineLvl w:val="5"/>
    </w:pPr>
    <w:rPr>
      <w:rFonts w:ascii="Arial" w:eastAsiaTheme="majorEastAsia" w:hAnsi="Arial" w:cstheme="majorBidi"/>
      <w:b/>
      <w:i/>
      <w:iCs/>
      <w:sz w:val="23"/>
    </w:rPr>
  </w:style>
  <w:style w:type="paragraph" w:styleId="Heading7">
    <w:name w:val="heading 7"/>
    <w:basedOn w:val="Normal"/>
    <w:next w:val="12space"/>
    <w:link w:val="Heading7Char"/>
    <w:uiPriority w:val="9"/>
    <w:qFormat/>
    <w:rsid w:val="004A6DE7"/>
    <w:pPr>
      <w:keepNext/>
      <w:keepLines/>
      <w:numPr>
        <w:ilvl w:val="6"/>
        <w:numId w:val="35"/>
      </w:numPr>
      <w:spacing w:before="100" w:after="60"/>
      <w:outlineLvl w:val="6"/>
    </w:pPr>
    <w:rPr>
      <w:rFonts w:ascii="Arial" w:eastAsiaTheme="majorEastAsia" w:hAnsi="Arial" w:cstheme="majorBidi"/>
      <w:b/>
      <w:iCs/>
      <w:sz w:val="21"/>
    </w:rPr>
  </w:style>
  <w:style w:type="paragraph" w:styleId="Heading8">
    <w:name w:val="heading 8"/>
    <w:basedOn w:val="Normal"/>
    <w:next w:val="12space"/>
    <w:link w:val="Heading8Char"/>
    <w:uiPriority w:val="9"/>
    <w:rsid w:val="008748B2"/>
    <w:pPr>
      <w:keepNext/>
      <w:numPr>
        <w:ilvl w:val="7"/>
        <w:numId w:val="35"/>
      </w:numPr>
      <w:spacing w:before="60" w:after="60"/>
      <w:outlineLvl w:val="7"/>
    </w:pPr>
    <w:rPr>
      <w:rFonts w:ascii="Arial" w:hAnsi="Arial"/>
      <w:sz w:val="21"/>
    </w:rPr>
  </w:style>
  <w:style w:type="paragraph" w:styleId="Heading9">
    <w:name w:val="heading 9"/>
    <w:basedOn w:val="Normal"/>
    <w:next w:val="12space"/>
    <w:link w:val="Heading9Char"/>
    <w:uiPriority w:val="9"/>
    <w:rsid w:val="008748B2"/>
    <w:pPr>
      <w:keepNext/>
      <w:numPr>
        <w:ilvl w:val="8"/>
        <w:numId w:val="35"/>
      </w:numPr>
      <w:spacing w:before="60" w:after="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E7E7D"/>
    <w:rPr>
      <w:rFonts w:cs="Times New Roman"/>
      <w:szCs w:val="24"/>
    </w:rPr>
  </w:style>
  <w:style w:type="character" w:customStyle="1" w:styleId="Heading1Char">
    <w:name w:val="Heading 1 Char"/>
    <w:basedOn w:val="DefaultParagraphFont"/>
    <w:link w:val="Heading1"/>
    <w:uiPriority w:val="9"/>
    <w:rsid w:val="000917EA"/>
    <w:rPr>
      <w:rFonts w:ascii="Arial" w:eastAsiaTheme="majorEastAsia" w:hAnsi="Arial" w:cstheme="majorBidi"/>
      <w:b/>
      <w:bCs/>
      <w:caps/>
      <w:sz w:val="40"/>
      <w:szCs w:val="28"/>
    </w:rPr>
  </w:style>
  <w:style w:type="character" w:customStyle="1" w:styleId="Heading2Char">
    <w:name w:val="Heading 2 Char"/>
    <w:basedOn w:val="DefaultParagraphFont"/>
    <w:link w:val="Heading2"/>
    <w:uiPriority w:val="9"/>
    <w:rsid w:val="006D0985"/>
    <w:rPr>
      <w:rFonts w:ascii="Arial Unicode MS" w:eastAsiaTheme="majorEastAsia" w:hAnsi="Arial Unicode MS" w:cstheme="majorBidi"/>
      <w:bCs/>
      <w:sz w:val="42"/>
      <w:szCs w:val="26"/>
    </w:rPr>
  </w:style>
  <w:style w:type="paragraph" w:customStyle="1" w:styleId="12space">
    <w:name w:val="1.2 space"/>
    <w:basedOn w:val="Normal"/>
    <w:link w:val="12spaceChar3"/>
    <w:qFormat/>
    <w:rsid w:val="00B8628A"/>
    <w:pPr>
      <w:spacing w:after="240" w:line="288" w:lineRule="exact"/>
    </w:pPr>
  </w:style>
  <w:style w:type="paragraph" w:styleId="BodyText">
    <w:name w:val="Body Text"/>
    <w:basedOn w:val="12space"/>
    <w:link w:val="BodyTextChar"/>
    <w:uiPriority w:val="99"/>
    <w:semiHidden/>
    <w:rsid w:val="00C176B1"/>
  </w:style>
  <w:style w:type="character" w:customStyle="1" w:styleId="BodyTextChar">
    <w:name w:val="Body Text Char"/>
    <w:basedOn w:val="DefaultParagraphFont"/>
    <w:link w:val="BodyText"/>
    <w:uiPriority w:val="99"/>
    <w:semiHidden/>
    <w:rsid w:val="00586F5B"/>
    <w:rPr>
      <w:rFonts w:ascii="Times" w:hAnsi="Times"/>
    </w:rPr>
  </w:style>
  <w:style w:type="paragraph" w:customStyle="1" w:styleId="12spaceindent">
    <w:name w:val="1.2 space indent"/>
    <w:basedOn w:val="12space"/>
    <w:qFormat/>
    <w:rsid w:val="00F35136"/>
    <w:pPr>
      <w:ind w:left="720" w:hanging="720"/>
    </w:pPr>
  </w:style>
  <w:style w:type="paragraph" w:customStyle="1" w:styleId="1stindent">
    <w:name w:val="1st indent"/>
    <w:basedOn w:val="12spaceindent"/>
    <w:link w:val="1stindentChar"/>
    <w:rsid w:val="00461391"/>
    <w:pPr>
      <w:spacing w:line="240" w:lineRule="exact"/>
      <w:ind w:left="360" w:firstLine="0"/>
    </w:pPr>
  </w:style>
  <w:style w:type="paragraph" w:customStyle="1" w:styleId="2ndindent">
    <w:name w:val="2nd indent"/>
    <w:basedOn w:val="1stindent"/>
    <w:rsid w:val="00461391"/>
    <w:pPr>
      <w:ind w:left="720"/>
    </w:pPr>
  </w:style>
  <w:style w:type="paragraph" w:customStyle="1" w:styleId="3rdindent">
    <w:name w:val="3rd indent"/>
    <w:basedOn w:val="2ndindent"/>
    <w:rsid w:val="00461391"/>
    <w:pPr>
      <w:ind w:left="1080"/>
    </w:pPr>
  </w:style>
  <w:style w:type="paragraph" w:styleId="TOC1">
    <w:name w:val="toc 1"/>
    <w:basedOn w:val="Normal"/>
    <w:uiPriority w:val="39"/>
    <w:rsid w:val="005B7329"/>
    <w:pPr>
      <w:tabs>
        <w:tab w:val="right" w:leader="dot" w:pos="8640"/>
      </w:tabs>
      <w:suppressAutoHyphens/>
      <w:spacing w:before="120"/>
      <w:ind w:left="547" w:right="720" w:hanging="547"/>
    </w:pPr>
    <w:rPr>
      <w:rFonts w:ascii="Arial" w:hAnsi="Arial"/>
      <w:b/>
      <w:noProof/>
      <w:sz w:val="21"/>
    </w:rPr>
  </w:style>
  <w:style w:type="paragraph" w:styleId="TOC2">
    <w:name w:val="toc 2"/>
    <w:basedOn w:val="TOC1"/>
    <w:uiPriority w:val="39"/>
    <w:rsid w:val="00217134"/>
    <w:pPr>
      <w:spacing w:before="0"/>
      <w:ind w:left="1080"/>
    </w:pPr>
    <w:rPr>
      <w:b w:val="0"/>
    </w:rPr>
  </w:style>
  <w:style w:type="paragraph" w:styleId="TOC3">
    <w:name w:val="toc 3"/>
    <w:basedOn w:val="TOC2"/>
    <w:uiPriority w:val="39"/>
    <w:rsid w:val="001515D3"/>
    <w:pPr>
      <w:ind w:left="1710" w:hanging="630"/>
    </w:pPr>
  </w:style>
  <w:style w:type="paragraph" w:styleId="TOC4">
    <w:name w:val="toc 4"/>
    <w:basedOn w:val="TOC3"/>
    <w:uiPriority w:val="39"/>
    <w:unhideWhenUsed/>
    <w:rsid w:val="001515D3"/>
    <w:pPr>
      <w:ind w:left="2520" w:hanging="803"/>
    </w:pPr>
  </w:style>
  <w:style w:type="paragraph" w:styleId="TOC5">
    <w:name w:val="toc 5"/>
    <w:basedOn w:val="TOC4"/>
    <w:uiPriority w:val="39"/>
    <w:semiHidden/>
    <w:rsid w:val="004E294E"/>
    <w:pPr>
      <w:ind w:left="3514" w:hanging="994"/>
    </w:pPr>
  </w:style>
  <w:style w:type="paragraph" w:styleId="TOC6">
    <w:name w:val="toc 6"/>
    <w:basedOn w:val="TOC5"/>
    <w:next w:val="Normal"/>
    <w:uiPriority w:val="39"/>
    <w:semiHidden/>
    <w:rsid w:val="008F340B"/>
    <w:pPr>
      <w:ind w:left="3787"/>
    </w:pPr>
  </w:style>
  <w:style w:type="paragraph" w:styleId="TOC7">
    <w:name w:val="toc 7"/>
    <w:basedOn w:val="TOC6"/>
    <w:next w:val="Normal"/>
    <w:uiPriority w:val="39"/>
    <w:semiHidden/>
    <w:rsid w:val="008F340B"/>
    <w:pPr>
      <w:ind w:left="4507"/>
    </w:pPr>
  </w:style>
  <w:style w:type="paragraph" w:styleId="TOC8">
    <w:name w:val="toc 8"/>
    <w:basedOn w:val="TOC7"/>
    <w:next w:val="Normal"/>
    <w:uiPriority w:val="39"/>
    <w:semiHidden/>
    <w:rsid w:val="00E60340"/>
    <w:pPr>
      <w:ind w:left="5227"/>
    </w:pPr>
  </w:style>
  <w:style w:type="paragraph" w:styleId="TOC9">
    <w:name w:val="toc 9"/>
    <w:basedOn w:val="TOC8"/>
    <w:next w:val="Normal"/>
    <w:uiPriority w:val="39"/>
    <w:semiHidden/>
    <w:rsid w:val="00E60340"/>
    <w:pPr>
      <w:ind w:left="5947"/>
    </w:pPr>
  </w:style>
  <w:style w:type="paragraph" w:styleId="ListBullet">
    <w:name w:val="List Bullet"/>
    <w:basedOn w:val="Normal"/>
    <w:uiPriority w:val="99"/>
    <w:qFormat/>
    <w:rsid w:val="00056AC1"/>
    <w:pPr>
      <w:numPr>
        <w:numId w:val="33"/>
      </w:numPr>
      <w:suppressAutoHyphens/>
      <w:spacing w:after="240" w:line="250" w:lineRule="exact"/>
    </w:pPr>
    <w:rPr>
      <w:szCs w:val="20"/>
    </w:rPr>
  </w:style>
  <w:style w:type="paragraph" w:styleId="ListBullet2">
    <w:name w:val="List Bullet 2"/>
    <w:basedOn w:val="ListBullet"/>
    <w:uiPriority w:val="99"/>
    <w:qFormat/>
    <w:rsid w:val="001669A2"/>
    <w:pPr>
      <w:numPr>
        <w:ilvl w:val="1"/>
      </w:numPr>
    </w:pPr>
  </w:style>
  <w:style w:type="paragraph" w:styleId="ListBullet3">
    <w:name w:val="List Bullet 3"/>
    <w:basedOn w:val="ListBullet2"/>
    <w:uiPriority w:val="99"/>
    <w:qFormat/>
    <w:rsid w:val="001669A2"/>
    <w:pPr>
      <w:numPr>
        <w:ilvl w:val="2"/>
      </w:numPr>
    </w:pPr>
  </w:style>
  <w:style w:type="paragraph" w:styleId="ListBullet4">
    <w:name w:val="List Bullet 4"/>
    <w:basedOn w:val="ListBullet3"/>
    <w:uiPriority w:val="99"/>
    <w:rsid w:val="001669A2"/>
    <w:pPr>
      <w:numPr>
        <w:ilvl w:val="3"/>
      </w:numPr>
    </w:pPr>
  </w:style>
  <w:style w:type="paragraph" w:styleId="ListBullet5">
    <w:name w:val="List Bullet 5"/>
    <w:basedOn w:val="ListBullet4"/>
    <w:uiPriority w:val="99"/>
    <w:rsid w:val="001669A2"/>
    <w:pPr>
      <w:numPr>
        <w:ilvl w:val="4"/>
      </w:numPr>
    </w:pPr>
  </w:style>
  <w:style w:type="paragraph" w:styleId="Bibliography">
    <w:name w:val="Bibliography"/>
    <w:basedOn w:val="Normal"/>
    <w:uiPriority w:val="37"/>
    <w:qFormat/>
    <w:rsid w:val="00B34C47"/>
    <w:pPr>
      <w:spacing w:after="240"/>
      <w:ind w:left="547" w:hanging="547"/>
    </w:pPr>
  </w:style>
  <w:style w:type="paragraph" w:styleId="BlockText">
    <w:name w:val="Block Text"/>
    <w:basedOn w:val="1stindent"/>
    <w:uiPriority w:val="99"/>
    <w:semiHidden/>
    <w:rsid w:val="006C671A"/>
    <w:pPr>
      <w:spacing w:line="240" w:lineRule="auto"/>
      <w:ind w:left="893" w:right="1440"/>
    </w:pPr>
    <w:rPr>
      <w:rFonts w:eastAsiaTheme="minorEastAsia"/>
      <w:i/>
      <w:iCs/>
    </w:rPr>
  </w:style>
  <w:style w:type="paragraph" w:styleId="BodyText2">
    <w:name w:val="Body Text 2"/>
    <w:basedOn w:val="BodyText"/>
    <w:link w:val="BodyText2Char"/>
    <w:uiPriority w:val="99"/>
    <w:semiHidden/>
    <w:rsid w:val="00C176B1"/>
    <w:pPr>
      <w:spacing w:after="120" w:line="240" w:lineRule="auto"/>
    </w:pPr>
  </w:style>
  <w:style w:type="character" w:customStyle="1" w:styleId="BodyText2Char">
    <w:name w:val="Body Text 2 Char"/>
    <w:basedOn w:val="DefaultParagraphFont"/>
    <w:link w:val="BodyText2"/>
    <w:uiPriority w:val="99"/>
    <w:semiHidden/>
    <w:rsid w:val="00586F5B"/>
    <w:rPr>
      <w:rFonts w:ascii="Times" w:hAnsi="Times"/>
    </w:rPr>
  </w:style>
  <w:style w:type="paragraph" w:styleId="BodyText3">
    <w:name w:val="Body Text 3"/>
    <w:basedOn w:val="BodyText2"/>
    <w:link w:val="BodyText3Char"/>
    <w:uiPriority w:val="99"/>
    <w:semiHidden/>
    <w:rsid w:val="0029308F"/>
    <w:rPr>
      <w:szCs w:val="16"/>
    </w:rPr>
  </w:style>
  <w:style w:type="character" w:customStyle="1" w:styleId="BodyText3Char">
    <w:name w:val="Body Text 3 Char"/>
    <w:basedOn w:val="DefaultParagraphFont"/>
    <w:link w:val="BodyText3"/>
    <w:uiPriority w:val="99"/>
    <w:semiHidden/>
    <w:rsid w:val="00586F5B"/>
    <w:rPr>
      <w:rFonts w:ascii="Times" w:hAnsi="Times"/>
      <w:szCs w:val="16"/>
    </w:rPr>
  </w:style>
  <w:style w:type="paragraph" w:styleId="BodyTextFirstIndent">
    <w:name w:val="Body Text First Indent"/>
    <w:basedOn w:val="1stindent"/>
    <w:link w:val="BodyTextFirstIndentChar"/>
    <w:uiPriority w:val="99"/>
    <w:semiHidden/>
    <w:rsid w:val="006C671A"/>
  </w:style>
  <w:style w:type="character" w:customStyle="1" w:styleId="BodyTextFirstIndentChar">
    <w:name w:val="Body Text First Indent Char"/>
    <w:basedOn w:val="BodyTextChar"/>
    <w:link w:val="BodyTextFirstIndent"/>
    <w:uiPriority w:val="99"/>
    <w:semiHidden/>
    <w:rsid w:val="006C671A"/>
    <w:rPr>
      <w:rFonts w:ascii="Times" w:hAnsi="Times"/>
    </w:rPr>
  </w:style>
  <w:style w:type="paragraph" w:styleId="BodyTextIndent">
    <w:name w:val="Body Text Indent"/>
    <w:basedOn w:val="BodyTextFirstIndent"/>
    <w:link w:val="BodyTextIndentChar"/>
    <w:uiPriority w:val="99"/>
    <w:semiHidden/>
    <w:rsid w:val="006C671A"/>
  </w:style>
  <w:style w:type="character" w:customStyle="1" w:styleId="BodyTextIndentChar">
    <w:name w:val="Body Text Indent Char"/>
    <w:basedOn w:val="DefaultParagraphFont"/>
    <w:link w:val="BodyTextIndent"/>
    <w:uiPriority w:val="99"/>
    <w:semiHidden/>
    <w:rsid w:val="006C671A"/>
    <w:rPr>
      <w:rFonts w:ascii="Times" w:hAnsi="Times"/>
    </w:rPr>
  </w:style>
  <w:style w:type="paragraph" w:styleId="BodyTextFirstIndent2">
    <w:name w:val="Body Text First Indent 2"/>
    <w:basedOn w:val="2ndindent"/>
    <w:link w:val="BodyTextFirstIndent2Char"/>
    <w:uiPriority w:val="99"/>
    <w:semiHidden/>
    <w:rsid w:val="006C671A"/>
  </w:style>
  <w:style w:type="character" w:customStyle="1" w:styleId="BodyTextFirstIndent2Char">
    <w:name w:val="Body Text First Indent 2 Char"/>
    <w:basedOn w:val="BodyTextIndentChar"/>
    <w:link w:val="BodyTextFirstIndent2"/>
    <w:uiPriority w:val="99"/>
    <w:semiHidden/>
    <w:rsid w:val="006C671A"/>
    <w:rPr>
      <w:rFonts w:ascii="Times" w:hAnsi="Times"/>
    </w:rPr>
  </w:style>
  <w:style w:type="paragraph" w:styleId="BodyTextIndent2">
    <w:name w:val="Body Text Indent 2"/>
    <w:basedOn w:val="BodyTextFirstIndent2"/>
    <w:link w:val="BodyTextIndent2Char"/>
    <w:uiPriority w:val="99"/>
    <w:semiHidden/>
    <w:rsid w:val="006C671A"/>
  </w:style>
  <w:style w:type="character" w:customStyle="1" w:styleId="BodyTextIndent2Char">
    <w:name w:val="Body Text Indent 2 Char"/>
    <w:basedOn w:val="DefaultParagraphFont"/>
    <w:link w:val="BodyTextIndent2"/>
    <w:uiPriority w:val="99"/>
    <w:semiHidden/>
    <w:rsid w:val="006C671A"/>
    <w:rPr>
      <w:rFonts w:ascii="Times" w:hAnsi="Times"/>
    </w:rPr>
  </w:style>
  <w:style w:type="paragraph" w:styleId="BodyTextIndent3">
    <w:name w:val="Body Text Indent 3"/>
    <w:basedOn w:val="3rdindent"/>
    <w:link w:val="BodyTextIndent3Char"/>
    <w:uiPriority w:val="99"/>
    <w:semiHidden/>
    <w:rsid w:val="006C671A"/>
  </w:style>
  <w:style w:type="character" w:customStyle="1" w:styleId="BodyTextIndent3Char">
    <w:name w:val="Body Text Indent 3 Char"/>
    <w:basedOn w:val="DefaultParagraphFont"/>
    <w:link w:val="BodyTextIndent3"/>
    <w:uiPriority w:val="99"/>
    <w:semiHidden/>
    <w:rsid w:val="006C671A"/>
    <w:rPr>
      <w:rFonts w:ascii="Times" w:hAnsi="Times"/>
    </w:rPr>
  </w:style>
  <w:style w:type="character" w:styleId="Emphasis">
    <w:name w:val="Emphasis"/>
    <w:basedOn w:val="DefaultParagraphFont"/>
    <w:uiPriority w:val="20"/>
    <w:semiHidden/>
    <w:rsid w:val="00F8697F"/>
    <w:rPr>
      <w:i/>
      <w:iCs/>
    </w:rPr>
  </w:style>
  <w:style w:type="character" w:styleId="EndnoteReference">
    <w:name w:val="endnote reference"/>
    <w:basedOn w:val="DefaultParagraphFont"/>
    <w:uiPriority w:val="99"/>
    <w:rsid w:val="00E16E6C"/>
    <w:rPr>
      <w:position w:val="6"/>
      <w:sz w:val="16"/>
      <w:vertAlign w:val="baseline"/>
    </w:rPr>
  </w:style>
  <w:style w:type="paragraph" w:styleId="Footer">
    <w:name w:val="footer"/>
    <w:basedOn w:val="Normal"/>
    <w:link w:val="FooterChar"/>
    <w:rsid w:val="00F8697F"/>
    <w:pPr>
      <w:pBdr>
        <w:top w:val="single" w:sz="2" w:space="1" w:color="auto"/>
      </w:pBdr>
      <w:tabs>
        <w:tab w:val="center" w:pos="4320"/>
        <w:tab w:val="right" w:pos="8640"/>
      </w:tabs>
      <w:spacing w:line="168" w:lineRule="exact"/>
    </w:pPr>
    <w:rPr>
      <w:rFonts w:ascii="Arial" w:hAnsi="Arial"/>
      <w:sz w:val="12"/>
    </w:rPr>
  </w:style>
  <w:style w:type="character" w:customStyle="1" w:styleId="FooterChar">
    <w:name w:val="Footer Char"/>
    <w:basedOn w:val="DefaultParagraphFont"/>
    <w:link w:val="Footer"/>
    <w:rsid w:val="00586F5B"/>
    <w:rPr>
      <w:rFonts w:ascii="Arial" w:hAnsi="Arial"/>
      <w:sz w:val="12"/>
    </w:rPr>
  </w:style>
  <w:style w:type="character" w:styleId="PageNumber">
    <w:name w:val="page number"/>
    <w:basedOn w:val="DefaultParagraphFont"/>
    <w:uiPriority w:val="99"/>
    <w:rsid w:val="00F8697F"/>
    <w:rPr>
      <w:rFonts w:ascii="Arial" w:hAnsi="Arial"/>
      <w:sz w:val="18"/>
    </w:rPr>
  </w:style>
  <w:style w:type="character" w:styleId="FollowedHyperlink">
    <w:name w:val="FollowedHyperlink"/>
    <w:basedOn w:val="DefaultParagraphFont"/>
    <w:uiPriority w:val="99"/>
    <w:semiHidden/>
    <w:rsid w:val="00E16E6C"/>
    <w:rPr>
      <w:color w:val="auto"/>
      <w:u w:val="none"/>
    </w:rPr>
  </w:style>
  <w:style w:type="paragraph" w:styleId="FootnoteText">
    <w:name w:val="footnote text"/>
    <w:basedOn w:val="Normal"/>
    <w:link w:val="FootnoteTextChar"/>
    <w:uiPriority w:val="99"/>
    <w:rsid w:val="007248A3"/>
    <w:pPr>
      <w:spacing w:line="200" w:lineRule="exact"/>
      <w:ind w:left="288" w:hanging="288"/>
    </w:pPr>
    <w:rPr>
      <w:sz w:val="18"/>
      <w:szCs w:val="20"/>
    </w:rPr>
  </w:style>
  <w:style w:type="character" w:customStyle="1" w:styleId="FootnoteTextChar">
    <w:name w:val="Footnote Text Char"/>
    <w:basedOn w:val="DefaultParagraphFont"/>
    <w:link w:val="FootnoteText"/>
    <w:uiPriority w:val="99"/>
    <w:rsid w:val="007248A3"/>
    <w:rPr>
      <w:rFonts w:ascii="Times New Roman" w:hAnsi="Times New Roman"/>
      <w:sz w:val="18"/>
      <w:szCs w:val="20"/>
    </w:rPr>
  </w:style>
  <w:style w:type="character" w:styleId="FootnoteReference">
    <w:name w:val="footnote reference"/>
    <w:basedOn w:val="DefaultParagraphFont"/>
    <w:uiPriority w:val="99"/>
    <w:rsid w:val="00E16E6C"/>
    <w:rPr>
      <w:position w:val="6"/>
      <w:sz w:val="16"/>
      <w:vertAlign w:val="baseline"/>
    </w:rPr>
  </w:style>
  <w:style w:type="character" w:customStyle="1" w:styleId="Heading3Char">
    <w:name w:val="Heading 3 Char"/>
    <w:basedOn w:val="DefaultParagraphFont"/>
    <w:link w:val="Heading3"/>
    <w:uiPriority w:val="9"/>
    <w:rsid w:val="007248A3"/>
    <w:rPr>
      <w:rFonts w:ascii="Arial" w:eastAsiaTheme="majorEastAsia" w:hAnsi="Arial" w:cstheme="majorBidi"/>
      <w:b/>
      <w:bCs/>
      <w:sz w:val="33"/>
    </w:rPr>
  </w:style>
  <w:style w:type="character" w:customStyle="1" w:styleId="Heading4Char">
    <w:name w:val="Heading 4 Char"/>
    <w:basedOn w:val="DefaultParagraphFont"/>
    <w:link w:val="Heading4"/>
    <w:uiPriority w:val="9"/>
    <w:rsid w:val="007248A3"/>
    <w:rPr>
      <w:rFonts w:ascii="Arial Unicode MS" w:eastAsiaTheme="majorEastAsia" w:hAnsi="Arial Unicode MS" w:cstheme="majorBidi"/>
      <w:bCs/>
      <w:iCs/>
      <w:sz w:val="31"/>
    </w:rPr>
  </w:style>
  <w:style w:type="character" w:customStyle="1" w:styleId="Heading5Char">
    <w:name w:val="Heading 5 Char"/>
    <w:basedOn w:val="DefaultParagraphFont"/>
    <w:link w:val="Heading5"/>
    <w:uiPriority w:val="9"/>
    <w:rsid w:val="0065582E"/>
    <w:rPr>
      <w:rFonts w:ascii="Arial" w:eastAsiaTheme="majorEastAsia" w:hAnsi="Arial" w:cstheme="majorBidi"/>
      <w:b/>
      <w:sz w:val="26"/>
    </w:rPr>
  </w:style>
  <w:style w:type="character" w:customStyle="1" w:styleId="Heading6Char">
    <w:name w:val="Heading 6 Char"/>
    <w:basedOn w:val="DefaultParagraphFont"/>
    <w:link w:val="Heading6"/>
    <w:uiPriority w:val="9"/>
    <w:rsid w:val="00586F5B"/>
    <w:rPr>
      <w:rFonts w:ascii="Arial" w:eastAsiaTheme="majorEastAsia" w:hAnsi="Arial" w:cstheme="majorBidi"/>
      <w:b/>
      <w:i/>
      <w:iCs/>
      <w:sz w:val="23"/>
    </w:rPr>
  </w:style>
  <w:style w:type="character" w:customStyle="1" w:styleId="Heading7Char">
    <w:name w:val="Heading 7 Char"/>
    <w:basedOn w:val="DefaultParagraphFont"/>
    <w:link w:val="Heading7"/>
    <w:uiPriority w:val="9"/>
    <w:rsid w:val="004A6DE7"/>
    <w:rPr>
      <w:rFonts w:ascii="Arial" w:eastAsiaTheme="majorEastAsia" w:hAnsi="Arial" w:cstheme="majorBidi"/>
      <w:b/>
      <w:iCs/>
      <w:sz w:val="21"/>
    </w:rPr>
  </w:style>
  <w:style w:type="character" w:customStyle="1" w:styleId="Heading8Char">
    <w:name w:val="Heading 8 Char"/>
    <w:basedOn w:val="DefaultParagraphFont"/>
    <w:link w:val="Heading8"/>
    <w:uiPriority w:val="9"/>
    <w:rsid w:val="008748B2"/>
    <w:rPr>
      <w:rFonts w:ascii="Arial" w:hAnsi="Arial"/>
      <w:sz w:val="21"/>
    </w:rPr>
  </w:style>
  <w:style w:type="character" w:customStyle="1" w:styleId="Heading9Char">
    <w:name w:val="Heading 9 Char"/>
    <w:basedOn w:val="DefaultParagraphFont"/>
    <w:link w:val="Heading9"/>
    <w:uiPriority w:val="9"/>
    <w:rsid w:val="008748B2"/>
    <w:rPr>
      <w:rFonts w:ascii="Arial" w:hAnsi="Arial"/>
      <w:i/>
      <w:sz w:val="20"/>
    </w:rPr>
  </w:style>
  <w:style w:type="paragraph" w:styleId="Index1">
    <w:name w:val="index 1"/>
    <w:basedOn w:val="Normal"/>
    <w:uiPriority w:val="99"/>
    <w:semiHidden/>
    <w:rsid w:val="00261CC2"/>
    <w:pPr>
      <w:suppressAutoHyphens/>
      <w:spacing w:after="240"/>
      <w:ind w:left="547" w:hanging="547"/>
    </w:pPr>
  </w:style>
  <w:style w:type="paragraph" w:styleId="Index2">
    <w:name w:val="index 2"/>
    <w:basedOn w:val="Index1"/>
    <w:uiPriority w:val="99"/>
    <w:semiHidden/>
    <w:rsid w:val="00261CC2"/>
    <w:pPr>
      <w:ind w:left="1080"/>
    </w:pPr>
  </w:style>
  <w:style w:type="paragraph" w:styleId="Index3">
    <w:name w:val="index 3"/>
    <w:basedOn w:val="Index2"/>
    <w:uiPriority w:val="99"/>
    <w:semiHidden/>
    <w:rsid w:val="001105F5"/>
    <w:pPr>
      <w:ind w:left="1627"/>
    </w:pPr>
  </w:style>
  <w:style w:type="paragraph" w:styleId="Index4">
    <w:name w:val="index 4"/>
    <w:basedOn w:val="Index3"/>
    <w:uiPriority w:val="99"/>
    <w:semiHidden/>
    <w:rsid w:val="001105F5"/>
    <w:pPr>
      <w:ind w:left="2174"/>
    </w:pPr>
  </w:style>
  <w:style w:type="paragraph" w:styleId="Index5">
    <w:name w:val="index 5"/>
    <w:basedOn w:val="Index4"/>
    <w:uiPriority w:val="99"/>
    <w:semiHidden/>
    <w:rsid w:val="001105F5"/>
    <w:pPr>
      <w:ind w:left="2721"/>
    </w:pPr>
  </w:style>
  <w:style w:type="paragraph" w:styleId="Index6">
    <w:name w:val="index 6"/>
    <w:basedOn w:val="Index5"/>
    <w:uiPriority w:val="99"/>
    <w:semiHidden/>
    <w:rsid w:val="001105F5"/>
    <w:pPr>
      <w:ind w:left="3269"/>
    </w:pPr>
  </w:style>
  <w:style w:type="paragraph" w:styleId="Index7">
    <w:name w:val="index 7"/>
    <w:basedOn w:val="Index6"/>
    <w:uiPriority w:val="99"/>
    <w:semiHidden/>
    <w:rsid w:val="001105F5"/>
    <w:pPr>
      <w:ind w:left="3816"/>
    </w:pPr>
  </w:style>
  <w:style w:type="paragraph" w:styleId="Index8">
    <w:name w:val="index 8"/>
    <w:basedOn w:val="Index7"/>
    <w:uiPriority w:val="99"/>
    <w:semiHidden/>
    <w:rsid w:val="001105F5"/>
    <w:pPr>
      <w:ind w:left="4363"/>
    </w:pPr>
  </w:style>
  <w:style w:type="paragraph" w:styleId="Index9">
    <w:name w:val="index 9"/>
    <w:basedOn w:val="Index8"/>
    <w:uiPriority w:val="99"/>
    <w:semiHidden/>
    <w:rsid w:val="00B66970"/>
    <w:pPr>
      <w:ind w:left="4910"/>
    </w:pPr>
  </w:style>
  <w:style w:type="paragraph" w:styleId="Header">
    <w:name w:val="header"/>
    <w:basedOn w:val="Normal"/>
    <w:link w:val="HeaderChar"/>
    <w:rsid w:val="005676EA"/>
    <w:pPr>
      <w:pBdr>
        <w:bottom w:val="single" w:sz="2" w:space="1" w:color="auto"/>
      </w:pBdr>
    </w:pPr>
    <w:rPr>
      <w:rFonts w:ascii="Arial" w:hAnsi="Arial"/>
      <w:sz w:val="14"/>
    </w:rPr>
  </w:style>
  <w:style w:type="character" w:customStyle="1" w:styleId="HeaderChar">
    <w:name w:val="Header Char"/>
    <w:basedOn w:val="DefaultParagraphFont"/>
    <w:link w:val="Header"/>
    <w:rsid w:val="005676EA"/>
    <w:rPr>
      <w:rFonts w:ascii="Arial" w:hAnsi="Arial"/>
      <w:sz w:val="14"/>
    </w:rPr>
  </w:style>
  <w:style w:type="paragraph" w:customStyle="1" w:styleId="Header2ndline">
    <w:name w:val="Header 2nd line"/>
    <w:basedOn w:val="Header"/>
    <w:rsid w:val="00787DD2"/>
    <w:pPr>
      <w:pBdr>
        <w:bottom w:val="none" w:sz="0" w:space="0" w:color="auto"/>
      </w:pBdr>
    </w:pPr>
  </w:style>
  <w:style w:type="paragraph" w:customStyle="1" w:styleId="Footernotice">
    <w:name w:val="Footer notice"/>
    <w:basedOn w:val="Footer"/>
    <w:rsid w:val="007F61CC"/>
    <w:pPr>
      <w:pBdr>
        <w:top w:val="none" w:sz="0" w:space="0" w:color="auto"/>
      </w:pBdr>
      <w:jc w:val="center"/>
    </w:pPr>
    <w:rPr>
      <w:b/>
      <w:i/>
    </w:rPr>
  </w:style>
  <w:style w:type="character" w:styleId="Hyperlink">
    <w:name w:val="Hyperlink"/>
    <w:basedOn w:val="DefaultParagraphFont"/>
    <w:uiPriority w:val="99"/>
    <w:rsid w:val="007F61CC"/>
    <w:rPr>
      <w:color w:val="auto"/>
      <w:u w:val="none"/>
    </w:rPr>
  </w:style>
  <w:style w:type="character" w:styleId="IntenseEmphasis">
    <w:name w:val="Intense Emphasis"/>
    <w:basedOn w:val="DefaultParagraphFont"/>
    <w:uiPriority w:val="21"/>
    <w:semiHidden/>
    <w:rsid w:val="007F61CC"/>
    <w:rPr>
      <w:b/>
      <w:bCs/>
      <w:i/>
      <w:iCs/>
      <w:color w:val="auto"/>
    </w:rPr>
  </w:style>
  <w:style w:type="paragraph" w:styleId="IntenseQuote">
    <w:name w:val="Intense Quote"/>
    <w:basedOn w:val="Normal"/>
    <w:next w:val="Normal"/>
    <w:link w:val="IntenseQuoteChar"/>
    <w:uiPriority w:val="30"/>
    <w:semiHidden/>
    <w:rsid w:val="007F61CC"/>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F61CC"/>
    <w:rPr>
      <w:rFonts w:ascii="Times" w:hAnsi="Times"/>
      <w:b/>
      <w:bCs/>
      <w:i/>
      <w:iCs/>
    </w:rPr>
  </w:style>
  <w:style w:type="character" w:styleId="IntenseReference">
    <w:name w:val="Intense Reference"/>
    <w:basedOn w:val="DefaultParagraphFont"/>
    <w:uiPriority w:val="32"/>
    <w:semiHidden/>
    <w:rsid w:val="007F61CC"/>
    <w:rPr>
      <w:b/>
      <w:bCs/>
      <w:smallCaps/>
      <w:color w:val="auto"/>
      <w:spacing w:val="5"/>
      <w:u w:val="none"/>
    </w:rPr>
  </w:style>
  <w:style w:type="paragraph" w:styleId="ListNumber">
    <w:name w:val="List Number"/>
    <w:basedOn w:val="12space"/>
    <w:uiPriority w:val="99"/>
    <w:rsid w:val="00D56883"/>
    <w:pPr>
      <w:numPr>
        <w:numId w:val="34"/>
      </w:numPr>
      <w:spacing w:line="240" w:lineRule="auto"/>
    </w:pPr>
    <w:rPr>
      <w:szCs w:val="20"/>
    </w:rPr>
  </w:style>
  <w:style w:type="paragraph" w:styleId="ListNumber2">
    <w:name w:val="List Number 2"/>
    <w:basedOn w:val="ListNumber"/>
    <w:uiPriority w:val="99"/>
    <w:rsid w:val="001669A2"/>
    <w:pPr>
      <w:numPr>
        <w:ilvl w:val="1"/>
      </w:numPr>
    </w:pPr>
  </w:style>
  <w:style w:type="paragraph" w:styleId="ListNumber3">
    <w:name w:val="List Number 3"/>
    <w:basedOn w:val="ListNumber2"/>
    <w:uiPriority w:val="99"/>
    <w:rsid w:val="001669A2"/>
    <w:pPr>
      <w:numPr>
        <w:ilvl w:val="2"/>
      </w:numPr>
    </w:pPr>
  </w:style>
  <w:style w:type="paragraph" w:styleId="ListNumber4">
    <w:name w:val="List Number 4"/>
    <w:basedOn w:val="ListNumber3"/>
    <w:uiPriority w:val="99"/>
    <w:rsid w:val="001669A2"/>
    <w:pPr>
      <w:numPr>
        <w:ilvl w:val="3"/>
      </w:numPr>
    </w:pPr>
  </w:style>
  <w:style w:type="paragraph" w:styleId="ListNumber5">
    <w:name w:val="List Number 5"/>
    <w:basedOn w:val="ListNumber4"/>
    <w:uiPriority w:val="99"/>
    <w:rsid w:val="001669A2"/>
    <w:pPr>
      <w:numPr>
        <w:ilvl w:val="4"/>
      </w:numPr>
    </w:pPr>
  </w:style>
  <w:style w:type="paragraph" w:styleId="Quote">
    <w:name w:val="Quote"/>
    <w:basedOn w:val="BlockText"/>
    <w:next w:val="Normal"/>
    <w:link w:val="QuoteChar"/>
    <w:uiPriority w:val="29"/>
    <w:qFormat/>
    <w:rsid w:val="002823D3"/>
    <w:pPr>
      <w:ind w:left="720" w:right="720"/>
    </w:pPr>
  </w:style>
  <w:style w:type="character" w:customStyle="1" w:styleId="QuoteChar">
    <w:name w:val="Quote Char"/>
    <w:basedOn w:val="DefaultParagraphFont"/>
    <w:link w:val="Quote"/>
    <w:uiPriority w:val="29"/>
    <w:rsid w:val="002823D3"/>
    <w:rPr>
      <w:rFonts w:ascii="Times" w:eastAsiaTheme="minorEastAsia" w:hAnsi="Times"/>
      <w:i/>
      <w:iCs/>
    </w:rPr>
  </w:style>
  <w:style w:type="paragraph" w:customStyle="1" w:styleId="Impactstatement">
    <w:name w:val="Impact statement"/>
    <w:basedOn w:val="12space"/>
    <w:link w:val="ImpactstatementChar"/>
    <w:rsid w:val="00E37C4C"/>
    <w:pPr>
      <w:keepNext/>
      <w:keepLines/>
      <w:spacing w:before="120" w:line="240" w:lineRule="auto"/>
    </w:pPr>
    <w:rPr>
      <w:b/>
    </w:rPr>
  </w:style>
  <w:style w:type="paragraph" w:customStyle="1" w:styleId="Figure">
    <w:name w:val="Figure"/>
    <w:basedOn w:val="Normal"/>
    <w:qFormat/>
    <w:rsid w:val="00B904CC"/>
    <w:pPr>
      <w:spacing w:after="240"/>
      <w:jc w:val="center"/>
    </w:pPr>
    <w:rPr>
      <w:rFonts w:ascii="Arial" w:eastAsia="Times New Roman" w:hAnsi="Arial" w:cs="Times New Roman"/>
      <w:b/>
      <w:szCs w:val="20"/>
    </w:rPr>
  </w:style>
  <w:style w:type="paragraph" w:customStyle="1" w:styleId="Mitigation">
    <w:name w:val="Mitigation"/>
    <w:basedOn w:val="Normal"/>
    <w:rsid w:val="004E294E"/>
    <w:pPr>
      <w:spacing w:after="240"/>
      <w:ind w:left="720"/>
    </w:pPr>
    <w:rPr>
      <w:rFonts w:eastAsia="Times New Roman" w:cs="Times New Roman"/>
      <w:szCs w:val="20"/>
    </w:rPr>
  </w:style>
  <w:style w:type="paragraph" w:customStyle="1" w:styleId="Tablecolumnheading">
    <w:name w:val="Table column heading"/>
    <w:basedOn w:val="Normal"/>
    <w:rsid w:val="00BB24AC"/>
    <w:pPr>
      <w:keepNext/>
      <w:spacing w:before="120" w:after="120"/>
    </w:pPr>
    <w:rPr>
      <w:rFonts w:ascii="Arial" w:eastAsia="Times New Roman" w:hAnsi="Arial" w:cs="Times New Roman"/>
      <w:b/>
      <w:sz w:val="16"/>
      <w:szCs w:val="20"/>
    </w:rPr>
  </w:style>
  <w:style w:type="paragraph" w:customStyle="1" w:styleId="Tablefootnote">
    <w:name w:val="Table footnote"/>
    <w:basedOn w:val="Normal"/>
    <w:link w:val="TablefootnoteChar"/>
    <w:rsid w:val="009347D8"/>
    <w:rPr>
      <w:rFonts w:ascii="Arial" w:eastAsia="Times New Roman" w:hAnsi="Arial" w:cs="Times New Roman"/>
      <w:position w:val="6"/>
      <w:sz w:val="13"/>
    </w:rPr>
  </w:style>
  <w:style w:type="character" w:customStyle="1" w:styleId="TablefootnoteChar">
    <w:name w:val="Table footnote Char"/>
    <w:basedOn w:val="DefaultParagraphFont"/>
    <w:link w:val="Tablefootnote"/>
    <w:rsid w:val="009347D8"/>
    <w:rPr>
      <w:rFonts w:ascii="Arial" w:eastAsia="Times New Roman" w:hAnsi="Arial" w:cs="Times New Roman"/>
      <w:position w:val="6"/>
      <w:sz w:val="13"/>
    </w:rPr>
  </w:style>
  <w:style w:type="paragraph" w:customStyle="1" w:styleId="Tablefootnotesourceline">
    <w:name w:val="Table footnote source line"/>
    <w:basedOn w:val="Tabletext"/>
    <w:next w:val="TableSource"/>
    <w:semiHidden/>
    <w:rsid w:val="009347D8"/>
    <w:pPr>
      <w:pBdr>
        <w:bottom w:val="single" w:sz="2" w:space="1" w:color="auto"/>
      </w:pBdr>
      <w:ind w:right="6480"/>
    </w:pPr>
    <w:rPr>
      <w:sz w:val="14"/>
      <w:szCs w:val="14"/>
    </w:rPr>
  </w:style>
  <w:style w:type="paragraph" w:customStyle="1" w:styleId="Tablefootnotetext">
    <w:name w:val="Table footnote text"/>
    <w:basedOn w:val="Normal"/>
    <w:rsid w:val="009347D8"/>
    <w:pPr>
      <w:ind w:left="187" w:hanging="187"/>
    </w:pPr>
    <w:rPr>
      <w:rFonts w:ascii="Arial" w:eastAsia="Times New Roman" w:hAnsi="Arial" w:cs="Times New Roman"/>
      <w:sz w:val="14"/>
      <w:szCs w:val="20"/>
    </w:rPr>
  </w:style>
  <w:style w:type="paragraph" w:customStyle="1" w:styleId="TableNoTitle">
    <w:name w:val="Table No./Title"/>
    <w:basedOn w:val="Normal"/>
    <w:link w:val="TableNoTitleChar"/>
    <w:rsid w:val="00F35136"/>
    <w:pPr>
      <w:keepNext/>
      <w:spacing w:after="120"/>
      <w:jc w:val="center"/>
    </w:pPr>
    <w:rPr>
      <w:rFonts w:ascii="Arial" w:eastAsia="Times New Roman" w:hAnsi="Arial" w:cs="Times New Roman"/>
      <w:b/>
      <w:smallCaps/>
      <w:sz w:val="19"/>
      <w:szCs w:val="18"/>
    </w:rPr>
  </w:style>
  <w:style w:type="paragraph" w:customStyle="1" w:styleId="Tabletext">
    <w:name w:val="Table text"/>
    <w:basedOn w:val="Normal"/>
    <w:rsid w:val="000376BB"/>
    <w:pPr>
      <w:spacing w:before="60" w:after="60"/>
    </w:pPr>
    <w:rPr>
      <w:rFonts w:ascii="Arial" w:eastAsia="Times New Roman" w:hAnsi="Arial" w:cs="Times New Roman"/>
      <w:sz w:val="16"/>
      <w:szCs w:val="20"/>
    </w:rPr>
  </w:style>
  <w:style w:type="paragraph" w:customStyle="1" w:styleId="TableSource">
    <w:name w:val="Table Source"/>
    <w:basedOn w:val="Normal"/>
    <w:link w:val="TableSourceChar"/>
    <w:rsid w:val="009347D8"/>
    <w:rPr>
      <w:rFonts w:ascii="Arial" w:eastAsia="Times New Roman" w:hAnsi="Arial" w:cs="Times New Roman"/>
      <w:sz w:val="14"/>
      <w:szCs w:val="14"/>
    </w:rPr>
  </w:style>
  <w:style w:type="paragraph" w:customStyle="1" w:styleId="Tablerowheading">
    <w:name w:val="Table row heading"/>
    <w:basedOn w:val="Normal"/>
    <w:rsid w:val="00BB24AC"/>
    <w:pPr>
      <w:keepNext/>
      <w:spacing w:before="60" w:after="60"/>
    </w:pPr>
    <w:rPr>
      <w:rFonts w:ascii="Arial Narrow" w:eastAsia="Times New Roman" w:hAnsi="Arial Narrow" w:cs="Times New Roman"/>
      <w:b/>
      <w:sz w:val="18"/>
      <w:szCs w:val="18"/>
    </w:rPr>
  </w:style>
  <w:style w:type="paragraph" w:customStyle="1" w:styleId="Tableclosingborder">
    <w:name w:val="Table closing border"/>
    <w:basedOn w:val="TableSource"/>
    <w:next w:val="12space"/>
    <w:link w:val="TableclosingborderChar1"/>
    <w:rsid w:val="00BB24AC"/>
    <w:pPr>
      <w:pBdr>
        <w:bottom w:val="single" w:sz="2" w:space="1" w:color="auto"/>
      </w:pBdr>
      <w:spacing w:after="480"/>
    </w:pPr>
  </w:style>
  <w:style w:type="table" w:customStyle="1" w:styleId="Tablecolumnheadingborders">
    <w:name w:val="Table column heading borders"/>
    <w:basedOn w:val="TableNormal"/>
    <w:rsid w:val="009347D8"/>
    <w:pPr>
      <w:spacing w:after="0" w:line="240" w:lineRule="auto"/>
    </w:pPr>
    <w:rPr>
      <w:rFonts w:ascii="Arial" w:eastAsia="Times New Roman" w:hAnsi="Arial" w:cs="Times New Roman"/>
      <w:b/>
      <w:sz w:val="16"/>
      <w:szCs w:val="16"/>
    </w:rPr>
    <w:tblPr>
      <w:tblBorders>
        <w:top w:val="single" w:sz="2" w:space="0" w:color="auto"/>
        <w:insideH w:val="single" w:sz="12" w:space="0" w:color="auto"/>
      </w:tblBorders>
    </w:tblPr>
  </w:style>
  <w:style w:type="table" w:styleId="TableGrid">
    <w:name w:val="Table Grid"/>
    <w:basedOn w:val="TableNormal"/>
    <w:rsid w:val="009347D8"/>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Normal"/>
    <w:semiHidden/>
    <w:rsid w:val="009347D8"/>
    <w:rPr>
      <w:rFonts w:eastAsia="Times New Roman" w:cs="Times New Roman"/>
      <w:b/>
      <w:sz w:val="20"/>
      <w:szCs w:val="20"/>
    </w:rPr>
  </w:style>
  <w:style w:type="paragraph" w:styleId="TableofFigures">
    <w:name w:val="table of figures"/>
    <w:basedOn w:val="Normal"/>
    <w:uiPriority w:val="99"/>
    <w:rsid w:val="0055700C"/>
    <w:pPr>
      <w:tabs>
        <w:tab w:val="left" w:pos="720"/>
        <w:tab w:val="right" w:leader="dot" w:pos="8640"/>
      </w:tabs>
      <w:ind w:left="907" w:right="720" w:hanging="907"/>
    </w:pPr>
    <w:rPr>
      <w:rFonts w:ascii="Arial" w:hAnsi="Arial"/>
      <w:sz w:val="21"/>
    </w:rPr>
  </w:style>
  <w:style w:type="paragraph" w:styleId="TOCHeading">
    <w:name w:val="TOC Heading"/>
    <w:basedOn w:val="Heading1"/>
    <w:next w:val="Normal"/>
    <w:uiPriority w:val="39"/>
    <w:semiHidden/>
    <w:qFormat/>
    <w:rsid w:val="00A07677"/>
    <w:pPr>
      <w:pBdr>
        <w:bottom w:val="none" w:sz="0" w:space="0" w:color="auto"/>
      </w:pBdr>
      <w:spacing w:before="480"/>
      <w:outlineLvl w:val="9"/>
    </w:pPr>
    <w:rPr>
      <w:rFonts w:asciiTheme="majorHAnsi" w:hAnsiTheme="majorHAnsi"/>
      <w:caps w:val="0"/>
      <w:sz w:val="28"/>
    </w:rPr>
  </w:style>
  <w:style w:type="paragraph" w:styleId="Caption">
    <w:name w:val="caption"/>
    <w:basedOn w:val="Normal"/>
    <w:next w:val="Normal"/>
    <w:uiPriority w:val="35"/>
    <w:semiHidden/>
    <w:qFormat/>
    <w:rsid w:val="00A07677"/>
    <w:pPr>
      <w:spacing w:after="200"/>
    </w:pPr>
    <w:rPr>
      <w:b/>
      <w:bCs/>
      <w:sz w:val="18"/>
      <w:szCs w:val="18"/>
    </w:rPr>
  </w:style>
  <w:style w:type="paragraph" w:styleId="Title">
    <w:name w:val="Title"/>
    <w:basedOn w:val="Heading3"/>
    <w:next w:val="12space"/>
    <w:link w:val="TitleChar"/>
    <w:uiPriority w:val="10"/>
    <w:semiHidden/>
    <w:qFormat/>
    <w:rsid w:val="00A07677"/>
    <w:pPr>
      <w:jc w:val="center"/>
    </w:pPr>
  </w:style>
  <w:style w:type="character" w:customStyle="1" w:styleId="TitleChar">
    <w:name w:val="Title Char"/>
    <w:basedOn w:val="DefaultParagraphFont"/>
    <w:link w:val="Title"/>
    <w:uiPriority w:val="10"/>
    <w:semiHidden/>
    <w:rsid w:val="00A07677"/>
    <w:rPr>
      <w:rFonts w:ascii="Arial" w:eastAsiaTheme="majorEastAsia" w:hAnsi="Arial" w:cstheme="majorBidi"/>
      <w:b/>
      <w:bCs/>
      <w:sz w:val="33"/>
    </w:rPr>
  </w:style>
  <w:style w:type="paragraph" w:styleId="List">
    <w:name w:val="List"/>
    <w:basedOn w:val="Normal"/>
    <w:uiPriority w:val="99"/>
    <w:semiHidden/>
    <w:rsid w:val="001669A2"/>
    <w:pPr>
      <w:suppressAutoHyphens/>
      <w:spacing w:after="240"/>
      <w:ind w:left="360" w:hanging="360"/>
    </w:pPr>
    <w:rPr>
      <w:szCs w:val="20"/>
    </w:rPr>
  </w:style>
  <w:style w:type="paragraph" w:styleId="List2">
    <w:name w:val="List 2"/>
    <w:basedOn w:val="List"/>
    <w:uiPriority w:val="99"/>
    <w:semiHidden/>
    <w:rsid w:val="001669A2"/>
    <w:pPr>
      <w:ind w:left="720"/>
    </w:pPr>
  </w:style>
  <w:style w:type="paragraph" w:styleId="List3">
    <w:name w:val="List 3"/>
    <w:basedOn w:val="List2"/>
    <w:uiPriority w:val="99"/>
    <w:semiHidden/>
    <w:rsid w:val="001669A2"/>
    <w:pPr>
      <w:ind w:left="1080"/>
    </w:pPr>
  </w:style>
  <w:style w:type="paragraph" w:styleId="List4">
    <w:name w:val="List 4"/>
    <w:basedOn w:val="List3"/>
    <w:uiPriority w:val="99"/>
    <w:semiHidden/>
    <w:rsid w:val="001669A2"/>
    <w:pPr>
      <w:ind w:left="1440"/>
    </w:pPr>
  </w:style>
  <w:style w:type="paragraph" w:styleId="List5">
    <w:name w:val="List 5"/>
    <w:basedOn w:val="List4"/>
    <w:uiPriority w:val="99"/>
    <w:semiHidden/>
    <w:rsid w:val="001669A2"/>
    <w:pPr>
      <w:ind w:left="1800"/>
    </w:pPr>
  </w:style>
  <w:style w:type="character" w:styleId="CommentReference">
    <w:name w:val="annotation reference"/>
    <w:basedOn w:val="DefaultParagraphFont"/>
    <w:semiHidden/>
    <w:rsid w:val="000F7C02"/>
    <w:rPr>
      <w:sz w:val="16"/>
      <w:szCs w:val="16"/>
    </w:rPr>
  </w:style>
  <w:style w:type="paragraph" w:styleId="CommentText">
    <w:name w:val="annotation text"/>
    <w:basedOn w:val="Normal"/>
    <w:link w:val="CommentTextChar"/>
    <w:semiHidden/>
    <w:rsid w:val="000F7C02"/>
    <w:rPr>
      <w:sz w:val="20"/>
      <w:szCs w:val="20"/>
    </w:rPr>
  </w:style>
  <w:style w:type="character" w:customStyle="1" w:styleId="CommentTextChar">
    <w:name w:val="Comment Text Char"/>
    <w:basedOn w:val="DefaultParagraphFont"/>
    <w:link w:val="CommentText"/>
    <w:uiPriority w:val="99"/>
    <w:semiHidden/>
    <w:rsid w:val="000F7C02"/>
    <w:rPr>
      <w:rFonts w:ascii="Times" w:hAnsi="Times"/>
      <w:sz w:val="20"/>
      <w:szCs w:val="20"/>
    </w:rPr>
  </w:style>
  <w:style w:type="paragraph" w:styleId="CommentSubject">
    <w:name w:val="annotation subject"/>
    <w:basedOn w:val="CommentText"/>
    <w:next w:val="CommentText"/>
    <w:link w:val="CommentSubjectChar"/>
    <w:uiPriority w:val="99"/>
    <w:semiHidden/>
    <w:rsid w:val="000F7C02"/>
    <w:rPr>
      <w:b/>
      <w:bCs/>
    </w:rPr>
  </w:style>
  <w:style w:type="character" w:customStyle="1" w:styleId="CommentSubjectChar">
    <w:name w:val="Comment Subject Char"/>
    <w:basedOn w:val="CommentTextChar"/>
    <w:link w:val="CommentSubject"/>
    <w:uiPriority w:val="99"/>
    <w:semiHidden/>
    <w:rsid w:val="000F7C02"/>
    <w:rPr>
      <w:rFonts w:ascii="Times" w:hAnsi="Times"/>
      <w:b/>
      <w:bCs/>
      <w:sz w:val="20"/>
      <w:szCs w:val="20"/>
    </w:rPr>
  </w:style>
  <w:style w:type="paragraph" w:styleId="Revision">
    <w:name w:val="Revision"/>
    <w:hidden/>
    <w:uiPriority w:val="99"/>
    <w:semiHidden/>
    <w:rsid w:val="000F7C02"/>
    <w:pPr>
      <w:spacing w:after="0" w:line="240" w:lineRule="auto"/>
    </w:pPr>
    <w:rPr>
      <w:rFonts w:ascii="Times" w:hAnsi="Times"/>
    </w:rPr>
  </w:style>
  <w:style w:type="paragraph" w:styleId="BalloonText">
    <w:name w:val="Balloon Text"/>
    <w:basedOn w:val="Normal"/>
    <w:link w:val="BalloonTextChar"/>
    <w:uiPriority w:val="99"/>
    <w:semiHidden/>
    <w:unhideWhenUsed/>
    <w:rsid w:val="000F7C02"/>
    <w:rPr>
      <w:rFonts w:ascii="Tahoma" w:hAnsi="Tahoma" w:cs="Tahoma"/>
      <w:sz w:val="16"/>
      <w:szCs w:val="16"/>
    </w:rPr>
  </w:style>
  <w:style w:type="character" w:customStyle="1" w:styleId="BalloonTextChar">
    <w:name w:val="Balloon Text Char"/>
    <w:basedOn w:val="DefaultParagraphFont"/>
    <w:link w:val="BalloonText"/>
    <w:uiPriority w:val="99"/>
    <w:semiHidden/>
    <w:rsid w:val="000F7C02"/>
    <w:rPr>
      <w:rFonts w:ascii="Tahoma" w:hAnsi="Tahoma" w:cs="Tahoma"/>
      <w:sz w:val="16"/>
      <w:szCs w:val="16"/>
    </w:rPr>
  </w:style>
  <w:style w:type="paragraph" w:styleId="ListContinue">
    <w:name w:val="List Continue"/>
    <w:basedOn w:val="Normal"/>
    <w:uiPriority w:val="99"/>
    <w:semiHidden/>
    <w:rsid w:val="00261CC2"/>
    <w:pPr>
      <w:suppressAutoHyphens/>
      <w:spacing w:after="240"/>
      <w:ind w:left="360"/>
    </w:pPr>
  </w:style>
  <w:style w:type="paragraph" w:styleId="ListContinue2">
    <w:name w:val="List Continue 2"/>
    <w:basedOn w:val="ListContinue"/>
    <w:uiPriority w:val="99"/>
    <w:semiHidden/>
    <w:rsid w:val="00261CC2"/>
    <w:pPr>
      <w:ind w:left="720"/>
    </w:pPr>
  </w:style>
  <w:style w:type="paragraph" w:styleId="ListContinue3">
    <w:name w:val="List Continue 3"/>
    <w:basedOn w:val="ListContinue2"/>
    <w:uiPriority w:val="99"/>
    <w:semiHidden/>
    <w:rsid w:val="00261CC2"/>
    <w:pPr>
      <w:ind w:left="1080"/>
    </w:pPr>
  </w:style>
  <w:style w:type="paragraph" w:styleId="ListContinue4">
    <w:name w:val="List Continue 4"/>
    <w:basedOn w:val="ListContinue3"/>
    <w:uiPriority w:val="99"/>
    <w:semiHidden/>
    <w:rsid w:val="00261CC2"/>
    <w:pPr>
      <w:ind w:left="1440"/>
    </w:pPr>
  </w:style>
  <w:style w:type="paragraph" w:styleId="ListContinue5">
    <w:name w:val="List Continue 5"/>
    <w:basedOn w:val="ListContinue4"/>
    <w:uiPriority w:val="99"/>
    <w:semiHidden/>
    <w:rsid w:val="00261CC2"/>
    <w:pPr>
      <w:ind w:left="1800"/>
    </w:pPr>
  </w:style>
  <w:style w:type="paragraph" w:customStyle="1" w:styleId="AppendixNumber">
    <w:name w:val="Appendix Number"/>
    <w:basedOn w:val="Normal"/>
    <w:next w:val="AppendixTitle"/>
    <w:rsid w:val="00B27501"/>
    <w:pPr>
      <w:pageBreakBefore/>
      <w:spacing w:before="3240"/>
      <w:ind w:left="1886"/>
    </w:pPr>
    <w:rPr>
      <w:rFonts w:ascii="Helvetica Neue" w:hAnsi="Helvetica Neue"/>
      <w:sz w:val="56"/>
      <w:szCs w:val="56"/>
    </w:rPr>
  </w:style>
  <w:style w:type="paragraph" w:customStyle="1" w:styleId="AppendixTitle">
    <w:name w:val="Appendix Title"/>
    <w:basedOn w:val="Normal"/>
    <w:next w:val="AppendixNumber"/>
    <w:rsid w:val="00B27501"/>
    <w:pPr>
      <w:spacing w:before="70"/>
      <w:ind w:left="1886"/>
    </w:pPr>
    <w:rPr>
      <w:rFonts w:ascii="Helvetica Neue" w:hAnsi="Helvetica Neue"/>
      <w:b/>
      <w:sz w:val="44"/>
      <w:szCs w:val="44"/>
    </w:rPr>
  </w:style>
  <w:style w:type="paragraph" w:customStyle="1" w:styleId="SignificanceafterMitigation">
    <w:name w:val="Significance after Mitigation"/>
    <w:basedOn w:val="Mitigation"/>
    <w:rsid w:val="004E294E"/>
  </w:style>
  <w:style w:type="paragraph" w:customStyle="1" w:styleId="TOCPage">
    <w:name w:val="TOC Page"/>
    <w:basedOn w:val="Normal"/>
    <w:next w:val="Normal"/>
    <w:rsid w:val="00AC6219"/>
    <w:pPr>
      <w:jc w:val="right"/>
    </w:pPr>
    <w:rPr>
      <w:rFonts w:ascii="Arial" w:hAnsi="Arial" w:cs="Arial"/>
      <w:sz w:val="21"/>
      <w:u w:val="single"/>
    </w:rPr>
  </w:style>
  <w:style w:type="paragraph" w:customStyle="1" w:styleId="TOCReportTitle">
    <w:name w:val="TOC Report Title"/>
    <w:basedOn w:val="Heading2"/>
    <w:next w:val="TOCPage"/>
    <w:qFormat/>
    <w:rsid w:val="00B841EB"/>
  </w:style>
  <w:style w:type="paragraph" w:customStyle="1" w:styleId="TOCTableofContents">
    <w:name w:val="TOC_Table of Contents"/>
    <w:basedOn w:val="Normal"/>
    <w:next w:val="TOCReportTitle"/>
    <w:qFormat/>
    <w:rsid w:val="00B841EB"/>
    <w:pPr>
      <w:pBdr>
        <w:bottom w:val="single" w:sz="6" w:space="1" w:color="auto"/>
      </w:pBdr>
      <w:spacing w:before="960"/>
    </w:pPr>
    <w:rPr>
      <w:rFonts w:ascii="Arial" w:hAnsi="Arial" w:cs="Arial"/>
      <w:b/>
      <w:caps/>
      <w:sz w:val="40"/>
      <w:szCs w:val="40"/>
    </w:rPr>
  </w:style>
  <w:style w:type="paragraph" w:customStyle="1" w:styleId="ResponsestoComments">
    <w:name w:val="Responses to Comments"/>
    <w:basedOn w:val="12space"/>
    <w:qFormat/>
    <w:rsid w:val="00320D01"/>
    <w:pPr>
      <w:ind w:left="720" w:hanging="720"/>
    </w:pPr>
  </w:style>
  <w:style w:type="character" w:styleId="PlaceholderText">
    <w:name w:val="Placeholder Text"/>
    <w:basedOn w:val="DefaultParagraphFont"/>
    <w:uiPriority w:val="99"/>
    <w:semiHidden/>
    <w:rsid w:val="00816169"/>
    <w:rPr>
      <w:color w:val="808080"/>
    </w:rPr>
  </w:style>
  <w:style w:type="character" w:customStyle="1" w:styleId="ESAName">
    <w:name w:val="ESA Name"/>
    <w:basedOn w:val="DefaultParagraphFont"/>
    <w:uiPriority w:val="1"/>
    <w:semiHidden/>
    <w:rsid w:val="00816169"/>
    <w:rPr>
      <w:rFonts w:ascii="Arial" w:hAnsi="Arial"/>
      <w:sz w:val="12"/>
    </w:rPr>
  </w:style>
  <w:style w:type="paragraph" w:customStyle="1" w:styleId="1space">
    <w:name w:val="1 space"/>
    <w:basedOn w:val="Normal"/>
    <w:qFormat/>
    <w:rsid w:val="005676EA"/>
    <w:pPr>
      <w:spacing w:after="240"/>
    </w:pPr>
  </w:style>
  <w:style w:type="paragraph" w:customStyle="1" w:styleId="GoalsPoliciesObjectives1stlevel">
    <w:name w:val="Goals Policies Objectives 1st level"/>
    <w:basedOn w:val="Normal"/>
    <w:qFormat/>
    <w:rsid w:val="00D129F1"/>
    <w:pPr>
      <w:spacing w:after="240" w:line="240" w:lineRule="exact"/>
      <w:ind w:left="360"/>
    </w:pPr>
  </w:style>
  <w:style w:type="paragraph" w:customStyle="1" w:styleId="GoalsPoliciesObjectives2ndlevel">
    <w:name w:val="Goals Policies Objectives 2nd level"/>
    <w:basedOn w:val="GoalsPoliciesObjectives1stlevel"/>
    <w:qFormat/>
    <w:rsid w:val="00D129F1"/>
    <w:pPr>
      <w:ind w:left="720"/>
    </w:pPr>
  </w:style>
  <w:style w:type="paragraph" w:customStyle="1" w:styleId="GoalsPoliciesObjectives3rdlevel">
    <w:name w:val="Goals Policies Objectives 3rd level"/>
    <w:basedOn w:val="GoalsPoliciesObjectives2ndlevel"/>
    <w:qFormat/>
    <w:rsid w:val="00D129F1"/>
    <w:pPr>
      <w:ind w:left="1080"/>
    </w:pPr>
  </w:style>
  <w:style w:type="paragraph" w:customStyle="1" w:styleId="Mitigationbulletindent">
    <w:name w:val="Mitigation bullet indent"/>
    <w:basedOn w:val="Mitigation"/>
    <w:qFormat/>
    <w:rsid w:val="005710A8"/>
    <w:pPr>
      <w:numPr>
        <w:numId w:val="19"/>
      </w:numPr>
      <w:ind w:left="1080"/>
    </w:pPr>
  </w:style>
  <w:style w:type="paragraph" w:customStyle="1" w:styleId="Threshold">
    <w:name w:val="Threshold"/>
    <w:basedOn w:val="Normal"/>
    <w:next w:val="12space"/>
    <w:qFormat/>
    <w:rsid w:val="000B5EA8"/>
    <w:pPr>
      <w:pBdr>
        <w:top w:val="single" w:sz="2" w:space="5" w:color="auto"/>
        <w:bottom w:val="single" w:sz="2" w:space="5" w:color="auto"/>
      </w:pBdr>
      <w:spacing w:before="60" w:after="360" w:line="264" w:lineRule="auto"/>
      <w:jc w:val="both"/>
    </w:pPr>
    <w:rPr>
      <w:kern w:val="28"/>
    </w:rPr>
  </w:style>
  <w:style w:type="numbering" w:customStyle="1" w:styleId="BulletedListStyle">
    <w:name w:val="BulletedListStyle"/>
    <w:uiPriority w:val="99"/>
    <w:rsid w:val="001669A2"/>
    <w:pPr>
      <w:numPr>
        <w:numId w:val="20"/>
      </w:numPr>
    </w:pPr>
  </w:style>
  <w:style w:type="numbering" w:customStyle="1" w:styleId="NumberedListStyle">
    <w:name w:val="NumberedListStyle"/>
    <w:uiPriority w:val="99"/>
    <w:rsid w:val="001669A2"/>
    <w:pPr>
      <w:numPr>
        <w:numId w:val="31"/>
      </w:numPr>
    </w:pPr>
  </w:style>
  <w:style w:type="character" w:customStyle="1" w:styleId="Heading5Char1CharChar">
    <w:name w:val="Heading 5 Char1 Char Char"/>
    <w:aliases w:val="Heading 5 Char Char Char Char"/>
    <w:rsid w:val="00056AC1"/>
    <w:rPr>
      <w:rFonts w:ascii="Arial" w:hAnsi="Arial"/>
      <w:b/>
      <w:sz w:val="26"/>
      <w:szCs w:val="24"/>
      <w:lang w:val="en-US" w:eastAsia="en-US" w:bidi="ar-SA"/>
    </w:rPr>
  </w:style>
  <w:style w:type="character" w:customStyle="1" w:styleId="TableNoTitleChar">
    <w:name w:val="Table No./Title Char"/>
    <w:link w:val="TableNoTitle"/>
    <w:rsid w:val="00056AC1"/>
    <w:rPr>
      <w:rFonts w:ascii="Arial" w:eastAsia="Times New Roman" w:hAnsi="Arial" w:cs="Times New Roman"/>
      <w:b/>
      <w:smallCaps/>
      <w:sz w:val="19"/>
      <w:szCs w:val="18"/>
    </w:rPr>
  </w:style>
  <w:style w:type="character" w:customStyle="1" w:styleId="12spaceChar3">
    <w:name w:val="1.2 space Char3"/>
    <w:link w:val="12space"/>
    <w:rsid w:val="00056AC1"/>
    <w:rPr>
      <w:rFonts w:ascii="Times New Roman" w:hAnsi="Times New Roman"/>
    </w:rPr>
  </w:style>
  <w:style w:type="character" w:customStyle="1" w:styleId="1stindentChar">
    <w:name w:val="1st indent Char"/>
    <w:link w:val="1stindent"/>
    <w:rsid w:val="00056AC1"/>
    <w:rPr>
      <w:rFonts w:ascii="Times New Roman" w:hAnsi="Times New Roman"/>
    </w:rPr>
  </w:style>
  <w:style w:type="character" w:customStyle="1" w:styleId="TableSourceChar">
    <w:name w:val="Table Source Char"/>
    <w:link w:val="TableSource"/>
    <w:rsid w:val="00056AC1"/>
    <w:rPr>
      <w:rFonts w:ascii="Arial" w:eastAsia="Times New Roman" w:hAnsi="Arial" w:cs="Times New Roman"/>
      <w:sz w:val="14"/>
      <w:szCs w:val="14"/>
    </w:rPr>
  </w:style>
  <w:style w:type="character" w:customStyle="1" w:styleId="ImpactstatementChar">
    <w:name w:val="Impact statement Char"/>
    <w:link w:val="Impactstatement"/>
    <w:rsid w:val="00056AC1"/>
    <w:rPr>
      <w:rFonts w:ascii="Times New Roman" w:hAnsi="Times New Roman"/>
      <w:b/>
    </w:rPr>
  </w:style>
  <w:style w:type="character" w:customStyle="1" w:styleId="TableclosingborderChar1">
    <w:name w:val="Table closing border Char1"/>
    <w:link w:val="Tableclosingborder"/>
    <w:rsid w:val="00056AC1"/>
    <w:rPr>
      <w:rFonts w:ascii="Arial" w:eastAsia="Times New Roman" w:hAnsi="Arial"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erfluorocarb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pa.gov/&#8204;ghgreporting/&#8204;subpart-dd-use-electric-transmission-and-distribution-equipment" TargetMode="External"/><Relationship Id="rId4" Type="http://schemas.openxmlformats.org/officeDocument/2006/relationships/settings" Target="settings.xml"/><Relationship Id="rId9" Type="http://schemas.openxmlformats.org/officeDocument/2006/relationships/hyperlink" Target="http://w3.usa.siemens.com/powerdistribution/us/en/resources/tech-topics/pages/sf6-gas-and-greenhouse-gas-emissions-mv-switchgear.asp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ESA\ESA%20Template\ESA%20Firmwide%20Templates\ESA%20Report\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803E16-86AF-463E-807B-402A4886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TotalTime>
  <Pages>12</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Bautista</dc:creator>
  <cp:lastModifiedBy>Matthew Fagundes</cp:lastModifiedBy>
  <cp:revision>2</cp:revision>
  <cp:lastPrinted>2016-01-11T21:22:00Z</cp:lastPrinted>
  <dcterms:created xsi:type="dcterms:W3CDTF">2020-06-27T15:22:00Z</dcterms:created>
  <dcterms:modified xsi:type="dcterms:W3CDTF">2020-06-27T15:22:00Z</dcterms:modified>
</cp:coreProperties>
</file>