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D7254" w14:textId="76C824ED" w:rsidR="007B505B" w:rsidRPr="00AF47FA" w:rsidRDefault="001554F8" w:rsidP="000C5263">
      <w:pPr>
        <w:rPr>
          <w:rFonts w:cs="Calibri"/>
        </w:rPr>
      </w:pPr>
      <w:r>
        <w:rPr>
          <w:rFonts w:cs="Calibri"/>
        </w:rPr>
        <w:t>Projects that are Covered Activities under the SSHCP will be required to comply with the following Avoidance and Minimization Measures (AMMs) as applicable.</w:t>
      </w:r>
      <w:bookmarkStart w:id="0" w:name="_GoBack"/>
      <w:bookmarkEnd w:id="0"/>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9"/>
      </w:tblGrid>
      <w:tr w:rsidR="000C5263" w:rsidRPr="00D40E13" w14:paraId="42337FE3" w14:textId="77777777" w:rsidTr="003534DF">
        <w:tc>
          <w:tcPr>
            <w:tcW w:w="10599" w:type="dxa"/>
            <w:shd w:val="clear" w:color="auto" w:fill="D9D9D9"/>
          </w:tcPr>
          <w:p w14:paraId="61D4F7CE" w14:textId="3EDB1D4B" w:rsidR="000C5263" w:rsidRPr="007B505B" w:rsidRDefault="000C5263" w:rsidP="007B505B">
            <w:pPr>
              <w:rPr>
                <w:rFonts w:cs="Calibri"/>
                <w:b/>
                <w:sz w:val="24"/>
                <w:szCs w:val="24"/>
              </w:rPr>
            </w:pPr>
            <w:r w:rsidRPr="00D40E13">
              <w:rPr>
                <w:rFonts w:cs="Calibri"/>
                <w:b/>
                <w:sz w:val="24"/>
                <w:szCs w:val="24"/>
              </w:rPr>
              <w:t>Condition 2. Avoid and Minimize Urban Development Direct and Indirect Impacts to Existing Preserves and SSHCP Preserves</w:t>
            </w:r>
            <w:r w:rsidR="007B505B">
              <w:rPr>
                <w:rFonts w:cs="Calibri"/>
                <w:b/>
                <w:sz w:val="24"/>
                <w:szCs w:val="24"/>
              </w:rPr>
              <w:br/>
            </w:r>
            <w:r w:rsidRPr="007B505B">
              <w:rPr>
                <w:rFonts w:cs="Calibri"/>
                <w:sz w:val="20"/>
                <w:szCs w:val="20"/>
              </w:rPr>
              <w:t xml:space="preserve">Note: This Condition only applies to projects with on-site preserves or projects that are adjacent to existing or planned preserves.  </w:t>
            </w:r>
          </w:p>
        </w:tc>
      </w:tr>
      <w:tr w:rsidR="003534DF" w:rsidRPr="00D40E13" w14:paraId="60BBB707" w14:textId="77777777" w:rsidTr="003534DF">
        <w:tc>
          <w:tcPr>
            <w:tcW w:w="10599" w:type="dxa"/>
            <w:shd w:val="clear" w:color="auto" w:fill="auto"/>
          </w:tcPr>
          <w:p w14:paraId="4CBE1070" w14:textId="77777777" w:rsidR="003534DF" w:rsidRPr="00D40E13" w:rsidRDefault="003534DF" w:rsidP="0023717A">
            <w:pPr>
              <w:rPr>
                <w:rFonts w:cs="Calibri"/>
              </w:rPr>
            </w:pPr>
            <w:r w:rsidRPr="00D40E13">
              <w:rPr>
                <w:rFonts w:cs="Calibri"/>
                <w:b/>
              </w:rPr>
              <w:t>Avoidance and Minimization Measure</w:t>
            </w:r>
          </w:p>
        </w:tc>
      </w:tr>
      <w:tr w:rsidR="003534DF" w:rsidRPr="00D40E13" w14:paraId="42DBB755" w14:textId="77777777" w:rsidTr="003534DF">
        <w:tc>
          <w:tcPr>
            <w:tcW w:w="10599" w:type="dxa"/>
            <w:shd w:val="clear" w:color="auto" w:fill="auto"/>
          </w:tcPr>
          <w:p w14:paraId="7CAD1605" w14:textId="77777777" w:rsidR="003534DF" w:rsidRPr="007B505B" w:rsidRDefault="003534DF" w:rsidP="007B505B">
            <w:pPr>
              <w:rPr>
                <w:rFonts w:cs="Calibri"/>
                <w:sz w:val="20"/>
                <w:szCs w:val="20"/>
              </w:rPr>
            </w:pPr>
            <w:r w:rsidRPr="00D40E13">
              <w:rPr>
                <w:rFonts w:cs="Calibri"/>
                <w:b/>
                <w:sz w:val="20"/>
                <w:szCs w:val="20"/>
              </w:rPr>
              <w:t>EDGE-3 (Preserve Setbacks</w:t>
            </w:r>
            <w:r w:rsidRPr="007B505B">
              <w:rPr>
                <w:rFonts w:cs="Calibri"/>
                <w:sz w:val="20"/>
                <w:szCs w:val="20"/>
              </w:rPr>
              <w:t xml:space="preserve">): Urban Development Covered Activities constructed adjacent to existing or planned Preserves must establish a minimum 50-foot-wide setback outward from the boundary of any existing Preserve or planned SSHCP Preserve. This minimum 50-foot-wide setback will function as a transition between Urban Development and the Preserve, and must be managed to maintain the natural community of vegetation present in the adjacent Preserve. As much of the setback as possible should remain in the same natural habitat as the Preserve. </w:t>
            </w:r>
          </w:p>
          <w:p w14:paraId="052FECDB" w14:textId="1732C4D7" w:rsidR="003534DF" w:rsidRPr="00D40E13" w:rsidRDefault="003534DF" w:rsidP="007B505B">
            <w:pPr>
              <w:rPr>
                <w:rFonts w:cs="Calibri"/>
                <w:b/>
                <w:sz w:val="20"/>
                <w:szCs w:val="20"/>
              </w:rPr>
            </w:pPr>
            <w:r w:rsidRPr="007B505B">
              <w:rPr>
                <w:rFonts w:cs="Calibri"/>
                <w:sz w:val="20"/>
                <w:szCs w:val="20"/>
              </w:rPr>
              <w:t>However, as discussed in Section 5.2.5, Covered Activities in Preserve Setbacks in the UDA, where an existing or planned Preserve is adjacent to an existing roadway (e.g., collectors, arterials, thoroughfares), the 50-foot Preserve Setback will not be required, and any bicycle or pedestrian trail will be established in the road right-of-way. In addition, where a planned roadway crosses an existing or planned Preserve, no Preserve Setback will be required, and any bicycle or pedestrian trail will be established in the road right-of-way.</w:t>
            </w:r>
          </w:p>
        </w:tc>
      </w:tr>
      <w:tr w:rsidR="000C5263" w:rsidRPr="00D40E13" w14:paraId="7C1ED1DF" w14:textId="77777777" w:rsidTr="003534DF">
        <w:tc>
          <w:tcPr>
            <w:tcW w:w="10599" w:type="dxa"/>
            <w:shd w:val="clear" w:color="auto" w:fill="D9D9D9"/>
          </w:tcPr>
          <w:p w14:paraId="5E158F14" w14:textId="06153F8E" w:rsidR="000C5263" w:rsidRPr="00D40E13" w:rsidRDefault="000C5263" w:rsidP="0023717A">
            <w:pPr>
              <w:rPr>
                <w:rFonts w:cs="Calibri"/>
                <w:b/>
                <w:sz w:val="24"/>
                <w:szCs w:val="24"/>
              </w:rPr>
            </w:pPr>
            <w:bookmarkStart w:id="1" w:name="_Hlk505185665"/>
            <w:r w:rsidRPr="00D40E13">
              <w:rPr>
                <w:rFonts w:cs="Calibri"/>
                <w:b/>
                <w:sz w:val="24"/>
                <w:szCs w:val="24"/>
              </w:rPr>
              <w:t>Condition 3. Implement Construction Best Management Practices</w:t>
            </w:r>
            <w:r w:rsidR="003B72AB">
              <w:rPr>
                <w:rFonts w:cs="Calibri"/>
                <w:b/>
                <w:sz w:val="24"/>
                <w:szCs w:val="24"/>
              </w:rPr>
              <w:br/>
            </w:r>
            <w:r w:rsidR="003B72AB" w:rsidRPr="003B72AB">
              <w:rPr>
                <w:rFonts w:cs="Calibri"/>
                <w:sz w:val="20"/>
                <w:szCs w:val="20"/>
              </w:rPr>
              <w:t>Condition 3 applies to all Covered Activities within the UDA</w:t>
            </w:r>
          </w:p>
        </w:tc>
      </w:tr>
      <w:bookmarkEnd w:id="1"/>
      <w:tr w:rsidR="003534DF" w:rsidRPr="00D40E13" w14:paraId="4E744F9C" w14:textId="77777777" w:rsidTr="003534DF">
        <w:tc>
          <w:tcPr>
            <w:tcW w:w="10599" w:type="dxa"/>
            <w:shd w:val="clear" w:color="auto" w:fill="auto"/>
          </w:tcPr>
          <w:p w14:paraId="45664F86" w14:textId="77777777" w:rsidR="003534DF" w:rsidRPr="00D40E13" w:rsidRDefault="003534DF" w:rsidP="0023717A">
            <w:pPr>
              <w:rPr>
                <w:rFonts w:cs="Calibri"/>
              </w:rPr>
            </w:pPr>
            <w:r w:rsidRPr="00D40E13">
              <w:rPr>
                <w:rFonts w:cs="Calibri"/>
                <w:b/>
              </w:rPr>
              <w:t>Avoidance and Minimization Measure</w:t>
            </w:r>
          </w:p>
        </w:tc>
      </w:tr>
      <w:tr w:rsidR="003534DF" w:rsidRPr="00D40E13" w14:paraId="6C48565B" w14:textId="77777777" w:rsidTr="003534DF">
        <w:tc>
          <w:tcPr>
            <w:tcW w:w="10599" w:type="dxa"/>
            <w:shd w:val="clear" w:color="auto" w:fill="auto"/>
          </w:tcPr>
          <w:p w14:paraId="5F1EFF0B" w14:textId="4A3905D5" w:rsidR="003534DF" w:rsidRPr="00D40E13" w:rsidRDefault="003534DF" w:rsidP="0023717A">
            <w:pPr>
              <w:rPr>
                <w:rFonts w:cs="Calibri"/>
                <w:sz w:val="20"/>
                <w:szCs w:val="20"/>
              </w:rPr>
            </w:pPr>
            <w:r w:rsidRPr="00D40E13">
              <w:rPr>
                <w:rFonts w:cs="Calibri"/>
                <w:b/>
                <w:sz w:val="20"/>
                <w:szCs w:val="20"/>
              </w:rPr>
              <w:t>BMP-1 (Construction Fencing</w:t>
            </w:r>
            <w:r w:rsidRPr="00D40E13">
              <w:rPr>
                <w:rFonts w:cs="Calibri"/>
                <w:sz w:val="20"/>
                <w:szCs w:val="20"/>
              </w:rPr>
              <w:t xml:space="preserve">): </w:t>
            </w:r>
            <w:r w:rsidRPr="003B72AB">
              <w:rPr>
                <w:rFonts w:cs="Calibri"/>
                <w:sz w:val="20"/>
                <w:szCs w:val="20"/>
              </w:rPr>
              <w:t>Orange construction fencing will be installed to ensure that ground disturbance does not extend beyond the allowed construction footprint (i.e., the limit of project construction plus equipment staging areas and access roads). Plan Permittees and Third-Party Project Proponents implementing ground-disturbing Covered Activities will mark the outer boundary of any Preserve Setback or Stream Setback adjacent to or within the project site with orange construction fencing prior to ground disturbance. This fencing will remain in place until project completion, as identified by the Plan Permittee.</w:t>
            </w:r>
          </w:p>
        </w:tc>
      </w:tr>
      <w:tr w:rsidR="003534DF" w:rsidRPr="00D40E13" w14:paraId="143DB4E9" w14:textId="77777777" w:rsidTr="003534DF">
        <w:tc>
          <w:tcPr>
            <w:tcW w:w="10599" w:type="dxa"/>
            <w:shd w:val="clear" w:color="auto" w:fill="auto"/>
          </w:tcPr>
          <w:p w14:paraId="3F6A695D" w14:textId="77777777" w:rsidR="003534DF" w:rsidRPr="005C699E" w:rsidRDefault="003534DF" w:rsidP="005C699E">
            <w:pPr>
              <w:rPr>
                <w:rFonts w:cs="Calibri"/>
                <w:sz w:val="20"/>
                <w:szCs w:val="20"/>
              </w:rPr>
            </w:pPr>
            <w:r w:rsidRPr="005C699E">
              <w:rPr>
                <w:rFonts w:cs="Calibri"/>
                <w:b/>
                <w:sz w:val="20"/>
                <w:szCs w:val="20"/>
              </w:rPr>
              <w:t>BMP-2 (Erosion Control):</w:t>
            </w:r>
            <w:r w:rsidRPr="005C699E">
              <w:rPr>
                <w:rFonts w:cs="Calibri"/>
                <w:sz w:val="20"/>
                <w:szCs w:val="20"/>
              </w:rPr>
              <w:t xml:space="preserve"> Plan Permittees and Third-Party Project Proponents implementing ground-disturbing Covered Activities will install temporary control measures for sediment, stormwater, and pollutant runoff as required by the Plan Permittee to protect water quality and species habitat. Silt fencing or other appropriate sediment control device(s) will be installed downslope of any Covered Activity that disturbs soils. </w:t>
            </w:r>
          </w:p>
          <w:p w14:paraId="7BA4B716" w14:textId="7058F2F8" w:rsidR="003534DF" w:rsidRPr="005C699E" w:rsidRDefault="003534DF" w:rsidP="005C699E">
            <w:pPr>
              <w:rPr>
                <w:rFonts w:cs="Calibri"/>
                <w:sz w:val="20"/>
                <w:szCs w:val="20"/>
              </w:rPr>
            </w:pPr>
            <w:r w:rsidRPr="005C699E">
              <w:rPr>
                <w:rFonts w:cs="Calibri"/>
                <w:sz w:val="20"/>
                <w:szCs w:val="20"/>
              </w:rPr>
              <w:t>Fiber rolls and seed mixtures used for erosion control will be certified as free of viable noxious weed seed. As discussed in Section 5.4.2, Covered Species Take Avoidance and Minimization Measures, erosion controls installed in or adjacent to Plan Area modeled habitat for giant gartersnake (</w:t>
            </w:r>
            <w:r w:rsidRPr="005C699E">
              <w:rPr>
                <w:rFonts w:cs="Calibri"/>
                <w:i/>
                <w:sz w:val="20"/>
                <w:szCs w:val="20"/>
              </w:rPr>
              <w:t>Thamnophis gigas</w:t>
            </w:r>
            <w:r w:rsidRPr="005C699E">
              <w:rPr>
                <w:rFonts w:cs="Calibri"/>
                <w:sz w:val="20"/>
                <w:szCs w:val="20"/>
              </w:rPr>
              <w:t>), western pond turtle (</w:t>
            </w:r>
            <w:r w:rsidRPr="005C699E">
              <w:rPr>
                <w:rFonts w:cs="Calibri"/>
                <w:i/>
                <w:sz w:val="20"/>
                <w:szCs w:val="20"/>
              </w:rPr>
              <w:t>Actinemys marmorata</w:t>
            </w:r>
            <w:r w:rsidRPr="005C699E">
              <w:rPr>
                <w:rFonts w:cs="Calibri"/>
                <w:sz w:val="20"/>
                <w:szCs w:val="20"/>
              </w:rPr>
              <w:t>), California tiger salamander (California tiger salamander), or western spadefoot (see Chapter 3) must be of appropriate design and materials that will not entrap the species (e.g., not contain mesh netting). Regular monitoring and maintenance of the project’s erosion control measures will be conducted until project completion to ensure effective operation of erosion control measures.</w:t>
            </w:r>
          </w:p>
        </w:tc>
      </w:tr>
      <w:tr w:rsidR="003534DF" w:rsidRPr="00D40E13" w14:paraId="357D5DD7" w14:textId="77777777" w:rsidTr="003534DF">
        <w:tc>
          <w:tcPr>
            <w:tcW w:w="10599" w:type="dxa"/>
            <w:shd w:val="clear" w:color="auto" w:fill="auto"/>
          </w:tcPr>
          <w:p w14:paraId="5A1E7361" w14:textId="77777777" w:rsidR="003534DF" w:rsidRPr="005C699E" w:rsidRDefault="003534DF" w:rsidP="005C699E">
            <w:pPr>
              <w:rPr>
                <w:rFonts w:cs="Calibri"/>
                <w:sz w:val="20"/>
                <w:szCs w:val="20"/>
              </w:rPr>
            </w:pPr>
            <w:r w:rsidRPr="005C699E">
              <w:rPr>
                <w:rFonts w:cs="Calibri"/>
                <w:b/>
                <w:sz w:val="20"/>
                <w:szCs w:val="20"/>
              </w:rPr>
              <w:t>BMP-3 (Equipment Storage and Fueling):</w:t>
            </w:r>
            <w:r w:rsidRPr="005C699E">
              <w:rPr>
                <w:rFonts w:cs="Calibri"/>
                <w:sz w:val="20"/>
                <w:szCs w:val="20"/>
              </w:rPr>
              <w:t xml:space="preserve"> Plan Permittees and Third-Party Project Proponents implementing ground-disturbing Covered Activities will ensure that equipment storage and staging will occur in the development footprint only (not sited in any existing on-site Preserve, planned on-site Preserve, Preserve Setback, Stream Setback, or aquatic land cover type). Fuel storage and equipment fueling will occur away from waterways, stream channels, stream banks, and other environmentally sensitive areas within the development footprint. </w:t>
            </w:r>
          </w:p>
          <w:p w14:paraId="4CE89CC2" w14:textId="5D3D4979" w:rsidR="003534DF" w:rsidRPr="005C699E" w:rsidRDefault="003534DF" w:rsidP="005C699E">
            <w:pPr>
              <w:rPr>
                <w:rFonts w:cs="Calibri"/>
                <w:sz w:val="20"/>
                <w:szCs w:val="20"/>
              </w:rPr>
            </w:pPr>
            <w:r w:rsidRPr="005C699E">
              <w:rPr>
                <w:rFonts w:cs="Calibri"/>
                <w:sz w:val="20"/>
                <w:szCs w:val="20"/>
              </w:rPr>
              <w:t xml:space="preserve">However, certain equipment storage and fueling activities can be allowed on Preserves within habitat re-establishment/establishment sites (refer to Section 5.2.7) if no location outside of the site is available. If a Covered Activity </w:t>
            </w:r>
            <w:r w:rsidRPr="005C699E">
              <w:rPr>
                <w:rFonts w:cs="Calibri"/>
                <w:sz w:val="20"/>
                <w:szCs w:val="20"/>
              </w:rPr>
              <w:lastRenderedPageBreak/>
              <w:t>results in a spill of fuel, hydraulic fluid, lubricants, or other petroleum products, the spill will be absorbed and waste disposed of in a manner to prevent pollutants from entering a waterway, Preserve, Preserve Setback, or Stream Setback.</w:t>
            </w:r>
          </w:p>
        </w:tc>
      </w:tr>
      <w:tr w:rsidR="003534DF" w:rsidRPr="00D40E13" w14:paraId="124E855F" w14:textId="77777777" w:rsidTr="003534DF">
        <w:tc>
          <w:tcPr>
            <w:tcW w:w="10599" w:type="dxa"/>
            <w:shd w:val="clear" w:color="auto" w:fill="auto"/>
          </w:tcPr>
          <w:p w14:paraId="2585C092" w14:textId="369D8506" w:rsidR="003534DF" w:rsidRPr="00D40E13" w:rsidRDefault="003534DF" w:rsidP="0023717A">
            <w:pPr>
              <w:rPr>
                <w:rFonts w:cs="Calibri"/>
                <w:b/>
                <w:sz w:val="20"/>
                <w:szCs w:val="20"/>
              </w:rPr>
            </w:pPr>
            <w:r w:rsidRPr="00D40E13">
              <w:rPr>
                <w:rFonts w:cs="Calibri"/>
                <w:b/>
                <w:sz w:val="20"/>
                <w:szCs w:val="20"/>
              </w:rPr>
              <w:lastRenderedPageBreak/>
              <w:t>BMP-4 (Erodible Materials</w:t>
            </w:r>
            <w:r w:rsidRPr="005C699E">
              <w:rPr>
                <w:rFonts w:cs="Calibri"/>
                <w:sz w:val="20"/>
                <w:szCs w:val="20"/>
              </w:rPr>
              <w:t>): Plan Permittees and Third-Party Project Proponents implementing Covered Activities must not deposit erodible materials into waterways. Vegetation clippings, brush, loose soils, or other debris material will not be stockpiled within stream channels or on adjacent banks. Erodible material must be disposed of such that it cannot enter a waterway, Preserve, Preserve Setback, Stream Setback, or aquatic land cover type. If water and sludge must be pumped from a subdrain or other structure, the material will be conveyed to a temporary settling basin to prevent sediment from entering a waterway.</w:t>
            </w:r>
          </w:p>
        </w:tc>
      </w:tr>
      <w:tr w:rsidR="003534DF" w:rsidRPr="00D40E13" w14:paraId="1CF15FFB" w14:textId="77777777" w:rsidTr="003534DF">
        <w:tc>
          <w:tcPr>
            <w:tcW w:w="10599" w:type="dxa"/>
            <w:shd w:val="clear" w:color="auto" w:fill="auto"/>
          </w:tcPr>
          <w:p w14:paraId="695F4AF3" w14:textId="701514F2" w:rsidR="003534DF" w:rsidRPr="00D40E13" w:rsidRDefault="003534DF" w:rsidP="0023717A">
            <w:pPr>
              <w:rPr>
                <w:rFonts w:cs="Calibri"/>
                <w:b/>
                <w:sz w:val="20"/>
                <w:szCs w:val="20"/>
              </w:rPr>
            </w:pPr>
            <w:r w:rsidRPr="00D40E13">
              <w:rPr>
                <w:rFonts w:cs="Calibri"/>
                <w:b/>
                <w:sz w:val="20"/>
                <w:szCs w:val="20"/>
              </w:rPr>
              <w:t xml:space="preserve">BMP-5 (Dust Control): </w:t>
            </w:r>
            <w:r w:rsidRPr="005C699E">
              <w:rPr>
                <w:rFonts w:cs="Calibri"/>
                <w:sz w:val="20"/>
                <w:szCs w:val="20"/>
              </w:rPr>
              <w:t>Plan Permittees and Third-Party Project Proponents implementing ground-disturbing Covered Activities will water active construction sites regularly, if warranted, to avoid or minimize impacts from construction dust on adjacent vegetation and wildlife habitats. No surface water will be used from aquatic land covers; water will be obtained from a municipal source or existing groundwater well.</w:t>
            </w:r>
          </w:p>
        </w:tc>
      </w:tr>
      <w:tr w:rsidR="003534DF" w:rsidRPr="00D40E13" w14:paraId="645BADC8" w14:textId="77777777" w:rsidTr="003534DF">
        <w:tc>
          <w:tcPr>
            <w:tcW w:w="10599" w:type="dxa"/>
            <w:shd w:val="clear" w:color="auto" w:fill="auto"/>
          </w:tcPr>
          <w:p w14:paraId="72FBD382" w14:textId="39EA72C6" w:rsidR="003534DF" w:rsidRPr="00D40E13" w:rsidRDefault="003534DF" w:rsidP="0023717A">
            <w:pPr>
              <w:rPr>
                <w:rFonts w:cs="Calibri"/>
                <w:b/>
                <w:sz w:val="20"/>
                <w:szCs w:val="20"/>
              </w:rPr>
            </w:pPr>
            <w:r w:rsidRPr="00D40E13">
              <w:rPr>
                <w:rFonts w:cs="Calibri"/>
                <w:b/>
                <w:sz w:val="20"/>
                <w:szCs w:val="20"/>
              </w:rPr>
              <w:t xml:space="preserve">BMP-6 (Construction Lighting): </w:t>
            </w:r>
            <w:r w:rsidRPr="005C699E">
              <w:rPr>
                <w:rFonts w:cs="Calibri"/>
                <w:sz w:val="20"/>
                <w:szCs w:val="20"/>
              </w:rPr>
              <w:t>Plan Permittees and Third-Party Project Proponents implementing ground-disturbing Covered Activities will direct all temporary construction lighting (e.g., lighting used for security or nighttime equipment maintenance) away from adjacent natural habitats, and particularly Riparian and Wetland habitats and wildlife movement areas.</w:t>
            </w:r>
          </w:p>
        </w:tc>
      </w:tr>
      <w:tr w:rsidR="003534DF" w:rsidRPr="00D40E13" w14:paraId="75007EA5" w14:textId="77777777" w:rsidTr="003534DF">
        <w:tc>
          <w:tcPr>
            <w:tcW w:w="10599" w:type="dxa"/>
            <w:shd w:val="clear" w:color="auto" w:fill="auto"/>
          </w:tcPr>
          <w:p w14:paraId="2C26C57F" w14:textId="34C61D0F" w:rsidR="003534DF" w:rsidRPr="00D40E13" w:rsidRDefault="003534DF" w:rsidP="0023717A">
            <w:pPr>
              <w:rPr>
                <w:rFonts w:cs="Calibri"/>
                <w:b/>
                <w:sz w:val="20"/>
                <w:szCs w:val="20"/>
              </w:rPr>
            </w:pPr>
            <w:r w:rsidRPr="00D40E13">
              <w:rPr>
                <w:rFonts w:cs="Calibri"/>
                <w:b/>
                <w:sz w:val="20"/>
                <w:szCs w:val="20"/>
              </w:rPr>
              <w:t xml:space="preserve">BMP-7 (Biological Monitor): </w:t>
            </w:r>
            <w:r w:rsidRPr="005C699E">
              <w:rPr>
                <w:rFonts w:cs="Calibri"/>
                <w:sz w:val="20"/>
                <w:szCs w:val="20"/>
              </w:rPr>
              <w:t>If a Covered Activity includes ground disturbance within Covered Species modeled habitat, an approved biologist will be on site during the period of ground disturbance, and may need to be on site during other construction activities depending on the Covered Species affected. After ground-disturbing project activities are complete, the approved biologist will train an individual to act as the on-site construction monitor for the remainder of construction, with the concurrence of the Permitting Agencies. The on-site monitor will attend the training described in BMP-8. The approved biologist and the on-site monitor will have oversight over implementation of Avoidance and Minimization Measures, and will have the authority to stop activities if any of the requirements associated with those measures are not met. If the monitor requests that work be stopped, the Wildlife Agencies will be notified within one working day by email. The approved biologist and/or on-site monitor will record all observations of listed species on California Natural Diversity Database field sheets and submit them to the California Department of Fish and Wildlife. The approved biologist or on-site monitor will be the contact source for any employee or contractor who might inadvertently kill or injure a Covered Species or who finds a dead, injured or entrapped individual. The approved biologist and on-site monitor’s names and telephone numbers will be provided to the Wildlife Agencies prior to the initiation of ground-disturbing activities. Refer to species-specific measures for details on requirements for biological monitors.</w:t>
            </w:r>
          </w:p>
        </w:tc>
      </w:tr>
      <w:tr w:rsidR="003534DF" w:rsidRPr="00D40E13" w14:paraId="150B8DFD" w14:textId="77777777" w:rsidTr="003534DF">
        <w:tc>
          <w:tcPr>
            <w:tcW w:w="10599" w:type="dxa"/>
            <w:shd w:val="clear" w:color="auto" w:fill="auto"/>
          </w:tcPr>
          <w:p w14:paraId="2F078371" w14:textId="12B811BD" w:rsidR="003534DF" w:rsidRPr="00D40E13" w:rsidRDefault="003534DF" w:rsidP="0023717A">
            <w:pPr>
              <w:rPr>
                <w:rFonts w:cs="Calibri"/>
                <w:b/>
                <w:sz w:val="20"/>
                <w:szCs w:val="20"/>
              </w:rPr>
            </w:pPr>
            <w:r w:rsidRPr="00D40E13">
              <w:rPr>
                <w:rFonts w:cs="Calibri"/>
                <w:b/>
                <w:sz w:val="20"/>
                <w:szCs w:val="20"/>
              </w:rPr>
              <w:t>BMP-8 (Training of Construction Staff):</w:t>
            </w:r>
            <w:r w:rsidRPr="00D40E13">
              <w:rPr>
                <w:rFonts w:cs="Calibri"/>
                <w:sz w:val="20"/>
                <w:szCs w:val="20"/>
              </w:rPr>
              <w:t xml:space="preserve"> </w:t>
            </w:r>
            <w:r w:rsidRPr="005C699E">
              <w:rPr>
                <w:rFonts w:cs="Calibri"/>
                <w:sz w:val="20"/>
                <w:szCs w:val="20"/>
              </w:rPr>
              <w:t>A mandatory Worker Environmental Awareness Program will be conducted by an approved biologist for all construction workers, including contractors, prior to the commencement of construction activities. The training will include how to identify Covered Species that might enter the construction site, relevant life history information and habitats, SSHCP and statutory requirements and the consequences of non-compliance, the boundaries of the construction area and permitted disturbance zones, litter control training (SPECIES-2), and appropriate protocols if a Covered Species is encountered. Supporting materials containing training information will be prepared and distributed by the approved biologist. When necessary, training and supporting materials will also be provided in Spanish. Upon completion of training, construction personnel will sign a form stating that they attended the training and understand all of the Avoidance and Minimization Measures. Written documentation of the training must be submitted to the Implementing Entity within 30 days of completion of the training, and the Implementing Entity will provide this information to the Wildlife Agencies.</w:t>
            </w:r>
          </w:p>
        </w:tc>
      </w:tr>
      <w:tr w:rsidR="003534DF" w:rsidRPr="00D40E13" w14:paraId="5FC31A82" w14:textId="77777777" w:rsidTr="003534DF">
        <w:tc>
          <w:tcPr>
            <w:tcW w:w="10599" w:type="dxa"/>
            <w:shd w:val="clear" w:color="auto" w:fill="auto"/>
          </w:tcPr>
          <w:p w14:paraId="7752D722" w14:textId="5A48AF79" w:rsidR="003534DF" w:rsidRPr="00D40E13" w:rsidRDefault="003534DF" w:rsidP="0023717A">
            <w:pPr>
              <w:rPr>
                <w:rFonts w:cs="Calibri"/>
                <w:b/>
                <w:sz w:val="20"/>
                <w:szCs w:val="20"/>
              </w:rPr>
            </w:pPr>
            <w:r w:rsidRPr="00D40E13">
              <w:rPr>
                <w:rFonts w:cs="Calibri"/>
                <w:b/>
                <w:sz w:val="20"/>
                <w:szCs w:val="20"/>
              </w:rPr>
              <w:t xml:space="preserve">BMP-9 (Soil Compaction): </w:t>
            </w:r>
            <w:r w:rsidRPr="005C699E">
              <w:rPr>
                <w:rFonts w:cs="Calibri"/>
                <w:sz w:val="20"/>
                <w:szCs w:val="20"/>
              </w:rPr>
              <w:t>After construction is complete, all temporarily disturbed areas will be restored similar to pre-project conditions, including impacts relating to soil compaction, water infiltration capacity, and soil hydrologic characteristics.</w:t>
            </w:r>
          </w:p>
        </w:tc>
      </w:tr>
      <w:tr w:rsidR="003534DF" w:rsidRPr="00D40E13" w14:paraId="58C5BFB8" w14:textId="77777777" w:rsidTr="003534DF">
        <w:tc>
          <w:tcPr>
            <w:tcW w:w="10599" w:type="dxa"/>
            <w:shd w:val="clear" w:color="auto" w:fill="auto"/>
          </w:tcPr>
          <w:p w14:paraId="5ADCE58F" w14:textId="7F1663DF" w:rsidR="003534DF" w:rsidRPr="00D40E13" w:rsidRDefault="003534DF" w:rsidP="0023717A">
            <w:pPr>
              <w:rPr>
                <w:rFonts w:cs="Calibri"/>
                <w:b/>
                <w:sz w:val="20"/>
                <w:szCs w:val="20"/>
              </w:rPr>
            </w:pPr>
            <w:r w:rsidRPr="00D40E13">
              <w:rPr>
                <w:rFonts w:cs="Calibri"/>
                <w:b/>
                <w:sz w:val="20"/>
                <w:szCs w:val="20"/>
              </w:rPr>
              <w:t xml:space="preserve">BMP-10 (Revegetation): </w:t>
            </w:r>
            <w:r w:rsidRPr="005C699E">
              <w:rPr>
                <w:rFonts w:cs="Calibri"/>
                <w:sz w:val="20"/>
                <w:szCs w:val="20"/>
              </w:rPr>
              <w:t>Plan Permittees and Third-Party Project Proponents implementing ground-disturbing Covered Activities will revegetate any cut-and-fill slopes with native or existing non-invasive, non-native plants (e.g., non-native grasses) suitable for the altered soil conditions and in compliance with EDGE-2 and EDGE-8, if applicable.</w:t>
            </w:r>
          </w:p>
        </w:tc>
      </w:tr>
      <w:tr w:rsidR="003534DF" w:rsidRPr="00D40E13" w14:paraId="57131AAA" w14:textId="77777777" w:rsidTr="003534DF">
        <w:tc>
          <w:tcPr>
            <w:tcW w:w="10599" w:type="dxa"/>
            <w:shd w:val="clear" w:color="auto" w:fill="auto"/>
          </w:tcPr>
          <w:p w14:paraId="3558E976" w14:textId="0FD25FA2" w:rsidR="003534DF" w:rsidRPr="00D40E13" w:rsidRDefault="003534DF" w:rsidP="0023717A">
            <w:pPr>
              <w:rPr>
                <w:rFonts w:cs="Calibri"/>
                <w:b/>
                <w:sz w:val="20"/>
                <w:szCs w:val="20"/>
              </w:rPr>
            </w:pPr>
            <w:r w:rsidRPr="00D40E13">
              <w:rPr>
                <w:rFonts w:cs="Calibri"/>
                <w:b/>
                <w:sz w:val="20"/>
                <w:szCs w:val="20"/>
              </w:rPr>
              <w:lastRenderedPageBreak/>
              <w:t xml:space="preserve">BMP-11 (Speed Limit): </w:t>
            </w:r>
            <w:r w:rsidRPr="005C699E">
              <w:rPr>
                <w:rFonts w:cs="Calibri"/>
                <w:sz w:val="20"/>
                <w:szCs w:val="20"/>
              </w:rPr>
              <w:t>Project-related vehicles will observe the posted speed limits on paved roads and a 10-mile-per-hour speed limit on unpaved roads and during travel in project areas. Construction crews will be given weekly tailgate instruction to travel only on designated and marked existing, cross-country, and project-only roads.</w:t>
            </w:r>
          </w:p>
        </w:tc>
      </w:tr>
      <w:tr w:rsidR="000C5263" w:rsidRPr="00D40E13" w14:paraId="78A69E28" w14:textId="77777777" w:rsidTr="003534DF">
        <w:tc>
          <w:tcPr>
            <w:tcW w:w="10599" w:type="dxa"/>
            <w:shd w:val="clear" w:color="auto" w:fill="DBDBDB"/>
          </w:tcPr>
          <w:p w14:paraId="0946B551" w14:textId="5872790F" w:rsidR="000C5263" w:rsidRPr="00186B62" w:rsidRDefault="000C5263" w:rsidP="00186B62">
            <w:pPr>
              <w:rPr>
                <w:rFonts w:cs="Calibri"/>
                <w:b/>
                <w:sz w:val="24"/>
                <w:szCs w:val="24"/>
              </w:rPr>
            </w:pPr>
            <w:r w:rsidRPr="00D40E13">
              <w:rPr>
                <w:rFonts w:cs="Calibri"/>
                <w:b/>
                <w:sz w:val="24"/>
                <w:szCs w:val="24"/>
              </w:rPr>
              <w:t>Condition 6. Avoid and Minimize Impacts When Re-Establishing or Establishing Wetlands</w:t>
            </w:r>
            <w:r w:rsidR="00186B62">
              <w:rPr>
                <w:rFonts w:cs="Calibri"/>
                <w:b/>
                <w:sz w:val="24"/>
                <w:szCs w:val="24"/>
              </w:rPr>
              <w:br/>
            </w:r>
            <w:r w:rsidRPr="00186B62">
              <w:rPr>
                <w:rFonts w:cs="Calibri"/>
                <w:sz w:val="20"/>
                <w:szCs w:val="20"/>
              </w:rPr>
              <w:t xml:space="preserve">Note: This Condition only applies if a </w:t>
            </w:r>
            <w:r w:rsidR="00186B62">
              <w:rPr>
                <w:rFonts w:cs="Calibri"/>
                <w:sz w:val="20"/>
                <w:szCs w:val="20"/>
              </w:rPr>
              <w:t>project will re-establish or establish wetlands.</w:t>
            </w:r>
          </w:p>
        </w:tc>
      </w:tr>
      <w:tr w:rsidR="003534DF" w:rsidRPr="00D40E13" w14:paraId="11D3039E" w14:textId="77777777" w:rsidTr="003534DF">
        <w:tc>
          <w:tcPr>
            <w:tcW w:w="10599" w:type="dxa"/>
            <w:shd w:val="clear" w:color="auto" w:fill="auto"/>
          </w:tcPr>
          <w:p w14:paraId="60D12256" w14:textId="77777777" w:rsidR="003534DF" w:rsidRPr="00D40E13" w:rsidRDefault="003534DF" w:rsidP="0023717A">
            <w:pPr>
              <w:rPr>
                <w:rFonts w:cs="Calibri"/>
              </w:rPr>
            </w:pPr>
            <w:r w:rsidRPr="00D40E13">
              <w:rPr>
                <w:rFonts w:cs="Calibri"/>
                <w:b/>
              </w:rPr>
              <w:t>Avoidance and Minimization Measure</w:t>
            </w:r>
          </w:p>
        </w:tc>
      </w:tr>
      <w:tr w:rsidR="003534DF" w:rsidRPr="00D40E13" w14:paraId="62F607F7" w14:textId="77777777" w:rsidTr="003534DF">
        <w:tc>
          <w:tcPr>
            <w:tcW w:w="10599" w:type="dxa"/>
            <w:shd w:val="clear" w:color="auto" w:fill="auto"/>
          </w:tcPr>
          <w:p w14:paraId="207C0E9A" w14:textId="77777777" w:rsidR="003534DF" w:rsidRPr="00186B62" w:rsidRDefault="003534DF" w:rsidP="00186B62">
            <w:pPr>
              <w:rPr>
                <w:rFonts w:cs="Calibri"/>
                <w:sz w:val="20"/>
                <w:szCs w:val="20"/>
              </w:rPr>
            </w:pPr>
            <w:r w:rsidRPr="00186B62">
              <w:rPr>
                <w:rFonts w:cs="Calibri"/>
                <w:b/>
                <w:sz w:val="20"/>
                <w:szCs w:val="20"/>
              </w:rPr>
              <w:t>RE-ESTABLISHMENT/ESTABLISHMENT-1 (Vernal Pool):</w:t>
            </w:r>
            <w:r w:rsidRPr="00186B62">
              <w:rPr>
                <w:rFonts w:cs="Calibri"/>
                <w:sz w:val="20"/>
                <w:szCs w:val="20"/>
              </w:rPr>
              <w:t xml:space="preserve"> Re-establish or establish Vernal Pool Wetland according to the following guidelines: </w:t>
            </w:r>
          </w:p>
          <w:p w14:paraId="06DB81D5" w14:textId="75DD28FD"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 xml:space="preserve">Re-establishment will always take priority over establishment of vernal pools. Establishment will be permitted only after it has been determined that sites with the potential to re-establish vernal pools no longer exist in the Plan Area or cannot be acquired through a willing seller/buyer agreement. </w:t>
            </w:r>
          </w:p>
          <w:p w14:paraId="2E107D6E" w14:textId="77777777"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 xml:space="preserve">When possible, re-established or established sites will be located adjacent to an existing Preserve(s) to maximize connectivity and Preserve area. </w:t>
            </w:r>
          </w:p>
          <w:p w14:paraId="49A8AF84" w14:textId="7F9C6DAA"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 xml:space="preserve">Re-establishment or establishment will not result in direct or indirect adverse impacts to the hydrologic regime of existing vernal pools. Vernal pool re-establishment or establishment actions will not remove more than 10% of any existing vernal pool watershed, as defined by the SSHCP LIDAR analysis (see Section 3.3 and Conservation Action VPI1.2 in Table 7.1). </w:t>
            </w:r>
          </w:p>
          <w:p w14:paraId="67622A86" w14:textId="7FB1A48F"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 xml:space="preserve">Vernal pool re-establishment will attempt to restore the historical density and range of vernal pool sizes to the maximum extent feasible using historical aerial photography of the site, if available. Where aerial photography of the site’s historical conditions is not available, vernal pool re-establishment will include a range of pool sizes (area and depth) to accommodate the different habitat needs and life history characteristics of the vernal pool invertebrate Covered Species. </w:t>
            </w:r>
          </w:p>
          <w:p w14:paraId="3C065323" w14:textId="02E76C5E"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 xml:space="preserve">Established vernal pools must be located on sites with vernal pool soils, defined as any Plan Area soil type where vernal pools currently exist. </w:t>
            </w:r>
          </w:p>
          <w:p w14:paraId="59B0343D" w14:textId="410BB676"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 xml:space="preserve">Established vernal pool sites will include a range of pool sizes to accommodate the different habitat needs and life history characteristics of the three vernal pool invertebrate Covered Species. </w:t>
            </w:r>
          </w:p>
          <w:p w14:paraId="57D0EFC9" w14:textId="61F17A12"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 xml:space="preserve">The total density of vernal pools will not exceed 10% of the suitable soil areas in any vernal pool re-establishment and/or establishment site, unless it can be shown that the suitable areas of that site historically supported greater densities. </w:t>
            </w:r>
          </w:p>
          <w:p w14:paraId="50F700B7" w14:textId="2FCA95BD"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 xml:space="preserve">Re-establishment or establishment may include inoculation when it is likely that no seed or cyst bank of vernal pool species remains at a site. Vernal Pool inocula will come from nearby vernal pools that are on the same geologic formation and soil type. </w:t>
            </w:r>
          </w:p>
        </w:tc>
      </w:tr>
      <w:tr w:rsidR="003534DF" w:rsidRPr="00D40E13" w14:paraId="4FC5AE00" w14:textId="77777777" w:rsidTr="003534DF">
        <w:tc>
          <w:tcPr>
            <w:tcW w:w="10599" w:type="dxa"/>
            <w:shd w:val="clear" w:color="auto" w:fill="auto"/>
          </w:tcPr>
          <w:p w14:paraId="3020257E" w14:textId="77777777" w:rsidR="003534DF" w:rsidRPr="00186B62" w:rsidRDefault="003534DF" w:rsidP="00186B62">
            <w:pPr>
              <w:rPr>
                <w:sz w:val="20"/>
                <w:szCs w:val="20"/>
              </w:rPr>
            </w:pPr>
            <w:r w:rsidRPr="00186B62">
              <w:rPr>
                <w:b/>
                <w:sz w:val="20"/>
                <w:szCs w:val="20"/>
              </w:rPr>
              <w:t>RE-ESTABLISHMENT/ESTABLISHMENT-2 (Vernal Pool Inocula Bank):</w:t>
            </w:r>
            <w:r w:rsidRPr="00D40E13">
              <w:rPr>
                <w:sz w:val="20"/>
                <w:szCs w:val="20"/>
              </w:rPr>
              <w:t xml:space="preserve"> </w:t>
            </w:r>
            <w:r w:rsidRPr="00186B62">
              <w:rPr>
                <w:sz w:val="20"/>
                <w:szCs w:val="20"/>
              </w:rPr>
              <w:t xml:space="preserve">Vernal pool re-establishment or establishment may include “soil inoculation” when it is likely that no seed or cyst bank of vernal pool species remains at a re-establishment or establishment site. </w:t>
            </w:r>
          </w:p>
          <w:p w14:paraId="002EF4C9" w14:textId="44E88D4F" w:rsidR="003534DF" w:rsidRPr="00186B62" w:rsidRDefault="003534DF" w:rsidP="00186B62">
            <w:pPr>
              <w:pStyle w:val="ListParagraph"/>
              <w:numPr>
                <w:ilvl w:val="0"/>
                <w:numId w:val="8"/>
              </w:numPr>
              <w:ind w:left="251" w:hanging="180"/>
              <w:rPr>
                <w:rFonts w:cs="Calibri"/>
                <w:sz w:val="20"/>
                <w:szCs w:val="20"/>
              </w:rPr>
            </w:pPr>
            <w:r w:rsidRPr="00186B62">
              <w:rPr>
                <w:rFonts w:cs="Calibri"/>
                <w:sz w:val="20"/>
                <w:szCs w:val="20"/>
              </w:rPr>
              <w:t>During conversion of Urban Development Area vernal pools to a developed land cover type, project proponents will excavate and retain soil from vernal pools following protocols developed by the SSHCP Technical Advisory Committee (Chapter 9).</w:t>
            </w:r>
          </w:p>
          <w:p w14:paraId="31259A37" w14:textId="5D4431B6" w:rsidR="003534DF" w:rsidRPr="00D40E13" w:rsidRDefault="003534DF" w:rsidP="00186B62">
            <w:pPr>
              <w:pStyle w:val="ListParagraph"/>
              <w:numPr>
                <w:ilvl w:val="0"/>
                <w:numId w:val="8"/>
              </w:numPr>
              <w:ind w:left="251" w:hanging="180"/>
              <w:rPr>
                <w:sz w:val="20"/>
                <w:szCs w:val="20"/>
              </w:rPr>
            </w:pPr>
            <w:r w:rsidRPr="00186B62">
              <w:rPr>
                <w:rFonts w:cs="Calibri"/>
                <w:sz w:val="20"/>
                <w:szCs w:val="20"/>
              </w:rPr>
              <w:t>Inocula applied in re-established or established vernal pools must be harvested from a vernal pool that is on the same geologic formation and soil type shown on the County General Soil Map as the re-establishment/establishment site. Geologic formations and soil types will follow U.S. Department of Agriculture Soil Conservation Service’s 1993 Soil Survey of Sacramento County, California. Proposed off-site inocula sources must be approved by the Wildlife Agencies.</w:t>
            </w:r>
            <w:r w:rsidRPr="00186B62">
              <w:rPr>
                <w:sz w:val="20"/>
                <w:szCs w:val="20"/>
              </w:rPr>
              <w:t xml:space="preserve"> </w:t>
            </w:r>
          </w:p>
        </w:tc>
      </w:tr>
      <w:tr w:rsidR="003534DF" w:rsidRPr="00D40E13" w14:paraId="5E7FE895" w14:textId="77777777" w:rsidTr="003534DF">
        <w:tc>
          <w:tcPr>
            <w:tcW w:w="10599" w:type="dxa"/>
            <w:shd w:val="clear" w:color="auto" w:fill="auto"/>
          </w:tcPr>
          <w:p w14:paraId="6DB106FF" w14:textId="35903F71" w:rsidR="003534DF" w:rsidRPr="00D40E13" w:rsidRDefault="003534DF" w:rsidP="0023717A">
            <w:pPr>
              <w:rPr>
                <w:rFonts w:cs="Calibri"/>
                <w:b/>
                <w:sz w:val="20"/>
                <w:szCs w:val="20"/>
              </w:rPr>
            </w:pPr>
            <w:r w:rsidRPr="00D40E13">
              <w:rPr>
                <w:b/>
                <w:bCs/>
                <w:sz w:val="20"/>
                <w:szCs w:val="20"/>
              </w:rPr>
              <w:t>RE-ESTABLISHMENT/ESTABLISHMENT-3 (Re-Establishment /Establishment of Freshwater Marsh or Open Water Near Airports</w:t>
            </w:r>
            <w:r>
              <w:rPr>
                <w:b/>
                <w:bCs/>
                <w:sz w:val="20"/>
                <w:szCs w:val="20"/>
              </w:rPr>
              <w:t xml:space="preserve">: </w:t>
            </w:r>
            <w:r w:rsidRPr="00186B62">
              <w:rPr>
                <w:rFonts w:cs="Calibri"/>
                <w:sz w:val="20"/>
                <w:szCs w:val="20"/>
              </w:rPr>
              <w:t xml:space="preserve">During review of proposed re-establishment/establishment projects for freshwater marsh or open water on SSHCP Preserves, the Implementing Entity shall consider the potential for the location of the re-establishment/establishment projects to increase the risk of wildlife strikes or generation of ground fog at airports. If a re-establishment/ establishment project would result in (1) a net increase in open water or freshwater marsh acreage over baseline conditions22 within 5 miles of Mather Field, Sacramento Executive Airport, or Franklin Field; or (2) replacement of open water/freshwater marsh habitat that is located 2 or more miles from Mather Field or Sacramento Executive Airport with open water/freshwater marsh habitat that is </w:t>
            </w:r>
            <w:r w:rsidRPr="00186B62">
              <w:rPr>
                <w:rFonts w:cs="Calibri"/>
                <w:sz w:val="20"/>
                <w:szCs w:val="20"/>
              </w:rPr>
              <w:lastRenderedPageBreak/>
              <w:t>located less than 2 miles from those airports, a qualified biologist shall prepare a concise letter report. The letter report shall summarize the biologist’s findings regarding (1) the species likely to use the re-established/established habitat, (2) a rough order of magnitude estimate on the peak number of birds that might use the re-established/established habitat, and (3) potential movement patterns for birds using the re-established/established habitat and whether they might cross through the airport safety zones (e.g., to reach foraging habitat or another wildlife attractant). The letter report will also provide recommendations to the Implementing Entity on how they could reduce any of the identified wildlife hazards if there are any feasible means to do so that would not conflict with the biological goals and measurable objectives of the Conservation Plan.</w:t>
            </w:r>
          </w:p>
        </w:tc>
      </w:tr>
      <w:tr w:rsidR="000C5263" w:rsidRPr="00D40E13" w14:paraId="122191F7" w14:textId="77777777" w:rsidTr="003534DF">
        <w:tc>
          <w:tcPr>
            <w:tcW w:w="10599" w:type="dxa"/>
            <w:shd w:val="clear" w:color="auto" w:fill="D9D9D9"/>
          </w:tcPr>
          <w:p w14:paraId="6DE8AC29" w14:textId="45EE302C" w:rsidR="000C5263" w:rsidRPr="007B505B" w:rsidRDefault="000C5263" w:rsidP="0023717A">
            <w:pPr>
              <w:rPr>
                <w:rFonts w:cs="Calibri"/>
                <w:b/>
                <w:sz w:val="24"/>
                <w:szCs w:val="24"/>
              </w:rPr>
            </w:pPr>
            <w:r w:rsidRPr="00D40E13">
              <w:rPr>
                <w:rFonts w:cs="Calibri"/>
                <w:b/>
                <w:sz w:val="24"/>
                <w:szCs w:val="24"/>
              </w:rPr>
              <w:lastRenderedPageBreak/>
              <w:t>Condition 7. Avoid and Minimize Impacts to Streams and Creeks</w:t>
            </w:r>
            <w:r w:rsidR="007B505B">
              <w:rPr>
                <w:rFonts w:cs="Calibri"/>
                <w:b/>
                <w:sz w:val="24"/>
                <w:szCs w:val="24"/>
              </w:rPr>
              <w:br/>
            </w:r>
            <w:r w:rsidRPr="007B505B">
              <w:rPr>
                <w:rFonts w:cs="Calibri"/>
                <w:sz w:val="20"/>
                <w:szCs w:val="20"/>
              </w:rPr>
              <w:t xml:space="preserve">Note: This Condition only applies if a stream is located within the project boundary. </w:t>
            </w:r>
          </w:p>
        </w:tc>
      </w:tr>
      <w:tr w:rsidR="003534DF" w:rsidRPr="00D40E13" w14:paraId="3E5B0A05" w14:textId="77777777" w:rsidTr="003534DF">
        <w:tc>
          <w:tcPr>
            <w:tcW w:w="10599" w:type="dxa"/>
            <w:shd w:val="clear" w:color="auto" w:fill="auto"/>
          </w:tcPr>
          <w:p w14:paraId="2CE967F4" w14:textId="77777777" w:rsidR="003534DF" w:rsidRPr="00D40E13" w:rsidRDefault="003534DF" w:rsidP="0023717A">
            <w:pPr>
              <w:rPr>
                <w:rFonts w:cs="Calibri"/>
              </w:rPr>
            </w:pPr>
            <w:r w:rsidRPr="00D40E13">
              <w:rPr>
                <w:rFonts w:cs="Calibri"/>
                <w:b/>
              </w:rPr>
              <w:t>Avoidance and Minimization Measure</w:t>
            </w:r>
          </w:p>
        </w:tc>
      </w:tr>
      <w:tr w:rsidR="003534DF" w:rsidRPr="00D40E13" w14:paraId="0C03B766" w14:textId="77777777" w:rsidTr="003534DF">
        <w:tc>
          <w:tcPr>
            <w:tcW w:w="10599" w:type="dxa"/>
            <w:shd w:val="clear" w:color="auto" w:fill="auto"/>
          </w:tcPr>
          <w:p w14:paraId="459C42C6" w14:textId="19A9CDA0" w:rsidR="003534DF" w:rsidRPr="00D40E13" w:rsidRDefault="003534DF" w:rsidP="0023717A">
            <w:pPr>
              <w:rPr>
                <w:rFonts w:cs="Calibri"/>
                <w:sz w:val="20"/>
                <w:szCs w:val="20"/>
              </w:rPr>
            </w:pPr>
            <w:r w:rsidRPr="00D40E13">
              <w:rPr>
                <w:rFonts w:cs="Calibri"/>
                <w:b/>
                <w:sz w:val="20"/>
                <w:szCs w:val="20"/>
              </w:rPr>
              <w:t>STREAM-1 (Laguna Creek Wildlife Corridor):</w:t>
            </w:r>
            <w:r w:rsidRPr="00D40E13">
              <w:rPr>
                <w:rFonts w:cs="Calibri"/>
                <w:sz w:val="20"/>
                <w:szCs w:val="20"/>
              </w:rPr>
              <w:t xml:space="preserve"> </w:t>
            </w:r>
            <w:r w:rsidRPr="00186B62">
              <w:rPr>
                <w:rFonts w:cs="Calibri"/>
                <w:sz w:val="20"/>
                <w:szCs w:val="20"/>
              </w:rPr>
              <w:t>A 150-foot setback measured from the top of the bank on both sides of the stream will be applied to Laguna Creek within the Urban Development Area (minimum 300-foot corridor width). If trails are located within the Laguna Creek Wildlife Corridor, the nearest edge of the trail will be located at least 80 feet from the top of the bank.</w:t>
            </w:r>
          </w:p>
        </w:tc>
      </w:tr>
      <w:tr w:rsidR="003534DF" w:rsidRPr="00D40E13" w14:paraId="1CF163A6" w14:textId="77777777" w:rsidTr="003534DF">
        <w:tc>
          <w:tcPr>
            <w:tcW w:w="10599" w:type="dxa"/>
            <w:shd w:val="clear" w:color="auto" w:fill="auto"/>
          </w:tcPr>
          <w:p w14:paraId="059F6926" w14:textId="40A00C21" w:rsidR="003534DF" w:rsidRPr="00D40E13" w:rsidRDefault="003534DF" w:rsidP="0023717A">
            <w:pPr>
              <w:rPr>
                <w:rFonts w:cs="Calibri"/>
                <w:b/>
                <w:sz w:val="20"/>
                <w:szCs w:val="20"/>
              </w:rPr>
            </w:pPr>
            <w:r w:rsidRPr="00D40E13">
              <w:rPr>
                <w:rFonts w:cs="Calibri"/>
                <w:b/>
                <w:sz w:val="20"/>
                <w:szCs w:val="20"/>
              </w:rPr>
              <w:t xml:space="preserve">STREAM-2 (UDA Stream Setbacks): </w:t>
            </w:r>
            <w:r w:rsidRPr="00186B62">
              <w:rPr>
                <w:rFonts w:cs="Calibri"/>
                <w:sz w:val="20"/>
                <w:szCs w:val="20"/>
              </w:rPr>
              <w:t>A 100-foot setback measured from the top of the bank on both sides of the stream channel will be applied to all streams listed in Table 5-1 (see also Figure 2-4). If a stream reach supports woody riparian vegetation, the setback will be equal to the riparian edge plus 25 feet or will be the setback defined above, whichever is greater. If trails are located within the Stream Setback, the nearest edge of the trail will be located at least 50 feet from the top of the bank.</w:t>
            </w:r>
          </w:p>
        </w:tc>
      </w:tr>
      <w:tr w:rsidR="003534DF" w:rsidRPr="00D40E13" w14:paraId="27834FF3" w14:textId="77777777" w:rsidTr="003534DF">
        <w:tc>
          <w:tcPr>
            <w:tcW w:w="10599" w:type="dxa"/>
            <w:shd w:val="clear" w:color="auto" w:fill="auto"/>
          </w:tcPr>
          <w:p w14:paraId="7388AA53" w14:textId="568C4BB8" w:rsidR="003534DF" w:rsidRPr="00D40E13" w:rsidRDefault="003534DF" w:rsidP="0023717A">
            <w:pPr>
              <w:rPr>
                <w:rFonts w:cs="Calibri"/>
                <w:b/>
                <w:sz w:val="20"/>
                <w:szCs w:val="20"/>
              </w:rPr>
            </w:pPr>
            <w:r w:rsidRPr="00D40E13">
              <w:rPr>
                <w:rFonts w:cs="Calibri"/>
                <w:b/>
                <w:sz w:val="20"/>
                <w:szCs w:val="20"/>
              </w:rPr>
              <w:t>STREAM-3 (Minor Tributaries to UDA Streams):</w:t>
            </w:r>
            <w:r>
              <w:rPr>
                <w:sz w:val="23"/>
                <w:szCs w:val="23"/>
              </w:rPr>
              <w:t xml:space="preserve"> </w:t>
            </w:r>
            <w:r w:rsidRPr="00186B62">
              <w:rPr>
                <w:rFonts w:cs="Calibri"/>
                <w:sz w:val="20"/>
                <w:szCs w:val="20"/>
              </w:rPr>
              <w:t>A 25-foot setback measured from the top of the bank on both sides of the stream channel will be applied to all avoided first and second order tributaries to the streams listed in Table 5-1 and Laguna Creek. Refer to Objective W6 in Chapter 7 (Table 7-1) regarding avoided first and second order tributaries. Trails are not permitted within headwater ephemeral Stream Setbacks.</w:t>
            </w:r>
          </w:p>
        </w:tc>
      </w:tr>
      <w:tr w:rsidR="003534DF" w:rsidRPr="00D40E13" w14:paraId="4EDF32BE" w14:textId="77777777" w:rsidTr="003534DF">
        <w:tc>
          <w:tcPr>
            <w:tcW w:w="10599" w:type="dxa"/>
            <w:shd w:val="clear" w:color="auto" w:fill="auto"/>
          </w:tcPr>
          <w:p w14:paraId="19B594A8" w14:textId="77777777" w:rsidR="003534DF" w:rsidRPr="00186B62" w:rsidRDefault="003534DF" w:rsidP="00186B62">
            <w:pPr>
              <w:rPr>
                <w:rFonts w:cs="Calibri"/>
                <w:sz w:val="20"/>
                <w:szCs w:val="20"/>
              </w:rPr>
            </w:pPr>
            <w:r w:rsidRPr="002826B2">
              <w:rPr>
                <w:rFonts w:cs="Calibri"/>
                <w:b/>
                <w:sz w:val="20"/>
                <w:szCs w:val="20"/>
              </w:rPr>
              <w:t>STREAM-4 (Minimize Effects from Temporary Channel Re-Routing):</w:t>
            </w:r>
            <w:r w:rsidRPr="00186B62">
              <w:rPr>
                <w:rFonts w:cs="Calibri"/>
                <w:sz w:val="20"/>
                <w:szCs w:val="20"/>
              </w:rPr>
              <w:t xml:space="preserve"> When an Urban Development Covered Activity temporarily re-routes a stream, creek, or drainage, the re-routing will be completed in a manner that minimizes impacts to beneficial uses and habitat. The following measures will be employed to minimize disturbances that will adversely impact water quality: </w:t>
            </w:r>
          </w:p>
          <w:p w14:paraId="6614A1A8" w14:textId="2FBC8101"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No equipment will be operated in areas of flowing or standing water. </w:t>
            </w:r>
          </w:p>
          <w:p w14:paraId="0A768FA5" w14:textId="500EF0AF"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Construction materials and heavy equipment must be stored outside of the active flow of any waters. </w:t>
            </w:r>
          </w:p>
          <w:p w14:paraId="01715CE6" w14:textId="77777777"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When work within waters is necessary, the entire stream flow will be diverted around the work area. </w:t>
            </w:r>
          </w:p>
          <w:p w14:paraId="5DE05004" w14:textId="77777777" w:rsidR="003534DF"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In the event of rain, the disturbed in-water work area will be temporarily stabilized before water body flow exceeds the capacity of the diversion structure. The disturbed water body will be stabilized so that the disturbed areas will not come in contact with the flow. </w:t>
            </w:r>
          </w:p>
          <w:p w14:paraId="73EFCF06" w14:textId="5ED8BC6F"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Once construction is complete, all project-introduced material (e.g., pipes, gravel, cofferdam, sandbags) must be removed, leaving the water as it was before construction. Excess materials will be disposed of at an appropriate disposal site. </w:t>
            </w:r>
          </w:p>
          <w:p w14:paraId="51E607B3" w14:textId="07401EDE"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All work areas will be effectively isolated from stream flows using suitable control measures before commencement of any in-water work. The diverted stream flow will not be contaminated by construction activities. Structures for isolating the in-water work area and/or diverting the stream flow (e.g., cofferdam, geo-textile silt curtain) will not be removed until all disturbed areas are cleaned and stabilized. </w:t>
            </w:r>
          </w:p>
          <w:p w14:paraId="00C234E0" w14:textId="08FEB3CA"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Any flow diversion used during construction will be designed in a manner to prevent pollution and minimize siltation, and will provide flows to downstream reaches. Flows will be maintained to support existing aquatic life, riparian wetlands, and habitat that may be located upstream and downstream from any temporary diversion. </w:t>
            </w:r>
          </w:p>
          <w:p w14:paraId="3573167F" w14:textId="7772C89B"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All surface waters, including ponded waters, will be diverted away from areas undergoing grading, construction, excavation, vegetation removal, and/or any other activity that may result in a discharge to waters. </w:t>
            </w:r>
          </w:p>
          <w:p w14:paraId="1B32C48E" w14:textId="22C62594"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All temporary dewatering methods will be designed to have the minimum necessary impacts to waters to isolate the immediate work area. All dewatering methods will be installed such that natural flow is maintained upstream and downstream of the diversion area. Any temporary dams and diversions will be installed such that the diversion does not </w:t>
            </w:r>
            <w:r w:rsidRPr="00186B62">
              <w:rPr>
                <w:rFonts w:cs="Calibri"/>
                <w:sz w:val="20"/>
                <w:szCs w:val="20"/>
              </w:rPr>
              <w:lastRenderedPageBreak/>
              <w:t xml:space="preserve">cause sedimentation, siltation, or erosion upstream or downstream of the diversion area. All dewatering methods will be removed immediately upon completion of diversion activities. </w:t>
            </w:r>
          </w:p>
          <w:p w14:paraId="76C90AE8" w14:textId="32A1D61D"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A method of containment must be used below any bridge, boardwalk, and/or temporary crossing to prevent debris from falling into the waters through the entire duration of a project. </w:t>
            </w:r>
          </w:p>
          <w:p w14:paraId="19B46DD4" w14:textId="77777777"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If temporary surface water diversions and/or dewatering are anticipated, the Third-Party Project Proponent will develop and maintain on site a surface water diversion and/or dewatering plan. The plan(s) must be developed prior to initiation of any water diversions and will include the proposed method and duration of diversion activities. The plan(s) must be made available to Central Valley Water Board staff upon request. </w:t>
            </w:r>
          </w:p>
          <w:p w14:paraId="39E6281F" w14:textId="3CEEFD76" w:rsidR="003534DF" w:rsidRPr="00186B62" w:rsidRDefault="003534DF" w:rsidP="002826B2">
            <w:pPr>
              <w:pStyle w:val="ListParagraph"/>
              <w:numPr>
                <w:ilvl w:val="0"/>
                <w:numId w:val="8"/>
              </w:numPr>
              <w:ind w:left="251" w:hanging="180"/>
              <w:rPr>
                <w:rFonts w:cs="Calibri"/>
                <w:sz w:val="20"/>
                <w:szCs w:val="20"/>
              </w:rPr>
            </w:pPr>
            <w:r w:rsidRPr="00186B62">
              <w:rPr>
                <w:rFonts w:cs="Calibri"/>
                <w:sz w:val="20"/>
                <w:szCs w:val="20"/>
              </w:rPr>
              <w:t xml:space="preserve">When work in a flowing stream is unavoidable and any dam or other artificial obstruction is being constructed, maintained, or placed in operation, sufficient water will be allowed at all times to pass downstream to maintain beneficial uses of waters below the dam. Construction, dewatering, and removal of temporary cofferdams will not violate the turbidity, settle-able matter, pH, temperature, or dissolved oxygen requirements of any Water Quality Control Plan. </w:t>
            </w:r>
          </w:p>
          <w:p w14:paraId="1751EA5E" w14:textId="0E82CF77" w:rsidR="003534DF" w:rsidRPr="002826B2" w:rsidRDefault="003534DF" w:rsidP="002826B2">
            <w:pPr>
              <w:pStyle w:val="ListParagraph"/>
              <w:numPr>
                <w:ilvl w:val="0"/>
                <w:numId w:val="8"/>
              </w:numPr>
              <w:ind w:left="240" w:hanging="180"/>
              <w:rPr>
                <w:rFonts w:cs="Calibri"/>
                <w:sz w:val="20"/>
                <w:szCs w:val="20"/>
              </w:rPr>
            </w:pPr>
            <w:r w:rsidRPr="002826B2">
              <w:rPr>
                <w:rFonts w:cs="Calibri"/>
                <w:sz w:val="20"/>
                <w:szCs w:val="20"/>
              </w:rPr>
              <w:t xml:space="preserve">Any temporary dam or other artificial obstruction will only be built from clean materials such as sandbags, gravel bags, water dams, or clean/washed gravel that will cause little or no siltation. Stream flow will be temporarily diverted using gravity flow through temporary culverts or pipes, or pumped around the work site with the use of hoses. </w:t>
            </w:r>
          </w:p>
        </w:tc>
      </w:tr>
      <w:tr w:rsidR="003534DF" w:rsidRPr="00D40E13" w14:paraId="2339120C" w14:textId="77777777" w:rsidTr="003534DF">
        <w:tc>
          <w:tcPr>
            <w:tcW w:w="10599" w:type="dxa"/>
            <w:shd w:val="clear" w:color="auto" w:fill="auto"/>
          </w:tcPr>
          <w:p w14:paraId="42F53279" w14:textId="77777777" w:rsidR="003534DF" w:rsidRPr="002826B2" w:rsidRDefault="003534DF" w:rsidP="002826B2">
            <w:pPr>
              <w:rPr>
                <w:rFonts w:cs="Calibri"/>
                <w:sz w:val="20"/>
                <w:szCs w:val="20"/>
              </w:rPr>
            </w:pPr>
            <w:r w:rsidRPr="002826B2">
              <w:rPr>
                <w:rFonts w:cs="Calibri"/>
                <w:b/>
                <w:sz w:val="20"/>
                <w:szCs w:val="20"/>
              </w:rPr>
              <w:lastRenderedPageBreak/>
              <w:t>STREAM-5 (Design for Stream Channel Re-Routing, Widening, or Deepening):</w:t>
            </w:r>
            <w:r w:rsidRPr="002826B2">
              <w:rPr>
                <w:rFonts w:cs="Calibri"/>
                <w:sz w:val="20"/>
                <w:szCs w:val="20"/>
              </w:rPr>
              <w:t xml:space="preserve"> When an Urban Development Covered Activity alters a stream, creek, or drainage by re-routing, widening, or deepening a channel, the project design will include the following: </w:t>
            </w:r>
          </w:p>
          <w:p w14:paraId="539E3694" w14:textId="3D88E70E" w:rsidR="003534DF" w:rsidRPr="002826B2" w:rsidRDefault="003534DF" w:rsidP="002826B2">
            <w:pPr>
              <w:pStyle w:val="ListParagraph"/>
              <w:numPr>
                <w:ilvl w:val="0"/>
                <w:numId w:val="8"/>
              </w:numPr>
              <w:ind w:left="251" w:hanging="180"/>
              <w:rPr>
                <w:rFonts w:cs="Calibri"/>
                <w:sz w:val="20"/>
                <w:szCs w:val="20"/>
              </w:rPr>
            </w:pPr>
            <w:r w:rsidRPr="002826B2">
              <w:rPr>
                <w:rFonts w:cs="Calibri"/>
                <w:sz w:val="20"/>
                <w:szCs w:val="20"/>
              </w:rPr>
              <w:t xml:space="preserve">The main channel of a re-routed channel will be free to migrate laterally over its active and terrace floodplain. </w:t>
            </w:r>
          </w:p>
          <w:p w14:paraId="3EAA4296" w14:textId="77777777" w:rsidR="003534DF" w:rsidRDefault="003534DF" w:rsidP="002826B2">
            <w:pPr>
              <w:pStyle w:val="ListParagraph"/>
              <w:numPr>
                <w:ilvl w:val="0"/>
                <w:numId w:val="8"/>
              </w:numPr>
              <w:ind w:left="251" w:hanging="180"/>
              <w:rPr>
                <w:rFonts w:cs="Calibri"/>
                <w:sz w:val="20"/>
                <w:szCs w:val="20"/>
              </w:rPr>
            </w:pPr>
            <w:r w:rsidRPr="002826B2">
              <w:rPr>
                <w:rFonts w:cs="Calibri"/>
                <w:sz w:val="20"/>
                <w:szCs w:val="20"/>
              </w:rPr>
              <w:t>Channel geometry (plan, profile, and cross-section) of the site will be appropriate for the watershed location and</w:t>
            </w:r>
            <w:r>
              <w:rPr>
                <w:rFonts w:cs="Calibri"/>
                <w:sz w:val="20"/>
                <w:szCs w:val="20"/>
              </w:rPr>
              <w:t xml:space="preserve"> physical/hydrologic condition.</w:t>
            </w:r>
          </w:p>
          <w:p w14:paraId="6BB87D8D" w14:textId="658BEB8A" w:rsidR="003534DF" w:rsidRPr="002826B2" w:rsidRDefault="003534DF" w:rsidP="002826B2">
            <w:pPr>
              <w:pStyle w:val="ListParagraph"/>
              <w:numPr>
                <w:ilvl w:val="0"/>
                <w:numId w:val="8"/>
              </w:numPr>
              <w:ind w:left="251" w:hanging="180"/>
              <w:rPr>
                <w:rFonts w:cs="Calibri"/>
                <w:sz w:val="20"/>
                <w:szCs w:val="20"/>
              </w:rPr>
            </w:pPr>
            <w:r w:rsidRPr="002826B2">
              <w:rPr>
                <w:rFonts w:cs="Calibri"/>
                <w:sz w:val="20"/>
                <w:szCs w:val="20"/>
              </w:rPr>
              <w:t xml:space="preserve">Local, native materials will be used as fill material to the extent practicable. </w:t>
            </w:r>
          </w:p>
          <w:p w14:paraId="1FB58615" w14:textId="1FD63818" w:rsidR="003534DF" w:rsidRPr="002826B2" w:rsidRDefault="003534DF" w:rsidP="002826B2">
            <w:pPr>
              <w:pStyle w:val="ListParagraph"/>
              <w:numPr>
                <w:ilvl w:val="0"/>
                <w:numId w:val="8"/>
              </w:numPr>
              <w:ind w:left="251" w:hanging="180"/>
              <w:rPr>
                <w:rFonts w:cs="Calibri"/>
                <w:sz w:val="20"/>
                <w:szCs w:val="20"/>
              </w:rPr>
            </w:pPr>
            <w:r w:rsidRPr="002826B2">
              <w:rPr>
                <w:rFonts w:cs="Calibri"/>
                <w:sz w:val="20"/>
                <w:szCs w:val="20"/>
              </w:rPr>
              <w:t xml:space="preserve">Bioengineering techniques will be used for construction and maintenance of bank stabilization. Bioengineered bank stabilization structures will use vegetation in combination with bank reshaping; biodegradeable geotextile materials; and, in some cases, a minimal amount of rock or wood to the extent practicable to dissipate erosive energy. Third-Party Project Proponents will consult a professional engineer when considering using bioengineering techniques. </w:t>
            </w:r>
          </w:p>
          <w:p w14:paraId="72B2E53A" w14:textId="06BB5EB4" w:rsidR="003534DF" w:rsidRPr="002826B2" w:rsidRDefault="003534DF" w:rsidP="002826B2">
            <w:pPr>
              <w:pStyle w:val="ListParagraph"/>
              <w:numPr>
                <w:ilvl w:val="0"/>
                <w:numId w:val="8"/>
              </w:numPr>
              <w:ind w:left="251" w:hanging="180"/>
              <w:rPr>
                <w:rFonts w:cs="Calibri"/>
                <w:sz w:val="20"/>
                <w:szCs w:val="20"/>
              </w:rPr>
            </w:pPr>
            <w:r w:rsidRPr="002826B2">
              <w:rPr>
                <w:rFonts w:cs="Calibri"/>
                <w:sz w:val="20"/>
                <w:szCs w:val="20"/>
              </w:rPr>
              <w:t xml:space="preserve">All re-routed, widened, or deepened streams are required to establish Stream Setbacks with minimum widths required under STREAM-1, STREAM-2, or STREAM-3. All re-routed, widened, or deepened streams must re-establish/establish and maintain native Woody Riparian land cover and/or native Grassland Riparian land cover in the entire Stream Setback. </w:t>
            </w:r>
          </w:p>
        </w:tc>
      </w:tr>
      <w:tr w:rsidR="003534DF" w:rsidRPr="00D40E13" w14:paraId="67C4F1DE" w14:textId="77777777" w:rsidTr="003534DF">
        <w:tc>
          <w:tcPr>
            <w:tcW w:w="10599" w:type="dxa"/>
            <w:shd w:val="clear" w:color="auto" w:fill="DBDBDB"/>
          </w:tcPr>
          <w:p w14:paraId="14359C96" w14:textId="098E8B51" w:rsidR="003534DF" w:rsidRPr="00970BF0" w:rsidRDefault="003534DF" w:rsidP="00970BF0">
            <w:pPr>
              <w:rPr>
                <w:rFonts w:cs="Calibri"/>
                <w:sz w:val="20"/>
                <w:szCs w:val="20"/>
              </w:rPr>
            </w:pPr>
            <w:r w:rsidRPr="00D40E13">
              <w:rPr>
                <w:rFonts w:cs="Calibri"/>
                <w:b/>
                <w:sz w:val="24"/>
                <w:szCs w:val="24"/>
              </w:rPr>
              <w:t>Condition 10. Avoid and Minimize Impacts That Might Result From Potential Residual Contamination of Preserves and Related Exposure of People to Such Hazardous Materials.</w:t>
            </w:r>
            <w:r>
              <w:rPr>
                <w:rFonts w:cs="Calibri"/>
                <w:b/>
                <w:sz w:val="24"/>
                <w:szCs w:val="24"/>
              </w:rPr>
              <w:br/>
            </w:r>
            <w:r w:rsidRPr="00970BF0">
              <w:rPr>
                <w:rFonts w:cs="Calibri"/>
                <w:sz w:val="20"/>
                <w:szCs w:val="20"/>
              </w:rPr>
              <w:t>Note: Condition 10 only applies to existing and planned preserve sites.</w:t>
            </w:r>
          </w:p>
        </w:tc>
      </w:tr>
      <w:tr w:rsidR="003534DF" w:rsidRPr="00D40E13" w14:paraId="7BD942BC" w14:textId="77777777" w:rsidTr="003534DF">
        <w:tc>
          <w:tcPr>
            <w:tcW w:w="10599" w:type="dxa"/>
            <w:shd w:val="clear" w:color="auto" w:fill="auto"/>
          </w:tcPr>
          <w:p w14:paraId="097FC784" w14:textId="77777777" w:rsidR="003534DF" w:rsidRPr="00970BF0" w:rsidRDefault="003534DF" w:rsidP="0023717A">
            <w:pPr>
              <w:rPr>
                <w:rFonts w:cs="Calibri"/>
                <w:sz w:val="20"/>
                <w:szCs w:val="20"/>
              </w:rPr>
            </w:pPr>
            <w:r w:rsidRPr="00970BF0">
              <w:rPr>
                <w:rFonts w:cs="Calibri"/>
                <w:b/>
                <w:sz w:val="20"/>
                <w:szCs w:val="20"/>
              </w:rPr>
              <w:t>HAZARDOUS MATERIALS-1 (Preparation of Phase I Environmental Site Assessment):</w:t>
            </w:r>
            <w:r w:rsidRPr="00970BF0">
              <w:rPr>
                <w:rFonts w:cs="Calibri"/>
                <w:sz w:val="20"/>
                <w:szCs w:val="20"/>
              </w:rPr>
              <w:t xml:space="preserve"> Prior to the acquisition of a preserve site or implementation of a stream or riparian restoration project, a Phase I Environmental Site Assessment shall be conducted in general accordance with the American Society for Testing and Materials Standard Practice E1527-05. The purpose of this Environmental Site Assessment is to identify, to the extent feasible pursuant to the American Society for Testing and Materials Standard, recognized environmental conditions in connection with the potential site. The term “recognized environmental condition” means the presence or likely presence of hazardous substances or petroleum products on the property under conditions that may indicate an existing release, a past release, or a material threat of release of these substances to the property. If the Phase 1 Environmental Site Assessment indicates the presence of a recognized environmental condition, the Implementing Entity shall consider the following options. </w:t>
            </w:r>
          </w:p>
          <w:p w14:paraId="0615BBB8" w14:textId="77777777" w:rsidR="003534DF" w:rsidRPr="00970BF0" w:rsidRDefault="003534DF" w:rsidP="00970BF0">
            <w:pPr>
              <w:pStyle w:val="ListParagraph"/>
              <w:numPr>
                <w:ilvl w:val="0"/>
                <w:numId w:val="8"/>
              </w:numPr>
              <w:ind w:left="251" w:hanging="180"/>
              <w:rPr>
                <w:rFonts w:cs="Calibri"/>
                <w:sz w:val="20"/>
                <w:szCs w:val="20"/>
              </w:rPr>
            </w:pPr>
            <w:r w:rsidRPr="00970BF0">
              <w:rPr>
                <w:rFonts w:cs="Calibri"/>
                <w:sz w:val="20"/>
                <w:szCs w:val="20"/>
              </w:rPr>
              <w:t xml:space="preserve">Determine that the acquisition/project can proceed on the basis that the Habitat Plan goals and objectives can be met on the site even with the presence of a recognized environmental condition. </w:t>
            </w:r>
          </w:p>
          <w:p w14:paraId="0ACF2E21" w14:textId="77777777" w:rsidR="003534DF" w:rsidRPr="00970BF0" w:rsidRDefault="003534DF" w:rsidP="00970BF0">
            <w:pPr>
              <w:pStyle w:val="ListParagraph"/>
              <w:numPr>
                <w:ilvl w:val="0"/>
                <w:numId w:val="8"/>
              </w:numPr>
              <w:ind w:left="251" w:hanging="180"/>
              <w:rPr>
                <w:rFonts w:cs="Calibri"/>
                <w:sz w:val="20"/>
                <w:szCs w:val="20"/>
              </w:rPr>
            </w:pPr>
            <w:r w:rsidRPr="00970BF0">
              <w:rPr>
                <w:rFonts w:cs="Calibri"/>
                <w:sz w:val="20"/>
                <w:szCs w:val="20"/>
              </w:rPr>
              <w:t xml:space="preserve">Conduct a Phase II Environmental Site Assessment, including soil and groundwater testing, to further study the potential for contamination to limit the Implementing Entity’s management activities. </w:t>
            </w:r>
          </w:p>
          <w:p w14:paraId="492968E0" w14:textId="77777777" w:rsidR="003534DF" w:rsidRPr="00970BF0" w:rsidRDefault="003534DF" w:rsidP="00970BF0">
            <w:pPr>
              <w:pStyle w:val="ListParagraph"/>
              <w:numPr>
                <w:ilvl w:val="0"/>
                <w:numId w:val="8"/>
              </w:numPr>
              <w:ind w:left="251" w:hanging="180"/>
              <w:rPr>
                <w:rFonts w:cs="Calibri"/>
                <w:sz w:val="20"/>
                <w:szCs w:val="20"/>
              </w:rPr>
            </w:pPr>
            <w:r w:rsidRPr="00970BF0">
              <w:rPr>
                <w:rFonts w:cs="Calibri"/>
                <w:sz w:val="20"/>
                <w:szCs w:val="20"/>
              </w:rPr>
              <w:t xml:space="preserve">If the results of the Phase I (or Phase II) Environmental Site Assessment indicate that the Habitat Plan goals and objectives cannot be met on the site, the Implementing Entity should not acquire the site. </w:t>
            </w:r>
          </w:p>
        </w:tc>
      </w:tr>
      <w:tr w:rsidR="003534DF" w:rsidRPr="00D40E13" w14:paraId="7936AE4B" w14:textId="77777777" w:rsidTr="003534DF">
        <w:tc>
          <w:tcPr>
            <w:tcW w:w="10599" w:type="dxa"/>
            <w:shd w:val="clear" w:color="auto" w:fill="auto"/>
          </w:tcPr>
          <w:p w14:paraId="58E21138" w14:textId="0B4B3171" w:rsidR="003534DF" w:rsidRPr="00D40E13" w:rsidRDefault="003534DF" w:rsidP="0023717A">
            <w:pPr>
              <w:rPr>
                <w:rFonts w:cs="Calibri"/>
                <w:b/>
                <w:sz w:val="20"/>
                <w:szCs w:val="20"/>
              </w:rPr>
            </w:pPr>
            <w:r w:rsidRPr="00970BF0">
              <w:rPr>
                <w:rFonts w:cs="Calibri"/>
                <w:b/>
                <w:sz w:val="20"/>
                <w:szCs w:val="20"/>
              </w:rPr>
              <w:lastRenderedPageBreak/>
              <w:t>HAZARDOUS MATERIALS-2 (Contingency Plan):</w:t>
            </w:r>
            <w:r w:rsidRPr="00970BF0">
              <w:rPr>
                <w:rFonts w:cs="Calibri"/>
                <w:sz w:val="20"/>
                <w:szCs w:val="20"/>
              </w:rPr>
              <w:t xml:space="preserve"> As part of each Preserve Management Plan or site restoration plan, a Contingency Plan shall be prepared to address the actions that would be taken during construction in the event that unexpected contaminated soil or groundwater is discovered. The Contingency Plan shall include health and safety considerations, handling and disposal of wastes, reporting requirements, and emergency procedures. The Contingency Plan shall include a requirement that if evidence of contaminated materials is encountered during construction, construction would cease immediately and applicable requirements of the Comprehensive Environmental Release Compensation and Liability Act and the California Code of Regulations Title 22 regarding the disposal of waste would be implemented.</w:t>
            </w:r>
          </w:p>
        </w:tc>
      </w:tr>
      <w:tr w:rsidR="003534DF" w:rsidRPr="00D40E13" w14:paraId="6756606C" w14:textId="77777777" w:rsidTr="003534DF">
        <w:tc>
          <w:tcPr>
            <w:tcW w:w="10599" w:type="dxa"/>
            <w:shd w:val="clear" w:color="auto" w:fill="DBDBDB"/>
          </w:tcPr>
          <w:p w14:paraId="41C96C8E" w14:textId="2E08F67A" w:rsidR="003534DF" w:rsidRPr="00D40E13" w:rsidRDefault="003534DF" w:rsidP="0023717A">
            <w:pPr>
              <w:rPr>
                <w:rFonts w:cs="Calibri"/>
                <w:sz w:val="20"/>
                <w:szCs w:val="20"/>
              </w:rPr>
            </w:pPr>
            <w:r w:rsidRPr="00D40E13">
              <w:rPr>
                <w:rFonts w:cs="Calibri"/>
                <w:b/>
                <w:sz w:val="24"/>
                <w:szCs w:val="24"/>
              </w:rPr>
              <w:t>Covered Species Take Avoidance and Minimization Measures</w:t>
            </w:r>
            <w:r>
              <w:rPr>
                <w:rFonts w:cs="Calibri"/>
                <w:b/>
                <w:sz w:val="24"/>
                <w:szCs w:val="24"/>
              </w:rPr>
              <w:br/>
            </w:r>
            <w:r w:rsidRPr="00970BF0">
              <w:rPr>
                <w:rFonts w:cs="Calibri"/>
                <w:sz w:val="20"/>
                <w:szCs w:val="20"/>
              </w:rPr>
              <w:t>Note: These AMMs apply to all Projects that contain modeled species habitat.</w:t>
            </w:r>
          </w:p>
        </w:tc>
      </w:tr>
      <w:tr w:rsidR="003534DF" w:rsidRPr="00D40E13" w14:paraId="749DBEE9" w14:textId="77777777" w:rsidTr="003534DF">
        <w:tc>
          <w:tcPr>
            <w:tcW w:w="10599" w:type="dxa"/>
            <w:shd w:val="clear" w:color="auto" w:fill="auto"/>
          </w:tcPr>
          <w:p w14:paraId="77BDEB18" w14:textId="77777777" w:rsidR="003534DF" w:rsidRPr="00970BF0" w:rsidRDefault="003534DF" w:rsidP="0023717A">
            <w:pPr>
              <w:rPr>
                <w:rFonts w:cs="Calibri"/>
                <w:b/>
                <w:sz w:val="20"/>
                <w:szCs w:val="20"/>
              </w:rPr>
            </w:pPr>
            <w:r w:rsidRPr="00970BF0">
              <w:rPr>
                <w:b/>
                <w:bCs/>
                <w:sz w:val="20"/>
                <w:szCs w:val="20"/>
              </w:rPr>
              <w:t xml:space="preserve">SPECIES-1 (Litter Removal Program): </w:t>
            </w:r>
            <w:r w:rsidRPr="00970BF0">
              <w:rPr>
                <w:sz w:val="20"/>
                <w:szCs w:val="20"/>
              </w:rPr>
              <w:t>A litter control program will be instituted for the entire project site. All workers will ensure that their food scraps, paper wrappers, food containers, cans, bottles, and other trash are deposited in covered or closed trash containers. All garbage will be removed from the project site at the end of each work day, and construction personnel will not feed or otherwise attract wildlife to the area where construction activities are taking place.</w:t>
            </w:r>
          </w:p>
        </w:tc>
      </w:tr>
      <w:tr w:rsidR="003534DF" w:rsidRPr="00D40E13" w14:paraId="13560E46" w14:textId="77777777" w:rsidTr="003534DF">
        <w:tc>
          <w:tcPr>
            <w:tcW w:w="10599" w:type="dxa"/>
            <w:shd w:val="clear" w:color="auto" w:fill="auto"/>
          </w:tcPr>
          <w:p w14:paraId="62B1F651" w14:textId="77777777" w:rsidR="003534DF" w:rsidRPr="00970BF0" w:rsidRDefault="003534DF" w:rsidP="0023717A">
            <w:pPr>
              <w:rPr>
                <w:rFonts w:cs="Calibri"/>
                <w:b/>
                <w:sz w:val="20"/>
                <w:szCs w:val="20"/>
              </w:rPr>
            </w:pPr>
            <w:r w:rsidRPr="00970BF0">
              <w:rPr>
                <w:b/>
                <w:bCs/>
                <w:sz w:val="20"/>
                <w:szCs w:val="20"/>
              </w:rPr>
              <w:t xml:space="preserve">SPECIES-2 (No Pets in Construction Areas): </w:t>
            </w:r>
            <w:r w:rsidRPr="00970BF0">
              <w:rPr>
                <w:sz w:val="20"/>
                <w:szCs w:val="20"/>
              </w:rPr>
              <w:t>To avoid harm and harassment of native species, workers and visitors will not bring pets onto a project site.</w:t>
            </w:r>
          </w:p>
        </w:tc>
      </w:tr>
      <w:tr w:rsidR="003534DF" w:rsidRPr="00D40E13" w14:paraId="5A9E5E11" w14:textId="77777777" w:rsidTr="003534DF">
        <w:tc>
          <w:tcPr>
            <w:tcW w:w="10599" w:type="dxa"/>
            <w:shd w:val="clear" w:color="auto" w:fill="auto"/>
          </w:tcPr>
          <w:p w14:paraId="676E56A3" w14:textId="77777777" w:rsidR="003534DF" w:rsidRPr="00970BF0" w:rsidRDefault="003534DF" w:rsidP="0023717A">
            <w:pPr>
              <w:rPr>
                <w:rFonts w:cs="Calibri"/>
                <w:b/>
                <w:sz w:val="20"/>
                <w:szCs w:val="20"/>
              </w:rPr>
            </w:pPr>
            <w:r w:rsidRPr="00970BF0">
              <w:rPr>
                <w:b/>
                <w:bCs/>
                <w:sz w:val="20"/>
                <w:szCs w:val="20"/>
              </w:rPr>
              <w:t xml:space="preserve">SPECIES-3 (Take Report): </w:t>
            </w:r>
            <w:r w:rsidRPr="00970BF0">
              <w:rPr>
                <w:sz w:val="20"/>
                <w:szCs w:val="20"/>
              </w:rPr>
              <w:t>If accidental injury or death of any Covered Species occurs, workers will immediately inform the approved biologist or on-site monitor and site supervisor. The approved biologist or on-site monitor will phone the appropriate contact person at the Implementing Entity. The Implementing Entity will immediately contact the Wildlife Agencies by telephone. A memorandum will be provided to the Implementing Entity and Wildlife Agencies within 1 working day of the incident. The report will provide the date and location of the incident, number of individuals taken, the circumstances resulting in the take, and any corrective measures taken to prevent additional take.</w:t>
            </w:r>
          </w:p>
        </w:tc>
      </w:tr>
      <w:tr w:rsidR="003534DF" w:rsidRPr="00D40E13" w14:paraId="1818DC24" w14:textId="77777777" w:rsidTr="003534DF">
        <w:tc>
          <w:tcPr>
            <w:tcW w:w="10599" w:type="dxa"/>
            <w:shd w:val="clear" w:color="auto" w:fill="auto"/>
          </w:tcPr>
          <w:p w14:paraId="088BA8B7" w14:textId="77777777" w:rsidR="003534DF" w:rsidRPr="00970BF0" w:rsidRDefault="003534DF" w:rsidP="0023717A">
            <w:pPr>
              <w:rPr>
                <w:rFonts w:cs="Calibri"/>
                <w:b/>
                <w:sz w:val="20"/>
                <w:szCs w:val="20"/>
              </w:rPr>
            </w:pPr>
            <w:r w:rsidRPr="00970BF0">
              <w:rPr>
                <w:b/>
                <w:bCs/>
                <w:sz w:val="20"/>
                <w:szCs w:val="20"/>
              </w:rPr>
              <w:t xml:space="preserve">SPECIES-4 (Post-Construction Compliance Report): </w:t>
            </w:r>
            <w:r w:rsidRPr="00970BF0">
              <w:rPr>
                <w:sz w:val="20"/>
                <w:szCs w:val="20"/>
              </w:rPr>
              <w:t>A post-construction compliance report will be submitted to the SSHCP Implementing Entity within 30 calendar days of completion of construction activities or within 30 calendar days of any break in construction activity that lasts more than 30 days. The report will detail the construction start and completion dates, any information about meeting or failing to meet species take Avoidance and Minimization Measures (AMM), effectiveness of each AMM that was applied at the project site, and any known project effects to Covered Species.</w:t>
            </w:r>
          </w:p>
        </w:tc>
      </w:tr>
      <w:tr w:rsidR="000C5263" w:rsidRPr="00970BF0" w14:paraId="51EDFE18" w14:textId="77777777" w:rsidTr="003534DF">
        <w:tc>
          <w:tcPr>
            <w:tcW w:w="10599" w:type="dxa"/>
            <w:shd w:val="clear" w:color="auto" w:fill="DBDBDB"/>
          </w:tcPr>
          <w:p w14:paraId="7212AFC5" w14:textId="77777777" w:rsidR="000C5263" w:rsidRPr="00970BF0" w:rsidRDefault="000C5263" w:rsidP="0023717A">
            <w:pPr>
              <w:rPr>
                <w:rFonts w:cs="Calibri"/>
                <w:sz w:val="20"/>
                <w:szCs w:val="20"/>
              </w:rPr>
            </w:pPr>
            <w:r w:rsidRPr="00970BF0">
              <w:rPr>
                <w:rFonts w:cs="Calibri"/>
                <w:b/>
                <w:sz w:val="20"/>
                <w:szCs w:val="20"/>
              </w:rPr>
              <w:t>Western Pond Turtle</w:t>
            </w:r>
          </w:p>
        </w:tc>
      </w:tr>
      <w:tr w:rsidR="003534DF" w:rsidRPr="00970BF0" w14:paraId="71B38127" w14:textId="77777777" w:rsidTr="003534DF">
        <w:tc>
          <w:tcPr>
            <w:tcW w:w="10599" w:type="dxa"/>
            <w:shd w:val="clear" w:color="auto" w:fill="auto"/>
          </w:tcPr>
          <w:p w14:paraId="3239BD5B" w14:textId="77777777" w:rsidR="003534DF" w:rsidRPr="00970BF0" w:rsidRDefault="003534DF" w:rsidP="0023717A">
            <w:pPr>
              <w:rPr>
                <w:rFonts w:cs="Calibri"/>
                <w:b/>
                <w:sz w:val="20"/>
                <w:szCs w:val="20"/>
              </w:rPr>
            </w:pPr>
            <w:r w:rsidRPr="00970BF0">
              <w:rPr>
                <w:b/>
                <w:bCs/>
                <w:sz w:val="20"/>
                <w:szCs w:val="20"/>
              </w:rPr>
              <w:t xml:space="preserve">WPT-1 (Western Pond Turtle Surveys): </w:t>
            </w:r>
            <w:r w:rsidRPr="00970BF0">
              <w:rPr>
                <w:sz w:val="20"/>
                <w:szCs w:val="20"/>
              </w:rPr>
              <w:t>If the SSHCP western pond turtle modeled habitat maps (Figure 3-19) show that modeled habitat for western pond turtle is present within a Covered Activity’s project footprint or within 300 feet of a project footprint, then an approved biologist will conduct a field investigation to delineate western pond turtle aquatic habitat within the project footprint and within 300 feet of the project footprint. In addition to the SSHCP land cover types shown in Figure 3-19, western pond turtle aquatic habitat includes, but is not limited to, low-gradient streams and creeks, open water, freshwater marsh, and rice fields. Adjacent parcels under different land ownership will be surveyed only if access is granted or if the parcels are visible from authorized areas. The Third-Party Project Proponent will map all existing or potential sites and provide those maps to the Local Land Use Permittees and the Implementing Entity. Locations of delineated western pond turtle habitat must also be noted on plans that are submitted to a Local Land Use Permittee. The applicant will use this information to finalize project design. Covered Activities may occur throughout the year as long as western pond turtle habitat is identified and fully avoided. Otherwise, Covered Activities must comply with WPT-2 through WPT-9. See Chapter 10 for the process to conduct and submit survey information.</w:t>
            </w:r>
          </w:p>
        </w:tc>
      </w:tr>
      <w:tr w:rsidR="003534DF" w:rsidRPr="00970BF0" w14:paraId="0860D92B" w14:textId="77777777" w:rsidTr="003534DF">
        <w:tc>
          <w:tcPr>
            <w:tcW w:w="10599" w:type="dxa"/>
            <w:shd w:val="clear" w:color="auto" w:fill="auto"/>
          </w:tcPr>
          <w:p w14:paraId="0E6E9B73" w14:textId="77777777" w:rsidR="003534DF" w:rsidRPr="00970BF0" w:rsidRDefault="003534DF" w:rsidP="0023717A">
            <w:pPr>
              <w:rPr>
                <w:rFonts w:cs="Calibri"/>
                <w:b/>
                <w:sz w:val="20"/>
                <w:szCs w:val="20"/>
              </w:rPr>
            </w:pPr>
            <w:r w:rsidRPr="00970BF0">
              <w:rPr>
                <w:b/>
                <w:bCs/>
                <w:sz w:val="20"/>
                <w:szCs w:val="20"/>
              </w:rPr>
              <w:t xml:space="preserve">WPT-2 (Western Pond Turtle Work Window): </w:t>
            </w:r>
            <w:r w:rsidRPr="00970BF0">
              <w:rPr>
                <w:sz w:val="20"/>
                <w:szCs w:val="20"/>
              </w:rPr>
              <w:t xml:space="preserve">Maintenance and improvements to existing structures may occur throughout the year as long as western pond turtle habitat is identified and avoided, and movement of equipment is confined to existing roads. Otherwise, construction and ground-disturbing Covered Activities must be conducted outside of western pond turtle’s active season. Construction and ground-disturbing activities will be initiated after May 1 and will commence prior to September 15. If it appears that construction activities may go beyond September 15, the appropriate Plan Permittee will contact the Local Land </w:t>
            </w:r>
            <w:r w:rsidRPr="00970BF0">
              <w:rPr>
                <w:sz w:val="20"/>
                <w:szCs w:val="20"/>
              </w:rPr>
              <w:lastRenderedPageBreak/>
              <w:t>Use Permittee and the Implementing Entity as soon as possible, but not later than September 1, to determine if additional measures are necessary to minimize take.</w:t>
            </w:r>
          </w:p>
        </w:tc>
      </w:tr>
      <w:tr w:rsidR="003534DF" w:rsidRPr="00970BF0" w14:paraId="19080BB2" w14:textId="77777777" w:rsidTr="003534DF">
        <w:tc>
          <w:tcPr>
            <w:tcW w:w="10599" w:type="dxa"/>
            <w:shd w:val="clear" w:color="auto" w:fill="auto"/>
          </w:tcPr>
          <w:p w14:paraId="06780231" w14:textId="77777777" w:rsidR="003534DF" w:rsidRPr="00970BF0" w:rsidRDefault="003534DF" w:rsidP="0023717A">
            <w:pPr>
              <w:rPr>
                <w:rFonts w:cs="Calibri"/>
                <w:b/>
                <w:sz w:val="20"/>
                <w:szCs w:val="20"/>
              </w:rPr>
            </w:pPr>
            <w:r w:rsidRPr="00970BF0">
              <w:rPr>
                <w:b/>
                <w:bCs/>
                <w:sz w:val="20"/>
                <w:szCs w:val="20"/>
              </w:rPr>
              <w:lastRenderedPageBreak/>
              <w:t xml:space="preserve">WPT-3 (Western Pond Turtle Monitoring): </w:t>
            </w:r>
            <w:r w:rsidRPr="00970BF0">
              <w:rPr>
                <w:sz w:val="20"/>
                <w:szCs w:val="20"/>
              </w:rPr>
              <w:t>If a Covered Activity is occurring in western pond turtle modeled habitat (Figure 3-19), an approved biologist experienced with western pond turtle identification and behavior will monitor the project site, including the integrity of any exclusion fencing. The approved biologist will be on site daily while construction-related activities are taking place in aquatic habitat or within 300 feet of aquatic habitat, and will inspect the project site daily for western pond turtle prior to construction activities. The approved biologist will also training construction personnel on the required avoidance procedures, exclusion fencing, and protocols in the event that a western pond turtle enters an active construction zone (i.e., outside the buffer zone).</w:t>
            </w:r>
          </w:p>
        </w:tc>
      </w:tr>
      <w:tr w:rsidR="003534DF" w:rsidRPr="00970BF0" w14:paraId="573B140B" w14:textId="77777777" w:rsidTr="003534DF">
        <w:tc>
          <w:tcPr>
            <w:tcW w:w="10599" w:type="dxa"/>
            <w:shd w:val="clear" w:color="auto" w:fill="auto"/>
          </w:tcPr>
          <w:p w14:paraId="64B57BFC" w14:textId="77777777" w:rsidR="003534DF" w:rsidRPr="00970BF0" w:rsidRDefault="003534DF" w:rsidP="0023717A">
            <w:pPr>
              <w:rPr>
                <w:rFonts w:cs="Calibri"/>
                <w:b/>
                <w:sz w:val="20"/>
                <w:szCs w:val="20"/>
              </w:rPr>
            </w:pPr>
            <w:r w:rsidRPr="00970BF0">
              <w:rPr>
                <w:b/>
                <w:bCs/>
                <w:sz w:val="20"/>
                <w:szCs w:val="20"/>
              </w:rPr>
              <w:t xml:space="preserve">WPT-4 (Western Pond Turtle Habitat Dewatering and Exclusion): </w:t>
            </w:r>
            <w:r w:rsidRPr="00970BF0">
              <w:rPr>
                <w:sz w:val="20"/>
                <w:szCs w:val="20"/>
              </w:rPr>
              <w:t>If construction activities will occur in western pond turtle aquatic habitat, aquatic habitat for the turtle will be dewatered and then remain dry and absent of aquatic prey (e.g., crustaceans and other aquatic invertebrates) for 15 days prior to the initiation of construction activities. If complete dewatering is not possible, the Implementing Entity will be contacted to determine what additional measures may be necessary to minimize effects to western pond turtle. After aquatic habitat has been dewatered 15 days prior to construction activities, exclusion fencing will be installed extending a minimum of 300 feet into adjacent uplands to isolate both the aquatic and adjacent upland habitat. Exclusionary fencing will be erected 36 inches above ground and buried at least 6 inches below the ground to prevent turtles from attempting to burrow or move under the fence into the construction area. In addition, high-visibility fencing will be erected to identify construction limits and to protect adjacent habitat from encroachment of personnel and equipment. Western pond turtle habitat outside construction fencing will be avoided by all construction personnel. The fencing and work area will be inspected by the approved biologist to ensure that the fencing is intact and that no turtles have entered the work area before the start of each work day. Fencing will be maintained by the contractor until completion of the project. If, after exclusion fencing and dewatering, western pond turtles are found within the project footprint or within 300 feet of the project footprint, the Third-Party Project Proponent will discuss the next best steps with the Implementing Entity and Wildlife Agencies.</w:t>
            </w:r>
          </w:p>
        </w:tc>
      </w:tr>
      <w:tr w:rsidR="003534DF" w:rsidRPr="00970BF0" w14:paraId="7B66184F" w14:textId="77777777" w:rsidTr="003534DF">
        <w:tc>
          <w:tcPr>
            <w:tcW w:w="10599" w:type="dxa"/>
            <w:shd w:val="clear" w:color="auto" w:fill="auto"/>
          </w:tcPr>
          <w:p w14:paraId="107CD55F" w14:textId="77777777" w:rsidR="003534DF" w:rsidRPr="00970BF0" w:rsidRDefault="003534DF" w:rsidP="0023717A">
            <w:pPr>
              <w:rPr>
                <w:rFonts w:cs="Calibri"/>
                <w:b/>
                <w:sz w:val="20"/>
                <w:szCs w:val="20"/>
              </w:rPr>
            </w:pPr>
            <w:r w:rsidRPr="00970BF0">
              <w:rPr>
                <w:b/>
                <w:bCs/>
                <w:sz w:val="20"/>
                <w:szCs w:val="20"/>
              </w:rPr>
              <w:t xml:space="preserve">WPT-5 (Avoid Western Pond Turtle Entrapment): </w:t>
            </w:r>
            <w:r w:rsidRPr="00970BF0">
              <w:rPr>
                <w:sz w:val="20"/>
                <w:szCs w:val="20"/>
              </w:rPr>
              <w:t>If a Covered Activity occurs within western pond turtle modeled habitat (Figure 3-19), all excavated steep-walled holes and trenches more than 6 inches deep will be covered with plywood (or similar material) or provided with one or more escape ramps constructed of earth fill or wooden planks at the end of each work day or 30 minutes prior to sunset, whichever occurs first. All steep-walled holes and trenches will be inspected by the approved biologist each morning to ensure that no wildlife has become entrapped. All construction pipes, culverts, similar structures, construction equipment, and construction debris left overnight within western pond turtle modeled habitat will be inspected for western pond turtle by the approved biologist prior to being moved.</w:t>
            </w:r>
          </w:p>
        </w:tc>
      </w:tr>
      <w:tr w:rsidR="003534DF" w:rsidRPr="00970BF0" w14:paraId="5FA151F8" w14:textId="77777777" w:rsidTr="003534DF">
        <w:tc>
          <w:tcPr>
            <w:tcW w:w="10599" w:type="dxa"/>
            <w:shd w:val="clear" w:color="auto" w:fill="auto"/>
          </w:tcPr>
          <w:p w14:paraId="16BF8E3B" w14:textId="77777777" w:rsidR="003534DF" w:rsidRPr="00970BF0" w:rsidRDefault="003534DF" w:rsidP="0023717A">
            <w:pPr>
              <w:rPr>
                <w:rFonts w:cs="Calibri"/>
                <w:b/>
                <w:sz w:val="20"/>
                <w:szCs w:val="20"/>
              </w:rPr>
            </w:pPr>
            <w:r w:rsidRPr="00970BF0">
              <w:rPr>
                <w:b/>
                <w:bCs/>
                <w:sz w:val="20"/>
                <w:szCs w:val="20"/>
              </w:rPr>
              <w:t xml:space="preserve">WPT-6 (Erosion Control Materials in Western Pond Turtle Habitat): </w:t>
            </w:r>
            <w:r w:rsidRPr="00970BF0">
              <w:rPr>
                <w:sz w:val="20"/>
                <w:szCs w:val="20"/>
              </w:rPr>
              <w:t>If erosion control (BMP-2) is implemented within western pond turtle modeled habitat (Figure 3-19), non-entangling erosion control material will be used to reduce the potential for entrapment. Tightly woven fiber netting (mesh size less than 0.25 inch) or similar material will be used to ensure that turtles are not trapped (no monofilament). Coconut coir matting and fiber rolls containing burlap are examples of acceptable erosion control materials.</w:t>
            </w:r>
          </w:p>
        </w:tc>
      </w:tr>
      <w:tr w:rsidR="003534DF" w:rsidRPr="00970BF0" w14:paraId="63503970" w14:textId="77777777" w:rsidTr="003534DF">
        <w:tc>
          <w:tcPr>
            <w:tcW w:w="10599" w:type="dxa"/>
            <w:shd w:val="clear" w:color="auto" w:fill="auto"/>
          </w:tcPr>
          <w:p w14:paraId="4AD28011" w14:textId="77777777" w:rsidR="003534DF" w:rsidRPr="00970BF0" w:rsidRDefault="003534DF" w:rsidP="0023717A">
            <w:pPr>
              <w:rPr>
                <w:rFonts w:cs="Calibri"/>
                <w:b/>
                <w:sz w:val="20"/>
                <w:szCs w:val="20"/>
              </w:rPr>
            </w:pPr>
            <w:r w:rsidRPr="00970BF0">
              <w:rPr>
                <w:b/>
                <w:bCs/>
                <w:sz w:val="20"/>
                <w:szCs w:val="20"/>
              </w:rPr>
              <w:t xml:space="preserve">WPT-7 (Western Pond Turtle Modeled Habitat Speed Limit): </w:t>
            </w:r>
            <w:r w:rsidRPr="00970BF0">
              <w:rPr>
                <w:sz w:val="20"/>
                <w:szCs w:val="20"/>
              </w:rPr>
              <w:t>Covered Activity construction and maintenance vehicles will observe a 20-mile-per-hour speed limit within western pond turtle modeled upland habitat (Figure 3-19).</w:t>
            </w:r>
          </w:p>
        </w:tc>
      </w:tr>
      <w:tr w:rsidR="003534DF" w:rsidRPr="00970BF0" w14:paraId="3F40D15E" w14:textId="77777777" w:rsidTr="003534DF">
        <w:tc>
          <w:tcPr>
            <w:tcW w:w="10599" w:type="dxa"/>
            <w:shd w:val="clear" w:color="auto" w:fill="auto"/>
          </w:tcPr>
          <w:p w14:paraId="17B8713B" w14:textId="77777777" w:rsidR="003534DF" w:rsidRPr="00970BF0" w:rsidRDefault="003534DF" w:rsidP="0023717A">
            <w:pPr>
              <w:rPr>
                <w:rFonts w:cs="Calibri"/>
                <w:b/>
                <w:sz w:val="20"/>
                <w:szCs w:val="20"/>
              </w:rPr>
            </w:pPr>
            <w:r w:rsidRPr="00970BF0">
              <w:rPr>
                <w:b/>
                <w:bCs/>
                <w:sz w:val="20"/>
                <w:szCs w:val="20"/>
              </w:rPr>
              <w:t xml:space="preserve">WPT-8 (Western Pond Turtle Encounter Protocol): </w:t>
            </w:r>
            <w:r w:rsidRPr="00970BF0">
              <w:rPr>
                <w:sz w:val="20"/>
                <w:szCs w:val="20"/>
              </w:rPr>
              <w:t>If a western pond turtle is encountered during construction activities, the approved biologist will notify the Wildlife Agencies immediately. Construction activities will be suspended in a 100-foot radius of the animal until the animal leaves the project site on its own volition. If necessary, the approved biologist will notify the Wildlife Agencies to determine the appropriate procedures related to relocation. If the animal is handled, a report will be submitted, including date(s), location(s), habitat description, and any corrective measures taken to protect the turtle, within 1 business day to the Wildlife Agencies. The biologist will report any take of listed species to the U.S. Fish and Wildlife Service immediately. Any worker who inadvertently injures or kills a western pond turtle or who finds one dead, injured, or entrapped must immediately report the incident to the approved biologist.</w:t>
            </w:r>
          </w:p>
        </w:tc>
      </w:tr>
      <w:tr w:rsidR="003534DF" w:rsidRPr="00970BF0" w14:paraId="7911C5E4" w14:textId="77777777" w:rsidTr="003534DF">
        <w:tc>
          <w:tcPr>
            <w:tcW w:w="10599" w:type="dxa"/>
            <w:shd w:val="clear" w:color="auto" w:fill="auto"/>
          </w:tcPr>
          <w:p w14:paraId="34ACDEC9" w14:textId="77777777" w:rsidR="003534DF" w:rsidRPr="00970BF0" w:rsidRDefault="003534DF" w:rsidP="0023717A">
            <w:pPr>
              <w:rPr>
                <w:rFonts w:cs="Calibri"/>
                <w:b/>
                <w:sz w:val="20"/>
                <w:szCs w:val="20"/>
              </w:rPr>
            </w:pPr>
            <w:r w:rsidRPr="00970BF0">
              <w:rPr>
                <w:b/>
                <w:bCs/>
                <w:sz w:val="20"/>
                <w:szCs w:val="20"/>
              </w:rPr>
              <w:lastRenderedPageBreak/>
              <w:t xml:space="preserve">WPT-9 (Western Pond Turtle Post-Construction Restoration): </w:t>
            </w:r>
            <w:r w:rsidRPr="00970BF0">
              <w:rPr>
                <w:sz w:val="20"/>
                <w:szCs w:val="20"/>
              </w:rPr>
              <w:t>After completion of ground-disturbing Covered Activities, the applicant will remove any temporary fill and construction debris and will restore temporarily disturbed areas to pre-project conditions. Restoration work includes such activities as re-vegetating the banks and active channels with a seed mix similar to pre-project conditions. Appropriate methods and plant species used to re-vegetate such areas will be determined on a site-specific basis in consultation with the Implementing Entity. Restoration work may include replanting emergent aquatic vegetation and placing appropriate artificial or natural basking areas in waterways and wetlands. A photo documentation report showing pre- and post-project conditions will be submitted to the Implementing Entity 1 month after implementation of the restoration.</w:t>
            </w:r>
          </w:p>
        </w:tc>
      </w:tr>
      <w:tr w:rsidR="003534DF" w:rsidRPr="00970BF0" w14:paraId="2392B51B" w14:textId="77777777" w:rsidTr="003534DF">
        <w:tc>
          <w:tcPr>
            <w:tcW w:w="10599" w:type="dxa"/>
            <w:shd w:val="clear" w:color="auto" w:fill="DBDBDB"/>
          </w:tcPr>
          <w:p w14:paraId="39E1B969" w14:textId="77777777" w:rsidR="003534DF" w:rsidRPr="00970BF0" w:rsidRDefault="003534DF" w:rsidP="0023717A">
            <w:pPr>
              <w:rPr>
                <w:rFonts w:cs="Calibri"/>
                <w:sz w:val="20"/>
                <w:szCs w:val="20"/>
              </w:rPr>
            </w:pPr>
            <w:r w:rsidRPr="00970BF0">
              <w:rPr>
                <w:rFonts w:cs="Calibri"/>
                <w:b/>
                <w:sz w:val="20"/>
                <w:szCs w:val="20"/>
              </w:rPr>
              <w:t>Tricolored Blackbird</w:t>
            </w:r>
          </w:p>
        </w:tc>
      </w:tr>
      <w:tr w:rsidR="003534DF" w:rsidRPr="00970BF0" w14:paraId="11489751" w14:textId="77777777" w:rsidTr="003534DF">
        <w:tc>
          <w:tcPr>
            <w:tcW w:w="10599" w:type="dxa"/>
            <w:shd w:val="clear" w:color="auto" w:fill="auto"/>
          </w:tcPr>
          <w:p w14:paraId="4E3A9CFB" w14:textId="77777777" w:rsidR="003534DF" w:rsidRPr="00970BF0" w:rsidRDefault="003534DF" w:rsidP="0023717A">
            <w:pPr>
              <w:rPr>
                <w:rFonts w:cs="Calibri"/>
                <w:b/>
                <w:sz w:val="20"/>
                <w:szCs w:val="20"/>
              </w:rPr>
            </w:pPr>
            <w:r w:rsidRPr="00970BF0">
              <w:rPr>
                <w:b/>
                <w:bCs/>
                <w:sz w:val="20"/>
                <w:szCs w:val="20"/>
              </w:rPr>
              <w:t xml:space="preserve">TCB-1 (Tricolored Blackbird Surveys): </w:t>
            </w:r>
            <w:r w:rsidRPr="00970BF0">
              <w:rPr>
                <w:sz w:val="20"/>
                <w:szCs w:val="20"/>
              </w:rPr>
              <w:t>If modeled habitat for tricolored blackbird is present within a Covered Activity’s project footprint or within 500 feet of a project footprint, then an approved biologist will conduct a field investigation to determine if existing or potential nesting or foraging sites are present within the project footprint and adjacent areas within 500 feet of the project footprint. Adjacent parcels under different land ownership will be surveyed only if access is granted or if the parcels are visible from authorized areas. Within the Plan Area, potential tricolor blackbird nest sites are often associated with freshwater marsh and seasonal wetlands, or in thickets of willow, blackberry, wild rose, thistle, and other thorny vegetation. Tricolored blackbirds are also known to nest in crops associated with dairy farms. Foraging habitat is associated with annual grasslands, wet and dry vernal pools and other seasonal wetlands, agricultural fields (such as large tracts of alfalfa and pastures with continuous haying schedules and recently tilled fields), cattle feedlots, and dairies. The Third-Party Project Proponent will map all existing or potential nesting or foraging sites and provide these maps to the Local Land Use Permittees and Implementing Entity. Nesting sites must also be noted on plans that are submitted to a Local Land Use Permittee. See Chapter 10 for the process to conduct and submit survey information.</w:t>
            </w:r>
          </w:p>
        </w:tc>
      </w:tr>
      <w:tr w:rsidR="003534DF" w:rsidRPr="00970BF0" w14:paraId="4B566DC1" w14:textId="77777777" w:rsidTr="003534DF">
        <w:tc>
          <w:tcPr>
            <w:tcW w:w="10599" w:type="dxa"/>
            <w:shd w:val="clear" w:color="auto" w:fill="auto"/>
          </w:tcPr>
          <w:p w14:paraId="28E1C2B0" w14:textId="77777777" w:rsidR="003534DF" w:rsidRPr="00970BF0" w:rsidRDefault="003534DF" w:rsidP="0023717A">
            <w:pPr>
              <w:rPr>
                <w:rFonts w:cs="Calibri"/>
                <w:b/>
                <w:sz w:val="20"/>
                <w:szCs w:val="20"/>
              </w:rPr>
            </w:pPr>
            <w:r w:rsidRPr="00970BF0">
              <w:rPr>
                <w:b/>
                <w:bCs/>
                <w:sz w:val="20"/>
                <w:szCs w:val="20"/>
              </w:rPr>
              <w:t xml:space="preserve">TCB-2 (Tricolored Blackbird Pre-Construction Surveys): </w:t>
            </w:r>
            <w:r w:rsidRPr="00970BF0">
              <w:rPr>
                <w:sz w:val="20"/>
                <w:szCs w:val="20"/>
              </w:rPr>
              <w:t>Pre-construction surveys will be required to determine if active nests are present within a project footprint or within 500 feet of a project footprint if existing or potential nest sites were found during design surveys and construction activities will occur during the breeding season (March 1 through September 15). An approved biologist will conduct pre-construction surveys within 30 days and within 3 days of ground-disturbing activities, and within the proposed project footprint and 500 feet of the proposed project footprint to determine the presence of nesting tricolored blackbird. Pre-construction surveys will be conducted during the breeding season (March 1 through August 31). Surveys conducted in February (to meet pre-construction survey requirements for work starting in March) must be conducted within 14 days and 3 days in advance of ground-disturbing activities. If a nest is present, then TCB-3 and TCB-4 will be implemented. The approved biologist will inform the Land Use Authority Permittee and the Implementing Entity of species locations, and they in turn will notify the Wildlife Agencies.</w:t>
            </w:r>
          </w:p>
        </w:tc>
      </w:tr>
      <w:tr w:rsidR="003534DF" w:rsidRPr="00970BF0" w14:paraId="4EB640CB" w14:textId="77777777" w:rsidTr="003534DF">
        <w:tc>
          <w:tcPr>
            <w:tcW w:w="10599" w:type="dxa"/>
            <w:shd w:val="clear" w:color="auto" w:fill="auto"/>
          </w:tcPr>
          <w:p w14:paraId="4DBD5A9B" w14:textId="77777777" w:rsidR="003534DF" w:rsidRPr="00970BF0" w:rsidRDefault="003534DF" w:rsidP="0023717A">
            <w:pPr>
              <w:rPr>
                <w:rFonts w:cs="Calibri"/>
                <w:b/>
                <w:sz w:val="20"/>
                <w:szCs w:val="20"/>
              </w:rPr>
            </w:pPr>
            <w:r w:rsidRPr="00970BF0">
              <w:rPr>
                <w:b/>
                <w:bCs/>
                <w:sz w:val="20"/>
                <w:szCs w:val="20"/>
              </w:rPr>
              <w:t xml:space="preserve">TCB-3 (Tricolored Blackbird Nest Buffer): </w:t>
            </w:r>
            <w:r w:rsidRPr="00970BF0">
              <w:rPr>
                <w:sz w:val="20"/>
                <w:szCs w:val="20"/>
              </w:rPr>
              <w:t>If active nests are found within the project footprint or within 500 feet of any project-related Covered Activity, the Third-Party Project Proponent will establish a 500-foot temporary buffer around the active nest until the young have fledged.</w:t>
            </w:r>
          </w:p>
        </w:tc>
      </w:tr>
      <w:tr w:rsidR="003534DF" w:rsidRPr="00970BF0" w14:paraId="6C5B4E36" w14:textId="77777777" w:rsidTr="003534DF">
        <w:tc>
          <w:tcPr>
            <w:tcW w:w="10599" w:type="dxa"/>
            <w:shd w:val="clear" w:color="auto" w:fill="auto"/>
          </w:tcPr>
          <w:p w14:paraId="40E08AAE" w14:textId="77777777" w:rsidR="003534DF" w:rsidRPr="00970BF0" w:rsidRDefault="003534DF" w:rsidP="0023717A">
            <w:pPr>
              <w:rPr>
                <w:rFonts w:cs="Calibri"/>
                <w:b/>
                <w:sz w:val="20"/>
                <w:szCs w:val="20"/>
              </w:rPr>
            </w:pPr>
            <w:r w:rsidRPr="00970BF0">
              <w:rPr>
                <w:b/>
                <w:bCs/>
                <w:sz w:val="20"/>
                <w:szCs w:val="20"/>
              </w:rPr>
              <w:t xml:space="preserve">TCB-4 (Tricolored Blackbird Nest Buffer Monitoring): </w:t>
            </w:r>
            <w:r w:rsidRPr="00970BF0">
              <w:rPr>
                <w:sz w:val="20"/>
                <w:szCs w:val="20"/>
              </w:rPr>
              <w:t>If nesting tricolored blackbirds are present within the project footprint or within 500 feet of any project-related Covered Activity, then an approved biologist experienced with tricolored blackbird behavior will be retained by the Third-Party Project Proponent to monitor the nest throughout the nesting season and to determine when the young have fledged. The approved biologist will be on site daily while construction-related activities are taking place near the disturbance buffer. Work within the nest disturbance buffer will not be permitted. If the approved biologist determines that tricolored blackbirds are exhibiting agitated behavior, construction will cease until the buffer size is increased to a distance necessary to result in no harm or harassment to the nesting tricolored blackbirds. If the biologist determines that the colonies are at risk, a meeting with the Third-Party Project Proponent, Implementing Entity, and Wildlife Agencies will be held to determine the best course of action to avoid nest abandonment or take of individuals. The approved biologist will also train construction personnel on the required avoidance procedures, buffer zones, and protocols in the event that a tricolored blackbird flies into an active construction zone (i.e., outside the buffer zone).</w:t>
            </w:r>
          </w:p>
        </w:tc>
      </w:tr>
      <w:tr w:rsidR="003534DF" w:rsidRPr="00970BF0" w14:paraId="6E2A3A97" w14:textId="77777777" w:rsidTr="003534DF">
        <w:tc>
          <w:tcPr>
            <w:tcW w:w="10599" w:type="dxa"/>
            <w:shd w:val="clear" w:color="auto" w:fill="auto"/>
          </w:tcPr>
          <w:p w14:paraId="05D45553" w14:textId="77777777" w:rsidR="003534DF" w:rsidRPr="00970BF0" w:rsidRDefault="003534DF" w:rsidP="0023717A">
            <w:pPr>
              <w:rPr>
                <w:rFonts w:cs="Calibri"/>
                <w:b/>
                <w:sz w:val="20"/>
                <w:szCs w:val="20"/>
              </w:rPr>
            </w:pPr>
            <w:r w:rsidRPr="00970BF0">
              <w:rPr>
                <w:b/>
                <w:bCs/>
                <w:sz w:val="20"/>
                <w:szCs w:val="20"/>
              </w:rPr>
              <w:t xml:space="preserve">TCB-5 (Timing of Pesticide Use and Harvest Timing on Agricultural Preserves): </w:t>
            </w:r>
            <w:r w:rsidRPr="00970BF0">
              <w:rPr>
                <w:sz w:val="20"/>
                <w:szCs w:val="20"/>
              </w:rPr>
              <w:t>On SSHCP Agricultural Preserves, pesticides (including herbicides) will not be applied from January 1 through July 15.</w:t>
            </w:r>
          </w:p>
        </w:tc>
      </w:tr>
      <w:tr w:rsidR="003534DF" w:rsidRPr="00970BF0" w14:paraId="32A69AC9" w14:textId="77777777" w:rsidTr="003534DF">
        <w:tc>
          <w:tcPr>
            <w:tcW w:w="10599" w:type="dxa"/>
            <w:shd w:val="clear" w:color="auto" w:fill="DBDBDB"/>
          </w:tcPr>
          <w:p w14:paraId="6516B18F" w14:textId="77777777" w:rsidR="003534DF" w:rsidRPr="00970BF0" w:rsidRDefault="003534DF" w:rsidP="0023717A">
            <w:pPr>
              <w:rPr>
                <w:rFonts w:cs="Calibri"/>
                <w:sz w:val="20"/>
                <w:szCs w:val="20"/>
              </w:rPr>
            </w:pPr>
            <w:r w:rsidRPr="00970BF0">
              <w:rPr>
                <w:rFonts w:cs="Calibri"/>
                <w:b/>
                <w:sz w:val="20"/>
                <w:szCs w:val="20"/>
              </w:rPr>
              <w:lastRenderedPageBreak/>
              <w:t>Swainson’s Hawk</w:t>
            </w:r>
          </w:p>
        </w:tc>
      </w:tr>
      <w:tr w:rsidR="003534DF" w:rsidRPr="00970BF0" w14:paraId="1A0303C5" w14:textId="77777777" w:rsidTr="003534DF">
        <w:tc>
          <w:tcPr>
            <w:tcW w:w="10599" w:type="dxa"/>
            <w:shd w:val="clear" w:color="auto" w:fill="auto"/>
          </w:tcPr>
          <w:p w14:paraId="3C8CD0B6" w14:textId="77777777" w:rsidR="003534DF" w:rsidRPr="00970BF0" w:rsidRDefault="003534DF" w:rsidP="0023717A">
            <w:pPr>
              <w:rPr>
                <w:rFonts w:cs="Calibri"/>
                <w:b/>
                <w:sz w:val="20"/>
                <w:szCs w:val="20"/>
              </w:rPr>
            </w:pPr>
            <w:r w:rsidRPr="00970BF0">
              <w:rPr>
                <w:b/>
                <w:bCs/>
                <w:sz w:val="20"/>
                <w:szCs w:val="20"/>
              </w:rPr>
              <w:t xml:space="preserve">SWHA-1 (Swainson’s Hawk Surveys): </w:t>
            </w:r>
            <w:r w:rsidRPr="00970BF0">
              <w:rPr>
                <w:sz w:val="20"/>
                <w:szCs w:val="20"/>
              </w:rPr>
              <w:t>If modeled habitat for Swainson’s hawk (Figure 3-25) is present within a Covered Activity’s project footprint or within 0.25 mile of a project footprint, then an approved biologist will conduct a survey to determine if existing or potential nesting sites are present within the project footprint and adjacent areas within 0.25 mile of the project footprint. Adjacent parcels under different land ownership will be surveyed only if access is granted or if the parcels are visible from authorized areas. Nest sites are often associated with Riparian land cover, but also include lone trees in fields, trees along roadways, and trees around structures. Nest trees may include, but are not limited to, Fremont’s cottonwood (</w:t>
            </w:r>
            <w:r w:rsidRPr="00970BF0">
              <w:rPr>
                <w:i/>
                <w:iCs/>
                <w:sz w:val="20"/>
                <w:szCs w:val="20"/>
              </w:rPr>
              <w:t>Populus fremontii</w:t>
            </w:r>
            <w:r w:rsidRPr="00970BF0">
              <w:rPr>
                <w:sz w:val="20"/>
                <w:szCs w:val="20"/>
              </w:rPr>
              <w:t>), oaks (</w:t>
            </w:r>
            <w:r w:rsidRPr="00970BF0">
              <w:rPr>
                <w:i/>
                <w:iCs/>
                <w:sz w:val="20"/>
                <w:szCs w:val="20"/>
              </w:rPr>
              <w:t xml:space="preserve">Quercus </w:t>
            </w:r>
            <w:r w:rsidRPr="00970BF0">
              <w:rPr>
                <w:sz w:val="20"/>
                <w:szCs w:val="20"/>
              </w:rPr>
              <w:t>spp.), willows (</w:t>
            </w:r>
            <w:r w:rsidRPr="00970BF0">
              <w:rPr>
                <w:i/>
                <w:iCs/>
                <w:sz w:val="20"/>
                <w:szCs w:val="20"/>
              </w:rPr>
              <w:t xml:space="preserve">Salix </w:t>
            </w:r>
            <w:r w:rsidRPr="00970BF0">
              <w:rPr>
                <w:sz w:val="20"/>
                <w:szCs w:val="20"/>
              </w:rPr>
              <w:t>spp.), walnuts (</w:t>
            </w:r>
            <w:r w:rsidRPr="00970BF0">
              <w:rPr>
                <w:i/>
                <w:iCs/>
                <w:sz w:val="20"/>
                <w:szCs w:val="20"/>
              </w:rPr>
              <w:t xml:space="preserve">Juglans </w:t>
            </w:r>
            <w:r w:rsidRPr="00970BF0">
              <w:rPr>
                <w:sz w:val="20"/>
                <w:szCs w:val="20"/>
              </w:rPr>
              <w:t>spp.), eucalyptus (</w:t>
            </w:r>
            <w:r w:rsidRPr="00970BF0">
              <w:rPr>
                <w:i/>
                <w:iCs/>
                <w:sz w:val="20"/>
                <w:szCs w:val="20"/>
              </w:rPr>
              <w:t xml:space="preserve">Eucalyptus </w:t>
            </w:r>
            <w:r w:rsidRPr="00970BF0">
              <w:rPr>
                <w:sz w:val="20"/>
                <w:szCs w:val="20"/>
              </w:rPr>
              <w:t>spp.), pines (</w:t>
            </w:r>
            <w:r w:rsidRPr="00970BF0">
              <w:rPr>
                <w:i/>
                <w:iCs/>
                <w:sz w:val="20"/>
                <w:szCs w:val="20"/>
              </w:rPr>
              <w:t xml:space="preserve">Pinus </w:t>
            </w:r>
            <w:r w:rsidRPr="00970BF0">
              <w:rPr>
                <w:sz w:val="20"/>
                <w:szCs w:val="20"/>
              </w:rPr>
              <w:t>spp.), and Deodar cedar (</w:t>
            </w:r>
            <w:r w:rsidRPr="00970BF0">
              <w:rPr>
                <w:i/>
                <w:iCs/>
                <w:sz w:val="20"/>
                <w:szCs w:val="20"/>
              </w:rPr>
              <w:t>Cedrus deodara</w:t>
            </w:r>
            <w:r w:rsidRPr="00970BF0">
              <w:rPr>
                <w:sz w:val="20"/>
                <w:szCs w:val="20"/>
              </w:rPr>
              <w:t>). The Third-Party Project Proponent will map all existing and potential nesting sites and provide these maps to the Local Land Use Permittees and Implementing Entity. Nesting sites must also be noted on plans that are submitted to a Local Land Use Permittee. See Chapter 10 for the process to conduct and submit survey information.</w:t>
            </w:r>
          </w:p>
        </w:tc>
      </w:tr>
      <w:tr w:rsidR="003534DF" w:rsidRPr="00970BF0" w14:paraId="3422F87B" w14:textId="77777777" w:rsidTr="003534DF">
        <w:tc>
          <w:tcPr>
            <w:tcW w:w="10599" w:type="dxa"/>
            <w:shd w:val="clear" w:color="auto" w:fill="auto"/>
          </w:tcPr>
          <w:p w14:paraId="00B45B23" w14:textId="77777777" w:rsidR="003534DF" w:rsidRPr="00970BF0" w:rsidRDefault="003534DF" w:rsidP="0023717A">
            <w:pPr>
              <w:rPr>
                <w:rFonts w:cs="Calibri"/>
                <w:b/>
                <w:sz w:val="20"/>
                <w:szCs w:val="20"/>
              </w:rPr>
            </w:pPr>
            <w:r w:rsidRPr="00970BF0">
              <w:rPr>
                <w:b/>
                <w:bCs/>
                <w:sz w:val="20"/>
                <w:szCs w:val="20"/>
              </w:rPr>
              <w:t xml:space="preserve">SWHA-2 (Swainson’s Hawk Pre-Construction Surveys): </w:t>
            </w:r>
            <w:r w:rsidRPr="00970BF0">
              <w:rPr>
                <w:sz w:val="20"/>
                <w:szCs w:val="20"/>
              </w:rPr>
              <w:t>Pre-construction surveys will be required to determine if active nests are present within a project footprint or within 0.25 mile of a project footprint if existing or potential nest sites were found during initial surveys and construction activities will occur during the breeding season (March 1 through September 15). An approved biologist will conduct pre-construction surveys within 30 days and 3 days of ground-disturbing activities to determine presence of nesting Swainson’s hawk. Pre-construction surveys will be conducted during the breeding season (March 1 through September 15). If a nest is present, then SWHA-3 and SWHA-4 will be implemented. The approved biologist will inform the Land Use Authority Permittee and Implementing Entity of species locations, and they in turn will notify the Wildlife Agencies.</w:t>
            </w:r>
          </w:p>
        </w:tc>
      </w:tr>
      <w:tr w:rsidR="003534DF" w:rsidRPr="00970BF0" w14:paraId="155472B4" w14:textId="77777777" w:rsidTr="003534DF">
        <w:tc>
          <w:tcPr>
            <w:tcW w:w="10599" w:type="dxa"/>
            <w:shd w:val="clear" w:color="auto" w:fill="auto"/>
          </w:tcPr>
          <w:p w14:paraId="3CA34B8B" w14:textId="77777777" w:rsidR="003534DF" w:rsidRPr="00970BF0" w:rsidRDefault="003534DF" w:rsidP="0023717A">
            <w:pPr>
              <w:rPr>
                <w:rFonts w:cs="Calibri"/>
                <w:b/>
                <w:sz w:val="20"/>
                <w:szCs w:val="20"/>
              </w:rPr>
            </w:pPr>
            <w:r w:rsidRPr="00970BF0">
              <w:rPr>
                <w:b/>
                <w:bCs/>
                <w:sz w:val="20"/>
                <w:szCs w:val="20"/>
              </w:rPr>
              <w:t xml:space="preserve">SWHA-3 (Swainson’s Hawk Nest Buffer): </w:t>
            </w:r>
            <w:r w:rsidRPr="00970BF0">
              <w:rPr>
                <w:sz w:val="20"/>
                <w:szCs w:val="20"/>
              </w:rPr>
              <w:t>If active nests are found within the project footprint or within 0.25 mile of any project-related Covered Activity, the Third-Party Project Proponent will establish a 0.25 mile disturbance buffer around the active nest until the young have fledged, with concurrence from the Wildlife Agencies.</w:t>
            </w:r>
          </w:p>
        </w:tc>
      </w:tr>
      <w:tr w:rsidR="003534DF" w:rsidRPr="00970BF0" w14:paraId="6CB98B41" w14:textId="77777777" w:rsidTr="003534DF">
        <w:tc>
          <w:tcPr>
            <w:tcW w:w="10599" w:type="dxa"/>
            <w:shd w:val="clear" w:color="auto" w:fill="auto"/>
          </w:tcPr>
          <w:p w14:paraId="63C11571" w14:textId="77777777" w:rsidR="003534DF" w:rsidRPr="00970BF0" w:rsidRDefault="003534DF" w:rsidP="0023717A">
            <w:pPr>
              <w:rPr>
                <w:rFonts w:cs="Calibri"/>
                <w:b/>
                <w:sz w:val="20"/>
                <w:szCs w:val="20"/>
              </w:rPr>
            </w:pPr>
            <w:r w:rsidRPr="00970BF0">
              <w:rPr>
                <w:b/>
                <w:bCs/>
                <w:sz w:val="20"/>
                <w:szCs w:val="20"/>
              </w:rPr>
              <w:t xml:space="preserve">SWHA-4 (Swainson’s Hawk Nest Buffer Monitoring): </w:t>
            </w:r>
            <w:r w:rsidRPr="00970BF0">
              <w:rPr>
                <w:sz w:val="20"/>
                <w:szCs w:val="20"/>
              </w:rPr>
              <w:t>If nesting Swainson’s hawks are present within the project footprint or within 0.25 mile of any project-related Covered Activity, then an approved biologist experienced with Swainson’s hawk behavior will be retained by the Third-Party Project Proponent to monitor the nest throughout the nesting season and to determine when the young have fledged. The approved biologist will be on site daily while construction-related activities are taking place within the buffer. Work within the temporary nest disturbance buffer can occur with the written permission of the Implementing Entity and Wildlife Agencies. If nesting Swainson’s hawks begin to exhibit agitated behavior, such as defensive flights at intruders, getting up from a brooding position, or flying off the nest, the approved biologist will have the authority to shut down construction activities. If agitated behavior is exhibited, the biologist, Third-Party Project Proponent, Implementing Entity, and Wildlife Agencies will meet to determine the best course of action to avoid nest abandonment or take of individuals. The approved biologist will also train construction personnel on the required avoidance procedures, buffer zones, and protocols in the event that a Swainson’s hawk flies into an active construction zone (i.e., outside the buffer zone).</w:t>
            </w:r>
          </w:p>
        </w:tc>
      </w:tr>
      <w:tr w:rsidR="003534DF" w:rsidRPr="00970BF0" w14:paraId="33E039BE" w14:textId="77777777" w:rsidTr="003534DF">
        <w:tc>
          <w:tcPr>
            <w:tcW w:w="10599" w:type="dxa"/>
            <w:shd w:val="clear" w:color="auto" w:fill="DBDBDB"/>
          </w:tcPr>
          <w:p w14:paraId="3E5DE9D4" w14:textId="77777777" w:rsidR="003534DF" w:rsidRPr="00970BF0" w:rsidRDefault="003534DF" w:rsidP="0023717A">
            <w:pPr>
              <w:rPr>
                <w:rFonts w:cs="Calibri"/>
                <w:sz w:val="20"/>
                <w:szCs w:val="20"/>
              </w:rPr>
            </w:pPr>
            <w:r w:rsidRPr="00970BF0">
              <w:rPr>
                <w:rFonts w:cs="Calibri"/>
                <w:b/>
                <w:sz w:val="20"/>
                <w:szCs w:val="20"/>
              </w:rPr>
              <w:t>Western Burrowing Owl</w:t>
            </w:r>
          </w:p>
        </w:tc>
      </w:tr>
      <w:tr w:rsidR="003534DF" w:rsidRPr="00970BF0" w14:paraId="02D45B82" w14:textId="77777777" w:rsidTr="003534DF">
        <w:tc>
          <w:tcPr>
            <w:tcW w:w="10599" w:type="dxa"/>
            <w:shd w:val="clear" w:color="auto" w:fill="auto"/>
          </w:tcPr>
          <w:p w14:paraId="3C13EBB1" w14:textId="77777777" w:rsidR="003534DF" w:rsidRPr="00970BF0" w:rsidRDefault="003534DF" w:rsidP="0023717A">
            <w:pPr>
              <w:rPr>
                <w:rFonts w:cs="Calibri"/>
                <w:b/>
                <w:sz w:val="20"/>
                <w:szCs w:val="20"/>
              </w:rPr>
            </w:pPr>
            <w:r w:rsidRPr="00970BF0">
              <w:rPr>
                <w:b/>
                <w:bCs/>
                <w:sz w:val="20"/>
                <w:szCs w:val="20"/>
              </w:rPr>
              <w:t xml:space="preserve">WBO-1 (Western Burrowing Owl Surveys): </w:t>
            </w:r>
            <w:r w:rsidRPr="00970BF0">
              <w:rPr>
                <w:sz w:val="20"/>
                <w:szCs w:val="20"/>
              </w:rPr>
              <w:t>Surveys within modeled habitat are required for both the breeding and non-breeding season. If the project site falls within modeled habitat, an approved biologist will survey the project site and map all burrows, noting any burrows that may be occupied. Occupied burrows are often (but not always) indicated by tracks, feathers, egg shell fragments, pellets, prey remains, and/or excrement. Surveying and mapping will be conducted by the approved biologist while walking transects throughout the entire project site plus all accessible areas within a 250-foot radius from the project site. The centerline of these transects will be no more than 50 feet apart and will vary in width to account for changes in terrain and vegetation that can preclude complete visual coverage of the area. For example, in hilly terrain with patches of tall grass, transects will be closer together, and in open areas with little vegetation, they can be 50 feet apart. This methodology is consistent with current survey protocols for this species (California Burrowing Owl Consortium 1993). Adjacent parcels under different land ownership will be surveyed only if access is granted or if the parcels are visible from authorized areas. If suitable habitat is identified during the initial survey, and if the project does not fully avoid the habitat, pre-construction surveys will be required. Burrowing owl habitat is fully avoided if project-related activities do not impinge on a 250-foot buffer established by the approved biologist around suitable burrows. See Chapter 10 for the process to conduct and submit survey information.</w:t>
            </w:r>
          </w:p>
        </w:tc>
      </w:tr>
      <w:tr w:rsidR="003534DF" w:rsidRPr="00970BF0" w14:paraId="50B15AC8" w14:textId="77777777" w:rsidTr="003534DF">
        <w:tc>
          <w:tcPr>
            <w:tcW w:w="10599" w:type="dxa"/>
            <w:shd w:val="clear" w:color="auto" w:fill="auto"/>
          </w:tcPr>
          <w:p w14:paraId="27C73EAE" w14:textId="77777777" w:rsidR="003534DF" w:rsidRPr="00970BF0" w:rsidRDefault="003534DF" w:rsidP="0023717A">
            <w:pPr>
              <w:rPr>
                <w:rFonts w:cs="Calibri"/>
                <w:b/>
                <w:sz w:val="20"/>
                <w:szCs w:val="20"/>
              </w:rPr>
            </w:pPr>
            <w:r w:rsidRPr="00970BF0">
              <w:rPr>
                <w:b/>
                <w:bCs/>
                <w:sz w:val="20"/>
                <w:szCs w:val="20"/>
              </w:rPr>
              <w:lastRenderedPageBreak/>
              <w:t xml:space="preserve">WBO-2 (Western Burrowing Owl Pre-Construction Surveys): </w:t>
            </w:r>
            <w:r w:rsidRPr="00970BF0">
              <w:rPr>
                <w:sz w:val="20"/>
                <w:szCs w:val="20"/>
              </w:rPr>
              <w:t>Prior to any Covered Activity ground disturbance, an approved biologist will conduct pre-construction surveys in all areas that were identified as suitable habitat during the initial surveys. The purpose of the pre-construction surveys is to document the presence or absence of burrowing owls on the project site, particularly in areas within 250 feet of construction activities. To maximize the likelihood of detecting owls, the pre-construction survey will last a minimum of 3 hours. The survey will begin 1 hour before sunrise and continue until 2 hours after sunrise (3 hours total), or begin 2 hours before sunset and continue until 1 hour after sunset. Additional time may be required for large project sites. A minimum of two pre-construction surveys will be conducted (if owls are detected on the first survey, a second survey is not needed). All owls observed will be counted and their location will be mapped. Surveys will conclude no more than 2 calendar days prior to construction. Therefore, the Third-Party Project Proponent must begin surveys no more than 4 days prior to construction (2 days of surveying plus up to 2 days between surveys and construction). To avoid last-minute changes in schedule or contracting that may occur if burrowing owls are found, the Third-Party Project Proponent may also conduct a preliminary survey up to 15 days before construction. This preliminary survey may count as the first of the two required surveys as long as the second survey concludes no more than 2 calendar days in advance of construction.</w:t>
            </w:r>
          </w:p>
        </w:tc>
      </w:tr>
      <w:tr w:rsidR="003534DF" w:rsidRPr="00970BF0" w14:paraId="3CC47673" w14:textId="77777777" w:rsidTr="003534DF">
        <w:tc>
          <w:tcPr>
            <w:tcW w:w="10599" w:type="dxa"/>
            <w:shd w:val="clear" w:color="auto" w:fill="auto"/>
          </w:tcPr>
          <w:p w14:paraId="3EF49B0D" w14:textId="77777777" w:rsidR="003534DF" w:rsidRPr="00970BF0" w:rsidRDefault="003534DF" w:rsidP="0023717A">
            <w:pPr>
              <w:rPr>
                <w:sz w:val="20"/>
                <w:szCs w:val="20"/>
              </w:rPr>
            </w:pPr>
            <w:r w:rsidRPr="00970BF0">
              <w:rPr>
                <w:b/>
                <w:sz w:val="20"/>
                <w:szCs w:val="20"/>
              </w:rPr>
              <w:t xml:space="preserve">WBO-3 (Burrowing Owl Avoidance): </w:t>
            </w:r>
            <w:r w:rsidRPr="00970BF0">
              <w:rPr>
                <w:sz w:val="20"/>
                <w:szCs w:val="20"/>
              </w:rPr>
              <w:t xml:space="preserve">If western burrowing owl or evidence of western burrowing owl is observed on the project site or within 250 feet of the project site during pre-construction surveys, then the following will occur: </w:t>
            </w:r>
          </w:p>
          <w:p w14:paraId="48ED06E2" w14:textId="77777777" w:rsidR="003534DF" w:rsidRPr="00970BF0" w:rsidRDefault="003534DF" w:rsidP="0023717A">
            <w:pPr>
              <w:rPr>
                <w:sz w:val="20"/>
                <w:szCs w:val="20"/>
              </w:rPr>
            </w:pPr>
            <w:r w:rsidRPr="00970BF0">
              <w:rPr>
                <w:b/>
                <w:i/>
                <w:sz w:val="20"/>
                <w:szCs w:val="20"/>
              </w:rPr>
              <w:t>During Breeding Season</w:t>
            </w:r>
            <w:r w:rsidRPr="00970BF0">
              <w:rPr>
                <w:sz w:val="20"/>
                <w:szCs w:val="20"/>
              </w:rPr>
              <w:t xml:space="preserve">: If the approved biologist finds evidence of western burrowing owls within a project site during the breeding season (February 1 through August 31), all project-related activities will avoid nest sites during the remainder of the breeding season or while the nest remains occupied by adults or young (nest occupation includes individuals or family groups foraging on or near the site following fledging). Avoidance is establishment of a minimum 250-foot buffer zone around nests. Construction and other project-related activities may occur outside of the 250-foot buffer zone. Construction and other project-related activities may be allowed inside of the 250-foot non-disturbance buffer during the breeding season if the nest is not disturbed, and the Third-Party Project Proponent develops an avoidance, minimization, and monitoring plan that is approved by the Implementing Entity and Wildlife Agencies prior to project construction based on the following criteria: </w:t>
            </w:r>
          </w:p>
          <w:p w14:paraId="482DD8AE" w14:textId="77777777" w:rsidR="003534DF" w:rsidRPr="00970BF0" w:rsidRDefault="003534DF" w:rsidP="00970BF0">
            <w:pPr>
              <w:numPr>
                <w:ilvl w:val="0"/>
                <w:numId w:val="6"/>
              </w:numPr>
              <w:ind w:left="240" w:hanging="180"/>
              <w:rPr>
                <w:sz w:val="20"/>
                <w:szCs w:val="20"/>
              </w:rPr>
            </w:pPr>
            <w:r w:rsidRPr="00970BF0">
              <w:rPr>
                <w:sz w:val="20"/>
                <w:szCs w:val="20"/>
              </w:rPr>
              <w:t xml:space="preserve">The Implementing Entity and Wildlife Agencies approve of the avoidance and minimization plan provided by the project applicant. </w:t>
            </w:r>
          </w:p>
          <w:p w14:paraId="21DE571E" w14:textId="77777777" w:rsidR="003534DF" w:rsidRPr="00970BF0" w:rsidRDefault="003534DF" w:rsidP="00970BF0">
            <w:pPr>
              <w:numPr>
                <w:ilvl w:val="0"/>
                <w:numId w:val="6"/>
              </w:numPr>
              <w:ind w:left="240" w:hanging="180"/>
              <w:rPr>
                <w:sz w:val="20"/>
                <w:szCs w:val="20"/>
              </w:rPr>
            </w:pPr>
            <w:r w:rsidRPr="00970BF0">
              <w:rPr>
                <w:sz w:val="20"/>
                <w:szCs w:val="20"/>
              </w:rPr>
              <w:t xml:space="preserve">An approved biologist monitors the owls for at least 3 days prior to construction to determine baseline nesting and foraging behavior (i.e., behavior without construction). </w:t>
            </w:r>
          </w:p>
          <w:p w14:paraId="69C0CD72" w14:textId="77777777" w:rsidR="003534DF" w:rsidRPr="00970BF0" w:rsidRDefault="003534DF" w:rsidP="00970BF0">
            <w:pPr>
              <w:numPr>
                <w:ilvl w:val="0"/>
                <w:numId w:val="6"/>
              </w:numPr>
              <w:ind w:left="240" w:hanging="180"/>
              <w:rPr>
                <w:sz w:val="20"/>
                <w:szCs w:val="20"/>
              </w:rPr>
            </w:pPr>
            <w:r w:rsidRPr="00970BF0">
              <w:rPr>
                <w:sz w:val="20"/>
                <w:szCs w:val="20"/>
              </w:rPr>
              <w:t xml:space="preserve">The same approved biologist monitors the owls during construction and finds no change in owl nesting and foraging behavior in response to construction activities. </w:t>
            </w:r>
          </w:p>
          <w:p w14:paraId="24968D6B" w14:textId="77777777" w:rsidR="003534DF" w:rsidRPr="00970BF0" w:rsidRDefault="003534DF" w:rsidP="0023717A">
            <w:pPr>
              <w:rPr>
                <w:sz w:val="20"/>
                <w:szCs w:val="20"/>
              </w:rPr>
            </w:pPr>
            <w:r w:rsidRPr="00970BF0">
              <w:rPr>
                <w:sz w:val="20"/>
                <w:szCs w:val="20"/>
              </w:rPr>
              <w:t xml:space="preserve">If there is any change in owl nesting and foraging behavior as a result of construction activities, the approved biologist will have authority to shut down activities within the 250-foot buffer. Construction cannot resume within the 250-foot buffer until any owls present are no longer affected by nearby construction activities, and with written concurrence from the Wildlife Agencies. </w:t>
            </w:r>
          </w:p>
          <w:p w14:paraId="3EBC1724" w14:textId="77777777" w:rsidR="003534DF" w:rsidRPr="00970BF0" w:rsidRDefault="003534DF" w:rsidP="0023717A">
            <w:pPr>
              <w:rPr>
                <w:sz w:val="20"/>
                <w:szCs w:val="20"/>
              </w:rPr>
            </w:pPr>
            <w:r w:rsidRPr="00970BF0">
              <w:rPr>
                <w:sz w:val="20"/>
                <w:szCs w:val="20"/>
              </w:rPr>
              <w:t xml:space="preserve">If monitoring by the approved biologist indicates that the nest is abandoned prior to the end of nesting season and the burrow is no longer in use, the non-disturbance buffer zone may be removed if approved by the Wildlife Agencies. The approved biologist will excavate the burrow in accordance with the latest California Department of Fish and Wildlife guidelines for burrowing owl to prevent reoccupation after receiving approval from the Wildlife Agencies. </w:t>
            </w:r>
          </w:p>
          <w:p w14:paraId="50D08EAD" w14:textId="77777777" w:rsidR="003534DF" w:rsidRPr="00970BF0" w:rsidRDefault="003534DF" w:rsidP="0023717A">
            <w:pPr>
              <w:rPr>
                <w:sz w:val="20"/>
                <w:szCs w:val="20"/>
              </w:rPr>
            </w:pPr>
            <w:r w:rsidRPr="00970BF0">
              <w:rPr>
                <w:sz w:val="20"/>
                <w:szCs w:val="20"/>
              </w:rPr>
              <w:t xml:space="preserve">The Implementing Entity and Wildlife Agencies will respond to a request from the Third-Party Project Proponent to review the proposed construction monitoring plan within 21 days. </w:t>
            </w:r>
          </w:p>
          <w:p w14:paraId="6BFE7171" w14:textId="77777777" w:rsidR="003534DF" w:rsidRPr="00970BF0" w:rsidRDefault="003534DF" w:rsidP="0023717A">
            <w:pPr>
              <w:rPr>
                <w:sz w:val="20"/>
                <w:szCs w:val="20"/>
              </w:rPr>
            </w:pPr>
            <w:r w:rsidRPr="00970BF0">
              <w:rPr>
                <w:sz w:val="20"/>
                <w:szCs w:val="20"/>
              </w:rPr>
              <w:t xml:space="preserve">During Non-Breeding Season: During the non-breeding season (September 1 through January 31), the approved biologist will establish a minimum 250-foot non-disturbance buffer around occupied burrows. Construction activities outside of this 250-foot buffer will be allowed. Construction activities within the non-disturbance buffer will be allowed if the following criteria are met to prevent owls from abandoning over-wintering sites: </w:t>
            </w:r>
          </w:p>
          <w:p w14:paraId="1B52D9CA" w14:textId="77777777" w:rsidR="003534DF" w:rsidRPr="00970BF0" w:rsidRDefault="003534DF" w:rsidP="00970BF0">
            <w:pPr>
              <w:numPr>
                <w:ilvl w:val="0"/>
                <w:numId w:val="7"/>
              </w:numPr>
              <w:ind w:left="240" w:hanging="180"/>
              <w:rPr>
                <w:sz w:val="20"/>
                <w:szCs w:val="20"/>
              </w:rPr>
            </w:pPr>
            <w:r w:rsidRPr="00970BF0">
              <w:rPr>
                <w:sz w:val="20"/>
                <w:szCs w:val="20"/>
              </w:rPr>
              <w:t xml:space="preserve">An approved biologist monitors the owls for at least 3 days prior to construction to determine baseline foraging behavior (i.e., behavior without construction). </w:t>
            </w:r>
          </w:p>
          <w:p w14:paraId="5479D6D9" w14:textId="77777777" w:rsidR="003534DF" w:rsidRPr="00970BF0" w:rsidRDefault="003534DF" w:rsidP="00970BF0">
            <w:pPr>
              <w:numPr>
                <w:ilvl w:val="0"/>
                <w:numId w:val="7"/>
              </w:numPr>
              <w:ind w:left="240" w:hanging="180"/>
              <w:rPr>
                <w:sz w:val="20"/>
                <w:szCs w:val="20"/>
              </w:rPr>
            </w:pPr>
            <w:r w:rsidRPr="00970BF0">
              <w:rPr>
                <w:sz w:val="20"/>
                <w:szCs w:val="20"/>
              </w:rPr>
              <w:lastRenderedPageBreak/>
              <w:t xml:space="preserve">The same approved biologist monitors the owls during construction and finds no change in owl foraging behavior in response to construction activities. </w:t>
            </w:r>
          </w:p>
          <w:p w14:paraId="61343313" w14:textId="77777777" w:rsidR="003534DF" w:rsidRPr="00970BF0" w:rsidRDefault="003534DF" w:rsidP="00970BF0">
            <w:pPr>
              <w:numPr>
                <w:ilvl w:val="0"/>
                <w:numId w:val="7"/>
              </w:numPr>
              <w:ind w:left="240" w:hanging="180"/>
              <w:rPr>
                <w:sz w:val="20"/>
                <w:szCs w:val="20"/>
              </w:rPr>
            </w:pPr>
            <w:r w:rsidRPr="00970BF0">
              <w:rPr>
                <w:sz w:val="20"/>
                <w:szCs w:val="20"/>
              </w:rPr>
              <w:t xml:space="preserve">If there is any change in owl foraging behavior as a result of construction activities, the approved biologist will have authority to shut down activities within the 250-foot buffer. </w:t>
            </w:r>
          </w:p>
          <w:p w14:paraId="2A983D7D" w14:textId="77777777" w:rsidR="003534DF" w:rsidRPr="00970BF0" w:rsidRDefault="003534DF" w:rsidP="00970BF0">
            <w:pPr>
              <w:numPr>
                <w:ilvl w:val="0"/>
                <w:numId w:val="7"/>
              </w:numPr>
              <w:ind w:left="240" w:hanging="180"/>
              <w:rPr>
                <w:sz w:val="20"/>
                <w:szCs w:val="20"/>
              </w:rPr>
            </w:pPr>
            <w:r w:rsidRPr="00970BF0">
              <w:rPr>
                <w:sz w:val="20"/>
                <w:szCs w:val="20"/>
              </w:rPr>
              <w:t xml:space="preserve">If the owls are gone for at least 1 week, the Third-Party Project Proponent may request approval from the Implementing Entity and Wildlife Agencies that an approved biologist excavate usable burrows and install one-way exclusionary devices to prevent owls from re-occupying the site. After all usable burrows are excavated, the buffer zone will be removed and construction may continue. </w:t>
            </w:r>
          </w:p>
          <w:p w14:paraId="2D7BB93B" w14:textId="77777777" w:rsidR="003534DF" w:rsidRPr="00970BF0" w:rsidRDefault="003534DF" w:rsidP="0023717A">
            <w:pPr>
              <w:rPr>
                <w:sz w:val="20"/>
                <w:szCs w:val="20"/>
              </w:rPr>
            </w:pPr>
            <w:r w:rsidRPr="00970BF0">
              <w:rPr>
                <w:sz w:val="20"/>
                <w:szCs w:val="20"/>
              </w:rPr>
              <w:t>Monitoring must continue as described above for the non-breeding season as long as the burrow remains active.</w:t>
            </w:r>
          </w:p>
        </w:tc>
      </w:tr>
      <w:tr w:rsidR="003534DF" w:rsidRPr="00970BF0" w14:paraId="51EB674E" w14:textId="77777777" w:rsidTr="003534DF">
        <w:tc>
          <w:tcPr>
            <w:tcW w:w="10599" w:type="dxa"/>
            <w:shd w:val="clear" w:color="auto" w:fill="auto"/>
          </w:tcPr>
          <w:p w14:paraId="5800F56A" w14:textId="77777777" w:rsidR="003534DF" w:rsidRPr="00970BF0" w:rsidRDefault="003534DF" w:rsidP="0023717A">
            <w:pPr>
              <w:rPr>
                <w:rFonts w:cs="Calibri"/>
                <w:b/>
                <w:sz w:val="20"/>
                <w:szCs w:val="20"/>
              </w:rPr>
            </w:pPr>
            <w:r w:rsidRPr="00970BF0">
              <w:rPr>
                <w:b/>
                <w:bCs/>
                <w:sz w:val="20"/>
                <w:szCs w:val="20"/>
              </w:rPr>
              <w:lastRenderedPageBreak/>
              <w:t xml:space="preserve">WBO-4 (Burrowing Owl Construction Monitoring): </w:t>
            </w:r>
            <w:r w:rsidRPr="00970BF0">
              <w:rPr>
                <w:sz w:val="20"/>
                <w:szCs w:val="20"/>
              </w:rPr>
              <w:t>During construction of Covered Activities, 250-foot construction buffer zones will be established and maintained around any occupied burrow. An approved biologist will monitor the site to ensure that buffers are enforced and owls are not disturbed. The approved biologist will also train construction personnel on avoidance procedures, buffer zones, and protocols in the event that a burrowing owl flies into an active construction zone.</w:t>
            </w:r>
          </w:p>
        </w:tc>
      </w:tr>
      <w:tr w:rsidR="003534DF" w:rsidRPr="00970BF0" w14:paraId="061FCC09" w14:textId="77777777" w:rsidTr="003534DF">
        <w:tc>
          <w:tcPr>
            <w:tcW w:w="10599" w:type="dxa"/>
            <w:shd w:val="clear" w:color="auto" w:fill="auto"/>
          </w:tcPr>
          <w:p w14:paraId="4EE6F28D" w14:textId="77777777" w:rsidR="003534DF" w:rsidRPr="00970BF0" w:rsidRDefault="003534DF" w:rsidP="0023717A">
            <w:pPr>
              <w:rPr>
                <w:rFonts w:cs="Calibri"/>
                <w:b/>
                <w:sz w:val="20"/>
                <w:szCs w:val="20"/>
              </w:rPr>
            </w:pPr>
            <w:r w:rsidRPr="00970BF0">
              <w:rPr>
                <w:b/>
                <w:bCs/>
                <w:sz w:val="20"/>
                <w:szCs w:val="20"/>
              </w:rPr>
              <w:t xml:space="preserve">WBO-5 (Burrowing Owl Passive Relocation): </w:t>
            </w:r>
            <w:r w:rsidRPr="00970BF0">
              <w:rPr>
                <w:sz w:val="20"/>
                <w:szCs w:val="20"/>
              </w:rPr>
              <w:t>Passive relocation is not allowed without the express written approval of the Wildlife Agencies. Passive owl relocation may be allowed on a case-by-case basis on project sites during the non-breeding season (September 1 through January 31) with the written approval of the Wildlife Agencies if the other measures described in this condition preclude work from continuing. Passive relocation must be done in accordance with the latest California Department of Fish and Wildlife guidelines for burrowing owl. Passive relocation will only be proposed if the burrow needing to be removed or with the potential to collapse from construction activities is the result of a Covered Activity. If passive relocation is approved by the Wildlife Agencies, an approved biologist can passively exclude birds from their burrows during the non-breeding season by installing one-way doors in burrow entrances. These doors will be in place for 48 hours to ensure that owls have left the burrow, and then the biologist will excavate the burrow to prevent reoccupation. Burrows will be excavated using hand tools only. During excavation, an escape route will be maintained at all times. This may include inserting an artificial structure into the burrow to avoid having materials collapse into the burrow and trap owls inside. Other methods of passive relocation, based on best available science, may be approved by the Wildlife Agencies over the 50-year Permit Term.</w:t>
            </w:r>
          </w:p>
        </w:tc>
      </w:tr>
      <w:tr w:rsidR="003534DF" w:rsidRPr="00970BF0" w14:paraId="30D4D5F1" w14:textId="77777777" w:rsidTr="003534DF">
        <w:tc>
          <w:tcPr>
            <w:tcW w:w="10599" w:type="dxa"/>
            <w:shd w:val="clear" w:color="auto" w:fill="auto"/>
          </w:tcPr>
          <w:p w14:paraId="0CE33663" w14:textId="77777777" w:rsidR="003534DF" w:rsidRPr="00970BF0" w:rsidRDefault="003534DF" w:rsidP="0023717A">
            <w:pPr>
              <w:rPr>
                <w:rFonts w:cs="Calibri"/>
                <w:b/>
                <w:sz w:val="20"/>
                <w:szCs w:val="20"/>
              </w:rPr>
            </w:pPr>
            <w:r w:rsidRPr="00970BF0">
              <w:rPr>
                <w:b/>
                <w:bCs/>
                <w:sz w:val="20"/>
                <w:szCs w:val="20"/>
              </w:rPr>
              <w:t xml:space="preserve">WBO-6 (Burrowing Owl Timing of Maintenance Activities): </w:t>
            </w:r>
            <w:r w:rsidRPr="00970BF0">
              <w:rPr>
                <w:sz w:val="20"/>
                <w:szCs w:val="20"/>
              </w:rPr>
              <w:t>All activities adjacent to existing or planned Preserves, Preserve Setbacks, or Stream Setback areas will be seasonally timed, when safety permits, to avoid or minimize adverse effects on occupied burrows.</w:t>
            </w:r>
          </w:p>
        </w:tc>
      </w:tr>
      <w:tr w:rsidR="003534DF" w:rsidRPr="00970BF0" w14:paraId="471A82E0" w14:textId="77777777" w:rsidTr="003534DF">
        <w:tc>
          <w:tcPr>
            <w:tcW w:w="10599" w:type="dxa"/>
            <w:shd w:val="clear" w:color="auto" w:fill="auto"/>
          </w:tcPr>
          <w:p w14:paraId="7020443B" w14:textId="77777777" w:rsidR="003534DF" w:rsidRPr="00970BF0" w:rsidRDefault="003534DF" w:rsidP="0023717A">
            <w:pPr>
              <w:rPr>
                <w:rFonts w:cs="Calibri"/>
                <w:b/>
                <w:sz w:val="20"/>
                <w:szCs w:val="20"/>
              </w:rPr>
            </w:pPr>
            <w:r w:rsidRPr="00970BF0">
              <w:rPr>
                <w:b/>
                <w:bCs/>
                <w:sz w:val="20"/>
                <w:szCs w:val="20"/>
              </w:rPr>
              <w:t xml:space="preserve">WBO-7 (Rodent Control): </w:t>
            </w:r>
            <w:r w:rsidRPr="00970BF0">
              <w:rPr>
                <w:sz w:val="20"/>
                <w:szCs w:val="20"/>
              </w:rPr>
              <w:t>Rodent control will be allowed only in developed portions of a Covered Activity project site within western burrowing owl modeled habitat. Where rodent control is allowed, the method of rodent control will comply with the methods of rodent control discussed in the 4(d) Rule published in the U.S. Fish and Wildlife Service’s (2004) final listing rule for tiger salamander.</w:t>
            </w:r>
          </w:p>
        </w:tc>
      </w:tr>
      <w:tr w:rsidR="003534DF" w:rsidRPr="00970BF0" w14:paraId="4410CFF8" w14:textId="77777777" w:rsidTr="003534DF">
        <w:tc>
          <w:tcPr>
            <w:tcW w:w="10599" w:type="dxa"/>
            <w:shd w:val="clear" w:color="auto" w:fill="DBDBDB"/>
          </w:tcPr>
          <w:p w14:paraId="5F1BAEE1" w14:textId="77777777" w:rsidR="003534DF" w:rsidRPr="00970BF0" w:rsidRDefault="003534DF" w:rsidP="0023717A">
            <w:pPr>
              <w:rPr>
                <w:rFonts w:cs="Calibri"/>
                <w:sz w:val="20"/>
                <w:szCs w:val="20"/>
              </w:rPr>
            </w:pPr>
            <w:r w:rsidRPr="00970BF0">
              <w:rPr>
                <w:rFonts w:cs="Calibri"/>
                <w:b/>
                <w:sz w:val="20"/>
                <w:szCs w:val="20"/>
              </w:rPr>
              <w:t>Covered Raptor Species</w:t>
            </w:r>
          </w:p>
        </w:tc>
      </w:tr>
      <w:tr w:rsidR="003534DF" w:rsidRPr="00970BF0" w14:paraId="26CBD834" w14:textId="77777777" w:rsidTr="003534DF">
        <w:tc>
          <w:tcPr>
            <w:tcW w:w="10599" w:type="dxa"/>
            <w:shd w:val="clear" w:color="auto" w:fill="auto"/>
          </w:tcPr>
          <w:p w14:paraId="54073BF4" w14:textId="77777777" w:rsidR="003534DF" w:rsidRPr="00970BF0" w:rsidRDefault="003534DF" w:rsidP="0023717A">
            <w:pPr>
              <w:rPr>
                <w:rFonts w:cs="Calibri"/>
                <w:b/>
                <w:sz w:val="20"/>
                <w:szCs w:val="20"/>
              </w:rPr>
            </w:pPr>
            <w:r w:rsidRPr="00970BF0">
              <w:rPr>
                <w:b/>
                <w:bCs/>
                <w:sz w:val="20"/>
                <w:szCs w:val="20"/>
              </w:rPr>
              <w:t xml:space="preserve">RAPTOR-1 (Raptor Surveys): </w:t>
            </w:r>
            <w:r w:rsidRPr="00970BF0">
              <w:rPr>
                <w:sz w:val="20"/>
                <w:szCs w:val="20"/>
              </w:rPr>
              <w:t>If modeled habitat for a covered raptor species (Figures 3-20, 3-23, 3-24, or 3-28) is present within a Covered Activity’s project footprint or within 0.25 mile of a project footprint, then an approved biologist will conduct a field investigation to determine if existing or potential nesting sites are present within the project footprint and adjacent areas within 0.25 mile of the project footprint. Adjacent parcels under different land ownership will be surveyed only if access is granted or if the parcels are visible from authorized areas. The Third-Party Project Proponent will map all existing or potential nesting sites and provide these maps to the Local Land Use Permittees and Implementing Entity. Nesting sites must also be noted on plans that are submitted to a Local Land Use Permittee. See Chapter 10 for the process to conduct and submit survey information.</w:t>
            </w:r>
          </w:p>
        </w:tc>
      </w:tr>
      <w:tr w:rsidR="003534DF" w:rsidRPr="00970BF0" w14:paraId="6C96D725" w14:textId="77777777" w:rsidTr="003534DF">
        <w:tc>
          <w:tcPr>
            <w:tcW w:w="10599" w:type="dxa"/>
            <w:shd w:val="clear" w:color="auto" w:fill="auto"/>
          </w:tcPr>
          <w:p w14:paraId="753203DA" w14:textId="77777777" w:rsidR="003534DF" w:rsidRPr="00970BF0" w:rsidRDefault="003534DF" w:rsidP="0023717A">
            <w:pPr>
              <w:rPr>
                <w:rFonts w:cs="Calibri"/>
                <w:b/>
                <w:sz w:val="20"/>
                <w:szCs w:val="20"/>
              </w:rPr>
            </w:pPr>
            <w:r w:rsidRPr="00970BF0">
              <w:rPr>
                <w:b/>
                <w:bCs/>
                <w:sz w:val="20"/>
                <w:szCs w:val="20"/>
              </w:rPr>
              <w:t xml:space="preserve">RAPTOR-2 (Raptor Pre-Construction Surveys): </w:t>
            </w:r>
            <w:r w:rsidRPr="00970BF0">
              <w:rPr>
                <w:sz w:val="20"/>
                <w:szCs w:val="20"/>
              </w:rPr>
              <w:t xml:space="preserve">Pre-construction surveys will be required to determine if active nests are present with a project footprint or within 0.25 mile of a project footprint if existing or potential nest sites are found during initial surveys and construction activities will occur during the raptor breeding season. An approved biologist will conduct pre-construction surveys within 30 days and 3 days of ground-disturbing activities within the proposed project footprint and within </w:t>
            </w:r>
            <w:r w:rsidRPr="00970BF0">
              <w:rPr>
                <w:sz w:val="20"/>
                <w:szCs w:val="20"/>
              </w:rPr>
              <w:lastRenderedPageBreak/>
              <w:t>0.25 mile of the proposed project footprint to determine presence of nesting covered raptor species. Pre-construction surveys will be conducted during the raptor breeding season. If a nest is present, then RAPTOR-3 and RAPTOR-4 will be implemented. The approved biologist will inform the Land Use Authority Permittee and Implementing Entity of species locations, and they in turn will notify the Wildlife Agencies.</w:t>
            </w:r>
          </w:p>
        </w:tc>
      </w:tr>
      <w:tr w:rsidR="003534DF" w:rsidRPr="00970BF0" w14:paraId="4DF37D69" w14:textId="77777777" w:rsidTr="003534DF">
        <w:tc>
          <w:tcPr>
            <w:tcW w:w="10599" w:type="dxa"/>
            <w:shd w:val="clear" w:color="auto" w:fill="auto"/>
          </w:tcPr>
          <w:p w14:paraId="71C89FAC" w14:textId="77777777" w:rsidR="003534DF" w:rsidRPr="00970BF0" w:rsidRDefault="003534DF" w:rsidP="0023717A">
            <w:pPr>
              <w:rPr>
                <w:rFonts w:cs="Calibri"/>
                <w:b/>
                <w:sz w:val="20"/>
                <w:szCs w:val="20"/>
              </w:rPr>
            </w:pPr>
            <w:r w:rsidRPr="00970BF0">
              <w:rPr>
                <w:b/>
                <w:bCs/>
                <w:sz w:val="20"/>
                <w:szCs w:val="20"/>
              </w:rPr>
              <w:lastRenderedPageBreak/>
              <w:t xml:space="preserve">RAPTOR-3 (Raptor Nest/Roost Buffer): </w:t>
            </w:r>
            <w:r w:rsidRPr="00970BF0">
              <w:rPr>
                <w:sz w:val="20"/>
                <w:szCs w:val="20"/>
              </w:rPr>
              <w:t>If active nests are found within the project footprint or within 0.25 mile of any project-related Covered Activity, the Third-Party Project Proponent will establish a 0.25 mile temporary nest disturbance buffer around the active nest until the young have fledged.</w:t>
            </w:r>
          </w:p>
        </w:tc>
      </w:tr>
      <w:tr w:rsidR="003534DF" w:rsidRPr="00970BF0" w14:paraId="7B0D1866" w14:textId="77777777" w:rsidTr="003534DF">
        <w:tc>
          <w:tcPr>
            <w:tcW w:w="10599" w:type="dxa"/>
            <w:shd w:val="clear" w:color="auto" w:fill="auto"/>
          </w:tcPr>
          <w:p w14:paraId="111EF59F" w14:textId="77777777" w:rsidR="003534DF" w:rsidRPr="00970BF0" w:rsidRDefault="003534DF" w:rsidP="0023717A">
            <w:pPr>
              <w:rPr>
                <w:rFonts w:cs="Calibri"/>
                <w:b/>
                <w:sz w:val="20"/>
                <w:szCs w:val="20"/>
              </w:rPr>
            </w:pPr>
            <w:r w:rsidRPr="00970BF0">
              <w:rPr>
                <w:b/>
                <w:bCs/>
                <w:sz w:val="20"/>
                <w:szCs w:val="20"/>
              </w:rPr>
              <w:t xml:space="preserve">RAPTOR-4 (Raptor Nest/Roost Buffer Monitoring): </w:t>
            </w:r>
            <w:r w:rsidRPr="00970BF0">
              <w:rPr>
                <w:sz w:val="20"/>
                <w:szCs w:val="20"/>
              </w:rPr>
              <w:t>If project-related Covered Activities within the temporary nest disturbance buffer are determined to be necessary during the nesting season, then an approved biologist experienced with raptor behavior will be retained by the Third-Party Project Proponent to monitor the nest throughout the nesting season and to determine when the young have fledged. The approved biologist will be on site daily while construction-related activities are taking place within the disturbance buffer. Work within the temporary nest disturbance buffer can occur with the written permission of the Implementing Entity and Wildlife Agencies. If nesting raptors begin to exhibit agitated behavior, such as defensive flights at intruders, getting up from a brooding position, or flying off the nest, the approved biologist/monitor will have the authority to shut down construction activities. If agitated behavior is exhibited, the biologist, Third-Party Project Proponent, Implementing Entity, and Wildlife Agencies will meet to determine the best course of action to avoid nest abandonment or take of individuals. The approved biologist will also train construction personnel on the required avoidance procedures, buffer zones, and protocols in the event that a covered raptor species flies into an active construction zone (i.e., outside the buffer zone).</w:t>
            </w:r>
          </w:p>
        </w:tc>
      </w:tr>
    </w:tbl>
    <w:p w14:paraId="70588F89" w14:textId="77777777" w:rsidR="00AB49B0" w:rsidRPr="00970BF0" w:rsidRDefault="00AB49B0">
      <w:pPr>
        <w:rPr>
          <w:rFonts w:ascii="Century Gothic" w:hAnsi="Century Gothic"/>
          <w:sz w:val="20"/>
          <w:szCs w:val="20"/>
        </w:rPr>
      </w:pPr>
    </w:p>
    <w:sectPr w:rsidR="00AB49B0" w:rsidRPr="00970BF0" w:rsidSect="00A078E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911C" w14:textId="77777777" w:rsidR="00A078E3" w:rsidRDefault="00A078E3" w:rsidP="00A078E3">
      <w:pPr>
        <w:spacing w:after="0" w:line="240" w:lineRule="auto"/>
      </w:pPr>
      <w:r>
        <w:separator/>
      </w:r>
    </w:p>
  </w:endnote>
  <w:endnote w:type="continuationSeparator" w:id="0">
    <w:p w14:paraId="371F0D1F" w14:textId="77777777" w:rsidR="00A078E3" w:rsidRDefault="00A078E3" w:rsidP="00A0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20341"/>
      <w:docPartObj>
        <w:docPartGallery w:val="Page Numbers (Bottom of Page)"/>
        <w:docPartUnique/>
      </w:docPartObj>
    </w:sdtPr>
    <w:sdtEndPr>
      <w:rPr>
        <w:noProof/>
      </w:rPr>
    </w:sdtEndPr>
    <w:sdtContent>
      <w:p w14:paraId="2C8FA67D" w14:textId="4C1FEE0D" w:rsidR="00AF47FA" w:rsidRDefault="00AF47FA" w:rsidP="00AF47FA">
        <w:pPr>
          <w:pStyle w:val="Footer"/>
          <w:tabs>
            <w:tab w:val="clear" w:pos="4680"/>
            <w:tab w:val="clear" w:pos="9360"/>
            <w:tab w:val="center" w:pos="4950"/>
            <w:tab w:val="right" w:pos="10710"/>
          </w:tabs>
        </w:pPr>
        <w:r>
          <w:t xml:space="preserve">Avoidance and Minimization Measures </w:t>
        </w:r>
        <w:r w:rsidR="001554F8">
          <w:t xml:space="preserve"> - See SSHCP section 5.4 “Conditions on Covered Activities”</w:t>
        </w:r>
        <w:r>
          <w:tab/>
        </w:r>
        <w:r>
          <w:fldChar w:fldCharType="begin"/>
        </w:r>
        <w:r>
          <w:instrText xml:space="preserve"> PAGE   \* MERGEFORMAT </w:instrText>
        </w:r>
        <w:r>
          <w:fldChar w:fldCharType="separate"/>
        </w:r>
        <w:r w:rsidR="00EF3A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681C" w14:textId="77777777" w:rsidR="00A078E3" w:rsidRDefault="00A078E3" w:rsidP="00A078E3">
      <w:pPr>
        <w:spacing w:after="0" w:line="240" w:lineRule="auto"/>
      </w:pPr>
      <w:r>
        <w:separator/>
      </w:r>
    </w:p>
  </w:footnote>
  <w:footnote w:type="continuationSeparator" w:id="0">
    <w:p w14:paraId="2CC51910" w14:textId="77777777" w:rsidR="00A078E3" w:rsidRDefault="00A078E3" w:rsidP="00A07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4CAA" w14:textId="77B9137F" w:rsidR="00A078E3" w:rsidRPr="00AF47FA" w:rsidRDefault="00AF47FA" w:rsidP="00AF47FA">
    <w:pPr>
      <w:tabs>
        <w:tab w:val="right" w:pos="10800"/>
      </w:tabs>
      <w:rPr>
        <w:rFonts w:cs="Calibri"/>
        <w:b/>
        <w:sz w:val="24"/>
        <w:szCs w:val="24"/>
      </w:rPr>
    </w:pPr>
    <w:r>
      <w:rPr>
        <w:rFonts w:cs="Calibri"/>
        <w:b/>
        <w:sz w:val="24"/>
        <w:szCs w:val="24"/>
      </w:rPr>
      <w:t>SSHCP Project Specific Avoidance and Minimization Measures</w:t>
    </w:r>
    <w:r>
      <w:rPr>
        <w:rFonts w:cs="Calibr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3FB1"/>
    <w:multiLevelType w:val="hybridMultilevel"/>
    <w:tmpl w:val="7B36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E218D"/>
    <w:multiLevelType w:val="hybridMultilevel"/>
    <w:tmpl w:val="ACBE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36108"/>
    <w:multiLevelType w:val="hybridMultilevel"/>
    <w:tmpl w:val="61E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F19FF"/>
    <w:multiLevelType w:val="hybridMultilevel"/>
    <w:tmpl w:val="04A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10AB3"/>
    <w:multiLevelType w:val="hybridMultilevel"/>
    <w:tmpl w:val="8DB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22B22"/>
    <w:multiLevelType w:val="hybridMultilevel"/>
    <w:tmpl w:val="CA0E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46074"/>
    <w:multiLevelType w:val="hybridMultilevel"/>
    <w:tmpl w:val="399C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707BA"/>
    <w:multiLevelType w:val="hybridMultilevel"/>
    <w:tmpl w:val="42B4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63"/>
    <w:rsid w:val="00087EAD"/>
    <w:rsid w:val="000C5263"/>
    <w:rsid w:val="000D6657"/>
    <w:rsid w:val="001554F8"/>
    <w:rsid w:val="00186B62"/>
    <w:rsid w:val="001E4574"/>
    <w:rsid w:val="002826B2"/>
    <w:rsid w:val="002A00A3"/>
    <w:rsid w:val="003534DF"/>
    <w:rsid w:val="003B72AB"/>
    <w:rsid w:val="003F71C7"/>
    <w:rsid w:val="004E3C32"/>
    <w:rsid w:val="00524926"/>
    <w:rsid w:val="005C699E"/>
    <w:rsid w:val="006222CC"/>
    <w:rsid w:val="0065297D"/>
    <w:rsid w:val="00653E2B"/>
    <w:rsid w:val="007B505B"/>
    <w:rsid w:val="00813863"/>
    <w:rsid w:val="00902D6B"/>
    <w:rsid w:val="00904A69"/>
    <w:rsid w:val="00970BF0"/>
    <w:rsid w:val="00A078E3"/>
    <w:rsid w:val="00A40292"/>
    <w:rsid w:val="00A71FA6"/>
    <w:rsid w:val="00A929CE"/>
    <w:rsid w:val="00AB49B0"/>
    <w:rsid w:val="00AE44EC"/>
    <w:rsid w:val="00AF47FA"/>
    <w:rsid w:val="00EE16EF"/>
    <w:rsid w:val="00EF3A14"/>
    <w:rsid w:val="00FB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3A8F65"/>
  <w15:chartTrackingRefBased/>
  <w15:docId w15:val="{902FF696-B68B-46AF-B2D9-B6F899BE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63"/>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C5263"/>
    <w:rPr>
      <w:rFonts w:cs="Times New Roman"/>
      <w:sz w:val="16"/>
      <w:szCs w:val="16"/>
    </w:rPr>
  </w:style>
  <w:style w:type="paragraph" w:styleId="CommentText">
    <w:name w:val="annotation text"/>
    <w:basedOn w:val="Normal"/>
    <w:link w:val="CommentTextChar"/>
    <w:uiPriority w:val="99"/>
    <w:semiHidden/>
    <w:unhideWhenUsed/>
    <w:rsid w:val="000C5263"/>
    <w:rPr>
      <w:sz w:val="20"/>
      <w:szCs w:val="20"/>
    </w:rPr>
  </w:style>
  <w:style w:type="character" w:customStyle="1" w:styleId="CommentTextChar">
    <w:name w:val="Comment Text Char"/>
    <w:basedOn w:val="DefaultParagraphFont"/>
    <w:link w:val="CommentText"/>
    <w:uiPriority w:val="99"/>
    <w:semiHidden/>
    <w:rsid w:val="000C5263"/>
    <w:rPr>
      <w:rFonts w:ascii="Calibri" w:hAnsi="Calibri"/>
    </w:rPr>
  </w:style>
  <w:style w:type="paragraph" w:styleId="BalloonText">
    <w:name w:val="Balloon Text"/>
    <w:basedOn w:val="Normal"/>
    <w:link w:val="BalloonTextChar"/>
    <w:semiHidden/>
    <w:unhideWhenUsed/>
    <w:rsid w:val="000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C5263"/>
    <w:rPr>
      <w:rFonts w:ascii="Segoe UI" w:hAnsi="Segoe UI" w:cs="Segoe UI"/>
      <w:sz w:val="18"/>
      <w:szCs w:val="18"/>
    </w:rPr>
  </w:style>
  <w:style w:type="paragraph" w:styleId="Header">
    <w:name w:val="header"/>
    <w:basedOn w:val="Normal"/>
    <w:link w:val="HeaderChar"/>
    <w:unhideWhenUsed/>
    <w:rsid w:val="00A078E3"/>
    <w:pPr>
      <w:tabs>
        <w:tab w:val="center" w:pos="4680"/>
        <w:tab w:val="right" w:pos="9360"/>
      </w:tabs>
      <w:spacing w:after="0" w:line="240" w:lineRule="auto"/>
    </w:pPr>
  </w:style>
  <w:style w:type="character" w:customStyle="1" w:styleId="HeaderChar">
    <w:name w:val="Header Char"/>
    <w:basedOn w:val="DefaultParagraphFont"/>
    <w:link w:val="Header"/>
    <w:rsid w:val="00A078E3"/>
    <w:rPr>
      <w:rFonts w:ascii="Calibri" w:hAnsi="Calibri"/>
      <w:sz w:val="22"/>
      <w:szCs w:val="22"/>
    </w:rPr>
  </w:style>
  <w:style w:type="paragraph" w:styleId="Footer">
    <w:name w:val="footer"/>
    <w:basedOn w:val="Normal"/>
    <w:link w:val="FooterChar"/>
    <w:uiPriority w:val="99"/>
    <w:unhideWhenUsed/>
    <w:rsid w:val="00A0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E3"/>
    <w:rPr>
      <w:rFonts w:ascii="Calibri" w:hAnsi="Calibri"/>
      <w:sz w:val="22"/>
      <w:szCs w:val="22"/>
    </w:rPr>
  </w:style>
  <w:style w:type="paragraph" w:customStyle="1" w:styleId="Default">
    <w:name w:val="Default"/>
    <w:rsid w:val="007B505B"/>
    <w:pPr>
      <w:autoSpaceDE w:val="0"/>
      <w:autoSpaceDN w:val="0"/>
      <w:adjustRightInd w:val="0"/>
    </w:pPr>
    <w:rPr>
      <w:color w:val="000000"/>
      <w:sz w:val="24"/>
      <w:szCs w:val="24"/>
    </w:rPr>
  </w:style>
  <w:style w:type="paragraph" w:styleId="ListParagraph">
    <w:name w:val="List Paragraph"/>
    <w:basedOn w:val="Normal"/>
    <w:uiPriority w:val="34"/>
    <w:qFormat/>
    <w:rsid w:val="003B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8366</Words>
  <Characters>48383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SacCounty.net</Company>
  <LinksUpToDate>false</LinksUpToDate>
  <CharactersWithSpaces>56636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Julie</dc:creator>
  <cp:keywords/>
  <dc:description/>
  <cp:lastModifiedBy>Steinert. Kurtis</cp:lastModifiedBy>
  <cp:revision>2</cp:revision>
  <dcterms:created xsi:type="dcterms:W3CDTF">2020-03-06T19:51:00Z</dcterms:created>
  <dcterms:modified xsi:type="dcterms:W3CDTF">2020-03-06T19:51:00Z</dcterms:modified>
</cp:coreProperties>
</file>