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E3BD" w14:textId="18C7AFD0" w:rsidR="00050461" w:rsidRPr="00777AE4" w:rsidRDefault="00050461" w:rsidP="009E3C28">
      <w:pPr>
        <w:tabs>
          <w:tab w:val="left" w:pos="900"/>
        </w:tabs>
        <w:spacing w:after="220"/>
        <w:rPr>
          <w:rFonts w:ascii="Century Gothic" w:hAnsi="Century Gothic" w:cs="Arial"/>
          <w:sz w:val="24"/>
          <w:szCs w:val="24"/>
        </w:rPr>
      </w:pPr>
      <w:r w:rsidRPr="00777AE4">
        <w:rPr>
          <w:rFonts w:ascii="Century Gothic" w:hAnsi="Century Gothic" w:cs="Arial"/>
          <w:sz w:val="24"/>
          <w:szCs w:val="24"/>
          <w:lang w:val="en-CA"/>
        </w:rPr>
        <w:fldChar w:fldCharType="begin"/>
      </w:r>
      <w:r w:rsidRPr="00777AE4">
        <w:rPr>
          <w:rFonts w:ascii="Century Gothic" w:hAnsi="Century Gothic" w:cs="Arial"/>
          <w:sz w:val="24"/>
          <w:szCs w:val="24"/>
          <w:lang w:val="en-CA"/>
        </w:rPr>
        <w:instrText xml:space="preserve"> SEQ CHAPTER \h \r 1</w:instrText>
      </w:r>
      <w:r w:rsidRPr="00777AE4">
        <w:rPr>
          <w:rFonts w:ascii="Century Gothic" w:hAnsi="Century Gothic" w:cs="Arial"/>
          <w:sz w:val="24"/>
          <w:szCs w:val="24"/>
          <w:lang w:val="en-CA"/>
        </w:rPr>
        <w:fldChar w:fldCharType="end"/>
      </w:r>
      <w:r w:rsidRPr="00777AE4">
        <w:rPr>
          <w:rFonts w:ascii="Century Gothic" w:hAnsi="Century Gothic" w:cs="Arial"/>
          <w:b/>
          <w:bCs/>
          <w:sz w:val="24"/>
          <w:szCs w:val="24"/>
        </w:rPr>
        <w:t>State of California</w:t>
      </w:r>
      <w:r w:rsidR="00777AE4" w:rsidRPr="00777AE4">
        <w:rPr>
          <w:rFonts w:ascii="Century Gothic" w:hAnsi="Century Gothic" w:cs="Arial"/>
          <w:b/>
          <w:bCs/>
          <w:sz w:val="24"/>
          <w:szCs w:val="24"/>
        </w:rPr>
        <w:br/>
      </w:r>
      <w:r w:rsidRPr="00777AE4">
        <w:rPr>
          <w:rFonts w:ascii="Century Gothic" w:hAnsi="Century Gothic" w:cs="Arial"/>
          <w:b/>
          <w:bCs/>
          <w:sz w:val="24"/>
          <w:szCs w:val="24"/>
        </w:rPr>
        <w:t xml:space="preserve">Department of Fish and </w:t>
      </w:r>
      <w:r w:rsidR="001B4276" w:rsidRPr="00777AE4">
        <w:rPr>
          <w:rFonts w:ascii="Century Gothic" w:hAnsi="Century Gothic" w:cs="Arial"/>
          <w:b/>
          <w:bCs/>
          <w:sz w:val="24"/>
          <w:szCs w:val="24"/>
        </w:rPr>
        <w:t>Wildlife</w:t>
      </w:r>
    </w:p>
    <w:p w14:paraId="7B160172" w14:textId="77777777" w:rsidR="00050461" w:rsidRPr="00777AE4" w:rsidRDefault="005A4EE8" w:rsidP="009E3C28">
      <w:pPr>
        <w:tabs>
          <w:tab w:val="left" w:pos="900"/>
        </w:tabs>
        <w:spacing w:after="220"/>
        <w:jc w:val="both"/>
        <w:rPr>
          <w:rFonts w:ascii="Century Gothic" w:hAnsi="Century Gothic" w:cs="Univers"/>
          <w:spacing w:val="60"/>
          <w:sz w:val="36"/>
          <w:szCs w:val="36"/>
        </w:rPr>
      </w:pPr>
      <w:r w:rsidRPr="00777AE4">
        <w:rPr>
          <w:rFonts w:ascii="Century Gothic" w:hAnsi="Century Gothic" w:cs="Univers"/>
          <w:b/>
          <w:bCs/>
          <w:spacing w:val="60"/>
          <w:sz w:val="36"/>
          <w:szCs w:val="36"/>
        </w:rPr>
        <w:t>Memorandu</w:t>
      </w:r>
      <w:r w:rsidR="00050461" w:rsidRPr="00777AE4">
        <w:rPr>
          <w:rFonts w:ascii="Century Gothic" w:hAnsi="Century Gothic" w:cs="Univers"/>
          <w:b/>
          <w:bCs/>
          <w:spacing w:val="60"/>
          <w:sz w:val="36"/>
          <w:szCs w:val="36"/>
        </w:rPr>
        <w:t>m</w:t>
      </w:r>
    </w:p>
    <w:p w14:paraId="0B3A2B7F" w14:textId="5B830BBC" w:rsidR="00050461" w:rsidRPr="00777AE4" w:rsidRDefault="00050461" w:rsidP="009E3C28">
      <w:pPr>
        <w:tabs>
          <w:tab w:val="left" w:pos="900"/>
          <w:tab w:val="left" w:pos="8940"/>
        </w:tabs>
        <w:spacing w:after="220"/>
        <w:rPr>
          <w:rFonts w:ascii="Century Gothic" w:hAnsi="Century Gothic" w:cs="Arial"/>
          <w:sz w:val="22"/>
          <w:szCs w:val="22"/>
          <w:lang w:val="es-MX"/>
        </w:rPr>
      </w:pPr>
      <w:r w:rsidRPr="00777AE4">
        <w:rPr>
          <w:rFonts w:ascii="Century Gothic" w:hAnsi="Century Gothic" w:cs="Arial"/>
          <w:b/>
          <w:sz w:val="22"/>
          <w:szCs w:val="22"/>
          <w:lang w:val="es-MX"/>
        </w:rPr>
        <w:t>Date:</w:t>
      </w:r>
      <w:r w:rsidRPr="00777AE4">
        <w:rPr>
          <w:rFonts w:ascii="Century Gothic" w:hAnsi="Century Gothic" w:cs="Arial"/>
          <w:sz w:val="22"/>
          <w:szCs w:val="22"/>
          <w:lang w:val="es-MX"/>
        </w:rPr>
        <w:t xml:space="preserve"> </w:t>
      </w:r>
      <w:r w:rsidRPr="00777AE4">
        <w:rPr>
          <w:rFonts w:ascii="Century Gothic" w:hAnsi="Century Gothic" w:cs="Arial"/>
          <w:sz w:val="22"/>
          <w:szCs w:val="22"/>
          <w:lang w:val="es-MX"/>
        </w:rPr>
        <w:tab/>
      </w:r>
      <w:r w:rsidR="00974A10">
        <w:rPr>
          <w:rFonts w:ascii="Century Gothic" w:hAnsi="Century Gothic" w:cs="Arial"/>
          <w:sz w:val="22"/>
          <w:szCs w:val="22"/>
        </w:rPr>
        <w:t>March</w:t>
      </w:r>
      <w:r w:rsidR="00777AE4" w:rsidRPr="00777AE4">
        <w:rPr>
          <w:rFonts w:ascii="Century Gothic" w:hAnsi="Century Gothic" w:cs="Arial"/>
          <w:sz w:val="22"/>
          <w:szCs w:val="22"/>
          <w:lang w:val="es-MX"/>
        </w:rPr>
        <w:t xml:space="preserve"> </w:t>
      </w:r>
      <w:r w:rsidR="00B1136D">
        <w:rPr>
          <w:rFonts w:ascii="Century Gothic" w:hAnsi="Century Gothic" w:cs="Arial"/>
          <w:sz w:val="22"/>
          <w:szCs w:val="22"/>
          <w:lang w:val="es-MX"/>
        </w:rPr>
        <w:t>10</w:t>
      </w:r>
      <w:r w:rsidR="00777AE4" w:rsidRPr="00777AE4">
        <w:rPr>
          <w:rFonts w:ascii="Century Gothic" w:hAnsi="Century Gothic" w:cs="Arial"/>
          <w:sz w:val="22"/>
          <w:szCs w:val="22"/>
          <w:lang w:val="es-MX"/>
        </w:rPr>
        <w:t>, 2023</w:t>
      </w:r>
    </w:p>
    <w:p w14:paraId="71D84D8F" w14:textId="2181CB75" w:rsidR="00050461" w:rsidRPr="00777AE4" w:rsidRDefault="00050461" w:rsidP="009E3C28">
      <w:pPr>
        <w:tabs>
          <w:tab w:val="left" w:pos="900"/>
        </w:tabs>
        <w:spacing w:after="220"/>
        <w:rPr>
          <w:rFonts w:ascii="Century Gothic" w:hAnsi="Century Gothic" w:cs="Arial"/>
          <w:sz w:val="22"/>
          <w:szCs w:val="22"/>
        </w:rPr>
      </w:pPr>
      <w:r w:rsidRPr="00777AE4">
        <w:rPr>
          <w:rFonts w:ascii="Century Gothic" w:hAnsi="Century Gothic" w:cs="Arial"/>
          <w:b/>
          <w:bCs/>
          <w:sz w:val="22"/>
          <w:szCs w:val="22"/>
        </w:rPr>
        <w:t>To:</w:t>
      </w:r>
      <w:bookmarkStart w:id="0" w:name="BM1"/>
      <w:r w:rsidRPr="00777AE4">
        <w:rPr>
          <w:rFonts w:ascii="Century Gothic" w:hAnsi="Century Gothic" w:cs="Univers"/>
          <w:b/>
          <w:bCs/>
          <w:sz w:val="22"/>
          <w:szCs w:val="22"/>
        </w:rPr>
        <w:tab/>
      </w:r>
      <w:bookmarkEnd w:id="0"/>
      <w:r w:rsidR="00424C40">
        <w:rPr>
          <w:rFonts w:ascii="Century Gothic" w:hAnsi="Century Gothic" w:cs="Arial"/>
          <w:sz w:val="22"/>
          <w:szCs w:val="22"/>
        </w:rPr>
        <w:t xml:space="preserve">Michelle </w:t>
      </w:r>
      <w:proofErr w:type="spellStart"/>
      <w:r w:rsidR="00424C40">
        <w:rPr>
          <w:rFonts w:ascii="Century Gothic" w:hAnsi="Century Gothic" w:cs="Arial"/>
          <w:sz w:val="22"/>
          <w:szCs w:val="22"/>
        </w:rPr>
        <w:t>Selmon</w:t>
      </w:r>
      <w:proofErr w:type="spellEnd"/>
      <w:r w:rsidR="00777AE4" w:rsidRPr="00777AE4">
        <w:rPr>
          <w:rFonts w:ascii="Century Gothic" w:hAnsi="Century Gothic" w:cs="Arial"/>
          <w:sz w:val="22"/>
          <w:szCs w:val="22"/>
        </w:rPr>
        <w:br/>
      </w:r>
      <w:r w:rsidRPr="00777AE4">
        <w:rPr>
          <w:rFonts w:ascii="Century Gothic" w:hAnsi="Century Gothic" w:cs="Arial"/>
          <w:sz w:val="22"/>
          <w:szCs w:val="22"/>
        </w:rPr>
        <w:tab/>
      </w:r>
      <w:r w:rsidR="00424C40">
        <w:rPr>
          <w:rFonts w:ascii="Century Gothic" w:hAnsi="Century Gothic" w:cs="Arial"/>
          <w:sz w:val="22"/>
          <w:szCs w:val="22"/>
        </w:rPr>
        <w:t>Lands Program Manager</w:t>
      </w:r>
      <w:r w:rsidR="00777AE4" w:rsidRPr="00777AE4">
        <w:rPr>
          <w:rFonts w:ascii="Century Gothic" w:hAnsi="Century Gothic" w:cs="Arial"/>
          <w:sz w:val="22"/>
          <w:szCs w:val="22"/>
        </w:rPr>
        <w:br/>
      </w:r>
      <w:r w:rsidRPr="00777AE4">
        <w:rPr>
          <w:rFonts w:ascii="Century Gothic" w:hAnsi="Century Gothic" w:cs="Arial"/>
          <w:sz w:val="22"/>
          <w:szCs w:val="22"/>
        </w:rPr>
        <w:tab/>
        <w:t xml:space="preserve">Department of Fish and </w:t>
      </w:r>
      <w:r w:rsidR="001B4276" w:rsidRPr="00777AE4">
        <w:rPr>
          <w:rFonts w:ascii="Century Gothic" w:hAnsi="Century Gothic" w:cs="Arial"/>
          <w:sz w:val="22"/>
          <w:szCs w:val="22"/>
        </w:rPr>
        <w:t>Wildlife</w:t>
      </w:r>
    </w:p>
    <w:p w14:paraId="36F3043F" w14:textId="1DE41DEF" w:rsidR="00050461" w:rsidRPr="00777AE4" w:rsidRDefault="00050461" w:rsidP="009E3C28">
      <w:pPr>
        <w:tabs>
          <w:tab w:val="left" w:pos="900"/>
        </w:tabs>
        <w:spacing w:after="220"/>
        <w:rPr>
          <w:rFonts w:ascii="Century Gothic" w:hAnsi="Century Gothic" w:cs="Arial"/>
          <w:bCs/>
          <w:sz w:val="22"/>
          <w:szCs w:val="22"/>
        </w:rPr>
      </w:pPr>
      <w:r w:rsidRPr="00777AE4">
        <w:rPr>
          <w:rFonts w:ascii="Century Gothic" w:hAnsi="Century Gothic" w:cs="Arial"/>
          <w:b/>
          <w:bCs/>
          <w:sz w:val="22"/>
          <w:szCs w:val="22"/>
        </w:rPr>
        <w:t>From:</w:t>
      </w:r>
      <w:r w:rsidRPr="00777AE4">
        <w:rPr>
          <w:rFonts w:ascii="Century Gothic" w:hAnsi="Century Gothic" w:cs="Arial"/>
          <w:bCs/>
          <w:sz w:val="22"/>
          <w:szCs w:val="22"/>
        </w:rPr>
        <w:tab/>
      </w:r>
      <w:r w:rsidR="00777AE4">
        <w:rPr>
          <w:rFonts w:ascii="Century Gothic" w:hAnsi="Century Gothic" w:cs="Arial"/>
          <w:bCs/>
          <w:sz w:val="22"/>
          <w:szCs w:val="22"/>
        </w:rPr>
        <w:t>Jeffrey Shu</w:t>
      </w:r>
      <w:r w:rsidR="00777AE4" w:rsidRPr="00777AE4">
        <w:rPr>
          <w:rFonts w:ascii="Century Gothic" w:hAnsi="Century Gothic" w:cs="Arial"/>
          <w:bCs/>
          <w:sz w:val="22"/>
          <w:szCs w:val="22"/>
        </w:rPr>
        <w:br/>
      </w:r>
      <w:r w:rsidRPr="00777AE4">
        <w:rPr>
          <w:rFonts w:ascii="Century Gothic" w:hAnsi="Century Gothic" w:cs="Arial"/>
          <w:bCs/>
          <w:sz w:val="22"/>
          <w:szCs w:val="22"/>
        </w:rPr>
        <w:tab/>
      </w:r>
      <w:r w:rsidR="00777AE4">
        <w:rPr>
          <w:rFonts w:ascii="Century Gothic" w:hAnsi="Century Gothic" w:cs="Arial"/>
          <w:bCs/>
          <w:sz w:val="22"/>
          <w:szCs w:val="22"/>
        </w:rPr>
        <w:t>Wetland Water Resources Coordinator</w:t>
      </w:r>
    </w:p>
    <w:p w14:paraId="0C9F57EF" w14:textId="3922071D" w:rsidR="00050461" w:rsidRPr="00777AE4" w:rsidRDefault="00050461" w:rsidP="009E3C28">
      <w:pPr>
        <w:tabs>
          <w:tab w:val="left" w:pos="900"/>
        </w:tabs>
        <w:spacing w:after="220"/>
        <w:rPr>
          <w:rFonts w:ascii="Century Gothic" w:hAnsi="Century Gothic" w:cs="Arial"/>
          <w:sz w:val="22"/>
          <w:szCs w:val="22"/>
        </w:rPr>
      </w:pPr>
      <w:r w:rsidRPr="00777AE4">
        <w:rPr>
          <w:rFonts w:ascii="Century Gothic" w:hAnsi="Century Gothic" w:cs="Univers"/>
          <w:b/>
          <w:bCs/>
          <w:sz w:val="22"/>
          <w:szCs w:val="22"/>
        </w:rPr>
        <w:t>Su</w:t>
      </w:r>
      <w:bookmarkStart w:id="1" w:name="BM_1_"/>
      <w:bookmarkEnd w:id="1"/>
      <w:r w:rsidRPr="00777AE4">
        <w:rPr>
          <w:rFonts w:ascii="Century Gothic" w:hAnsi="Century Gothic" w:cs="Univers"/>
          <w:b/>
          <w:bCs/>
          <w:sz w:val="22"/>
          <w:szCs w:val="22"/>
        </w:rPr>
        <w:t>bject:</w:t>
      </w:r>
      <w:bookmarkStart w:id="2" w:name="BM6"/>
      <w:r w:rsidRPr="00777AE4">
        <w:rPr>
          <w:rFonts w:ascii="Century Gothic" w:hAnsi="Century Gothic" w:cs="Univers"/>
          <w:b/>
          <w:bCs/>
          <w:sz w:val="22"/>
          <w:szCs w:val="22"/>
        </w:rPr>
        <w:tab/>
      </w:r>
      <w:bookmarkEnd w:id="2"/>
      <w:r w:rsidR="00777AE4" w:rsidRPr="00777AE4">
        <w:rPr>
          <w:rFonts w:ascii="Century Gothic" w:hAnsi="Century Gothic" w:cs="Arial"/>
          <w:b/>
          <w:sz w:val="22"/>
          <w:szCs w:val="22"/>
        </w:rPr>
        <w:t>Sutter National Wildlife Refuge Lift Station Project Tribal Monitoring</w:t>
      </w:r>
    </w:p>
    <w:p w14:paraId="04D05CF4" w14:textId="10544180" w:rsidR="00777AE4" w:rsidRPr="00777AE4" w:rsidRDefault="00777AE4" w:rsidP="009E3C28">
      <w:pPr>
        <w:spacing w:after="220"/>
        <w:rPr>
          <w:rFonts w:ascii="Century Gothic" w:hAnsi="Century Gothic"/>
          <w:sz w:val="22"/>
          <w:szCs w:val="22"/>
        </w:rPr>
      </w:pPr>
      <w:r w:rsidRPr="00777AE4">
        <w:rPr>
          <w:rFonts w:ascii="Century Gothic" w:hAnsi="Century Gothic"/>
          <w:sz w:val="22"/>
          <w:szCs w:val="22"/>
        </w:rPr>
        <w:t xml:space="preserve">This memorandum documents </w:t>
      </w:r>
      <w:r w:rsidR="00EB57D8">
        <w:rPr>
          <w:rFonts w:ascii="Century Gothic" w:hAnsi="Century Gothic"/>
          <w:sz w:val="22"/>
          <w:szCs w:val="22"/>
        </w:rPr>
        <w:t xml:space="preserve">California </w:t>
      </w:r>
      <w:r w:rsidR="00C7638E">
        <w:rPr>
          <w:rFonts w:ascii="Century Gothic" w:hAnsi="Century Gothic"/>
          <w:sz w:val="22"/>
          <w:szCs w:val="22"/>
        </w:rPr>
        <w:t>Department of Fish and Wi</w:t>
      </w:r>
      <w:r w:rsidR="0032763D">
        <w:rPr>
          <w:rFonts w:ascii="Century Gothic" w:hAnsi="Century Gothic"/>
          <w:sz w:val="22"/>
          <w:szCs w:val="22"/>
        </w:rPr>
        <w:t>l</w:t>
      </w:r>
      <w:r w:rsidR="00C7638E">
        <w:rPr>
          <w:rFonts w:ascii="Century Gothic" w:hAnsi="Century Gothic"/>
          <w:sz w:val="22"/>
          <w:szCs w:val="22"/>
        </w:rPr>
        <w:t xml:space="preserve">dlife’s </w:t>
      </w:r>
      <w:r w:rsidR="0032763D">
        <w:rPr>
          <w:rFonts w:ascii="Century Gothic" w:hAnsi="Century Gothic"/>
          <w:sz w:val="22"/>
          <w:szCs w:val="22"/>
        </w:rPr>
        <w:t xml:space="preserve">California Environmental Quality Act (CEQA) </w:t>
      </w:r>
      <w:r w:rsidR="000801D2">
        <w:rPr>
          <w:rFonts w:ascii="Century Gothic" w:hAnsi="Century Gothic"/>
          <w:sz w:val="22"/>
          <w:szCs w:val="22"/>
        </w:rPr>
        <w:t xml:space="preserve">lead agency consideration of </w:t>
      </w:r>
      <w:r w:rsidRPr="00777AE4">
        <w:rPr>
          <w:rFonts w:ascii="Century Gothic" w:hAnsi="Century Gothic"/>
          <w:sz w:val="22"/>
          <w:szCs w:val="22"/>
        </w:rPr>
        <w:t xml:space="preserve">the United Auburn Indian Community of the Auburn Rancheria (UAIC) </w:t>
      </w:r>
      <w:r w:rsidR="000801D2">
        <w:rPr>
          <w:rFonts w:ascii="Century Gothic" w:hAnsi="Century Gothic"/>
          <w:sz w:val="22"/>
          <w:szCs w:val="22"/>
        </w:rPr>
        <w:t xml:space="preserve">informing </w:t>
      </w:r>
      <w:r w:rsidR="000962E5">
        <w:rPr>
          <w:rFonts w:ascii="Century Gothic" w:hAnsi="Century Gothic"/>
          <w:sz w:val="22"/>
          <w:szCs w:val="22"/>
        </w:rPr>
        <w:t xml:space="preserve">us </w:t>
      </w:r>
      <w:r w:rsidRPr="00777AE4">
        <w:rPr>
          <w:rFonts w:ascii="Century Gothic" w:hAnsi="Century Gothic"/>
          <w:sz w:val="22"/>
          <w:szCs w:val="22"/>
        </w:rPr>
        <w:t>that tribal monitoring</w:t>
      </w:r>
      <w:r w:rsidR="00FB25B9">
        <w:rPr>
          <w:rFonts w:ascii="Century Gothic" w:hAnsi="Century Gothic"/>
          <w:sz w:val="22"/>
          <w:szCs w:val="22"/>
        </w:rPr>
        <w:t xml:space="preserve"> is no longer necessary</w:t>
      </w:r>
      <w:r w:rsidR="00B90E34">
        <w:rPr>
          <w:rFonts w:ascii="Century Gothic" w:hAnsi="Century Gothic"/>
          <w:sz w:val="22"/>
          <w:szCs w:val="22"/>
        </w:rPr>
        <w:t xml:space="preserve">, </w:t>
      </w:r>
      <w:r w:rsidR="00FB3F80">
        <w:rPr>
          <w:rFonts w:ascii="Century Gothic" w:hAnsi="Century Gothic"/>
          <w:sz w:val="22"/>
          <w:szCs w:val="22"/>
        </w:rPr>
        <w:t>a measure</w:t>
      </w:r>
      <w:r w:rsidR="00FD55D0">
        <w:rPr>
          <w:rFonts w:ascii="Century Gothic" w:hAnsi="Century Gothic"/>
          <w:sz w:val="22"/>
          <w:szCs w:val="22"/>
        </w:rPr>
        <w:t xml:space="preserve"> 1</w:t>
      </w:r>
      <w:r w:rsidR="00FB3F80">
        <w:rPr>
          <w:rFonts w:ascii="Century Gothic" w:hAnsi="Century Gothic"/>
          <w:sz w:val="22"/>
          <w:szCs w:val="22"/>
        </w:rPr>
        <w:t xml:space="preserve"> California Department of Fish and Wildlife (CDFW) </w:t>
      </w:r>
      <w:r w:rsidR="009B60F1">
        <w:rPr>
          <w:rFonts w:ascii="Century Gothic" w:hAnsi="Century Gothic"/>
          <w:sz w:val="22"/>
          <w:szCs w:val="22"/>
        </w:rPr>
        <w:t xml:space="preserve">identified in the </w:t>
      </w:r>
      <w:r w:rsidR="00513196" w:rsidRPr="00777AE4">
        <w:rPr>
          <w:rFonts w:ascii="Century Gothic" w:hAnsi="Century Gothic"/>
          <w:sz w:val="22"/>
          <w:szCs w:val="22"/>
        </w:rPr>
        <w:t xml:space="preserve">Sutter National Wildlife Refuge Lift Station Project </w:t>
      </w:r>
      <w:r w:rsidR="00513196">
        <w:rPr>
          <w:rFonts w:ascii="Century Gothic" w:hAnsi="Century Gothic"/>
          <w:sz w:val="22"/>
          <w:szCs w:val="22"/>
        </w:rPr>
        <w:t xml:space="preserve">(Project) </w:t>
      </w:r>
      <w:r w:rsidR="009B60F1">
        <w:rPr>
          <w:rFonts w:ascii="Century Gothic" w:hAnsi="Century Gothic"/>
          <w:sz w:val="22"/>
          <w:szCs w:val="22"/>
        </w:rPr>
        <w:t>Mitigated Negative Declaration</w:t>
      </w:r>
      <w:r w:rsidR="007E614C">
        <w:rPr>
          <w:rFonts w:ascii="Century Gothic" w:hAnsi="Century Gothic"/>
          <w:sz w:val="22"/>
          <w:szCs w:val="22"/>
        </w:rPr>
        <w:t xml:space="preserve"> (MND)</w:t>
      </w:r>
      <w:r w:rsidR="009B60F1">
        <w:rPr>
          <w:rFonts w:ascii="Century Gothic" w:hAnsi="Century Gothic"/>
          <w:sz w:val="22"/>
          <w:szCs w:val="22"/>
        </w:rPr>
        <w:t xml:space="preserve"> </w:t>
      </w:r>
      <w:r w:rsidR="00EE3F59">
        <w:rPr>
          <w:rFonts w:ascii="Century Gothic" w:hAnsi="Century Gothic"/>
          <w:sz w:val="22"/>
          <w:szCs w:val="22"/>
        </w:rPr>
        <w:t>and inclu</w:t>
      </w:r>
      <w:r w:rsidR="003079B3">
        <w:rPr>
          <w:rFonts w:ascii="Century Gothic" w:hAnsi="Century Gothic"/>
          <w:sz w:val="22"/>
          <w:szCs w:val="22"/>
        </w:rPr>
        <w:t xml:space="preserve">ded in the </w:t>
      </w:r>
      <w:r w:rsidR="00F17298">
        <w:rPr>
          <w:rFonts w:ascii="Century Gothic" w:hAnsi="Century Gothic"/>
          <w:sz w:val="22"/>
          <w:szCs w:val="22"/>
        </w:rPr>
        <w:t>Mitigation Monitoring and Reporting Plan</w:t>
      </w:r>
      <w:r w:rsidR="00EF55A3">
        <w:rPr>
          <w:rFonts w:ascii="Century Gothic" w:hAnsi="Century Gothic"/>
          <w:sz w:val="22"/>
          <w:szCs w:val="22"/>
        </w:rPr>
        <w:t xml:space="preserve"> (</w:t>
      </w:r>
      <w:r w:rsidR="003079B3">
        <w:rPr>
          <w:rFonts w:ascii="Century Gothic" w:hAnsi="Century Gothic"/>
          <w:sz w:val="22"/>
          <w:szCs w:val="22"/>
        </w:rPr>
        <w:t>MMRP</w:t>
      </w:r>
      <w:r w:rsidR="00EF55A3">
        <w:rPr>
          <w:rFonts w:ascii="Century Gothic" w:hAnsi="Century Gothic"/>
          <w:sz w:val="22"/>
          <w:szCs w:val="22"/>
        </w:rPr>
        <w:t>)</w:t>
      </w:r>
      <w:r w:rsidR="00BE670D">
        <w:rPr>
          <w:rFonts w:ascii="Century Gothic" w:hAnsi="Century Gothic"/>
          <w:sz w:val="22"/>
          <w:szCs w:val="22"/>
        </w:rPr>
        <w:t xml:space="preserve"> </w:t>
      </w:r>
      <w:r w:rsidR="00F51382">
        <w:rPr>
          <w:rFonts w:ascii="Century Gothic" w:hAnsi="Century Gothic"/>
          <w:sz w:val="22"/>
          <w:szCs w:val="22"/>
        </w:rPr>
        <w:t xml:space="preserve">as TCR-1 </w:t>
      </w:r>
      <w:r w:rsidR="00BE670D">
        <w:rPr>
          <w:rFonts w:ascii="Century Gothic" w:hAnsi="Century Gothic"/>
          <w:sz w:val="22"/>
          <w:szCs w:val="22"/>
        </w:rPr>
        <w:t>when the Project was approved in 2019</w:t>
      </w:r>
      <w:r w:rsidRPr="00777AE4">
        <w:rPr>
          <w:rFonts w:ascii="Century Gothic" w:hAnsi="Century Gothic"/>
          <w:sz w:val="22"/>
          <w:szCs w:val="22"/>
        </w:rPr>
        <w:t>.</w:t>
      </w:r>
      <w:r w:rsidR="0092492B">
        <w:rPr>
          <w:rFonts w:ascii="Century Gothic" w:hAnsi="Century Gothic"/>
          <w:sz w:val="22"/>
          <w:szCs w:val="22"/>
        </w:rPr>
        <w:t xml:space="preserve"> </w:t>
      </w:r>
      <w:r w:rsidR="00554ADD">
        <w:rPr>
          <w:rFonts w:ascii="Century Gothic" w:hAnsi="Century Gothic"/>
          <w:sz w:val="22"/>
          <w:szCs w:val="22"/>
        </w:rPr>
        <w:t xml:space="preserve">CDFW was informed of </w:t>
      </w:r>
      <w:r w:rsidR="00C42442">
        <w:rPr>
          <w:rFonts w:ascii="Century Gothic" w:hAnsi="Century Gothic"/>
          <w:sz w:val="22"/>
          <w:szCs w:val="22"/>
        </w:rPr>
        <w:t xml:space="preserve">UAIC’s decision to remove tribal monitoring through email via </w:t>
      </w:r>
      <w:r w:rsidR="0090023F" w:rsidRPr="00777AE4">
        <w:rPr>
          <w:rFonts w:ascii="Century Gothic" w:hAnsi="Century Gothic"/>
          <w:sz w:val="22"/>
          <w:szCs w:val="22"/>
        </w:rPr>
        <w:t xml:space="preserve">U.S. Fish and Wildlife Service </w:t>
      </w:r>
      <w:r w:rsidR="0090023F">
        <w:rPr>
          <w:rFonts w:ascii="Century Gothic" w:hAnsi="Century Gothic"/>
          <w:sz w:val="22"/>
          <w:szCs w:val="22"/>
        </w:rPr>
        <w:t>(</w:t>
      </w:r>
      <w:r w:rsidR="00AD0A0D">
        <w:rPr>
          <w:rFonts w:ascii="Century Gothic" w:hAnsi="Century Gothic"/>
          <w:sz w:val="22"/>
          <w:szCs w:val="22"/>
        </w:rPr>
        <w:t>FWS</w:t>
      </w:r>
      <w:r w:rsidR="0090023F">
        <w:rPr>
          <w:rFonts w:ascii="Century Gothic" w:hAnsi="Century Gothic"/>
          <w:sz w:val="22"/>
          <w:szCs w:val="22"/>
        </w:rPr>
        <w:t>)</w:t>
      </w:r>
      <w:r w:rsidR="001608B2">
        <w:rPr>
          <w:rFonts w:ascii="Century Gothic" w:hAnsi="Century Gothic"/>
          <w:sz w:val="22"/>
          <w:szCs w:val="22"/>
        </w:rPr>
        <w:t xml:space="preserve"> on November 1, 2022.</w:t>
      </w:r>
      <w:r w:rsidR="00D17B13">
        <w:rPr>
          <w:rFonts w:ascii="Century Gothic" w:hAnsi="Century Gothic"/>
          <w:sz w:val="22"/>
          <w:szCs w:val="22"/>
        </w:rPr>
        <w:t xml:space="preserve"> CDFW </w:t>
      </w:r>
      <w:r w:rsidR="008770C3">
        <w:rPr>
          <w:rFonts w:ascii="Century Gothic" w:hAnsi="Century Gothic"/>
          <w:sz w:val="22"/>
          <w:szCs w:val="22"/>
        </w:rPr>
        <w:t xml:space="preserve">does not </w:t>
      </w:r>
      <w:r w:rsidR="00D17B13">
        <w:rPr>
          <w:rFonts w:ascii="Century Gothic" w:hAnsi="Century Gothic"/>
          <w:sz w:val="22"/>
          <w:szCs w:val="22"/>
        </w:rPr>
        <w:t xml:space="preserve">believe removing </w:t>
      </w:r>
      <w:r w:rsidR="007E614C">
        <w:rPr>
          <w:rFonts w:ascii="Century Gothic" w:hAnsi="Century Gothic"/>
          <w:sz w:val="22"/>
          <w:szCs w:val="22"/>
        </w:rPr>
        <w:t xml:space="preserve">the tribal monitoring </w:t>
      </w:r>
      <w:r w:rsidR="00D17B13">
        <w:rPr>
          <w:rFonts w:ascii="Century Gothic" w:hAnsi="Century Gothic"/>
          <w:sz w:val="22"/>
          <w:szCs w:val="22"/>
        </w:rPr>
        <w:t xml:space="preserve">requirement will </w:t>
      </w:r>
      <w:r w:rsidR="007E614C">
        <w:rPr>
          <w:rFonts w:ascii="Century Gothic" w:hAnsi="Century Gothic"/>
          <w:sz w:val="22"/>
          <w:szCs w:val="22"/>
        </w:rPr>
        <w:t>result in any new significant or substantially more sever environmental effects than previously disclosed in the MND</w:t>
      </w:r>
      <w:r w:rsidR="005F634E">
        <w:rPr>
          <w:rFonts w:ascii="Century Gothic" w:hAnsi="Century Gothic"/>
          <w:sz w:val="22"/>
          <w:szCs w:val="22"/>
        </w:rPr>
        <w:t xml:space="preserve"> that CDFW adopted in 2019 when it approved the Project as a lead agency under</w:t>
      </w:r>
      <w:r w:rsidR="00041436">
        <w:rPr>
          <w:rFonts w:ascii="Century Gothic" w:hAnsi="Century Gothic"/>
          <w:sz w:val="22"/>
          <w:szCs w:val="22"/>
        </w:rPr>
        <w:t xml:space="preserve"> </w:t>
      </w:r>
      <w:r w:rsidR="00895BF4" w:rsidRPr="00777AE4">
        <w:rPr>
          <w:rFonts w:ascii="Century Gothic" w:hAnsi="Century Gothic"/>
          <w:sz w:val="22"/>
          <w:szCs w:val="22"/>
        </w:rPr>
        <w:t>CEQA</w:t>
      </w:r>
      <w:r w:rsidR="005F634E">
        <w:rPr>
          <w:rFonts w:ascii="Century Gothic" w:hAnsi="Century Gothic"/>
          <w:sz w:val="22"/>
          <w:szCs w:val="22"/>
        </w:rPr>
        <w:t>.</w:t>
      </w:r>
    </w:p>
    <w:p w14:paraId="488AA9E6" w14:textId="4E98FE66" w:rsidR="00777AE4" w:rsidRPr="00777AE4" w:rsidRDefault="00777AE4" w:rsidP="009E3C28">
      <w:pPr>
        <w:spacing w:after="220"/>
        <w:rPr>
          <w:rFonts w:ascii="Century Gothic" w:hAnsi="Century Gothic"/>
          <w:sz w:val="22"/>
          <w:szCs w:val="22"/>
        </w:rPr>
      </w:pPr>
      <w:r w:rsidRPr="00777AE4">
        <w:rPr>
          <w:rFonts w:ascii="Century Gothic" w:hAnsi="Century Gothic"/>
          <w:sz w:val="22"/>
          <w:szCs w:val="22"/>
        </w:rPr>
        <w:t xml:space="preserve">U.S. Bureau of Reclamation (Reclamation) and </w:t>
      </w:r>
      <w:r w:rsidR="0090023F">
        <w:rPr>
          <w:rFonts w:ascii="Century Gothic" w:hAnsi="Century Gothic"/>
          <w:sz w:val="22"/>
          <w:szCs w:val="22"/>
        </w:rPr>
        <w:t xml:space="preserve">CDFW </w:t>
      </w:r>
      <w:r w:rsidRPr="00777AE4">
        <w:rPr>
          <w:rFonts w:ascii="Century Gothic" w:hAnsi="Century Gothic"/>
          <w:sz w:val="22"/>
          <w:szCs w:val="22"/>
        </w:rPr>
        <w:t xml:space="preserve">are lead federal and state agencies for </w:t>
      </w:r>
      <w:r w:rsidR="000161EF">
        <w:rPr>
          <w:rFonts w:ascii="Century Gothic" w:hAnsi="Century Gothic"/>
          <w:sz w:val="22"/>
          <w:szCs w:val="22"/>
        </w:rPr>
        <w:t xml:space="preserve">the </w:t>
      </w:r>
      <w:r w:rsidRPr="00777AE4">
        <w:rPr>
          <w:rFonts w:ascii="Century Gothic" w:hAnsi="Century Gothic"/>
          <w:sz w:val="22"/>
          <w:szCs w:val="22"/>
        </w:rPr>
        <w:t xml:space="preserve">National Environmental Policy Act (NEPA) and CEQA, respectively. Reclamation and its partners, the FWS and Ducks Unlimited (DU), </w:t>
      </w:r>
      <w:r w:rsidR="00774BB4">
        <w:rPr>
          <w:rFonts w:ascii="Century Gothic" w:hAnsi="Century Gothic"/>
          <w:sz w:val="22"/>
          <w:szCs w:val="22"/>
        </w:rPr>
        <w:t>are constructing the Project</w:t>
      </w:r>
      <w:r w:rsidRPr="00777AE4">
        <w:rPr>
          <w:rFonts w:ascii="Century Gothic" w:hAnsi="Century Gothic"/>
          <w:sz w:val="22"/>
          <w:szCs w:val="22"/>
        </w:rPr>
        <w:t xml:space="preserve">. The Project would further the goals and objectives of the Central Valley Project Improvement Act (CVPIA) Refuge Water Supply Program by improving refuge water availability and capacity for Level 2 and Incremental Level 4 water supplies at the </w:t>
      </w:r>
      <w:r w:rsidR="00AE2CF2">
        <w:rPr>
          <w:rFonts w:ascii="Century Gothic" w:hAnsi="Century Gothic"/>
          <w:sz w:val="22"/>
          <w:szCs w:val="22"/>
        </w:rPr>
        <w:t>Sutter National Wildlife Refuge (</w:t>
      </w:r>
      <w:r w:rsidRPr="00777AE4">
        <w:rPr>
          <w:rFonts w:ascii="Century Gothic" w:hAnsi="Century Gothic"/>
          <w:sz w:val="22"/>
          <w:szCs w:val="22"/>
        </w:rPr>
        <w:t>SNWR</w:t>
      </w:r>
      <w:r w:rsidR="00AE2CF2">
        <w:rPr>
          <w:rFonts w:ascii="Century Gothic" w:hAnsi="Century Gothic"/>
          <w:sz w:val="22"/>
          <w:szCs w:val="22"/>
        </w:rPr>
        <w:t>)</w:t>
      </w:r>
      <w:r w:rsidRPr="00777AE4">
        <w:rPr>
          <w:rFonts w:ascii="Century Gothic" w:hAnsi="Century Gothic"/>
          <w:sz w:val="22"/>
          <w:szCs w:val="22"/>
        </w:rPr>
        <w:t>.</w:t>
      </w:r>
    </w:p>
    <w:p w14:paraId="0AA4AB4F" w14:textId="4FB0CFCF" w:rsidR="00777AE4" w:rsidRPr="00777AE4" w:rsidRDefault="00777AE4" w:rsidP="009E3C28">
      <w:pPr>
        <w:spacing w:after="220"/>
        <w:rPr>
          <w:rFonts w:ascii="Century Gothic" w:hAnsi="Century Gothic"/>
          <w:sz w:val="22"/>
          <w:szCs w:val="22"/>
        </w:rPr>
      </w:pPr>
      <w:r w:rsidRPr="00777AE4">
        <w:rPr>
          <w:rFonts w:ascii="Century Gothic" w:hAnsi="Century Gothic"/>
          <w:sz w:val="22"/>
          <w:szCs w:val="22"/>
        </w:rPr>
        <w:t xml:space="preserve">This change to no longer </w:t>
      </w:r>
      <w:r w:rsidR="00547DB2">
        <w:rPr>
          <w:rFonts w:ascii="Century Gothic" w:hAnsi="Century Gothic"/>
          <w:sz w:val="22"/>
          <w:szCs w:val="22"/>
        </w:rPr>
        <w:t>include</w:t>
      </w:r>
      <w:r w:rsidR="00547DB2" w:rsidRPr="00777AE4">
        <w:rPr>
          <w:rFonts w:ascii="Century Gothic" w:hAnsi="Century Gothic"/>
          <w:sz w:val="22"/>
          <w:szCs w:val="22"/>
        </w:rPr>
        <w:t xml:space="preserve"> </w:t>
      </w:r>
      <w:r w:rsidRPr="00777AE4">
        <w:rPr>
          <w:rFonts w:ascii="Century Gothic" w:hAnsi="Century Gothic"/>
          <w:sz w:val="22"/>
          <w:szCs w:val="22"/>
        </w:rPr>
        <w:t xml:space="preserve">tribal monitoring for the Project is not expected to </w:t>
      </w:r>
      <w:r w:rsidR="00CA29B9">
        <w:rPr>
          <w:rFonts w:ascii="Century Gothic" w:hAnsi="Century Gothic"/>
          <w:sz w:val="22"/>
          <w:szCs w:val="22"/>
        </w:rPr>
        <w:t>cause</w:t>
      </w:r>
      <w:r w:rsidR="003B23AA">
        <w:rPr>
          <w:rFonts w:ascii="Century Gothic" w:hAnsi="Century Gothic"/>
          <w:sz w:val="22"/>
          <w:szCs w:val="22"/>
        </w:rPr>
        <w:t xml:space="preserve"> any</w:t>
      </w:r>
      <w:r w:rsidRPr="00777AE4">
        <w:rPr>
          <w:rFonts w:ascii="Century Gothic" w:hAnsi="Century Gothic"/>
          <w:sz w:val="22"/>
          <w:szCs w:val="22"/>
        </w:rPr>
        <w:t xml:space="preserve"> new </w:t>
      </w:r>
      <w:r w:rsidR="003B23AA">
        <w:rPr>
          <w:rFonts w:ascii="Century Gothic" w:hAnsi="Century Gothic"/>
          <w:sz w:val="22"/>
          <w:szCs w:val="22"/>
        </w:rPr>
        <w:t xml:space="preserve">or substantial </w:t>
      </w:r>
      <w:r w:rsidRPr="00777AE4">
        <w:rPr>
          <w:rFonts w:ascii="Century Gothic" w:hAnsi="Century Gothic"/>
          <w:sz w:val="22"/>
          <w:szCs w:val="22"/>
        </w:rPr>
        <w:t>environmental effect</w:t>
      </w:r>
      <w:r w:rsidR="003B23AA">
        <w:rPr>
          <w:rFonts w:ascii="Century Gothic" w:hAnsi="Century Gothic"/>
          <w:sz w:val="22"/>
          <w:szCs w:val="22"/>
        </w:rPr>
        <w:t xml:space="preserve">s </w:t>
      </w:r>
      <w:r w:rsidR="007544E3">
        <w:rPr>
          <w:rFonts w:ascii="Century Gothic" w:hAnsi="Century Gothic"/>
          <w:sz w:val="22"/>
          <w:szCs w:val="22"/>
        </w:rPr>
        <w:t>than previously disclosed in the 2019 MND and the 2022 Addendum</w:t>
      </w:r>
      <w:r w:rsidRPr="00777AE4">
        <w:rPr>
          <w:rFonts w:ascii="Century Gothic" w:hAnsi="Century Gothic"/>
          <w:sz w:val="22"/>
          <w:szCs w:val="22"/>
        </w:rPr>
        <w:t xml:space="preserve">. Existing mitigation measure (TCR-2) is sufficient to </w:t>
      </w:r>
      <w:r w:rsidR="00CE210D">
        <w:rPr>
          <w:rFonts w:ascii="Century Gothic" w:hAnsi="Century Gothic"/>
          <w:sz w:val="22"/>
          <w:szCs w:val="22"/>
        </w:rPr>
        <w:t xml:space="preserve">ensure no significant or potentially significant impacts to </w:t>
      </w:r>
      <w:r w:rsidRPr="00777AE4">
        <w:rPr>
          <w:rFonts w:ascii="Century Gothic" w:hAnsi="Century Gothic"/>
          <w:sz w:val="22"/>
          <w:szCs w:val="22"/>
        </w:rPr>
        <w:t>cultural resources</w:t>
      </w:r>
      <w:r w:rsidR="009639F2">
        <w:rPr>
          <w:rFonts w:ascii="Century Gothic" w:hAnsi="Century Gothic"/>
          <w:sz w:val="22"/>
          <w:szCs w:val="22"/>
        </w:rPr>
        <w:t xml:space="preserve"> would occur</w:t>
      </w:r>
      <w:r w:rsidRPr="00777AE4">
        <w:rPr>
          <w:rFonts w:ascii="Century Gothic" w:hAnsi="Century Gothic"/>
          <w:sz w:val="22"/>
          <w:szCs w:val="22"/>
        </w:rPr>
        <w:t>.</w:t>
      </w:r>
      <w:r w:rsidR="00C90E20">
        <w:rPr>
          <w:rFonts w:ascii="Century Gothic" w:hAnsi="Century Gothic"/>
          <w:sz w:val="22"/>
          <w:szCs w:val="22"/>
        </w:rPr>
        <w:t xml:space="preserve"> </w:t>
      </w:r>
      <w:r w:rsidR="00125E0C">
        <w:rPr>
          <w:rFonts w:ascii="Century Gothic" w:hAnsi="Century Gothic"/>
          <w:sz w:val="22"/>
          <w:szCs w:val="22"/>
        </w:rPr>
        <w:t>A</w:t>
      </w:r>
      <w:r w:rsidR="00165BC0">
        <w:rPr>
          <w:rFonts w:ascii="Century Gothic" w:hAnsi="Century Gothic"/>
          <w:sz w:val="22"/>
          <w:szCs w:val="22"/>
        </w:rPr>
        <w:t xml:space="preserve">ccordingly, CDFW staff have determined no additional subsequent or supplemental </w:t>
      </w:r>
      <w:r w:rsidR="004C63F8">
        <w:rPr>
          <w:rFonts w:ascii="Century Gothic" w:hAnsi="Century Gothic"/>
          <w:sz w:val="22"/>
          <w:szCs w:val="22"/>
        </w:rPr>
        <w:t>lead agency review is necessary and that removing TCR-1 from the MMRP CDFW adopted in 2019 is a minor, non-technical change pursuant to CEQA Guidelines section 15164.</w:t>
      </w:r>
    </w:p>
    <w:p w14:paraId="79E9D36C" w14:textId="77777777" w:rsidR="00777AE4" w:rsidRDefault="00777AE4" w:rsidP="009E3C28">
      <w:pPr>
        <w:widowControl/>
        <w:autoSpaceDE/>
        <w:autoSpaceDN/>
        <w:adjustRightInd/>
        <w:spacing w:after="220"/>
        <w:rPr>
          <w:rFonts w:ascii="Century Gothic" w:hAnsi="Century Gothic"/>
          <w:sz w:val="22"/>
          <w:szCs w:val="22"/>
        </w:rPr>
      </w:pPr>
      <w:r>
        <w:rPr>
          <w:rFonts w:ascii="Century Gothic" w:hAnsi="Century Gothic"/>
          <w:sz w:val="22"/>
          <w:szCs w:val="22"/>
        </w:rPr>
        <w:br w:type="page"/>
      </w:r>
    </w:p>
    <w:p w14:paraId="63045590" w14:textId="3B7BD80C" w:rsidR="00777AE4" w:rsidRPr="00777AE4" w:rsidRDefault="00777AE4" w:rsidP="009E3C28">
      <w:pPr>
        <w:keepNext/>
        <w:spacing w:after="120"/>
        <w:rPr>
          <w:rFonts w:ascii="Century Gothic" w:hAnsi="Century Gothic"/>
          <w:sz w:val="22"/>
          <w:szCs w:val="22"/>
        </w:rPr>
      </w:pPr>
      <w:r w:rsidRPr="00777AE4">
        <w:rPr>
          <w:rFonts w:ascii="Century Gothic" w:hAnsi="Century Gothic"/>
          <w:sz w:val="22"/>
          <w:szCs w:val="22"/>
        </w:rPr>
        <w:lastRenderedPageBreak/>
        <w:t xml:space="preserve">CDFW CEQA </w:t>
      </w:r>
      <w:r w:rsidR="002E742F">
        <w:rPr>
          <w:rFonts w:ascii="Century Gothic" w:hAnsi="Century Gothic"/>
          <w:sz w:val="22"/>
          <w:szCs w:val="22"/>
        </w:rPr>
        <w:t xml:space="preserve">Lead Agency </w:t>
      </w:r>
      <w:r w:rsidRPr="00777AE4">
        <w:rPr>
          <w:rFonts w:ascii="Century Gothic" w:hAnsi="Century Gothic"/>
          <w:sz w:val="22"/>
          <w:szCs w:val="22"/>
        </w:rPr>
        <w:t>Timeline</w:t>
      </w:r>
      <w:r w:rsidR="002E742F">
        <w:rPr>
          <w:rFonts w:ascii="Century Gothic" w:hAnsi="Century Gothic"/>
          <w:sz w:val="22"/>
          <w:szCs w:val="22"/>
        </w:rPr>
        <w:t>, including Tribal Consultation:</w:t>
      </w:r>
    </w:p>
    <w:p w14:paraId="3853578B"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May 23, 2018:</w:t>
      </w:r>
      <w:r w:rsidRPr="00777AE4">
        <w:rPr>
          <w:rFonts w:ascii="Century Gothic" w:hAnsi="Century Gothic"/>
          <w:sz w:val="22"/>
          <w:szCs w:val="22"/>
        </w:rPr>
        <w:tab/>
        <w:t>Completed Record Search of the NAHC Sacred Lands File and List of Native American Tribes provided by the NAHC.</w:t>
      </w:r>
    </w:p>
    <w:p w14:paraId="70524E5A"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 xml:space="preserve">May 29, 2018: </w:t>
      </w:r>
      <w:r w:rsidRPr="00777AE4">
        <w:rPr>
          <w:rFonts w:ascii="Century Gothic" w:hAnsi="Century Gothic"/>
          <w:sz w:val="22"/>
          <w:szCs w:val="22"/>
        </w:rPr>
        <w:tab/>
        <w:t>Mailed Tribal Notification Letters Pursuant to PRC section 21080.3.1</w:t>
      </w:r>
    </w:p>
    <w:p w14:paraId="2094D140"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 xml:space="preserve">June 12, 2018: </w:t>
      </w:r>
      <w:r w:rsidRPr="00777AE4">
        <w:rPr>
          <w:rFonts w:ascii="Century Gothic" w:hAnsi="Century Gothic"/>
          <w:sz w:val="22"/>
          <w:szCs w:val="22"/>
        </w:rPr>
        <w:tab/>
        <w:t>Request from UAIC for AB 52 consultation and recommendations for mitigation measures.</w:t>
      </w:r>
    </w:p>
    <w:p w14:paraId="082C5626"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 xml:space="preserve">June 12, 2018: </w:t>
      </w:r>
      <w:r w:rsidRPr="00777AE4">
        <w:rPr>
          <w:rFonts w:ascii="Century Gothic" w:hAnsi="Century Gothic"/>
          <w:sz w:val="22"/>
          <w:szCs w:val="22"/>
        </w:rPr>
        <w:tab/>
        <w:t>Request from Middletown Rancheria to be informed of any tribal resources found during the Project.</w:t>
      </w:r>
    </w:p>
    <w:p w14:paraId="27F1B7BD"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 xml:space="preserve">June 29, 2019: </w:t>
      </w:r>
      <w:r w:rsidRPr="00777AE4">
        <w:rPr>
          <w:rFonts w:ascii="Century Gothic" w:hAnsi="Century Gothic"/>
          <w:sz w:val="22"/>
          <w:szCs w:val="22"/>
        </w:rPr>
        <w:tab/>
        <w:t>Notice of Availability for Public Review of Draft Environmental Assessment/Initial Statement (EA/IS) for the Sutter National Wildlife Refuge Lift Station Project</w:t>
      </w:r>
    </w:p>
    <w:p w14:paraId="7F228F85"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 xml:space="preserve">August 18, 2019: </w:t>
      </w:r>
      <w:r w:rsidRPr="00777AE4">
        <w:rPr>
          <w:rFonts w:ascii="Century Gothic" w:hAnsi="Century Gothic"/>
          <w:sz w:val="22"/>
          <w:szCs w:val="22"/>
        </w:rPr>
        <w:tab/>
        <w:t>Notice of Determination filed as MND and Final EA/IS adopted for the Sutter Lift Station Project</w:t>
      </w:r>
    </w:p>
    <w:p w14:paraId="6BE8D48E"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 xml:space="preserve">September 26, 2022: </w:t>
      </w:r>
      <w:r w:rsidRPr="00777AE4">
        <w:rPr>
          <w:rFonts w:ascii="Century Gothic" w:hAnsi="Century Gothic"/>
          <w:sz w:val="22"/>
          <w:szCs w:val="22"/>
        </w:rPr>
        <w:tab/>
        <w:t>Notice of Determination filed for CEQA Addendum to make minor changes to the Monitoring, Mitigation and Reporting Plan (MMRP) for the Project.</w:t>
      </w:r>
    </w:p>
    <w:p w14:paraId="5E2F3383" w14:textId="77777777" w:rsidR="00777AE4" w:rsidRPr="00777AE4" w:rsidRDefault="00777AE4" w:rsidP="009E3C28">
      <w:pPr>
        <w:tabs>
          <w:tab w:val="left" w:pos="3330"/>
        </w:tabs>
        <w:ind w:left="3330" w:hanging="2610"/>
        <w:rPr>
          <w:rFonts w:ascii="Century Gothic" w:hAnsi="Century Gothic"/>
          <w:sz w:val="22"/>
          <w:szCs w:val="22"/>
        </w:rPr>
      </w:pPr>
      <w:r w:rsidRPr="00777AE4">
        <w:rPr>
          <w:rFonts w:ascii="Century Gothic" w:hAnsi="Century Gothic"/>
          <w:sz w:val="22"/>
          <w:szCs w:val="22"/>
        </w:rPr>
        <w:t>October 31, 2022:</w:t>
      </w:r>
      <w:r w:rsidRPr="00777AE4">
        <w:rPr>
          <w:rFonts w:ascii="Century Gothic" w:hAnsi="Century Gothic"/>
          <w:sz w:val="22"/>
          <w:szCs w:val="22"/>
        </w:rPr>
        <w:tab/>
        <w:t>Conversation between UAIC and Reclamation agreeing that on-site monitoring for tribal resources, during Project ground disturbing activities, is not required.</w:t>
      </w:r>
    </w:p>
    <w:p w14:paraId="53D80008" w14:textId="77777777" w:rsidR="00777AE4" w:rsidRPr="00777AE4" w:rsidRDefault="00777AE4" w:rsidP="009E3C28">
      <w:pPr>
        <w:tabs>
          <w:tab w:val="left" w:pos="3330"/>
        </w:tabs>
        <w:spacing w:after="220"/>
        <w:ind w:left="3330" w:hanging="2610"/>
        <w:rPr>
          <w:rFonts w:ascii="Century Gothic" w:hAnsi="Century Gothic"/>
          <w:sz w:val="22"/>
          <w:szCs w:val="22"/>
        </w:rPr>
      </w:pPr>
      <w:r w:rsidRPr="00777AE4">
        <w:rPr>
          <w:rFonts w:ascii="Century Gothic" w:hAnsi="Century Gothic"/>
          <w:sz w:val="22"/>
          <w:szCs w:val="22"/>
        </w:rPr>
        <w:t xml:space="preserve">November 29, 2022: </w:t>
      </w:r>
      <w:r w:rsidRPr="00777AE4">
        <w:rPr>
          <w:rFonts w:ascii="Century Gothic" w:hAnsi="Century Gothic"/>
          <w:sz w:val="22"/>
          <w:szCs w:val="22"/>
        </w:rPr>
        <w:tab/>
        <w:t>Notice of Determination filed for Restoration Management Permit (RMP-2022-0007-R2)</w:t>
      </w:r>
    </w:p>
    <w:p w14:paraId="20860BC6" w14:textId="77777777" w:rsidR="00777AE4" w:rsidRPr="00777AE4" w:rsidRDefault="00777AE4" w:rsidP="009E3C28">
      <w:pPr>
        <w:spacing w:after="120"/>
        <w:rPr>
          <w:rFonts w:ascii="Century Gothic" w:hAnsi="Century Gothic"/>
          <w:sz w:val="22"/>
          <w:szCs w:val="22"/>
        </w:rPr>
      </w:pPr>
      <w:r w:rsidRPr="00777AE4">
        <w:rPr>
          <w:rFonts w:ascii="Century Gothic" w:hAnsi="Century Gothic"/>
          <w:sz w:val="22"/>
          <w:szCs w:val="22"/>
        </w:rPr>
        <w:t>Two mitigation measures are currently included in the MMRP to avoid impacts to Tribal Cultural Resources:</w:t>
      </w:r>
    </w:p>
    <w:p w14:paraId="517E6EBD" w14:textId="77777777" w:rsidR="00777AE4" w:rsidRPr="00777AE4" w:rsidRDefault="00777AE4" w:rsidP="009E3C28">
      <w:pPr>
        <w:pStyle w:val="ListParagraph"/>
        <w:numPr>
          <w:ilvl w:val="0"/>
          <w:numId w:val="1"/>
        </w:numPr>
        <w:spacing w:after="220" w:line="240" w:lineRule="auto"/>
        <w:rPr>
          <w:rFonts w:ascii="Century Gothic" w:hAnsi="Century Gothic"/>
        </w:rPr>
      </w:pPr>
      <w:r w:rsidRPr="00777AE4">
        <w:rPr>
          <w:rFonts w:ascii="Century Gothic" w:hAnsi="Century Gothic"/>
        </w:rPr>
        <w:t>TCR-1: A paid tribal monitor shall be present during ground disturbing activities to identify tribal cultural resources if they are uncovered.</w:t>
      </w:r>
    </w:p>
    <w:p w14:paraId="7A6B3142" w14:textId="77777777" w:rsidR="00777AE4" w:rsidRPr="00777AE4" w:rsidRDefault="00777AE4" w:rsidP="009E3C28">
      <w:pPr>
        <w:pStyle w:val="ListParagraph"/>
        <w:numPr>
          <w:ilvl w:val="0"/>
          <w:numId w:val="1"/>
        </w:numPr>
        <w:spacing w:after="220" w:line="240" w:lineRule="auto"/>
        <w:rPr>
          <w:rFonts w:ascii="Century Gothic" w:hAnsi="Century Gothic"/>
        </w:rPr>
      </w:pPr>
      <w:r w:rsidRPr="00777AE4">
        <w:rPr>
          <w:rFonts w:ascii="Century Gothic" w:hAnsi="Century Gothic"/>
        </w:rPr>
        <w:t>TCR-2: If a tribal cultural resource is encountered during construction activity, all work within 100 feet of the discovery area will stop, and further work will avoid disturbing the tribal cultural resources. Tribal representatives shall be contacted immediately and consulted with to determine appropriate and respectful treatment of the find.</w:t>
      </w:r>
    </w:p>
    <w:p w14:paraId="44DF795C" w14:textId="2FEC764F" w:rsidR="00DD23BD" w:rsidRPr="00777AE4" w:rsidRDefault="00777AE4" w:rsidP="009E3C28">
      <w:pPr>
        <w:spacing w:after="220"/>
        <w:rPr>
          <w:rFonts w:ascii="Century Gothic" w:hAnsi="Century Gothic" w:cs="Arial"/>
          <w:sz w:val="24"/>
          <w:szCs w:val="24"/>
        </w:rPr>
      </w:pPr>
      <w:r w:rsidRPr="00777AE4">
        <w:rPr>
          <w:rFonts w:ascii="Century Gothic" w:hAnsi="Century Gothic"/>
          <w:sz w:val="22"/>
          <w:szCs w:val="22"/>
        </w:rPr>
        <w:t>During UAIC’s tribal consultation with CDFW, one of its requests was to implement TCR-1 as part of the Project’s MMRP. As the Project proceeded, UAIC reviewed the Project and determined that TCR-1 was not necessary as the Project site was considered low sensitivity. TCR-2 is still in place to protect any tribal cultural resources should they be uncovered by the Project as originally requested by UAIC and Middletown Rancheria. It should be noted that Reclamation has also accepted the removal of TEC-1 as part of their obligations under NEPA.</w:t>
      </w:r>
    </w:p>
    <w:sectPr w:rsidR="00DD23BD" w:rsidRPr="00777AE4">
      <w:headerReference w:type="default" r:id="rId8"/>
      <w:type w:val="continuous"/>
      <w:pgSz w:w="12240" w:h="15840"/>
      <w:pgMar w:top="720" w:right="1440" w:bottom="720" w:left="720" w:header="72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FF8A" w14:textId="77777777" w:rsidR="00923E84" w:rsidRDefault="00923E84">
      <w:r>
        <w:separator/>
      </w:r>
    </w:p>
  </w:endnote>
  <w:endnote w:type="continuationSeparator" w:id="0">
    <w:p w14:paraId="56D16D70" w14:textId="77777777" w:rsidR="00923E84" w:rsidRDefault="0092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71AB" w14:textId="77777777" w:rsidR="00923E84" w:rsidRDefault="00923E84">
      <w:r>
        <w:separator/>
      </w:r>
    </w:p>
  </w:footnote>
  <w:footnote w:type="continuationSeparator" w:id="0">
    <w:p w14:paraId="27B5ACC3" w14:textId="77777777" w:rsidR="00923E84" w:rsidRDefault="0092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A6F3" w14:textId="2F2FAB17" w:rsidR="00050461" w:rsidRDefault="009324A2" w:rsidP="00210865">
    <w:pPr>
      <w:pStyle w:val="Header"/>
      <w:ind w:left="900"/>
      <w:rPr>
        <w:rFonts w:ascii="Arial" w:hAnsi="Arial" w:cs="Arial"/>
        <w:sz w:val="24"/>
        <w:szCs w:val="24"/>
      </w:rPr>
    </w:pPr>
    <w:r>
      <w:rPr>
        <w:rFonts w:ascii="Arial" w:hAnsi="Arial" w:cs="Arial"/>
        <w:sz w:val="24"/>
        <w:szCs w:val="24"/>
      </w:rPr>
      <w:t xml:space="preserve">Michelle </w:t>
    </w:r>
    <w:proofErr w:type="spellStart"/>
    <w:r>
      <w:rPr>
        <w:rFonts w:ascii="Arial" w:hAnsi="Arial" w:cs="Arial"/>
        <w:sz w:val="24"/>
        <w:szCs w:val="24"/>
      </w:rPr>
      <w:t>Selmon</w:t>
    </w:r>
    <w:proofErr w:type="spellEnd"/>
  </w:p>
  <w:p w14:paraId="1365908C" w14:textId="48024673" w:rsidR="00050461" w:rsidRDefault="009324A2" w:rsidP="00210865">
    <w:pPr>
      <w:pStyle w:val="Header"/>
      <w:ind w:left="900"/>
      <w:rPr>
        <w:rFonts w:ascii="Arial" w:hAnsi="Arial" w:cs="Arial"/>
        <w:sz w:val="24"/>
        <w:szCs w:val="24"/>
      </w:rPr>
    </w:pPr>
    <w:r>
      <w:rPr>
        <w:rFonts w:ascii="Arial" w:hAnsi="Arial" w:cs="Arial"/>
        <w:sz w:val="24"/>
        <w:szCs w:val="24"/>
      </w:rPr>
      <w:t xml:space="preserve">March </w:t>
    </w:r>
    <w:r w:rsidR="00B1136D">
      <w:rPr>
        <w:rFonts w:ascii="Arial" w:hAnsi="Arial" w:cs="Arial"/>
        <w:sz w:val="24"/>
        <w:szCs w:val="24"/>
      </w:rPr>
      <w:t>10</w:t>
    </w:r>
    <w:r w:rsidR="00777AE4">
      <w:rPr>
        <w:rFonts w:ascii="Arial" w:hAnsi="Arial" w:cs="Arial"/>
        <w:sz w:val="24"/>
        <w:szCs w:val="24"/>
      </w:rPr>
      <w:t>, 2023</w:t>
    </w:r>
  </w:p>
  <w:p w14:paraId="3A66FD49" w14:textId="1F8AA2F2" w:rsidR="00050461" w:rsidRDefault="00050461" w:rsidP="00210865">
    <w:pPr>
      <w:pStyle w:val="Header"/>
      <w:ind w:left="900"/>
      <w:rPr>
        <w:rFonts w:ascii="Arial" w:hAnsi="Arial" w:cs="Arial"/>
        <w:sz w:val="24"/>
        <w:szCs w:val="24"/>
      </w:rPr>
    </w:pPr>
    <w:r>
      <w:rPr>
        <w:rFonts w:ascii="Arial" w:hAnsi="Arial" w:cs="Arial"/>
        <w:sz w:val="24"/>
        <w:szCs w:val="24"/>
      </w:rPr>
      <w:t xml:space="preserve">Page </w:t>
    </w:r>
    <w:r w:rsidR="00777AE4" w:rsidRPr="00777AE4">
      <w:rPr>
        <w:rFonts w:ascii="Arial" w:hAnsi="Arial" w:cs="Arial"/>
        <w:sz w:val="24"/>
        <w:szCs w:val="24"/>
      </w:rPr>
      <w:fldChar w:fldCharType="begin"/>
    </w:r>
    <w:r w:rsidR="00777AE4" w:rsidRPr="00777AE4">
      <w:rPr>
        <w:rFonts w:ascii="Arial" w:hAnsi="Arial" w:cs="Arial"/>
        <w:sz w:val="24"/>
        <w:szCs w:val="24"/>
      </w:rPr>
      <w:instrText xml:space="preserve"> PAGE   \* MERGEFORMAT </w:instrText>
    </w:r>
    <w:r w:rsidR="00777AE4" w:rsidRPr="00777AE4">
      <w:rPr>
        <w:rFonts w:ascii="Arial" w:hAnsi="Arial" w:cs="Arial"/>
        <w:sz w:val="24"/>
        <w:szCs w:val="24"/>
      </w:rPr>
      <w:fldChar w:fldCharType="separate"/>
    </w:r>
    <w:r w:rsidR="00777AE4" w:rsidRPr="00777AE4">
      <w:rPr>
        <w:rFonts w:ascii="Arial" w:hAnsi="Arial" w:cs="Arial"/>
        <w:noProof/>
        <w:sz w:val="24"/>
        <w:szCs w:val="24"/>
      </w:rPr>
      <w:t>1</w:t>
    </w:r>
    <w:r w:rsidR="00777AE4" w:rsidRPr="00777AE4">
      <w:rPr>
        <w:rFonts w:ascii="Arial" w:hAnsi="Arial" w:cs="Arial"/>
        <w:noProof/>
        <w:sz w:val="24"/>
        <w:szCs w:val="24"/>
      </w:rPr>
      <w:fldChar w:fldCharType="end"/>
    </w:r>
  </w:p>
  <w:p w14:paraId="1C0FBCBA" w14:textId="77777777" w:rsidR="00DD23BD" w:rsidRDefault="00DD23BD" w:rsidP="0021086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666"/>
    <w:multiLevelType w:val="hybridMultilevel"/>
    <w:tmpl w:val="72BC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26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D"/>
    <w:rsid w:val="000161EF"/>
    <w:rsid w:val="00041436"/>
    <w:rsid w:val="00050461"/>
    <w:rsid w:val="0006562A"/>
    <w:rsid w:val="000801D2"/>
    <w:rsid w:val="000962E5"/>
    <w:rsid w:val="000F74C1"/>
    <w:rsid w:val="00125E0C"/>
    <w:rsid w:val="001608B2"/>
    <w:rsid w:val="00165BC0"/>
    <w:rsid w:val="001B4276"/>
    <w:rsid w:val="00210865"/>
    <w:rsid w:val="00224B78"/>
    <w:rsid w:val="002E742F"/>
    <w:rsid w:val="003079B3"/>
    <w:rsid w:val="0032763D"/>
    <w:rsid w:val="00365CD4"/>
    <w:rsid w:val="0038711E"/>
    <w:rsid w:val="00392B2A"/>
    <w:rsid w:val="003B23AA"/>
    <w:rsid w:val="003F3641"/>
    <w:rsid w:val="004074A8"/>
    <w:rsid w:val="004225B6"/>
    <w:rsid w:val="00424C40"/>
    <w:rsid w:val="00436835"/>
    <w:rsid w:val="00444752"/>
    <w:rsid w:val="00462D76"/>
    <w:rsid w:val="004B5EED"/>
    <w:rsid w:val="004C63F8"/>
    <w:rsid w:val="0051156A"/>
    <w:rsid w:val="00513196"/>
    <w:rsid w:val="00533599"/>
    <w:rsid w:val="005441F9"/>
    <w:rsid w:val="00547DB2"/>
    <w:rsid w:val="00554ADD"/>
    <w:rsid w:val="005652C7"/>
    <w:rsid w:val="005744FB"/>
    <w:rsid w:val="005A4EE8"/>
    <w:rsid w:val="005C73D9"/>
    <w:rsid w:val="005E0D03"/>
    <w:rsid w:val="005E6D9F"/>
    <w:rsid w:val="005F634E"/>
    <w:rsid w:val="0060290D"/>
    <w:rsid w:val="00656267"/>
    <w:rsid w:val="006823E0"/>
    <w:rsid w:val="006F112D"/>
    <w:rsid w:val="006F4408"/>
    <w:rsid w:val="007544E3"/>
    <w:rsid w:val="00766A53"/>
    <w:rsid w:val="00774BB4"/>
    <w:rsid w:val="00777AE4"/>
    <w:rsid w:val="00793EDD"/>
    <w:rsid w:val="007E614C"/>
    <w:rsid w:val="00831E85"/>
    <w:rsid w:val="0084192C"/>
    <w:rsid w:val="008436FB"/>
    <w:rsid w:val="008770C3"/>
    <w:rsid w:val="00895BF4"/>
    <w:rsid w:val="008C2E9A"/>
    <w:rsid w:val="0090023F"/>
    <w:rsid w:val="00923E84"/>
    <w:rsid w:val="0092492B"/>
    <w:rsid w:val="009324A2"/>
    <w:rsid w:val="009639F2"/>
    <w:rsid w:val="00974A10"/>
    <w:rsid w:val="0099028C"/>
    <w:rsid w:val="009B60F1"/>
    <w:rsid w:val="009E3C28"/>
    <w:rsid w:val="009F4B05"/>
    <w:rsid w:val="00A065F9"/>
    <w:rsid w:val="00A50144"/>
    <w:rsid w:val="00AD0A0D"/>
    <w:rsid w:val="00AE2CF2"/>
    <w:rsid w:val="00B1136D"/>
    <w:rsid w:val="00B1396C"/>
    <w:rsid w:val="00B3290C"/>
    <w:rsid w:val="00B90E34"/>
    <w:rsid w:val="00BE670D"/>
    <w:rsid w:val="00C42442"/>
    <w:rsid w:val="00C7638E"/>
    <w:rsid w:val="00C86DFC"/>
    <w:rsid w:val="00C90E20"/>
    <w:rsid w:val="00CA29B9"/>
    <w:rsid w:val="00CE210D"/>
    <w:rsid w:val="00D17B13"/>
    <w:rsid w:val="00D2082A"/>
    <w:rsid w:val="00D57A70"/>
    <w:rsid w:val="00D969DF"/>
    <w:rsid w:val="00DB0499"/>
    <w:rsid w:val="00DD23BD"/>
    <w:rsid w:val="00DD5C22"/>
    <w:rsid w:val="00E05E8A"/>
    <w:rsid w:val="00EB18D6"/>
    <w:rsid w:val="00EB57D8"/>
    <w:rsid w:val="00EE3F59"/>
    <w:rsid w:val="00EF55A3"/>
    <w:rsid w:val="00EF786E"/>
    <w:rsid w:val="00F11E6B"/>
    <w:rsid w:val="00F17298"/>
    <w:rsid w:val="00F25C6A"/>
    <w:rsid w:val="00F51382"/>
    <w:rsid w:val="00F637CE"/>
    <w:rsid w:val="00FB06C6"/>
    <w:rsid w:val="00FB25B9"/>
    <w:rsid w:val="00FB3F80"/>
    <w:rsid w:val="00FD55D0"/>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058EA02"/>
  <w15:chartTrackingRefBased/>
  <w15:docId w15:val="{2EB1BAF6-C0C8-405F-A526-087258F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pPr>
      <w:widowControl w:val="0"/>
      <w:autoSpaceDE w:val="0"/>
      <w:autoSpaceDN w:val="0"/>
      <w:adjustRightInd w:val="0"/>
      <w:jc w:val="both"/>
    </w:pPr>
    <w:rPr>
      <w:b/>
      <w:bCs/>
      <w:sz w:val="36"/>
      <w:szCs w:val="36"/>
    </w:rPr>
  </w:style>
  <w:style w:type="paragraph" w:customStyle="1" w:styleId="Technical2">
    <w:name w:val="Technical[2]"/>
    <w:pPr>
      <w:widowControl w:val="0"/>
      <w:autoSpaceDE w:val="0"/>
      <w:autoSpaceDN w:val="0"/>
      <w:adjustRightInd w:val="0"/>
      <w:jc w:val="both"/>
    </w:pPr>
    <w:rPr>
      <w:b/>
      <w:bCs/>
      <w:sz w:val="24"/>
      <w:szCs w:val="24"/>
      <w:u w:val="single"/>
    </w:rPr>
  </w:style>
  <w:style w:type="paragraph" w:customStyle="1" w:styleId="Technical3">
    <w:name w:val="Technical[3]"/>
    <w:pPr>
      <w:widowControl w:val="0"/>
      <w:autoSpaceDE w:val="0"/>
      <w:autoSpaceDN w:val="0"/>
      <w:adjustRightInd w:val="0"/>
      <w:jc w:val="both"/>
    </w:pPr>
    <w:rPr>
      <w:b/>
      <w:bCs/>
      <w:sz w:val="24"/>
      <w:szCs w:val="24"/>
    </w:rPr>
  </w:style>
  <w:style w:type="paragraph" w:customStyle="1" w:styleId="Technical4">
    <w:name w:val="Technical[4]"/>
    <w:pPr>
      <w:widowControl w:val="0"/>
      <w:autoSpaceDE w:val="0"/>
      <w:autoSpaceDN w:val="0"/>
      <w:adjustRightInd w:val="0"/>
      <w:jc w:val="both"/>
    </w:pPr>
    <w:rPr>
      <w:b/>
      <w:bCs/>
      <w:sz w:val="24"/>
      <w:szCs w:val="24"/>
    </w:rPr>
  </w:style>
  <w:style w:type="paragraph" w:customStyle="1" w:styleId="Technical5">
    <w:name w:val="Technical[5]"/>
    <w:pPr>
      <w:widowControl w:val="0"/>
      <w:autoSpaceDE w:val="0"/>
      <w:autoSpaceDN w:val="0"/>
      <w:adjustRightInd w:val="0"/>
      <w:jc w:val="both"/>
    </w:pPr>
    <w:rPr>
      <w:b/>
      <w:bCs/>
      <w:sz w:val="24"/>
      <w:szCs w:val="24"/>
    </w:rPr>
  </w:style>
  <w:style w:type="paragraph" w:customStyle="1" w:styleId="Technical6">
    <w:name w:val="Technical[6]"/>
    <w:pPr>
      <w:widowControl w:val="0"/>
      <w:autoSpaceDE w:val="0"/>
      <w:autoSpaceDN w:val="0"/>
      <w:adjustRightInd w:val="0"/>
      <w:jc w:val="both"/>
    </w:pPr>
    <w:rPr>
      <w:b/>
      <w:bCs/>
      <w:sz w:val="24"/>
      <w:szCs w:val="24"/>
    </w:rPr>
  </w:style>
  <w:style w:type="paragraph" w:customStyle="1" w:styleId="Technical7">
    <w:name w:val="Technical[7]"/>
    <w:pPr>
      <w:widowControl w:val="0"/>
      <w:autoSpaceDE w:val="0"/>
      <w:autoSpaceDN w:val="0"/>
      <w:adjustRightInd w:val="0"/>
      <w:jc w:val="both"/>
    </w:pPr>
    <w:rPr>
      <w:b/>
      <w:bCs/>
      <w:sz w:val="24"/>
      <w:szCs w:val="24"/>
    </w:rPr>
  </w:style>
  <w:style w:type="paragraph" w:customStyle="1" w:styleId="Technical8">
    <w:name w:val="Technical[8]"/>
    <w:pPr>
      <w:widowControl w:val="0"/>
      <w:autoSpaceDE w:val="0"/>
      <w:autoSpaceDN w:val="0"/>
      <w:adjustRightInd w:val="0"/>
      <w:jc w:val="both"/>
    </w:pPr>
    <w:rPr>
      <w:b/>
      <w:bCs/>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Document1">
    <w:name w:val="Document[1]"/>
    <w:pPr>
      <w:keepNext/>
      <w:widowControl w:val="0"/>
      <w:autoSpaceDE w:val="0"/>
      <w:autoSpaceDN w:val="0"/>
      <w:adjustRightInd w:val="0"/>
      <w:jc w:val="center"/>
    </w:pPr>
    <w:rPr>
      <w:b/>
      <w:bCs/>
      <w:sz w:val="36"/>
      <w:szCs w:val="36"/>
    </w:rPr>
  </w:style>
  <w:style w:type="paragraph" w:customStyle="1" w:styleId="Document2">
    <w:name w:val="Document[2]"/>
    <w:pPr>
      <w:widowControl w:val="0"/>
      <w:autoSpaceDE w:val="0"/>
      <w:autoSpaceDN w:val="0"/>
      <w:adjustRightInd w:val="0"/>
      <w:jc w:val="both"/>
    </w:pPr>
    <w:rPr>
      <w:b/>
      <w:bCs/>
      <w:sz w:val="24"/>
      <w:szCs w:val="24"/>
      <w:u w:val="single"/>
    </w:rPr>
  </w:style>
  <w:style w:type="paragraph" w:customStyle="1" w:styleId="Document3">
    <w:name w:val="Document[3]"/>
    <w:pPr>
      <w:widowControl w:val="0"/>
      <w:autoSpaceDE w:val="0"/>
      <w:autoSpaceDN w:val="0"/>
      <w:adjustRightInd w:val="0"/>
      <w:jc w:val="both"/>
    </w:pPr>
    <w:rPr>
      <w:b/>
      <w:bCs/>
      <w:sz w:val="24"/>
      <w:szCs w:val="24"/>
    </w:rPr>
  </w:style>
  <w:style w:type="paragraph" w:customStyle="1" w:styleId="Document4">
    <w:name w:val="Document[4]"/>
    <w:pPr>
      <w:widowControl w:val="0"/>
      <w:autoSpaceDE w:val="0"/>
      <w:autoSpaceDN w:val="0"/>
      <w:adjustRightInd w:val="0"/>
    </w:pPr>
    <w:rPr>
      <w:b/>
      <w:bCs/>
      <w:i/>
      <w:iCs/>
      <w:sz w:val="24"/>
      <w:szCs w:val="24"/>
    </w:rPr>
  </w:style>
  <w:style w:type="paragraph" w:customStyle="1" w:styleId="Document5">
    <w:name w:val="Document[5]"/>
    <w:pPr>
      <w:widowControl w:val="0"/>
      <w:autoSpaceDE w:val="0"/>
      <w:autoSpaceDN w:val="0"/>
      <w:adjustRightInd w:val="0"/>
      <w:ind w:left="720"/>
      <w:jc w:val="both"/>
    </w:pPr>
    <w:rPr>
      <w:sz w:val="24"/>
      <w:szCs w:val="24"/>
    </w:rPr>
  </w:style>
  <w:style w:type="paragraph" w:customStyle="1" w:styleId="Document6">
    <w:name w:val="Document[6]"/>
    <w:pPr>
      <w:widowControl w:val="0"/>
      <w:autoSpaceDE w:val="0"/>
      <w:autoSpaceDN w:val="0"/>
      <w:adjustRightInd w:val="0"/>
      <w:ind w:left="720" w:right="720"/>
      <w:jc w:val="both"/>
    </w:pPr>
    <w:rPr>
      <w:sz w:val="24"/>
      <w:szCs w:val="24"/>
    </w:rPr>
  </w:style>
  <w:style w:type="paragraph" w:customStyle="1" w:styleId="Document7">
    <w:name w:val="Document[7]"/>
    <w:pPr>
      <w:widowControl w:val="0"/>
      <w:autoSpaceDE w:val="0"/>
      <w:autoSpaceDN w:val="0"/>
      <w:adjustRightInd w:val="0"/>
      <w:ind w:left="1440"/>
      <w:jc w:val="both"/>
    </w:pPr>
    <w:rPr>
      <w:sz w:val="24"/>
      <w:szCs w:val="24"/>
    </w:rPr>
  </w:style>
  <w:style w:type="paragraph" w:customStyle="1" w:styleId="Document8">
    <w:name w:val="Document[8]"/>
    <w:pPr>
      <w:widowControl w:val="0"/>
      <w:autoSpaceDE w:val="0"/>
      <w:autoSpaceDN w:val="0"/>
      <w:adjustRightInd w:val="0"/>
      <w:ind w:left="1440" w:right="720"/>
      <w:jc w:val="both"/>
    </w:pPr>
    <w:rPr>
      <w:sz w:val="24"/>
      <w:szCs w:val="24"/>
    </w:rPr>
  </w:style>
  <w:style w:type="paragraph" w:customStyle="1" w:styleId="RightPar1">
    <w:name w:val="Right Par[1]"/>
    <w:pPr>
      <w:widowControl w:val="0"/>
      <w:tabs>
        <w:tab w:val="left" w:pos="720"/>
      </w:tabs>
      <w:autoSpaceDE w:val="0"/>
      <w:autoSpaceDN w:val="0"/>
      <w:adjustRightInd w:val="0"/>
      <w:ind w:left="720" w:hanging="1440"/>
      <w:jc w:val="both"/>
    </w:pPr>
    <w:rPr>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2880"/>
      <w:jc w:val="both"/>
    </w:pPr>
    <w:rPr>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3600"/>
      <w:jc w:val="both"/>
    </w:pPr>
    <w:rPr>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4320"/>
      <w:jc w:val="both"/>
    </w:pPr>
    <w:rPr>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sz w:val="24"/>
      <w:szCs w:val="24"/>
    </w:rPr>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Addressbloc">
    <w:name w:val="Address bloc"/>
    <w:rPr>
      <w:rFonts w:ascii="Arial" w:hAnsi="Arial" w:cs="Arial"/>
      <w:sz w:val="20"/>
      <w:szCs w:val="20"/>
    </w:rPr>
  </w:style>
  <w:style w:type="character" w:customStyle="1" w:styleId="Addressbold">
    <w:name w:val="Address bold"/>
    <w:rPr>
      <w:rFonts w:ascii="Arial" w:hAnsi="Arial" w:cs="Arial"/>
      <w:b/>
      <w:bCs/>
      <w:sz w:val="20"/>
      <w:szCs w:val="20"/>
    </w:rPr>
  </w:style>
  <w:style w:type="character" w:customStyle="1" w:styleId="Bullet">
    <w:name w:val="Bullet"/>
    <w:rPr>
      <w:b/>
      <w:bCs/>
    </w:rPr>
  </w:style>
  <w:style w:type="paragraph" w:styleId="Subtitle">
    <w:name w:val="Subtitle"/>
    <w:basedOn w:val="Normal"/>
    <w:qFormat/>
    <w:pPr>
      <w:spacing w:after="60"/>
      <w:jc w:val="center"/>
      <w:outlineLvl w:val="1"/>
    </w:pPr>
    <w:rPr>
      <w:rFonts w:ascii="Arial" w:hAnsi="Arial" w:cs="Arial"/>
      <w:sz w:val="24"/>
      <w:szCs w:val="24"/>
    </w:rPr>
  </w:style>
  <w:style w:type="character" w:customStyle="1" w:styleId="Heading">
    <w:name w:val="Heading"/>
    <w:rPr>
      <w:b/>
      <w:bCs/>
      <w:sz w:val="18"/>
      <w:szCs w:val="1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1"/>
    <w:qFormat/>
    <w:rsid w:val="00777AE4"/>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065F9"/>
  </w:style>
  <w:style w:type="character" w:styleId="CommentReference">
    <w:name w:val="annotation reference"/>
    <w:basedOn w:val="DefaultParagraphFont"/>
    <w:uiPriority w:val="99"/>
    <w:semiHidden/>
    <w:unhideWhenUsed/>
    <w:rsid w:val="00D57A70"/>
    <w:rPr>
      <w:sz w:val="16"/>
      <w:szCs w:val="16"/>
    </w:rPr>
  </w:style>
  <w:style w:type="paragraph" w:styleId="CommentText">
    <w:name w:val="annotation text"/>
    <w:basedOn w:val="Normal"/>
    <w:link w:val="CommentTextChar"/>
    <w:uiPriority w:val="99"/>
    <w:unhideWhenUsed/>
    <w:rsid w:val="00D57A70"/>
  </w:style>
  <w:style w:type="character" w:customStyle="1" w:styleId="CommentTextChar">
    <w:name w:val="Comment Text Char"/>
    <w:basedOn w:val="DefaultParagraphFont"/>
    <w:link w:val="CommentText"/>
    <w:uiPriority w:val="99"/>
    <w:rsid w:val="00D57A70"/>
  </w:style>
  <w:style w:type="paragraph" w:styleId="CommentSubject">
    <w:name w:val="annotation subject"/>
    <w:basedOn w:val="CommentText"/>
    <w:next w:val="CommentText"/>
    <w:link w:val="CommentSubjectChar"/>
    <w:uiPriority w:val="99"/>
    <w:semiHidden/>
    <w:unhideWhenUsed/>
    <w:rsid w:val="00D57A70"/>
    <w:rPr>
      <w:b/>
      <w:bCs/>
    </w:rPr>
  </w:style>
  <w:style w:type="character" w:customStyle="1" w:styleId="CommentSubjectChar">
    <w:name w:val="Comment Subject Char"/>
    <w:basedOn w:val="CommentTextChar"/>
    <w:link w:val="CommentSubject"/>
    <w:uiPriority w:val="99"/>
    <w:semiHidden/>
    <w:rsid w:val="00D57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B87D-7D98-46D2-AE79-D53CE23B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711</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CDFW Memorandum</vt:lpstr>
    </vt:vector>
  </TitlesOfParts>
  <Company>California Department of Fish and Game</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CDFW Memorandum</dc:title>
  <dc:subject/>
  <dc:creator>Jeffrey.Shu@wildlife.ca.gov</dc:creator>
  <cp:keywords>CVPIA, Sutter NWR Lift Station Project</cp:keywords>
  <dc:description/>
  <cp:lastModifiedBy>Shu, Jeffrey@Wildlife</cp:lastModifiedBy>
  <cp:revision>9</cp:revision>
  <cp:lastPrinted>2011-06-14T15:37:00Z</cp:lastPrinted>
  <dcterms:created xsi:type="dcterms:W3CDTF">2023-03-04T00:03:00Z</dcterms:created>
  <dcterms:modified xsi:type="dcterms:W3CDTF">2023-03-10T18:48:00Z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