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CALIFORNIA ENVIRONMENTAL QUALITY ACT NOTICE OF DETERMINATION</w:t>
      </w:r>
    </w:p>
    <w:p>
      <w:pPr>
        <w:spacing w:after="0"/>
        <w:sectPr>
          <w:headerReference w:type="default" r:id="rId5"/>
          <w:type w:val="continuous"/>
          <w:pgSz w:w="12240" w:h="15840"/>
          <w:pgMar w:header="344" w:top="680" w:bottom="280" w:left="600" w:right="640"/>
        </w:sectPr>
      </w:pPr>
    </w:p>
    <w:p>
      <w:pPr>
        <w:pStyle w:val="BodyText"/>
        <w:tabs>
          <w:tab w:pos="839" w:val="left" w:leader="none"/>
        </w:tabs>
        <w:spacing w:before="120"/>
        <w:ind w:left="839" w:right="1205" w:hanging="720"/>
      </w:pPr>
      <w:r>
        <w:rPr/>
        <w:t>To:</w:t>
        <w:tab/>
        <w:t>Office of Planning and Research State</w:t>
      </w:r>
      <w:r>
        <w:rPr>
          <w:spacing w:val="-2"/>
        </w:rPr>
        <w:t> </w:t>
      </w:r>
      <w:r>
        <w:rPr/>
        <w:t>Clearinghouse</w:t>
      </w:r>
    </w:p>
    <w:p>
      <w:pPr>
        <w:pStyle w:val="BodyText"/>
        <w:ind w:left="839" w:right="22"/>
      </w:pPr>
      <w:r>
        <w:rPr/>
        <w:t>P.O. Box 3044, 1400 Tenth Street, Room 212 Sacramento, CA 95812-3044</w:t>
      </w:r>
    </w:p>
    <w:p>
      <w:pPr>
        <w:pStyle w:val="BodyText"/>
        <w:spacing w:before="121"/>
        <w:ind w:left="840" w:right="61" w:hanging="721"/>
      </w:pPr>
      <w:r>
        <w:rPr/>
        <w:br w:type="column"/>
      </w:r>
      <w:r>
        <w:rPr/>
        <w:t>From: Department of Toxic Substances Control Permitting Division</w:t>
      </w:r>
    </w:p>
    <w:p>
      <w:pPr>
        <w:pStyle w:val="BodyText"/>
        <w:ind w:left="840" w:right="2301"/>
      </w:pPr>
      <w:r>
        <w:rPr/>
        <w:t>8800 Cal Center Drive Sacramento, CA 95826</w:t>
      </w:r>
    </w:p>
    <w:p>
      <w:pPr>
        <w:spacing w:after="0"/>
        <w:sectPr>
          <w:type w:val="continuous"/>
          <w:pgSz w:w="12240" w:h="15840"/>
          <w:pgMar w:top="680" w:bottom="280" w:left="600" w:right="640"/>
          <w:cols w:num="2" w:equalWidth="0">
            <w:col w:w="4928" w:space="832"/>
            <w:col w:w="5240"/>
          </w:cols>
        </w:sectPr>
      </w:pPr>
    </w:p>
    <w:p>
      <w:pPr>
        <w:pStyle w:val="BodyText"/>
        <w:spacing w:before="8"/>
        <w:rPr>
          <w:sz w:val="12"/>
        </w:rPr>
      </w:pPr>
    </w:p>
    <w:p>
      <w:pPr>
        <w:pStyle w:val="BodyText"/>
        <w:spacing w:before="94"/>
        <w:ind w:left="120"/>
      </w:pPr>
      <w:r>
        <w:rPr>
          <w:b/>
          <w:u w:val="thick"/>
        </w:rPr>
        <w:t>Subject</w:t>
      </w:r>
      <w:r>
        <w:rPr/>
        <w:t>: Filing of Notice of Determination in Compliance with Section 21108 of the Public Resources Code</w:t>
      </w:r>
    </w:p>
    <w:p>
      <w:pPr>
        <w:pStyle w:val="BodyText"/>
        <w:spacing w:before="119"/>
        <w:ind w:left="120"/>
      </w:pPr>
      <w:r>
        <w:rPr>
          <w:b/>
          <w:u w:val="thick"/>
        </w:rPr>
        <w:t>Project Title</w:t>
      </w:r>
      <w:r>
        <w:rPr/>
        <w:t>: Chevron USA Inc. Richmond Refinery Hazardous Waste Facility Permit Renewal</w:t>
      </w:r>
    </w:p>
    <w:p>
      <w:pPr>
        <w:spacing w:before="121"/>
        <w:ind w:left="120" w:right="0" w:firstLine="0"/>
        <w:jc w:val="left"/>
        <w:rPr>
          <w:sz w:val="20"/>
        </w:rPr>
      </w:pPr>
      <w:r>
        <w:rPr>
          <w:b/>
          <w:sz w:val="20"/>
          <w:u w:val="thick"/>
        </w:rPr>
        <w:t>State Clearinghouse Number</w:t>
      </w:r>
      <w:r>
        <w:rPr>
          <w:sz w:val="20"/>
        </w:rPr>
        <w:t>: 2006042054</w:t>
      </w:r>
    </w:p>
    <w:p>
      <w:pPr>
        <w:spacing w:before="119"/>
        <w:ind w:left="120" w:right="0" w:firstLine="0"/>
        <w:jc w:val="left"/>
        <w:rPr>
          <w:sz w:val="20"/>
        </w:rPr>
      </w:pPr>
      <w:r>
        <w:rPr>
          <w:b/>
          <w:sz w:val="20"/>
          <w:u w:val="thick"/>
        </w:rPr>
        <w:t>Project Location</w:t>
      </w:r>
      <w:r>
        <w:rPr>
          <w:sz w:val="20"/>
        </w:rPr>
        <w:t>: 841 Chevron Way in the City of Richmond, California</w:t>
      </w:r>
    </w:p>
    <w:p>
      <w:pPr>
        <w:spacing w:before="120"/>
        <w:ind w:left="120" w:right="0" w:firstLine="0"/>
        <w:jc w:val="left"/>
        <w:rPr>
          <w:sz w:val="20"/>
        </w:rPr>
      </w:pPr>
      <w:r>
        <w:rPr>
          <w:b/>
          <w:sz w:val="20"/>
          <w:u w:val="thick"/>
        </w:rPr>
        <w:t>County</w:t>
      </w:r>
      <w:r>
        <w:rPr>
          <w:sz w:val="20"/>
        </w:rPr>
        <w:t>: Contra Costa County</w:t>
      </w:r>
    </w:p>
    <w:p>
      <w:pPr>
        <w:spacing w:before="121"/>
        <w:ind w:left="120" w:right="0" w:firstLine="0"/>
        <w:jc w:val="left"/>
        <w:rPr>
          <w:sz w:val="20"/>
        </w:rPr>
      </w:pPr>
      <w:r>
        <w:rPr>
          <w:b/>
          <w:sz w:val="20"/>
          <w:u w:val="thick"/>
        </w:rPr>
        <w:t>Project Applicant</w:t>
      </w:r>
      <w:r>
        <w:rPr>
          <w:sz w:val="20"/>
        </w:rPr>
        <w:t>: Chevron USA Inc. Richmond Refinery</w:t>
      </w:r>
    </w:p>
    <w:p>
      <w:pPr>
        <w:pStyle w:val="BodyText"/>
        <w:spacing w:before="119"/>
        <w:ind w:left="119" w:right="131"/>
      </w:pPr>
      <w:r>
        <w:rPr>
          <w:b/>
          <w:u w:val="thick"/>
        </w:rPr>
        <w:t>Project Description</w:t>
      </w:r>
      <w:r>
        <w:rPr/>
        <w:t>: The California Department of Toxic Substances Control (DTSC) adopted an Addendum to the previous Negative Declaration and approved the Hazardous Waste Facility Standardized Permit to continue operating a Hazardous Waste Storage and Treatment Facility (HWSTF) for the storage and treatment hazardous wastes which are generated onsite, pursuant to authority granted under California Health and Safety Code Chapter 6.5 and California Code of Regulations, Title 22, Division 4.5, Chapter 20.</w:t>
      </w:r>
    </w:p>
    <w:p>
      <w:pPr>
        <w:pStyle w:val="BodyText"/>
      </w:pPr>
    </w:p>
    <w:p>
      <w:pPr>
        <w:pStyle w:val="BodyText"/>
        <w:ind w:left="119" w:right="133"/>
      </w:pPr>
      <w:r>
        <w:rPr/>
        <w:t>The Chevron USA Inc. Richmond Refinery Hazardous Waste Facility (Facility) stores and treats hazardous wastes including acids, bases, and reactive chemicals. These wastes can be stored at the facility for up to one year. The Facility has five areas consisting of Storage for Drummed Waste, Neutralization, Bulk Liquid Storage and Treatment, Solid Waste Bin Storage and Liquids/Sludge Storage and Treatment. The Refinery is an integrated petroleum refinery which produces a broad range of petroleum products including transportation fuels and lubricants. The HWTSF is utilized for storage and treatment of many of the hazardous wastes generated at the Refinery. The HWTSF is arranged into five major storage/treatment areas to avoid the potential for physical contact of different waste types. The HWTSF has a small laboratory for performing on-site evaluations of waste and a personnel office and shower/change trailer. There are two sheds for storing safety related items and spill containment, control, and cleanup materials, located along the east boundary of the HWTSF. The administrative offices for the HWTSF are just outside the main entrance gate on the northern boundary of the HWTSF.</w:t>
      </w:r>
    </w:p>
    <w:p>
      <w:pPr>
        <w:pStyle w:val="BodyText"/>
        <w:spacing w:before="1"/>
      </w:pPr>
    </w:p>
    <w:p>
      <w:pPr>
        <w:pStyle w:val="BodyText"/>
        <w:ind w:left="119" w:right="101"/>
      </w:pPr>
      <w:r>
        <w:rPr/>
        <w:t>The Facility has been in existence since the 1980’s and proposes no construction activities. All previously approved operational activities will continue to be consistent with the Hazardous Waste Facility Permit. The Facility’s permit renewal would not result in a significant impact on the environment.</w:t>
      </w:r>
    </w:p>
    <w:p>
      <w:pPr>
        <w:pStyle w:val="BodyText"/>
        <w:spacing w:before="11"/>
        <w:rPr>
          <w:sz w:val="19"/>
        </w:rPr>
      </w:pPr>
    </w:p>
    <w:p>
      <w:pPr>
        <w:pStyle w:val="BodyText"/>
        <w:ind w:left="119" w:right="144"/>
      </w:pPr>
      <w:r>
        <w:rPr/>
        <w:t>As Lead Agency under the California Environmental Quality Act (CEQA), DTSC approved the above-described project on September 23, 2020, and has made the following determinations:</w:t>
      </w:r>
    </w:p>
    <w:p>
      <w:pPr>
        <w:pStyle w:val="BodyText"/>
      </w:pPr>
    </w:p>
    <w:p>
      <w:pPr>
        <w:pStyle w:val="ListParagraph"/>
        <w:numPr>
          <w:ilvl w:val="0"/>
          <w:numId w:val="1"/>
        </w:numPr>
        <w:tabs>
          <w:tab w:pos="480" w:val="left" w:leader="none"/>
        </w:tabs>
        <w:spacing w:line="240" w:lineRule="auto" w:before="0" w:after="0"/>
        <w:ind w:left="479" w:right="0" w:hanging="361"/>
        <w:jc w:val="left"/>
        <w:rPr>
          <w:sz w:val="20"/>
        </w:rPr>
      </w:pPr>
      <w:r>
        <w:rPr>
          <w:sz w:val="20"/>
        </w:rPr>
        <w:t>The project will not have a significant effect on the</w:t>
      </w:r>
      <w:r>
        <w:rPr>
          <w:spacing w:val="-12"/>
          <w:sz w:val="20"/>
        </w:rPr>
        <w:t> </w:t>
      </w:r>
      <w:r>
        <w:rPr>
          <w:sz w:val="20"/>
        </w:rPr>
        <w:t>environment.</w:t>
      </w:r>
    </w:p>
    <w:p>
      <w:pPr>
        <w:pStyle w:val="ListParagraph"/>
        <w:numPr>
          <w:ilvl w:val="0"/>
          <w:numId w:val="1"/>
        </w:numPr>
        <w:tabs>
          <w:tab w:pos="480" w:val="left" w:leader="none"/>
        </w:tabs>
        <w:spacing w:line="240" w:lineRule="auto" w:before="115" w:after="0"/>
        <w:ind w:left="479" w:right="0" w:hanging="361"/>
        <w:jc w:val="left"/>
        <w:rPr>
          <w:sz w:val="20"/>
        </w:rPr>
      </w:pPr>
      <w:r>
        <w:rPr>
          <w:sz w:val="20"/>
        </w:rPr>
        <w:t>A Negative Declaration was prepared for this project pursuant to the provisions of</w:t>
      </w:r>
      <w:r>
        <w:rPr>
          <w:spacing w:val="-15"/>
          <w:sz w:val="20"/>
        </w:rPr>
        <w:t> </w:t>
      </w:r>
      <w:r>
        <w:rPr>
          <w:sz w:val="20"/>
        </w:rPr>
        <w:t>CEQA.</w:t>
      </w:r>
    </w:p>
    <w:p>
      <w:pPr>
        <w:pStyle w:val="ListParagraph"/>
        <w:numPr>
          <w:ilvl w:val="0"/>
          <w:numId w:val="1"/>
        </w:numPr>
        <w:tabs>
          <w:tab w:pos="479" w:val="left" w:leader="none"/>
        </w:tabs>
        <w:spacing w:line="240" w:lineRule="auto" w:before="115" w:after="0"/>
        <w:ind w:left="478" w:right="0" w:hanging="361"/>
        <w:jc w:val="left"/>
        <w:rPr>
          <w:sz w:val="20"/>
        </w:rPr>
      </w:pPr>
      <w:r>
        <w:rPr>
          <w:sz w:val="20"/>
        </w:rPr>
        <w:t>Mitigation measures were not made a condition of project approval by</w:t>
      </w:r>
      <w:r>
        <w:rPr>
          <w:spacing w:val="-15"/>
          <w:sz w:val="20"/>
        </w:rPr>
        <w:t> </w:t>
      </w:r>
      <w:r>
        <w:rPr>
          <w:sz w:val="20"/>
        </w:rPr>
        <w:t>DTSC.</w:t>
      </w:r>
    </w:p>
    <w:p>
      <w:pPr>
        <w:pStyle w:val="ListParagraph"/>
        <w:numPr>
          <w:ilvl w:val="0"/>
          <w:numId w:val="1"/>
        </w:numPr>
        <w:tabs>
          <w:tab w:pos="479" w:val="left" w:leader="none"/>
        </w:tabs>
        <w:spacing w:line="240" w:lineRule="auto" w:before="115" w:after="0"/>
        <w:ind w:left="478" w:right="0" w:hanging="361"/>
        <w:jc w:val="left"/>
        <w:rPr>
          <w:sz w:val="20"/>
        </w:rPr>
      </w:pPr>
      <w:r>
        <w:rPr>
          <w:sz w:val="20"/>
        </w:rPr>
        <w:t>A Statement of Overriding Considerations was not adopted for this project by</w:t>
      </w:r>
      <w:r>
        <w:rPr>
          <w:spacing w:val="-12"/>
          <w:sz w:val="20"/>
        </w:rPr>
        <w:t> </w:t>
      </w:r>
      <w:r>
        <w:rPr>
          <w:sz w:val="20"/>
        </w:rPr>
        <w:t>DTSC.</w:t>
      </w:r>
    </w:p>
    <w:p>
      <w:pPr>
        <w:pStyle w:val="ListParagraph"/>
        <w:numPr>
          <w:ilvl w:val="0"/>
          <w:numId w:val="1"/>
        </w:numPr>
        <w:tabs>
          <w:tab w:pos="479" w:val="left" w:leader="none"/>
        </w:tabs>
        <w:spacing w:line="240" w:lineRule="auto" w:before="115" w:after="0"/>
        <w:ind w:left="478" w:right="0" w:hanging="361"/>
        <w:jc w:val="left"/>
        <w:rPr>
          <w:sz w:val="20"/>
        </w:rPr>
      </w:pPr>
      <w:r>
        <w:rPr>
          <w:sz w:val="20"/>
        </w:rPr>
        <w:t>Findings were not made pursuant to the provisions of CEQA by</w:t>
      </w:r>
      <w:r>
        <w:rPr>
          <w:spacing w:val="-15"/>
          <w:sz w:val="20"/>
        </w:rPr>
        <w:t> </w:t>
      </w:r>
      <w:r>
        <w:rPr>
          <w:sz w:val="20"/>
        </w:rPr>
        <w:t>DTSC.</w:t>
      </w:r>
    </w:p>
    <w:p>
      <w:pPr>
        <w:spacing w:after="0" w:line="240" w:lineRule="auto"/>
        <w:jc w:val="left"/>
        <w:rPr>
          <w:sz w:val="20"/>
        </w:rPr>
        <w:sectPr>
          <w:type w:val="continuous"/>
          <w:pgSz w:w="12240" w:h="15840"/>
          <w:pgMar w:top="680" w:bottom="280" w:left="600" w:right="640"/>
        </w:sectPr>
      </w:pPr>
    </w:p>
    <w:p>
      <w:pPr>
        <w:pStyle w:val="BodyText"/>
        <w:spacing w:before="84"/>
        <w:ind w:left="120"/>
      </w:pPr>
      <w:r>
        <w:rPr/>
        <w:t>The administrative record for this project is available to the public by appointment at the following location:</w:t>
      </w:r>
    </w:p>
    <w:p>
      <w:pPr>
        <w:pStyle w:val="BodyText"/>
        <w:spacing w:before="9"/>
      </w:pPr>
    </w:p>
    <w:p>
      <w:pPr>
        <w:pStyle w:val="BodyText"/>
        <w:ind w:left="2999" w:right="4379"/>
      </w:pPr>
      <w:r>
        <w:rPr/>
        <w:t>Department of Toxic Substances Control Permitting Division</w:t>
      </w:r>
    </w:p>
    <w:p>
      <w:pPr>
        <w:pStyle w:val="BodyText"/>
        <w:spacing w:before="1"/>
        <w:ind w:left="2999" w:right="5902"/>
      </w:pPr>
      <w:r>
        <w:rPr/>
        <w:t>8800 Cal Center Drive Sacramento, CA 95826</w:t>
      </w:r>
    </w:p>
    <w:p>
      <w:pPr>
        <w:pStyle w:val="BodyText"/>
        <w:spacing w:before="7"/>
        <w:rPr>
          <w:sz w:val="12"/>
        </w:rPr>
      </w:pPr>
    </w:p>
    <w:p>
      <w:pPr>
        <w:spacing w:after="0"/>
        <w:rPr>
          <w:sz w:val="12"/>
        </w:rPr>
        <w:sectPr>
          <w:pgSz w:w="12240" w:h="15840"/>
          <w:pgMar w:header="344" w:footer="0" w:top="680" w:bottom="280" w:left="600" w:right="640"/>
        </w:sectPr>
      </w:pPr>
    </w:p>
    <w:p>
      <w:pPr>
        <w:pStyle w:val="BodyText"/>
        <w:spacing w:before="94"/>
        <w:ind w:left="120" w:right="38"/>
      </w:pPr>
      <w:r>
        <w:rPr/>
        <w:t>Contact Person Hai-Yong Kang</w:t>
      </w:r>
    </w:p>
    <w:p>
      <w:pPr>
        <w:pStyle w:val="BodyText"/>
        <w:spacing w:before="94"/>
        <w:ind w:left="120"/>
      </w:pPr>
      <w:r>
        <w:rPr/>
        <w:br w:type="column"/>
      </w:r>
      <w:r>
        <w:rPr/>
        <w:t>Contact Title</w:t>
      </w:r>
    </w:p>
    <w:p>
      <w:pPr>
        <w:pStyle w:val="BodyText"/>
        <w:spacing w:before="1"/>
        <w:ind w:left="120"/>
      </w:pPr>
      <w:r>
        <w:rPr/>
        <w:t>Hazardous Substances Engineer</w:t>
      </w:r>
    </w:p>
    <w:p>
      <w:pPr>
        <w:pStyle w:val="BodyText"/>
        <w:spacing w:before="94"/>
        <w:ind w:left="120" w:right="1594"/>
      </w:pPr>
      <w:r>
        <w:rPr/>
        <w:br w:type="column"/>
      </w:r>
      <w:r>
        <w:rPr/>
        <w:t>Phone Number 916) 255-6522</w:t>
      </w:r>
    </w:p>
    <w:p>
      <w:pPr>
        <w:spacing w:after="0"/>
        <w:sectPr>
          <w:type w:val="continuous"/>
          <w:pgSz w:w="12240" w:h="15840"/>
          <w:pgMar w:top="680" w:bottom="280" w:left="600" w:right="640"/>
          <w:cols w:num="3" w:equalWidth="0">
            <w:col w:w="1539" w:space="2421"/>
            <w:col w:w="3085" w:space="875"/>
            <w:col w:w="3080"/>
          </w:cols>
        </w:sectPr>
      </w:pPr>
    </w:p>
    <w:p>
      <w:pPr>
        <w:pStyle w:val="BodyText"/>
        <w:spacing w:before="5"/>
        <w:rPr>
          <w:sz w:val="19"/>
        </w:rPr>
      </w:pPr>
    </w:p>
    <w:p>
      <w:pPr>
        <w:pStyle w:val="BodyText"/>
        <w:spacing w:line="20" w:lineRule="exact"/>
        <w:ind w:left="115"/>
        <w:rPr>
          <w:sz w:val="2"/>
        </w:rPr>
      </w:pPr>
      <w:r>
        <w:rPr>
          <w:sz w:val="2"/>
        </w:rPr>
        <w:pict>
          <v:group style="width:540pt;height:.5pt;mso-position-horizontal-relative:char;mso-position-vertical-relative:line" coordorigin="0,0" coordsize="10800,10">
            <v:line style="position:absolute" from="0,5" to="10800,5" stroked="true" strokeweight=".5pt" strokecolor="#000000">
              <v:stroke dashstyle="solid"/>
            </v:line>
          </v:group>
        </w:pict>
      </w:r>
      <w:r>
        <w:rPr>
          <w:sz w:val="2"/>
        </w:rPr>
      </w:r>
    </w:p>
    <w:p>
      <w:pPr>
        <w:pStyle w:val="BodyText"/>
        <w:spacing w:before="5"/>
        <w:rPr>
          <w:sz w:val="11"/>
        </w:rPr>
      </w:pPr>
    </w:p>
    <w:p>
      <w:pPr>
        <w:pStyle w:val="BodyText"/>
        <w:tabs>
          <w:tab w:pos="8039" w:val="left" w:leader="none"/>
        </w:tabs>
        <w:spacing w:before="94"/>
        <w:ind w:left="119"/>
      </w:pPr>
      <w:r>
        <w:rPr/>
        <w:pict>
          <v:group style="position:absolute;margin-left:35.75pt;margin-top:16.947010pt;width:365.45pt;height:43.6pt;mso-position-horizontal-relative:page;mso-position-vertical-relative:paragraph;z-index:-15782912" coordorigin="715,339" coordsize="7309,872">
            <v:line style="position:absolute" from="720,1006" to="8019,1014" stroked="true" strokeweight=".5pt" strokecolor="#000000">
              <v:stroke dashstyle="solid"/>
            </v:line>
            <v:shape style="position:absolute;left:754;top:338;width:1485;height:872" type="#_x0000_t75" stroked="false">
              <v:imagedata r:id="rId6" o:title=""/>
            </v:shape>
            <w10:wrap type="none"/>
          </v:group>
        </w:pict>
      </w:r>
      <w:r>
        <w:rPr/>
        <w:t>Approver’s</w:t>
      </w:r>
      <w:r>
        <w:rPr>
          <w:spacing w:val="-2"/>
        </w:rPr>
        <w:t> </w:t>
      </w:r>
      <w:r>
        <w:rPr/>
        <w:t>Signature:</w:t>
        <w:tab/>
      </w:r>
      <w:r>
        <w:rPr>
          <w:position w:val="-11"/>
        </w:rPr>
        <w:t>Date:</w:t>
      </w:r>
    </w:p>
    <w:p>
      <w:pPr>
        <w:pStyle w:val="BodyText"/>
        <w:spacing w:before="2"/>
        <w:rPr>
          <w:sz w:val="31"/>
        </w:rPr>
      </w:pPr>
    </w:p>
    <w:p>
      <w:pPr>
        <w:pStyle w:val="BodyText"/>
        <w:spacing w:before="1"/>
        <w:ind w:right="1411"/>
        <w:jc w:val="right"/>
      </w:pPr>
      <w:r>
        <w:rPr/>
        <w:t>October 28, 2020</w:t>
      </w:r>
    </w:p>
    <w:p>
      <w:pPr>
        <w:pStyle w:val="BodyText"/>
        <w:spacing w:before="10"/>
        <w:rPr>
          <w:sz w:val="11"/>
        </w:rPr>
      </w:pPr>
    </w:p>
    <w:p>
      <w:pPr>
        <w:spacing w:after="0"/>
        <w:rPr>
          <w:sz w:val="11"/>
        </w:rPr>
        <w:sectPr>
          <w:type w:val="continuous"/>
          <w:pgSz w:w="12240" w:h="15840"/>
          <w:pgMar w:top="680" w:bottom="280" w:left="600" w:right="640"/>
        </w:sectPr>
      </w:pPr>
    </w:p>
    <w:p>
      <w:pPr>
        <w:pStyle w:val="BodyText"/>
        <w:spacing w:before="94"/>
        <w:ind w:left="119" w:right="21"/>
      </w:pPr>
      <w:r>
        <w:rPr/>
        <w:t>Approver’s Name Lori Koch</w:t>
      </w:r>
    </w:p>
    <w:p>
      <w:pPr>
        <w:pStyle w:val="BodyText"/>
        <w:spacing w:line="230" w:lineRule="exact" w:before="94"/>
        <w:ind w:left="119"/>
      </w:pPr>
      <w:r>
        <w:rPr/>
        <w:br w:type="column"/>
      </w:r>
      <w:r>
        <w:rPr/>
        <w:t>Approver’s Title</w:t>
      </w:r>
    </w:p>
    <w:p>
      <w:pPr>
        <w:pStyle w:val="BodyText"/>
        <w:ind w:left="119" w:right="21"/>
      </w:pPr>
      <w:r>
        <w:rPr/>
        <w:t>Supervising Hazardous Substances Engineer II</w:t>
      </w:r>
    </w:p>
    <w:p>
      <w:pPr>
        <w:pStyle w:val="BodyText"/>
        <w:spacing w:before="94"/>
        <w:ind w:left="119" w:right="584"/>
      </w:pPr>
      <w:r>
        <w:rPr/>
        <w:br w:type="column"/>
      </w:r>
      <w:r>
        <w:rPr/>
        <w:t>Approver’s Phone Number 510) 540-3951</w:t>
      </w:r>
    </w:p>
    <w:p>
      <w:pPr>
        <w:spacing w:after="0"/>
        <w:sectPr>
          <w:type w:val="continuous"/>
          <w:pgSz w:w="12240" w:h="15840"/>
          <w:pgMar w:top="680" w:bottom="280" w:left="600" w:right="640"/>
          <w:cols w:num="3" w:equalWidth="0">
            <w:col w:w="1706" w:space="2254"/>
            <w:col w:w="3329" w:space="631"/>
            <w:col w:w="3080"/>
          </w:cols>
        </w:sectPr>
      </w:pPr>
    </w:p>
    <w:p>
      <w:pPr>
        <w:pStyle w:val="BodyText"/>
        <w:spacing w:before="8" w:after="1"/>
      </w:pPr>
    </w:p>
    <w:p>
      <w:pPr>
        <w:pStyle w:val="BodyText"/>
        <w:spacing w:line="20" w:lineRule="exact"/>
        <w:ind w:left="115"/>
        <w:rPr>
          <w:sz w:val="2"/>
        </w:rPr>
      </w:pPr>
      <w:r>
        <w:rPr>
          <w:sz w:val="2"/>
        </w:rPr>
        <w:pict>
          <v:group style="width:540pt;height:.5pt;mso-position-horizontal-relative:char;mso-position-vertical-relative:line" coordorigin="0,0" coordsize="10800,10">
            <v:line style="position:absolute" from="0,5" to="10800,5" stroked="true" strokeweight=".5pt" strokecolor="#000000">
              <v:stroke dashstyle="solid"/>
            </v:line>
          </v:group>
        </w:pict>
      </w:r>
      <w:r>
        <w:rPr>
          <w:sz w:val="2"/>
        </w:rPr>
      </w:r>
    </w:p>
    <w:p>
      <w:pPr>
        <w:pStyle w:val="BodyText"/>
        <w:spacing w:before="91"/>
        <w:ind w:left="3844" w:right="3804"/>
        <w:jc w:val="center"/>
      </w:pPr>
      <w:r>
        <w:rPr/>
        <w:t>TO BE COMPLETED BY OPR ONLY</w:t>
      </w:r>
    </w:p>
    <w:p>
      <w:pPr>
        <w:pStyle w:val="BodyText"/>
        <w:spacing w:before="120"/>
        <w:ind w:left="119"/>
      </w:pPr>
      <w:r>
        <w:rPr/>
        <w:t>Date Received for Filing and Posting at OPR:</w:t>
      </w:r>
    </w:p>
    <w:sectPr>
      <w:type w:val="continuous"/>
      <w:pgSz w:w="12240" w:h="15840"/>
      <w:pgMar w:top="680" w:bottom="280" w:left="6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5pt;margin-top:17.275917pt;width:228.8pt;height:10.95pt;mso-position-horizontal-relative:page;mso-position-vertical-relative:page;z-index:-15783936" type="#_x0000_t202" filled="false" stroked="false">
          <v:textbox inset="0,0,0,0">
            <w:txbxContent>
              <w:p>
                <w:pPr>
                  <w:spacing w:before="14"/>
                  <w:ind w:left="20" w:right="0" w:firstLine="0"/>
                  <w:jc w:val="left"/>
                  <w:rPr>
                    <w:sz w:val="16"/>
                  </w:rPr>
                </w:pPr>
                <w:r>
                  <w:rPr>
                    <w:sz w:val="16"/>
                  </w:rPr>
                  <w:t>State of California – California Environmental Protection Agency</w:t>
                </w:r>
              </w:p>
            </w:txbxContent>
          </v:textbox>
          <w10:wrap type="none"/>
        </v:shape>
      </w:pict>
    </w:r>
    <w:r>
      <w:rPr/>
      <w:pict>
        <v:shape style="position:absolute;margin-left:430.495087pt;margin-top:17.275917pt;width:146.3pt;height:10.95pt;mso-position-horizontal-relative:page;mso-position-vertical-relative:page;z-index:-15783424" type="#_x0000_t202" filled="false" stroked="false">
          <v:textbox inset="0,0,0,0">
            <w:txbxContent>
              <w:p>
                <w:pPr>
                  <w:spacing w:before="14"/>
                  <w:ind w:left="20" w:right="0" w:firstLine="0"/>
                  <w:jc w:val="left"/>
                  <w:rPr>
                    <w:sz w:val="16"/>
                  </w:rPr>
                </w:pPr>
                <w:r>
                  <w:rPr>
                    <w:sz w:val="16"/>
                  </w:rPr>
                  <w:t>Department of Toxic Substances Control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9" w:hanging="360"/>
        <w:jc w:val="left"/>
      </w:pPr>
      <w:rPr>
        <w:rFonts w:hint="default" w:ascii="Arial" w:hAnsi="Arial" w:eastAsia="Arial" w:cs="Arial"/>
        <w:w w:val="100"/>
        <w:sz w:val="20"/>
        <w:szCs w:val="20"/>
        <w:lang w:val="en-us" w:eastAsia="en-US" w:bidi="ar-SA"/>
      </w:rPr>
    </w:lvl>
    <w:lvl w:ilvl="1">
      <w:start w:val="0"/>
      <w:numFmt w:val="bullet"/>
      <w:lvlText w:val="•"/>
      <w:lvlJc w:val="left"/>
      <w:pPr>
        <w:ind w:left="1532" w:hanging="360"/>
      </w:pPr>
      <w:rPr>
        <w:rFonts w:hint="default"/>
        <w:lang w:val="en-us" w:eastAsia="en-US" w:bidi="ar-SA"/>
      </w:rPr>
    </w:lvl>
    <w:lvl w:ilvl="2">
      <w:start w:val="0"/>
      <w:numFmt w:val="bullet"/>
      <w:lvlText w:val="•"/>
      <w:lvlJc w:val="left"/>
      <w:pPr>
        <w:ind w:left="2584" w:hanging="360"/>
      </w:pPr>
      <w:rPr>
        <w:rFonts w:hint="default"/>
        <w:lang w:val="en-us" w:eastAsia="en-US" w:bidi="ar-SA"/>
      </w:rPr>
    </w:lvl>
    <w:lvl w:ilvl="3">
      <w:start w:val="0"/>
      <w:numFmt w:val="bullet"/>
      <w:lvlText w:val="•"/>
      <w:lvlJc w:val="left"/>
      <w:pPr>
        <w:ind w:left="3636" w:hanging="360"/>
      </w:pPr>
      <w:rPr>
        <w:rFonts w:hint="default"/>
        <w:lang w:val="en-us" w:eastAsia="en-US" w:bidi="ar-SA"/>
      </w:rPr>
    </w:lvl>
    <w:lvl w:ilvl="4">
      <w:start w:val="0"/>
      <w:numFmt w:val="bullet"/>
      <w:lvlText w:val="•"/>
      <w:lvlJc w:val="left"/>
      <w:pPr>
        <w:ind w:left="4688" w:hanging="360"/>
      </w:pPr>
      <w:rPr>
        <w:rFonts w:hint="default"/>
        <w:lang w:val="en-us" w:eastAsia="en-US" w:bidi="ar-SA"/>
      </w:rPr>
    </w:lvl>
    <w:lvl w:ilvl="5">
      <w:start w:val="0"/>
      <w:numFmt w:val="bullet"/>
      <w:lvlText w:val="•"/>
      <w:lvlJc w:val="left"/>
      <w:pPr>
        <w:ind w:left="5740" w:hanging="360"/>
      </w:pPr>
      <w:rPr>
        <w:rFonts w:hint="default"/>
        <w:lang w:val="en-us" w:eastAsia="en-US" w:bidi="ar-SA"/>
      </w:rPr>
    </w:lvl>
    <w:lvl w:ilvl="6">
      <w:start w:val="0"/>
      <w:numFmt w:val="bullet"/>
      <w:lvlText w:val="•"/>
      <w:lvlJc w:val="left"/>
      <w:pPr>
        <w:ind w:left="6792" w:hanging="360"/>
      </w:pPr>
      <w:rPr>
        <w:rFonts w:hint="default"/>
        <w:lang w:val="en-us" w:eastAsia="en-US" w:bidi="ar-SA"/>
      </w:rPr>
    </w:lvl>
    <w:lvl w:ilvl="7">
      <w:start w:val="0"/>
      <w:numFmt w:val="bullet"/>
      <w:lvlText w:val="•"/>
      <w:lvlJc w:val="left"/>
      <w:pPr>
        <w:ind w:left="7844" w:hanging="360"/>
      </w:pPr>
      <w:rPr>
        <w:rFonts w:hint="default"/>
        <w:lang w:val="en-us" w:eastAsia="en-US" w:bidi="ar-SA"/>
      </w:rPr>
    </w:lvl>
    <w:lvl w:ilvl="8">
      <w:start w:val="0"/>
      <w:numFmt w:val="bullet"/>
      <w:lvlText w:val="•"/>
      <w:lvlJc w:val="left"/>
      <w:pPr>
        <w:ind w:left="88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83"/>
      <w:ind w:left="3832" w:right="2802" w:hanging="974"/>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15"/>
      <w:ind w:left="478"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dtsc</dc:creator>
  <dc:title>CALIFORNIA ENVIRONMENTAL QUALITY ACT</dc:title>
  <dcterms:created xsi:type="dcterms:W3CDTF">2020-10-28T14:54:28Z</dcterms:created>
  <dcterms:modified xsi:type="dcterms:W3CDTF">2020-10-28T14:54:28Z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20 for Word</vt:lpwstr>
  </property>
  <property fmtid="{D5CDD505-2E9C-101B-9397-08002B2CF9AE}" pid="4" name="LastSaved">
    <vt:filetime>2020-10-28T00:00:00Z</vt:filetime>
  </property>
</Properties>
</file>